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4"/>
        </w:rPr>
      </w:pPr>
    </w:p>
    <w:p>
      <w:pPr>
        <w:spacing w:line="702" w:lineRule="exact" w:before="0"/>
        <w:ind w:left="0" w:right="1040" w:firstLine="0"/>
        <w:jc w:val="center"/>
        <w:rPr>
          <w:rFonts w:ascii="Microsoft JhengHei" w:eastAsia="Microsoft JhengHei" w:hint="eastAsia"/>
          <w:b/>
          <w:sz w:val="44"/>
        </w:rPr>
      </w:pPr>
      <w:r>
        <w:rPr>
          <w:rFonts w:ascii="Microsoft JhengHei" w:eastAsia="Microsoft JhengHei" w:hint="eastAsia"/>
          <w:b/>
          <w:sz w:val="44"/>
        </w:rPr>
        <w:t>易方达沪深 300 交易型开放式指数发起式</w:t>
      </w:r>
    </w:p>
    <w:p>
      <w:pPr>
        <w:spacing w:line="254" w:lineRule="auto" w:before="47"/>
        <w:ind w:left="2344" w:right="3384" w:firstLine="0"/>
        <w:jc w:val="center"/>
        <w:rPr>
          <w:rFonts w:ascii="Microsoft JhengHei" w:eastAsia="Microsoft JhengHei" w:hint="eastAsia"/>
          <w:b/>
          <w:sz w:val="44"/>
        </w:rPr>
      </w:pPr>
      <w:r>
        <w:rPr>
          <w:rFonts w:ascii="Microsoft JhengHei" w:eastAsia="Microsoft JhengHei" w:hint="eastAsia"/>
          <w:b/>
          <w:sz w:val="44"/>
        </w:rPr>
        <w:t>证券投资基金联接基金更新的招募说明书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7"/>
        <w:ind w:left="0"/>
        <w:rPr>
          <w:rFonts w:ascii="Microsoft JhengHei"/>
          <w:b/>
          <w:sz w:val="47"/>
        </w:rPr>
      </w:pPr>
    </w:p>
    <w:p>
      <w:pPr>
        <w:spacing w:line="364" w:lineRule="auto" w:before="0"/>
        <w:ind w:left="2093" w:right="2652" w:firstLine="0"/>
        <w:jc w:val="left"/>
        <w:rPr>
          <w:sz w:val="30"/>
        </w:rPr>
      </w:pPr>
      <w:r>
        <w:rPr>
          <w:sz w:val="30"/>
        </w:rPr>
        <w:t>基金管理人：易方达基金管理有限公司 </w:t>
      </w:r>
      <w:r>
        <w:rPr>
          <w:spacing w:val="-1"/>
          <w:sz w:val="30"/>
        </w:rPr>
        <w:t>基金托管人：中国建设银行股份有限公司</w:t>
      </w:r>
    </w:p>
    <w:p>
      <w:pPr>
        <w:pStyle w:val="BodyText"/>
        <w:spacing w:before="4"/>
        <w:ind w:left="0"/>
        <w:rPr>
          <w:sz w:val="32"/>
        </w:rPr>
      </w:pPr>
    </w:p>
    <w:p>
      <w:pPr>
        <w:pStyle w:val="Heading2"/>
        <w:spacing w:before="1"/>
        <w:ind w:left="0" w:right="1039"/>
        <w:jc w:val="center"/>
      </w:pPr>
      <w:r>
        <w:rPr/>
        <w:t>二○二○年十月</w:t>
      </w:r>
    </w:p>
    <w:p>
      <w:pPr>
        <w:spacing w:after="0"/>
        <w:jc w:val="center"/>
        <w:sectPr>
          <w:type w:val="continuous"/>
          <w:pgSz w:w="11910" w:h="16840"/>
          <w:pgMar w:top="1600" w:bottom="280" w:left="1400" w:right="360"/>
        </w:sectPr>
      </w:pPr>
    </w:p>
    <w:p>
      <w:pPr>
        <w:spacing w:before="13"/>
        <w:ind w:left="0" w:right="1039" w:firstLine="0"/>
        <w:jc w:val="center"/>
        <w:rPr>
          <w:rFonts w:ascii="Microsoft JhengHei" w:eastAsia="Microsoft JhengHei" w:hint="eastAsia"/>
          <w:b/>
          <w:sz w:val="28"/>
        </w:rPr>
      </w:pPr>
      <w:r>
        <w:rPr>
          <w:rFonts w:ascii="Microsoft JhengHei" w:eastAsia="Microsoft JhengHei" w:hint="eastAsia"/>
          <w:b/>
          <w:sz w:val="28"/>
        </w:rPr>
        <w:t>重要提示</w:t>
      </w:r>
    </w:p>
    <w:p>
      <w:pPr>
        <w:pStyle w:val="BodyText"/>
        <w:spacing w:line="364" w:lineRule="auto" w:before="121"/>
        <w:ind w:left="413" w:right="1137" w:firstLine="420"/>
      </w:pPr>
      <w:r>
        <w:rPr>
          <w:spacing w:val="-5"/>
        </w:rPr>
        <w:t>易方达沪深 </w:t>
      </w:r>
      <w:r>
        <w:rPr/>
        <w:t>300</w:t>
      </w:r>
      <w:r>
        <w:rPr>
          <w:spacing w:val="-6"/>
        </w:rPr>
        <w:t> 交易型开放式指数发起式证券投资基金联接基金</w:t>
      </w:r>
      <w:r>
        <w:rPr>
          <w:spacing w:val="5"/>
        </w:rPr>
        <w:t>（</w:t>
      </w:r>
      <w:r>
        <w:rPr>
          <w:spacing w:val="-14"/>
        </w:rPr>
        <w:t>以下简称“本基金”</w:t>
      </w:r>
      <w:r>
        <w:rPr/>
        <w:t>）</w:t>
      </w:r>
      <w:r>
        <w:rPr>
          <w:spacing w:val="-9"/>
        </w:rPr>
        <w:t>由易方达沪深 </w:t>
      </w:r>
      <w:r>
        <w:rPr/>
        <w:t>300</w:t>
      </w:r>
      <w:r>
        <w:rPr>
          <w:spacing w:val="-12"/>
        </w:rPr>
        <w:t> 指数证券投资基金变更投资范围及其他相关事项而来。《关于易方达沪深</w:t>
      </w:r>
      <w:r>
        <w:rPr/>
        <w:t>300</w:t>
      </w:r>
      <w:r>
        <w:rPr>
          <w:spacing w:val="-51"/>
        </w:rPr>
        <w:t> </w:t>
      </w:r>
      <w:r>
        <w:rPr>
          <w:spacing w:val="-2"/>
        </w:rPr>
        <w:t>指数证券投资基金变更投资范围及其他相关事项的议案》经 </w:t>
      </w:r>
      <w:r>
        <w:rPr/>
        <w:t>2013</w:t>
      </w:r>
      <w:r>
        <w:rPr>
          <w:spacing w:val="-34"/>
        </w:rPr>
        <w:t> 年 </w:t>
      </w:r>
      <w:r>
        <w:rPr/>
        <w:t>8</w:t>
      </w:r>
      <w:r>
        <w:rPr>
          <w:spacing w:val="-34"/>
        </w:rPr>
        <w:t> 月 </w:t>
      </w:r>
      <w:r>
        <w:rPr/>
        <w:t>8</w:t>
      </w:r>
      <w:r>
        <w:rPr>
          <w:spacing w:val="-10"/>
        </w:rPr>
        <w:t> 日易方达沪</w:t>
      </w:r>
    </w:p>
    <w:p>
      <w:pPr>
        <w:pStyle w:val="BodyText"/>
        <w:spacing w:line="268" w:lineRule="exact"/>
        <w:ind w:left="413"/>
      </w:pPr>
      <w:r>
        <w:rPr>
          <w:spacing w:val="-22"/>
        </w:rPr>
        <w:t>深 </w:t>
      </w:r>
      <w:r>
        <w:rPr/>
        <w:t>300</w:t>
      </w:r>
      <w:r>
        <w:rPr>
          <w:spacing w:val="-9"/>
        </w:rPr>
        <w:t> 指数证券投资基金基金份额持有人大会决议通过，并于 </w:t>
      </w:r>
      <w:r>
        <w:rPr/>
        <w:t>2013</w:t>
      </w:r>
      <w:r>
        <w:rPr>
          <w:spacing w:val="-30"/>
        </w:rPr>
        <w:t> 年 </w:t>
      </w:r>
      <w:r>
        <w:rPr/>
        <w:t>9</w:t>
      </w:r>
      <w:r>
        <w:rPr>
          <w:spacing w:val="-29"/>
        </w:rPr>
        <w:t> 月 </w:t>
      </w:r>
      <w:r>
        <w:rPr/>
        <w:t>17</w:t>
      </w:r>
      <w:r>
        <w:rPr>
          <w:spacing w:val="-9"/>
        </w:rPr>
        <w:t> 日经中国证</w:t>
      </w:r>
    </w:p>
    <w:p>
      <w:pPr>
        <w:pStyle w:val="BodyText"/>
        <w:spacing w:before="139"/>
        <w:ind w:left="413"/>
      </w:pPr>
      <w:r>
        <w:rPr/>
        <w:t>监会备案生效。自 2013 年 9 月 17 日起，由《易方达沪深 300 指数证券投资基金基金合同》</w:t>
      </w:r>
    </w:p>
    <w:p>
      <w:pPr>
        <w:pStyle w:val="BodyText"/>
        <w:spacing w:line="364" w:lineRule="auto" w:before="140"/>
        <w:ind w:left="413" w:right="1419"/>
      </w:pPr>
      <w:r>
        <w:rPr/>
        <w:t>修订而成的《易方达沪深 300 交易型开放式指数发起式证券投资基金联接基金基金合同》生效。基金管理人保证《招募说明书》的内容真实、准确、完整。</w:t>
      </w:r>
    </w:p>
    <w:p>
      <w:pPr>
        <w:pStyle w:val="BodyText"/>
        <w:spacing w:line="364" w:lineRule="auto"/>
        <w:ind w:left="413" w:right="1452" w:firstLine="420"/>
      </w:pPr>
      <w:r>
        <w:rPr/>
        <w:t>基金管理人依照恪尽职守、诚实信用、谨慎勤勉的原则管理和运用基金财产，但不保证基金一定盈利，也不保证最低收益。</w:t>
      </w:r>
    </w:p>
    <w:p>
      <w:pPr>
        <w:pStyle w:val="BodyText"/>
        <w:spacing w:line="364" w:lineRule="auto"/>
        <w:ind w:left="413" w:right="1452" w:firstLine="420"/>
      </w:pPr>
      <w:r>
        <w:rPr/>
        <w:t>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413" w:right="1452" w:firstLine="420"/>
        <w:jc w:val="both"/>
      </w:pPr>
      <w:r>
        <w:rPr/>
        <w:t>本基金投资于证券市场，基金净值会因为证券市场波动等因素产生波动，投资者在投资本基金前，请认真阅读本基金的招募说明书、基金合同和基金产品资料概要等信息披露文件，全面认识本基金产品的风险收益特征和产品特性，充分考虑自身的风险承受能力， 理性判断市场，对申购基金的意愿、时机、数量等投资行为作出独立决策，获得基金投资收益，亦承担基金投资中出现的各类风险。投资本基金可能遇到的风险包括：证券市场整体环境引发的系统性风险、流动性风险、本基金法律文件中涉及基金风险特征的表述与销售机构对基金的风险评级可能不一致的风险、基金管理人在基金管理实施过程中产生的基金管理风险、本基金的特有风险等等。本基金的投资范围包括存托凭证，可能给本基金带来额外风险。</w:t>
      </w:r>
    </w:p>
    <w:p>
      <w:pPr>
        <w:pStyle w:val="BodyText"/>
        <w:spacing w:line="364" w:lineRule="auto"/>
        <w:ind w:left="413" w:right="1278" w:firstLine="420"/>
      </w:pPr>
      <w:r>
        <w:rPr>
          <w:spacing w:val="-4"/>
        </w:rPr>
        <w:t>本基金为易方达沪深</w:t>
      </w:r>
      <w:r>
        <w:rPr/>
        <w:t>300</w:t>
      </w:r>
      <w:r>
        <w:rPr>
          <w:spacing w:val="-7"/>
        </w:rPr>
        <w:t>交易型开放式指数发起式证券投资基金</w:t>
      </w:r>
      <w:r>
        <w:rPr/>
        <w:t>（</w:t>
      </w:r>
      <w:r>
        <w:rPr>
          <w:spacing w:val="-21"/>
        </w:rPr>
        <w:t>以下简称“沪深</w:t>
      </w:r>
      <w:r>
        <w:rPr>
          <w:spacing w:val="-3"/>
        </w:rPr>
        <w:t>300ETF” </w:t>
      </w:r>
      <w:r>
        <w:rPr>
          <w:spacing w:val="-2"/>
        </w:rPr>
        <w:t>或“目标</w:t>
      </w:r>
      <w:r>
        <w:rPr/>
        <w:t>ETF</w:t>
      </w:r>
      <w:r>
        <w:rPr>
          <w:spacing w:val="-105"/>
        </w:rPr>
        <w:t>”</w:t>
      </w:r>
      <w:r>
        <w:rPr>
          <w:spacing w:val="-4"/>
        </w:rPr>
        <w:t>）</w:t>
      </w:r>
      <w:r>
        <w:rPr>
          <w:spacing w:val="-2"/>
        </w:rPr>
        <w:t>的联接基金。为紧密跟踪业绩比较基准表现，本基金资产中投资于目标</w:t>
      </w:r>
      <w:r>
        <w:rPr/>
        <w:t>ETF的比例不低于基金资产净值的90%</w:t>
      </w:r>
      <w:r>
        <w:rPr>
          <w:spacing w:val="-4"/>
        </w:rPr>
        <w:t>。因此，本基金的业绩表现与易方达沪深</w:t>
      </w:r>
      <w:r>
        <w:rPr/>
        <w:t>300ETF的表现密切相关。投资者在投资本基金之前，请仔细阅读本基金的招募说明书、基金合同和基金产 品资料概要等信息披露文件，全面认识本基金的风险收益特征和产品特性，并充分考虑自 身的风险承受能力，理性判断市场，谨慎做出投资决策。</w:t>
      </w:r>
    </w:p>
    <w:p>
      <w:pPr>
        <w:pStyle w:val="BodyText"/>
        <w:spacing w:line="364" w:lineRule="auto"/>
        <w:ind w:left="833" w:right="3747"/>
      </w:pPr>
      <w:r>
        <w:rPr>
          <w:spacing w:val="-8"/>
        </w:rPr>
        <w:t>本基金为沪深 </w:t>
      </w:r>
      <w:r>
        <w:rPr/>
        <w:t>300ETF</w:t>
      </w:r>
      <w:r>
        <w:rPr>
          <w:spacing w:val="-9"/>
        </w:rPr>
        <w:t> 的联接基金，二者既有联系也有区别。</w:t>
      </w:r>
      <w:r>
        <w:rPr>
          <w:spacing w:val="-8"/>
        </w:rPr>
        <w:t>本基金与沪深 </w:t>
      </w:r>
      <w:r>
        <w:rPr/>
        <w:t>300ETF</w:t>
      </w:r>
      <w:r>
        <w:rPr>
          <w:spacing w:val="-9"/>
        </w:rPr>
        <w:t> 之间的联系：</w:t>
      </w:r>
    </w:p>
    <w:p>
      <w:pPr>
        <w:pStyle w:val="BodyText"/>
        <w:spacing w:line="268" w:lineRule="exact"/>
        <w:ind w:left="833"/>
      </w:pPr>
      <w:r>
        <w:rPr/>
        <w:t>1、两只基金跟踪同一个标的指数即沪深 300 指数。</w:t>
      </w:r>
    </w:p>
    <w:p>
      <w:pPr>
        <w:pStyle w:val="BodyText"/>
        <w:spacing w:before="129"/>
        <w:ind w:left="833"/>
      </w:pPr>
      <w:r>
        <w:rPr/>
        <w:t>2、两只基金的投资目标均为紧密跟踪业绩比较基准。</w:t>
      </w:r>
    </w:p>
    <w:p>
      <w:pPr>
        <w:pStyle w:val="BodyText"/>
        <w:spacing w:before="140"/>
        <w:ind w:left="833"/>
      </w:pPr>
      <w:r>
        <w:rPr/>
        <w:t>3、两只基金具有相似的风险收益特征。</w:t>
      </w:r>
    </w:p>
    <w:p>
      <w:pPr>
        <w:spacing w:after="0"/>
        <w:sectPr>
          <w:pgSz w:w="11910" w:h="16840"/>
          <w:pgMar w:top="1600" w:bottom="280" w:left="1400" w:right="360"/>
        </w:sectPr>
      </w:pPr>
    </w:p>
    <w:p>
      <w:pPr>
        <w:pStyle w:val="BodyText"/>
        <w:spacing w:line="364" w:lineRule="auto" w:before="104"/>
        <w:ind w:left="833" w:right="5322"/>
        <w:jc w:val="both"/>
      </w:pPr>
      <w:r>
        <w:rPr/>
        <w:t>4</w:t>
      </w:r>
      <w:r>
        <w:rPr>
          <w:spacing w:val="-14"/>
        </w:rPr>
        <w:t>、沪深 </w:t>
      </w:r>
      <w:r>
        <w:rPr/>
        <w:t>300ETF</w:t>
      </w:r>
      <w:r>
        <w:rPr>
          <w:spacing w:val="-9"/>
        </w:rPr>
        <w:t> 是本基金的主要投资对象。</w:t>
      </w:r>
      <w:r>
        <w:rPr>
          <w:spacing w:val="-8"/>
        </w:rPr>
        <w:t>本基金与沪深 </w:t>
      </w:r>
      <w:r>
        <w:rPr/>
        <w:t>300ETF</w:t>
      </w:r>
      <w:r>
        <w:rPr>
          <w:spacing w:val="-9"/>
        </w:rPr>
        <w:t> 之间的区别：</w:t>
      </w:r>
    </w:p>
    <w:p>
      <w:pPr>
        <w:pStyle w:val="BodyText"/>
        <w:spacing w:line="364" w:lineRule="auto"/>
        <w:ind w:left="413" w:right="1452" w:firstLine="420"/>
        <w:jc w:val="both"/>
      </w:pPr>
      <w:r>
        <w:rPr/>
        <w:t>1</w:t>
      </w:r>
      <w:r>
        <w:rPr>
          <w:spacing w:val="-2"/>
        </w:rPr>
        <w:t>、在基金的投资方法方面，沪深 </w:t>
      </w:r>
      <w:r>
        <w:rPr/>
        <w:t>300ETF</w:t>
      </w:r>
      <w:r>
        <w:rPr>
          <w:spacing w:val="-5"/>
        </w:rPr>
        <w:t> 采取完全复制法，直接投资于标的指数的成</w:t>
      </w:r>
      <w:r>
        <w:rPr>
          <w:spacing w:val="-6"/>
        </w:rPr>
        <w:t>份股；而本基金则采取间接的方法，通过将绝大部分基金财产投资于沪深 </w:t>
      </w:r>
      <w:r>
        <w:rPr/>
        <w:t>300ETF，实现对业绩比较基准的紧密跟踪。</w:t>
      </w:r>
    </w:p>
    <w:p>
      <w:pPr>
        <w:pStyle w:val="BodyText"/>
        <w:spacing w:line="364" w:lineRule="auto"/>
        <w:ind w:left="413" w:right="1451" w:firstLine="420"/>
        <w:jc w:val="both"/>
      </w:pPr>
      <w:r>
        <w:rPr/>
        <w:t>2</w:t>
      </w:r>
      <w:r>
        <w:rPr>
          <w:spacing w:val="-2"/>
        </w:rPr>
        <w:t>、在交易方式方面，投资人投资于沪深 </w:t>
      </w:r>
      <w:r>
        <w:rPr/>
        <w:t>300ETF</w:t>
      </w:r>
      <w:r>
        <w:rPr>
          <w:spacing w:val="-5"/>
        </w:rPr>
        <w:t> 的方式有三种：一是像买卖股票一样</w:t>
      </w:r>
      <w:r>
        <w:rPr>
          <w:spacing w:val="-10"/>
        </w:rPr>
        <w:t>在交易所市场买卖沪深 </w:t>
      </w:r>
      <w:r>
        <w:rPr/>
        <w:t>300ETF</w:t>
      </w:r>
      <w:r>
        <w:rPr>
          <w:spacing w:val="-10"/>
        </w:rPr>
        <w:t> 的基金份额；二是采取场内申赎的方式，按照最小申购、赎</w:t>
      </w:r>
      <w:r>
        <w:rPr>
          <w:spacing w:val="-2"/>
        </w:rPr>
        <w:t>回单位和申购、赎回清单的要求，实物申赎沪深 </w:t>
      </w:r>
      <w:r>
        <w:rPr/>
        <w:t>300ETF；三是采取场外申赎的方式，现金</w:t>
      </w:r>
      <w:r>
        <w:rPr>
          <w:spacing w:val="-7"/>
        </w:rPr>
        <w:t>申赎，金额申购、份额赎回沪深 </w:t>
      </w:r>
      <w:r>
        <w:rPr/>
        <w:t>300ETF</w:t>
      </w:r>
      <w:r>
        <w:rPr>
          <w:spacing w:val="-9"/>
        </w:rPr>
        <w:t> 份额，有最低申购金额和最低赎回份额的限制。而</w:t>
      </w:r>
      <w:r>
        <w:rPr/>
        <w:t>本基金则像普通的开放式基金一样，通过基金管理人及基金销售机构按未知价法进行基金</w:t>
      </w:r>
      <w:r>
        <w:rPr>
          <w:spacing w:val="-8"/>
        </w:rPr>
        <w:t>的申购与赎回；与沪深 </w:t>
      </w:r>
      <w:r>
        <w:rPr/>
        <w:t>300ETF</w:t>
      </w:r>
      <w:r>
        <w:rPr>
          <w:spacing w:val="-9"/>
        </w:rPr>
        <w:t> 场外申赎的区别主要在于，最低申购金额与最低赎回份额限</w:t>
      </w:r>
      <w:r>
        <w:rPr>
          <w:spacing w:val="-8"/>
        </w:rPr>
        <w:t>制远低于沪深 </w:t>
      </w:r>
      <w:r>
        <w:rPr/>
        <w:t>300ETF，此外在申赎费率上也存在区别。</w:t>
      </w:r>
    </w:p>
    <w:p>
      <w:pPr>
        <w:pStyle w:val="BodyText"/>
        <w:spacing w:line="266" w:lineRule="exact"/>
        <w:ind w:left="833"/>
        <w:jc w:val="both"/>
      </w:pPr>
      <w:r>
        <w:rPr/>
        <w:t>本基金与沪深 300ETF 业绩表现可能出现差异。可能引发差异的因素主要包括：</w:t>
      </w:r>
    </w:p>
    <w:p>
      <w:pPr>
        <w:pStyle w:val="BodyText"/>
        <w:spacing w:line="364" w:lineRule="auto" w:before="137"/>
        <w:ind w:left="413" w:right="1452" w:firstLine="420"/>
        <w:jc w:val="both"/>
      </w:pPr>
      <w:r>
        <w:rPr/>
        <w:t>1</w:t>
      </w:r>
      <w:r>
        <w:rPr>
          <w:spacing w:val="-2"/>
        </w:rPr>
        <w:t>、法规对投资比例的要求。沪深 </w:t>
      </w:r>
      <w:r>
        <w:rPr/>
        <w:t>300ETF</w:t>
      </w:r>
      <w:r>
        <w:rPr>
          <w:spacing w:val="-5"/>
        </w:rPr>
        <w:t> 作为一种特殊的基金品种，可将全部或接近全部的基金资产，用于跟踪标的指数的表现；而本基金作为普通的开放式基金，仍需将不</w:t>
      </w:r>
      <w:r>
        <w:rPr>
          <w:spacing w:val="-11"/>
        </w:rPr>
        <w:t>低于基金资产净值 </w:t>
      </w:r>
      <w:r>
        <w:rPr/>
        <w:t>5%的资产投资于现金或者到期日在一年以内的政府债券。</w:t>
      </w:r>
    </w:p>
    <w:p>
      <w:pPr>
        <w:pStyle w:val="BodyText"/>
        <w:spacing w:line="364" w:lineRule="auto"/>
        <w:ind w:left="413" w:right="1452" w:firstLine="420"/>
        <w:jc w:val="both"/>
      </w:pPr>
      <w:r>
        <w:rPr/>
        <w:t>2</w:t>
      </w:r>
      <w:r>
        <w:rPr>
          <w:spacing w:val="-2"/>
        </w:rPr>
        <w:t>、投资人申购、赎回基金份额的影响。沪深 </w:t>
      </w:r>
      <w:r>
        <w:rPr/>
        <w:t>300ETF</w:t>
      </w:r>
      <w:r>
        <w:rPr>
          <w:spacing w:val="-5"/>
        </w:rPr>
        <w:t> 场内申赎采取实物申赎的方式， 申购和赎回对基金净值影响较小；发生场外申赎时，基金管理人将在提交申购申请的当日收盘前，使用申购款买入组合证券，或于提交赎回申请的当日卖出组合证券，并收取一定申赎费用作为场外现金申赎对基金资产可能造成的冲击的补偿，因此申赎对基金净值影响较小。而本基金申赎采取现金方式，大额申赎可能会对基金净值产生一定冲击，该冲击无法得到补偿。</w:t>
      </w:r>
    </w:p>
    <w:p>
      <w:pPr>
        <w:pStyle w:val="BodyText"/>
        <w:spacing w:line="364" w:lineRule="auto"/>
        <w:ind w:left="413" w:right="1452" w:firstLine="420"/>
      </w:pPr>
      <w:r>
        <w:rPr/>
        <w:t>基金管理人提醒投资者基金投资的“买者自负”原则，在投资者作出投资决策后，基金运营状况与基金净值变化引致的投资风险，由投资者自行负责。</w:t>
      </w:r>
    </w:p>
    <w:p>
      <w:pPr>
        <w:pStyle w:val="BodyText"/>
        <w:spacing w:line="364" w:lineRule="auto"/>
        <w:ind w:left="413" w:right="1452" w:firstLine="420"/>
      </w:pPr>
      <w:r>
        <w:rPr/>
        <w:t>投资有风险，投资者投资本基金时应认真阅读本招募说明书；基金的过往业绩并不预示其未来表现。</w:t>
      </w:r>
    </w:p>
    <w:p>
      <w:pPr>
        <w:pStyle w:val="BodyText"/>
        <w:spacing w:line="364" w:lineRule="auto"/>
        <w:ind w:left="413" w:right="1242" w:firstLine="420"/>
      </w:pPr>
      <w:r>
        <w:rPr/>
        <w:t>本基金本次更新招募说明书对基金合同及托管协议修订及董事、监事、高级管理人员 </w:t>
      </w:r>
      <w:r>
        <w:rPr>
          <w:spacing w:val="-4"/>
        </w:rPr>
        <w:t>相关信息进行更新，相关信息更新截止日为 </w:t>
      </w:r>
      <w:r>
        <w:rPr/>
        <w:t>2020</w:t>
      </w:r>
      <w:r>
        <w:rPr>
          <w:spacing w:val="-35"/>
        </w:rPr>
        <w:t> 年 </w:t>
      </w:r>
      <w:r>
        <w:rPr/>
        <w:t>10</w:t>
      </w:r>
      <w:r>
        <w:rPr>
          <w:spacing w:val="-35"/>
        </w:rPr>
        <w:t> 月 </w:t>
      </w:r>
      <w:r>
        <w:rPr/>
        <w:t>14</w:t>
      </w:r>
      <w:r>
        <w:rPr>
          <w:spacing w:val="-8"/>
        </w:rPr>
        <w:t> 日。除非另有说明，本招募说明</w:t>
      </w:r>
      <w:r>
        <w:rPr>
          <w:spacing w:val="-12"/>
        </w:rPr>
        <w:t>书其他所载内容截止日为 </w:t>
      </w:r>
      <w:r>
        <w:rPr/>
        <w:t>2020</w:t>
      </w:r>
      <w:r>
        <w:rPr>
          <w:spacing w:val="-31"/>
        </w:rPr>
        <w:t> 年 </w:t>
      </w:r>
      <w:r>
        <w:rPr/>
        <w:t>6</w:t>
      </w:r>
      <w:r>
        <w:rPr>
          <w:spacing w:val="-32"/>
        </w:rPr>
        <w:t> 月 </w:t>
      </w:r>
      <w:r>
        <w:rPr/>
        <w:t>16</w:t>
      </w:r>
      <w:r>
        <w:rPr>
          <w:spacing w:val="-10"/>
        </w:rPr>
        <w:t> 日，有关财务数据截止日为 </w:t>
      </w:r>
      <w:r>
        <w:rPr/>
        <w:t>2020</w:t>
      </w:r>
      <w:r>
        <w:rPr>
          <w:spacing w:val="-32"/>
        </w:rPr>
        <w:t> 年 </w:t>
      </w:r>
      <w:r>
        <w:rPr/>
        <w:t>3</w:t>
      </w:r>
      <w:r>
        <w:rPr>
          <w:spacing w:val="-31"/>
        </w:rPr>
        <w:t> 月 </w:t>
      </w:r>
      <w:r>
        <w:rPr/>
        <w:t>31</w:t>
      </w:r>
      <w:r>
        <w:rPr>
          <w:spacing w:val="-16"/>
        </w:rPr>
        <w:t> 日， </w:t>
      </w:r>
      <w:r>
        <w:rPr>
          <w:spacing w:val="-21"/>
        </w:rPr>
        <w:t>净值表现截止日为 </w:t>
      </w:r>
      <w:r>
        <w:rPr/>
        <w:t>2020</w:t>
      </w:r>
      <w:r>
        <w:rPr>
          <w:spacing w:val="-36"/>
        </w:rPr>
        <w:t> 年 </w:t>
      </w:r>
      <w:r>
        <w:rPr/>
        <w:t>6</w:t>
      </w:r>
      <w:r>
        <w:rPr>
          <w:spacing w:val="-36"/>
        </w:rPr>
        <w:t> 月 </w:t>
      </w:r>
      <w:r>
        <w:rPr/>
        <w:t>30</w:t>
      </w:r>
      <w:r>
        <w:rPr>
          <w:spacing w:val="-53"/>
        </w:rPr>
        <w:t> 日。</w:t>
      </w:r>
      <w:r>
        <w:rPr/>
        <w:t>（本报告中财务数据未经审计）</w:t>
      </w:r>
    </w:p>
    <w:p>
      <w:pPr>
        <w:spacing w:after="0" w:line="364" w:lineRule="auto"/>
        <w:sectPr>
          <w:pgSz w:w="11910" w:h="16840"/>
          <w:pgMar w:top="1600" w:bottom="280" w:left="1400" w:right="360"/>
        </w:sectPr>
      </w:pPr>
    </w:p>
    <w:p>
      <w:pPr>
        <w:pStyle w:val="Heading2"/>
        <w:spacing w:before="13"/>
        <w:ind w:left="4512"/>
      </w:pPr>
      <w:r>
        <w:rPr/>
        <w:t>目录</w:t>
      </w:r>
    </w:p>
    <w:p>
      <w:pPr>
        <w:spacing w:after="0"/>
        <w:sectPr>
          <w:footerReference w:type="default" r:id="rId5"/>
          <w:pgSz w:w="11910" w:h="16840"/>
          <w:pgMar w:footer="1246" w:header="0" w:top="1600" w:bottom="1698" w:left="1400" w:right="360"/>
          <w:pgNumType w:start="1"/>
        </w:sectPr>
      </w:pPr>
    </w:p>
    <w:sdt>
      <w:sdtPr>
        <w:docPartObj>
          <w:docPartGallery w:val="Table of Contents"/>
          <w:docPartUnique/>
        </w:docPartObj>
      </w:sdtPr>
      <w:sdtEndPr/>
      <w:sdtContent>
        <w:p>
          <w:pPr>
            <w:pStyle w:val="TOC2"/>
            <w:tabs>
              <w:tab w:pos="8709" w:val="right" w:leader="dot"/>
            </w:tabs>
            <w:spacing w:before="110"/>
          </w:pPr>
          <w:hyperlink w:history="true" w:anchor="_bookmark0">
            <w:r>
              <w:rPr/>
              <w:t>一、绪言</w:t>
              <w:tab/>
              <w:t>1</w:t>
            </w:r>
          </w:hyperlink>
        </w:p>
        <w:p>
          <w:pPr>
            <w:pStyle w:val="TOC2"/>
            <w:tabs>
              <w:tab w:pos="8709" w:val="right" w:leader="dot"/>
            </w:tabs>
            <w:spacing w:before="6"/>
          </w:pPr>
          <w:hyperlink w:history="true" w:anchor="_bookmark1">
            <w:r>
              <w:rPr/>
              <w:t>二、释义</w:t>
              <w:tab/>
              <w:t>2</w:t>
            </w:r>
          </w:hyperlink>
        </w:p>
        <w:p>
          <w:pPr>
            <w:pStyle w:val="TOC2"/>
            <w:tabs>
              <w:tab w:pos="8709" w:val="right" w:leader="dot"/>
            </w:tabs>
            <w:spacing w:before="5"/>
          </w:pPr>
          <w:hyperlink w:history="true" w:anchor="_bookmark2">
            <w:r>
              <w:rPr/>
              <w:t>三、基金管理人</w:t>
              <w:tab/>
              <w:t>6</w:t>
            </w:r>
          </w:hyperlink>
        </w:p>
        <w:p>
          <w:pPr>
            <w:pStyle w:val="TOC4"/>
            <w:tabs>
              <w:tab w:pos="8681" w:val="right" w:leader="dot"/>
            </w:tabs>
            <w:spacing w:before="104"/>
          </w:pPr>
          <w:hyperlink w:history="true" w:anchor="_bookmark3">
            <w:r>
              <w:rPr/>
              <w:t>（一）基金管理人基本情况</w:t>
              <w:tab/>
              <w:t>6</w:t>
            </w:r>
          </w:hyperlink>
        </w:p>
        <w:p>
          <w:pPr>
            <w:pStyle w:val="TOC4"/>
            <w:tabs>
              <w:tab w:pos="8681" w:val="right" w:leader="dot"/>
            </w:tabs>
          </w:pPr>
          <w:hyperlink w:history="true" w:anchor="_bookmark4">
            <w:r>
              <w:rPr/>
              <w:t>（二）主要人员情况</w:t>
              <w:tab/>
              <w:t>6</w:t>
            </w:r>
          </w:hyperlink>
        </w:p>
        <w:p>
          <w:pPr>
            <w:pStyle w:val="TOC4"/>
            <w:tabs>
              <w:tab w:pos="8681" w:val="right" w:leader="dot"/>
            </w:tabs>
          </w:pPr>
          <w:hyperlink w:history="true" w:anchor="_bookmark5">
            <w:r>
              <w:rPr/>
              <w:t>（三）基金管理人的职责</w:t>
              <w:tab/>
              <w:t>12</w:t>
            </w:r>
          </w:hyperlink>
        </w:p>
        <w:p>
          <w:pPr>
            <w:pStyle w:val="TOC4"/>
            <w:tabs>
              <w:tab w:pos="8681" w:val="right" w:leader="dot"/>
            </w:tabs>
          </w:pPr>
          <w:hyperlink w:history="true" w:anchor="_bookmark6">
            <w:r>
              <w:rPr/>
              <w:t>（四）基金管理人的承诺</w:t>
              <w:tab/>
              <w:t>13</w:t>
            </w:r>
          </w:hyperlink>
        </w:p>
        <w:p>
          <w:pPr>
            <w:pStyle w:val="TOC4"/>
            <w:tabs>
              <w:tab w:pos="8681" w:val="right" w:leader="dot"/>
            </w:tabs>
          </w:pPr>
          <w:hyperlink w:history="true" w:anchor="_bookmark7">
            <w:r>
              <w:rPr/>
              <w:t>（五）基金管理人的内部控制制度</w:t>
              <w:tab/>
              <w:t>14</w:t>
            </w:r>
          </w:hyperlink>
        </w:p>
        <w:p>
          <w:pPr>
            <w:pStyle w:val="TOC2"/>
            <w:tabs>
              <w:tab w:pos="8709" w:val="right" w:leader="dot"/>
            </w:tabs>
          </w:pPr>
          <w:hyperlink w:history="true" w:anchor="_bookmark8">
            <w:r>
              <w:rPr/>
              <w:t>四、基金托管人</w:t>
              <w:tab/>
              <w:t>17</w:t>
            </w:r>
          </w:hyperlink>
        </w:p>
        <w:p>
          <w:pPr>
            <w:pStyle w:val="TOC2"/>
            <w:tabs>
              <w:tab w:pos="8709" w:val="right" w:leader="dot"/>
            </w:tabs>
            <w:spacing w:before="5"/>
          </w:pPr>
          <w:hyperlink w:history="true" w:anchor="_bookmark9">
            <w:r>
              <w:rPr/>
              <w:t>五、相关服务机构</w:t>
              <w:tab/>
              <w:t>21</w:t>
            </w:r>
          </w:hyperlink>
        </w:p>
        <w:p>
          <w:pPr>
            <w:pStyle w:val="TOC4"/>
            <w:tabs>
              <w:tab w:pos="8681" w:val="right" w:leader="dot"/>
            </w:tabs>
            <w:spacing w:before="104"/>
          </w:pPr>
          <w:hyperlink w:history="true" w:anchor="_bookmark10">
            <w:r>
              <w:rPr/>
              <w:t>（一）基金份额销售机构</w:t>
              <w:tab/>
              <w:t>21</w:t>
            </w:r>
          </w:hyperlink>
        </w:p>
        <w:p>
          <w:pPr>
            <w:pStyle w:val="TOC4"/>
            <w:tabs>
              <w:tab w:pos="8681" w:val="right" w:leader="dot"/>
            </w:tabs>
          </w:pPr>
          <w:hyperlink w:history="true" w:anchor="_bookmark11">
            <w:r>
              <w:rPr/>
              <w:t>（二）基金注册登记机构</w:t>
              <w:tab/>
              <w:t>94</w:t>
            </w:r>
          </w:hyperlink>
        </w:p>
        <w:p>
          <w:pPr>
            <w:pStyle w:val="TOC4"/>
            <w:tabs>
              <w:tab w:pos="8681" w:val="right" w:leader="dot"/>
            </w:tabs>
          </w:pPr>
          <w:hyperlink w:history="true" w:anchor="_bookmark12">
            <w:r>
              <w:rPr/>
              <w:t>（三）律师事务所和经办律师</w:t>
              <w:tab/>
              <w:t>94</w:t>
            </w:r>
          </w:hyperlink>
        </w:p>
        <w:p>
          <w:pPr>
            <w:pStyle w:val="TOC4"/>
            <w:tabs>
              <w:tab w:pos="8681" w:val="right" w:leader="dot"/>
            </w:tabs>
          </w:pPr>
          <w:hyperlink w:history="true" w:anchor="_bookmark13">
            <w:r>
              <w:rPr/>
              <w:t>（四）会计师事务所和经办注册会计师</w:t>
              <w:tab/>
              <w:t>94</w:t>
            </w:r>
          </w:hyperlink>
        </w:p>
        <w:p>
          <w:pPr>
            <w:pStyle w:val="TOC2"/>
            <w:tabs>
              <w:tab w:pos="8709" w:val="right" w:leader="dot"/>
            </w:tabs>
          </w:pPr>
          <w:hyperlink w:history="true" w:anchor="_bookmark14">
            <w:r>
              <w:rPr/>
              <w:t>六、基金的历史沿革</w:t>
              <w:tab/>
              <w:t>95</w:t>
            </w:r>
          </w:hyperlink>
        </w:p>
        <w:p>
          <w:pPr>
            <w:pStyle w:val="TOC2"/>
            <w:tabs>
              <w:tab w:pos="8709" w:val="right" w:leader="dot"/>
            </w:tabs>
            <w:spacing w:before="5"/>
          </w:pPr>
          <w:hyperlink w:history="true" w:anchor="_bookmark15">
            <w:r>
              <w:rPr/>
              <w:t>七、基金的存续</w:t>
              <w:tab/>
              <w:t>96</w:t>
            </w:r>
          </w:hyperlink>
        </w:p>
        <w:p>
          <w:pPr>
            <w:pStyle w:val="TOC4"/>
            <w:tabs>
              <w:tab w:pos="8681" w:val="right" w:leader="dot"/>
            </w:tabs>
            <w:spacing w:before="104"/>
          </w:pPr>
          <w:hyperlink w:history="true" w:anchor="_bookmark16">
            <w:r>
              <w:rPr/>
              <w:t>（一）基金存续期内的基金份额持有人数量和资产规模</w:t>
              <w:tab/>
              <w:t>96</w:t>
            </w:r>
          </w:hyperlink>
        </w:p>
        <w:p>
          <w:pPr>
            <w:pStyle w:val="TOC2"/>
            <w:tabs>
              <w:tab w:pos="8709" w:val="right" w:leader="dot"/>
            </w:tabs>
          </w:pPr>
          <w:hyperlink w:history="true" w:anchor="_bookmark17">
            <w:r>
              <w:rPr/>
              <w:t>八、基金份额的申购、赎回</w:t>
              <w:tab/>
              <w:t>97</w:t>
            </w:r>
          </w:hyperlink>
        </w:p>
        <w:p>
          <w:pPr>
            <w:pStyle w:val="TOC4"/>
            <w:tabs>
              <w:tab w:pos="8681" w:val="right" w:leader="dot"/>
            </w:tabs>
            <w:spacing w:before="104"/>
          </w:pPr>
          <w:hyperlink w:history="true" w:anchor="_bookmark18">
            <w:r>
              <w:rPr/>
              <w:t>（一）基金投资者范围</w:t>
              <w:tab/>
              <w:t>97</w:t>
            </w:r>
          </w:hyperlink>
        </w:p>
        <w:p>
          <w:pPr>
            <w:pStyle w:val="TOC4"/>
            <w:tabs>
              <w:tab w:pos="8681" w:val="right" w:leader="dot"/>
            </w:tabs>
          </w:pPr>
          <w:hyperlink w:history="true" w:anchor="_bookmark19">
            <w:r>
              <w:rPr/>
              <w:t>（二）申购、赎回的场所</w:t>
              <w:tab/>
              <w:t>97</w:t>
            </w:r>
          </w:hyperlink>
        </w:p>
        <w:p>
          <w:pPr>
            <w:pStyle w:val="TOC4"/>
            <w:tabs>
              <w:tab w:pos="8681" w:val="right" w:leader="dot"/>
            </w:tabs>
          </w:pPr>
          <w:hyperlink w:history="true" w:anchor="_bookmark20">
            <w:r>
              <w:rPr/>
              <w:t>（三）申购、赎回的时间</w:t>
              <w:tab/>
              <w:t>97</w:t>
            </w:r>
          </w:hyperlink>
        </w:p>
        <w:p>
          <w:pPr>
            <w:pStyle w:val="TOC4"/>
            <w:tabs>
              <w:tab w:pos="8681" w:val="right" w:leader="dot"/>
            </w:tabs>
          </w:pPr>
          <w:hyperlink w:history="true" w:anchor="_bookmark21">
            <w:r>
              <w:rPr/>
              <w:t>（四）申购、赎回的原则</w:t>
              <w:tab/>
              <w:t>97</w:t>
            </w:r>
          </w:hyperlink>
        </w:p>
        <w:p>
          <w:pPr>
            <w:pStyle w:val="TOC4"/>
            <w:tabs>
              <w:tab w:pos="8681" w:val="right" w:leader="dot"/>
            </w:tabs>
          </w:pPr>
          <w:hyperlink w:history="true" w:anchor="_bookmark22">
            <w:r>
              <w:rPr/>
              <w:t>（五）申购、赎回的程序</w:t>
              <w:tab/>
              <w:t>98</w:t>
            </w:r>
          </w:hyperlink>
        </w:p>
        <w:p>
          <w:pPr>
            <w:pStyle w:val="TOC4"/>
            <w:tabs>
              <w:tab w:pos="8681" w:val="right" w:leader="dot"/>
            </w:tabs>
          </w:pPr>
          <w:hyperlink w:history="true" w:anchor="_bookmark23">
            <w:r>
              <w:rPr/>
              <w:t>（六）申购、赎回的数额限制</w:t>
              <w:tab/>
              <w:t>98</w:t>
            </w:r>
          </w:hyperlink>
        </w:p>
        <w:p>
          <w:pPr>
            <w:pStyle w:val="TOC4"/>
            <w:tabs>
              <w:tab w:pos="8681" w:val="right" w:leader="dot"/>
            </w:tabs>
            <w:spacing w:before="177"/>
          </w:pPr>
          <w:hyperlink w:history="true" w:anchor="_bookmark24">
            <w:r>
              <w:rPr/>
              <w:t>（七）申购、赎回的费率</w:t>
              <w:tab/>
              <w:t>99</w:t>
            </w:r>
          </w:hyperlink>
        </w:p>
        <w:p>
          <w:pPr>
            <w:pStyle w:val="TOC4"/>
            <w:tabs>
              <w:tab w:pos="8681" w:val="right" w:leader="dot"/>
            </w:tabs>
          </w:pPr>
          <w:hyperlink w:history="true" w:anchor="_bookmark25">
            <w:r>
              <w:rPr/>
              <w:t>（八）申购份额、赎回金额的计算方式</w:t>
              <w:tab/>
              <w:t>101</w:t>
            </w:r>
          </w:hyperlink>
        </w:p>
        <w:p>
          <w:pPr>
            <w:pStyle w:val="TOC4"/>
            <w:tabs>
              <w:tab w:pos="8681" w:val="right" w:leader="dot"/>
            </w:tabs>
          </w:pPr>
          <w:hyperlink w:history="true" w:anchor="_bookmark26">
            <w:r>
              <w:rPr/>
              <w:t>（九）申购、赎回的注册登记</w:t>
              <w:tab/>
              <w:t>103</w:t>
            </w:r>
          </w:hyperlink>
        </w:p>
        <w:p>
          <w:pPr>
            <w:pStyle w:val="TOC4"/>
            <w:tabs>
              <w:tab w:pos="8681" w:val="right" w:leader="dot"/>
            </w:tabs>
          </w:pPr>
          <w:hyperlink w:history="true" w:anchor="_bookmark27">
            <w:r>
              <w:rPr/>
              <w:t>（十）巨额赎回的认定及处理方式</w:t>
              <w:tab/>
              <w:t>103</w:t>
            </w:r>
          </w:hyperlink>
        </w:p>
        <w:p>
          <w:pPr>
            <w:pStyle w:val="TOC4"/>
            <w:tabs>
              <w:tab w:pos="8681" w:val="right" w:leader="dot"/>
            </w:tabs>
            <w:spacing w:after="20"/>
          </w:pPr>
          <w:hyperlink w:history="true" w:anchor="_bookmark28">
            <w:r>
              <w:rPr/>
              <w:t>（十一）拒绝或暂停申购、赎回的情形及处理方式</w:t>
              <w:tab/>
              <w:t>104</w:t>
            </w:r>
          </w:hyperlink>
        </w:p>
        <w:p>
          <w:pPr>
            <w:pStyle w:val="TOC2"/>
            <w:tabs>
              <w:tab w:pos="8708" w:val="right" w:leader="dot"/>
            </w:tabs>
            <w:spacing w:before="93"/>
          </w:pPr>
          <w:hyperlink w:history="true" w:anchor="_bookmark29">
            <w:r>
              <w:rPr/>
              <w:t>九、基金转换</w:t>
              <w:tab/>
              <w:t>107</w:t>
            </w:r>
          </w:hyperlink>
        </w:p>
        <w:p>
          <w:pPr>
            <w:pStyle w:val="TOC4"/>
            <w:tabs>
              <w:tab w:pos="8681" w:val="right" w:leader="dot"/>
            </w:tabs>
            <w:spacing w:before="104"/>
          </w:pPr>
          <w:hyperlink w:history="true" w:anchor="_bookmark30">
            <w:r>
              <w:rPr/>
              <w:t>（一）基金转换开始日及时间</w:t>
              <w:tab/>
              <w:t>107</w:t>
            </w:r>
          </w:hyperlink>
        </w:p>
        <w:p>
          <w:pPr>
            <w:pStyle w:val="TOC4"/>
            <w:tabs>
              <w:tab w:pos="8681" w:val="right" w:leader="dot"/>
            </w:tabs>
          </w:pPr>
          <w:hyperlink w:history="true" w:anchor="_bookmark31">
            <w:r>
              <w:rPr/>
              <w:t>（二）基金转换的原则</w:t>
              <w:tab/>
              <w:t>107</w:t>
            </w:r>
          </w:hyperlink>
        </w:p>
        <w:p>
          <w:pPr>
            <w:pStyle w:val="TOC4"/>
            <w:tabs>
              <w:tab w:pos="8681" w:val="right" w:leader="dot"/>
            </w:tabs>
          </w:pPr>
          <w:hyperlink w:history="true" w:anchor="_bookmark32">
            <w:r>
              <w:rPr/>
              <w:t>（三）基金转换的程序</w:t>
              <w:tab/>
              <w:t>108</w:t>
            </w:r>
          </w:hyperlink>
        </w:p>
        <w:p>
          <w:pPr>
            <w:pStyle w:val="TOC4"/>
            <w:tabs>
              <w:tab w:pos="8681" w:val="right" w:leader="dot"/>
            </w:tabs>
          </w:pPr>
          <w:hyperlink w:history="true" w:anchor="_bookmark33">
            <w:r>
              <w:rPr/>
              <w:t>（四）基金转换的数额限制</w:t>
              <w:tab/>
              <w:t>108</w:t>
            </w:r>
          </w:hyperlink>
        </w:p>
        <w:p>
          <w:pPr>
            <w:pStyle w:val="TOC4"/>
            <w:tabs>
              <w:tab w:pos="8681" w:val="right" w:leader="dot"/>
            </w:tabs>
          </w:pPr>
          <w:hyperlink w:history="true" w:anchor="_bookmark34">
            <w:r>
              <w:rPr/>
              <w:t>（五）基金转换费率</w:t>
              <w:tab/>
              <w:t>108</w:t>
            </w:r>
          </w:hyperlink>
        </w:p>
        <w:p>
          <w:pPr>
            <w:pStyle w:val="TOC4"/>
            <w:tabs>
              <w:tab w:pos="8681" w:val="right" w:leader="dot"/>
            </w:tabs>
          </w:pPr>
          <w:hyperlink w:history="true" w:anchor="_bookmark35">
            <w:r>
              <w:rPr/>
              <w:t>（六）基金转换份额的计算方式</w:t>
              <w:tab/>
              <w:t>108</w:t>
            </w:r>
          </w:hyperlink>
        </w:p>
        <w:p>
          <w:pPr>
            <w:pStyle w:val="TOC4"/>
            <w:tabs>
              <w:tab w:pos="8681" w:val="right" w:leader="dot"/>
            </w:tabs>
          </w:pPr>
          <w:hyperlink w:history="true" w:anchor="_bookmark36">
            <w:r>
              <w:rPr/>
              <w:t>（七）基金转换的注册登记</w:t>
              <w:tab/>
              <w:t>111</w:t>
            </w:r>
          </w:hyperlink>
        </w:p>
        <w:p>
          <w:pPr>
            <w:pStyle w:val="TOC4"/>
            <w:tabs>
              <w:tab w:pos="8681" w:val="right" w:leader="dot"/>
            </w:tabs>
          </w:pPr>
          <w:hyperlink w:history="true" w:anchor="_bookmark37">
            <w:r>
              <w:rPr/>
              <w:t>（八）基金转换与巨额赎回</w:t>
              <w:tab/>
              <w:t>111</w:t>
            </w:r>
          </w:hyperlink>
        </w:p>
        <w:p>
          <w:pPr>
            <w:pStyle w:val="TOC4"/>
            <w:tabs>
              <w:tab w:pos="8681" w:val="right" w:leader="dot"/>
            </w:tabs>
            <w:spacing w:before="177"/>
          </w:pPr>
          <w:hyperlink w:history="true" w:anchor="_bookmark38">
            <w:r>
              <w:rPr/>
              <w:t>（九）拒绝或暂停基金转换的情形</w:t>
              <w:tab/>
              <w:t>111</w:t>
            </w:r>
          </w:hyperlink>
        </w:p>
        <w:p>
          <w:pPr>
            <w:pStyle w:val="TOC2"/>
            <w:tabs>
              <w:tab w:pos="8708" w:val="right" w:leader="dot"/>
            </w:tabs>
          </w:pPr>
          <w:hyperlink w:history="true" w:anchor="_bookmark39">
            <w:r>
              <w:rPr/>
              <w:t>十、基金的非交易过户、转托管及冻结与解冻</w:t>
              <w:tab/>
              <w:t>113</w:t>
            </w:r>
          </w:hyperlink>
        </w:p>
        <w:p>
          <w:pPr>
            <w:pStyle w:val="TOC4"/>
            <w:tabs>
              <w:tab w:pos="8681" w:val="right" w:leader="dot"/>
            </w:tabs>
            <w:spacing w:before="104"/>
          </w:pPr>
          <w:hyperlink w:history="true" w:anchor="_bookmark40">
            <w:r>
              <w:rPr/>
              <w:t>（一）基金的非交易过户</w:t>
              <w:tab/>
              <w:t>113</w:t>
            </w:r>
          </w:hyperlink>
        </w:p>
        <w:p>
          <w:pPr>
            <w:pStyle w:val="TOC4"/>
            <w:tabs>
              <w:tab w:pos="8681" w:val="right" w:leader="dot"/>
            </w:tabs>
          </w:pPr>
          <w:hyperlink w:history="true" w:anchor="_bookmark41">
            <w:r>
              <w:rPr/>
              <w:t>（二）转托管</w:t>
              <w:tab/>
              <w:t>113</w:t>
            </w:r>
          </w:hyperlink>
        </w:p>
        <w:p>
          <w:pPr>
            <w:pStyle w:val="TOC4"/>
            <w:tabs>
              <w:tab w:pos="8681" w:val="right" w:leader="dot"/>
            </w:tabs>
          </w:pPr>
          <w:hyperlink w:history="true" w:anchor="_bookmark42">
            <w:r>
              <w:rPr/>
              <w:t>（三）基金的冻结与解冻</w:t>
              <w:tab/>
              <w:t>113</w:t>
            </w:r>
          </w:hyperlink>
        </w:p>
        <w:p>
          <w:pPr>
            <w:pStyle w:val="TOC2"/>
            <w:tabs>
              <w:tab w:pos="8708" w:val="right" w:leader="dot"/>
            </w:tabs>
          </w:pPr>
          <w:hyperlink w:history="true" w:anchor="_bookmark43">
            <w:r>
              <w:rPr/>
              <w:t>十一、基金的投资</w:t>
              <w:tab/>
              <w:t>114</w:t>
            </w:r>
          </w:hyperlink>
        </w:p>
        <w:p>
          <w:pPr>
            <w:pStyle w:val="TOC4"/>
            <w:tabs>
              <w:tab w:pos="8681" w:val="right" w:leader="dot"/>
            </w:tabs>
            <w:spacing w:before="104"/>
          </w:pPr>
          <w:hyperlink w:history="true" w:anchor="_bookmark44">
            <w:r>
              <w:rPr/>
              <w:t>（一）投资目标</w:t>
              <w:tab/>
              <w:t>114</w:t>
            </w:r>
          </w:hyperlink>
        </w:p>
        <w:p>
          <w:pPr>
            <w:pStyle w:val="TOC4"/>
            <w:tabs>
              <w:tab w:pos="8681" w:val="right" w:leader="dot"/>
            </w:tabs>
          </w:pPr>
          <w:hyperlink w:history="true" w:anchor="_bookmark45">
            <w:r>
              <w:rPr/>
              <w:t>（二）投资范围</w:t>
              <w:tab/>
              <w:t>114</w:t>
            </w:r>
          </w:hyperlink>
        </w:p>
        <w:p>
          <w:pPr>
            <w:pStyle w:val="TOC4"/>
            <w:tabs>
              <w:tab w:pos="8681" w:val="right" w:leader="dot"/>
            </w:tabs>
            <w:spacing w:before="177"/>
          </w:pPr>
          <w:hyperlink w:history="true" w:anchor="_bookmark46">
            <w:r>
              <w:rPr/>
              <w:t>（三）投资理念</w:t>
              <w:tab/>
              <w:t>114</w:t>
            </w:r>
          </w:hyperlink>
        </w:p>
        <w:p>
          <w:pPr>
            <w:pStyle w:val="TOC4"/>
            <w:tabs>
              <w:tab w:pos="8681" w:val="right" w:leader="dot"/>
            </w:tabs>
          </w:pPr>
          <w:hyperlink w:history="true" w:anchor="_bookmark47">
            <w:r>
              <w:rPr/>
              <w:t>（四）投资策略</w:t>
              <w:tab/>
              <w:t>114</w:t>
            </w:r>
          </w:hyperlink>
        </w:p>
        <w:p>
          <w:pPr>
            <w:pStyle w:val="TOC4"/>
            <w:tabs>
              <w:tab w:pos="8681" w:val="right" w:leader="dot"/>
            </w:tabs>
          </w:pPr>
          <w:hyperlink w:history="true" w:anchor="_bookmark48">
            <w:r>
              <w:rPr/>
              <w:t>（五）投资决策依据与流程</w:t>
              <w:tab/>
              <w:t>115</w:t>
            </w:r>
          </w:hyperlink>
        </w:p>
        <w:p>
          <w:pPr>
            <w:pStyle w:val="TOC4"/>
            <w:tabs>
              <w:tab w:pos="8681" w:val="right" w:leader="dot"/>
            </w:tabs>
          </w:pPr>
          <w:hyperlink w:history="true" w:anchor="_bookmark49">
            <w:r>
              <w:rPr/>
              <w:t>（六）业绩比较基准</w:t>
              <w:tab/>
              <w:t>115</w:t>
            </w:r>
          </w:hyperlink>
        </w:p>
        <w:p>
          <w:pPr>
            <w:pStyle w:val="TOC4"/>
            <w:tabs>
              <w:tab w:pos="8681" w:val="right" w:leader="dot"/>
            </w:tabs>
          </w:pPr>
          <w:hyperlink w:history="true" w:anchor="_bookmark50">
            <w:r>
              <w:rPr/>
              <w:t>（七）风险收益特征</w:t>
              <w:tab/>
              <w:t>116</w:t>
            </w:r>
          </w:hyperlink>
        </w:p>
        <w:p>
          <w:pPr>
            <w:pStyle w:val="TOC4"/>
            <w:tabs>
              <w:tab w:pos="8681" w:val="right" w:leader="dot"/>
            </w:tabs>
          </w:pPr>
          <w:hyperlink w:history="true" w:anchor="_bookmark51">
            <w:r>
              <w:rPr/>
              <w:t>（八）投资限制</w:t>
              <w:tab/>
              <w:t>116</w:t>
            </w:r>
          </w:hyperlink>
        </w:p>
        <w:p>
          <w:pPr>
            <w:pStyle w:val="TOC4"/>
          </w:pPr>
          <w:hyperlink w:history="true" w:anchor="_bookmark52">
            <w:r>
              <w:rPr/>
              <w:t>（九）</w:t>
            </w:r>
            <w:r>
              <w:rPr>
                <w:spacing w:val="-1"/>
              </w:rPr>
              <w:t>基金管理人代表基金行使股东权利及债权人权利的处理原则及方法 </w:t>
            </w:r>
            <w:r>
              <w:rPr/>
              <w:t>.118</w:t>
            </w:r>
          </w:hyperlink>
        </w:p>
        <w:p>
          <w:pPr>
            <w:pStyle w:val="TOC4"/>
            <w:tabs>
              <w:tab w:pos="8681" w:val="right" w:leader="dot"/>
            </w:tabs>
          </w:pPr>
          <w:hyperlink w:history="true" w:anchor="_bookmark53">
            <w:r>
              <w:rPr/>
              <w:t>（十）基金的融资、转融通</w:t>
              <w:tab/>
              <w:t>119</w:t>
            </w:r>
          </w:hyperlink>
        </w:p>
        <w:p>
          <w:pPr>
            <w:pStyle w:val="TOC4"/>
            <w:tabs>
              <w:tab w:pos="8681" w:val="right" w:leader="dot"/>
            </w:tabs>
          </w:pPr>
          <w:hyperlink w:history="true" w:anchor="_bookmark54">
            <w:r>
              <w:rPr/>
              <w:t>（十一）基金投资组合报告（未经审计）</w:t>
              <w:tab/>
              <w:t>119</w:t>
            </w:r>
          </w:hyperlink>
        </w:p>
        <w:p>
          <w:pPr>
            <w:pStyle w:val="TOC2"/>
            <w:tabs>
              <w:tab w:pos="8708" w:val="right" w:leader="dot"/>
            </w:tabs>
          </w:pPr>
          <w:hyperlink w:history="true" w:anchor="_bookmark55">
            <w:r>
              <w:rPr/>
              <w:t>十二、基金的业绩</w:t>
              <w:tab/>
              <w:t>126</w:t>
            </w:r>
          </w:hyperlink>
        </w:p>
        <w:p>
          <w:pPr>
            <w:pStyle w:val="TOC2"/>
            <w:tabs>
              <w:tab w:pos="8708" w:val="right" w:leader="dot"/>
            </w:tabs>
            <w:spacing w:before="5"/>
          </w:pPr>
          <w:hyperlink w:history="true" w:anchor="_bookmark56">
            <w:r>
              <w:rPr/>
              <w:t>十三、基金的财产</w:t>
              <w:tab/>
              <w:t>129</w:t>
            </w:r>
          </w:hyperlink>
        </w:p>
        <w:p>
          <w:pPr>
            <w:pStyle w:val="TOC4"/>
            <w:tabs>
              <w:tab w:pos="8681" w:val="right" w:leader="dot"/>
            </w:tabs>
            <w:spacing w:before="104"/>
          </w:pPr>
          <w:hyperlink w:history="true" w:anchor="_bookmark57">
            <w:r>
              <w:rPr/>
              <w:t>（一）基金资产总值</w:t>
              <w:tab/>
              <w:t>129</w:t>
            </w:r>
          </w:hyperlink>
        </w:p>
        <w:p>
          <w:pPr>
            <w:pStyle w:val="TOC4"/>
            <w:tabs>
              <w:tab w:pos="8681" w:val="right" w:leader="dot"/>
            </w:tabs>
            <w:spacing w:after="117"/>
          </w:pPr>
          <w:hyperlink w:history="true" w:anchor="_bookmark58">
            <w:r>
              <w:rPr/>
              <w:t>（二）基金资产净值</w:t>
              <w:tab/>
              <w:t>129</w:t>
            </w:r>
          </w:hyperlink>
        </w:p>
        <w:p>
          <w:pPr>
            <w:pStyle w:val="TOC1"/>
            <w:tabs>
              <w:tab w:pos="7218" w:val="right" w:leader="dot"/>
            </w:tabs>
            <w:spacing w:before="191"/>
          </w:pPr>
          <w:hyperlink w:history="true" w:anchor="_bookmark59">
            <w:r>
              <w:rPr/>
              <w:t>（三）基金财产的账户</w:t>
              <w:tab/>
              <w:t>129</w:t>
            </w:r>
          </w:hyperlink>
        </w:p>
        <w:p>
          <w:pPr>
            <w:pStyle w:val="TOC1"/>
            <w:tabs>
              <w:tab w:pos="7218" w:val="right" w:leader="dot"/>
            </w:tabs>
          </w:pPr>
          <w:hyperlink w:history="true" w:anchor="_bookmark60">
            <w:r>
              <w:rPr/>
              <w:t>（四）基金财产的处分</w:t>
              <w:tab/>
              <w:t>129</w:t>
            </w:r>
          </w:hyperlink>
        </w:p>
        <w:p>
          <w:pPr>
            <w:pStyle w:val="TOC2"/>
            <w:tabs>
              <w:tab w:pos="8708" w:val="right" w:leader="dot"/>
            </w:tabs>
          </w:pPr>
          <w:hyperlink w:history="true" w:anchor="_bookmark61">
            <w:r>
              <w:rPr/>
              <w:t>十四、基金资产估值</w:t>
              <w:tab/>
              <w:t>130</w:t>
            </w:r>
          </w:hyperlink>
        </w:p>
        <w:p>
          <w:pPr>
            <w:pStyle w:val="TOC1"/>
            <w:tabs>
              <w:tab w:pos="7218" w:val="right" w:leader="dot"/>
            </w:tabs>
            <w:spacing w:before="104"/>
          </w:pPr>
          <w:hyperlink w:history="true" w:anchor="_bookmark62">
            <w:r>
              <w:rPr/>
              <w:t>（一）估值日</w:t>
              <w:tab/>
              <w:t>130</w:t>
            </w:r>
          </w:hyperlink>
        </w:p>
        <w:p>
          <w:pPr>
            <w:pStyle w:val="TOC1"/>
            <w:tabs>
              <w:tab w:pos="7218" w:val="right" w:leader="dot"/>
            </w:tabs>
          </w:pPr>
          <w:hyperlink w:history="true" w:anchor="_bookmark63">
            <w:r>
              <w:rPr/>
              <w:t>（二）估值方法</w:t>
              <w:tab/>
              <w:t>130</w:t>
            </w:r>
          </w:hyperlink>
        </w:p>
        <w:p>
          <w:pPr>
            <w:pStyle w:val="TOC1"/>
            <w:tabs>
              <w:tab w:pos="7218" w:val="right" w:leader="dot"/>
            </w:tabs>
          </w:pPr>
          <w:hyperlink w:history="true" w:anchor="_bookmark64">
            <w:r>
              <w:rPr/>
              <w:t>（三）估值对象</w:t>
              <w:tab/>
              <w:t>131</w:t>
            </w:r>
          </w:hyperlink>
        </w:p>
        <w:p>
          <w:pPr>
            <w:pStyle w:val="TOC1"/>
            <w:tabs>
              <w:tab w:pos="7218" w:val="right" w:leader="dot"/>
            </w:tabs>
          </w:pPr>
          <w:hyperlink w:history="true" w:anchor="_bookmark65">
            <w:r>
              <w:rPr/>
              <w:t>（四）估值程序</w:t>
              <w:tab/>
              <w:t>131</w:t>
            </w:r>
          </w:hyperlink>
        </w:p>
        <w:p>
          <w:pPr>
            <w:pStyle w:val="TOC1"/>
            <w:tabs>
              <w:tab w:pos="7218" w:val="right" w:leader="dot"/>
            </w:tabs>
          </w:pPr>
          <w:hyperlink w:history="true" w:anchor="_bookmark66">
            <w:r>
              <w:rPr/>
              <w:t>（五）估值错误的处理</w:t>
              <w:tab/>
              <w:t>131</w:t>
            </w:r>
          </w:hyperlink>
        </w:p>
        <w:p>
          <w:pPr>
            <w:pStyle w:val="TOC1"/>
            <w:tabs>
              <w:tab w:pos="7218" w:val="right" w:leader="dot"/>
            </w:tabs>
          </w:pPr>
          <w:hyperlink w:history="true" w:anchor="_bookmark67">
            <w:r>
              <w:rPr/>
              <w:t>（六）暂停估值的情形</w:t>
              <w:tab/>
              <w:t>133</w:t>
            </w:r>
          </w:hyperlink>
        </w:p>
        <w:p>
          <w:pPr>
            <w:pStyle w:val="TOC1"/>
            <w:tabs>
              <w:tab w:pos="7218" w:val="right" w:leader="dot"/>
            </w:tabs>
            <w:spacing w:before="177"/>
          </w:pPr>
          <w:hyperlink w:history="true" w:anchor="_bookmark68">
            <w:r>
              <w:rPr/>
              <w:t>（七）基金净值的确认</w:t>
              <w:tab/>
              <w:t>134</w:t>
            </w:r>
          </w:hyperlink>
        </w:p>
        <w:p>
          <w:pPr>
            <w:pStyle w:val="TOC1"/>
            <w:tabs>
              <w:tab w:pos="7218" w:val="right" w:leader="dot"/>
            </w:tabs>
          </w:pPr>
          <w:hyperlink w:history="true" w:anchor="_bookmark69">
            <w:r>
              <w:rPr/>
              <w:t>（八）特殊情况的处理</w:t>
              <w:tab/>
              <w:t>134</w:t>
            </w:r>
          </w:hyperlink>
        </w:p>
        <w:p>
          <w:pPr>
            <w:pStyle w:val="TOC2"/>
            <w:tabs>
              <w:tab w:pos="8708" w:val="right" w:leader="dot"/>
            </w:tabs>
          </w:pPr>
          <w:hyperlink w:history="true" w:anchor="_bookmark70">
            <w:r>
              <w:rPr/>
              <w:t>十五、基金的收益与分配</w:t>
              <w:tab/>
              <w:t>135</w:t>
            </w:r>
          </w:hyperlink>
        </w:p>
        <w:p>
          <w:pPr>
            <w:pStyle w:val="TOC1"/>
            <w:tabs>
              <w:tab w:pos="7218" w:val="right" w:leader="dot"/>
            </w:tabs>
            <w:spacing w:before="104"/>
          </w:pPr>
          <w:hyperlink w:history="true" w:anchor="_bookmark71">
            <w:r>
              <w:rPr/>
              <w:t>（一）基金利润的构成</w:t>
              <w:tab/>
              <w:t>135</w:t>
            </w:r>
          </w:hyperlink>
        </w:p>
        <w:p>
          <w:pPr>
            <w:pStyle w:val="TOC1"/>
            <w:tabs>
              <w:tab w:pos="7218" w:val="right" w:leader="dot"/>
            </w:tabs>
          </w:pPr>
          <w:hyperlink w:history="true" w:anchor="_bookmark72">
            <w:r>
              <w:rPr/>
              <w:t>（二）基金可供分配利润</w:t>
              <w:tab/>
              <w:t>135</w:t>
            </w:r>
          </w:hyperlink>
        </w:p>
        <w:p>
          <w:pPr>
            <w:pStyle w:val="TOC1"/>
            <w:tabs>
              <w:tab w:pos="7218" w:val="right" w:leader="dot"/>
            </w:tabs>
          </w:pPr>
          <w:hyperlink w:history="true" w:anchor="_bookmark73">
            <w:r>
              <w:rPr/>
              <w:t>（三）收益分配原则</w:t>
              <w:tab/>
              <w:t>135</w:t>
            </w:r>
          </w:hyperlink>
        </w:p>
        <w:p>
          <w:pPr>
            <w:pStyle w:val="TOC1"/>
            <w:tabs>
              <w:tab w:pos="7218" w:val="right" w:leader="dot"/>
            </w:tabs>
          </w:pPr>
          <w:hyperlink w:history="true" w:anchor="_bookmark74">
            <w:r>
              <w:rPr/>
              <w:t>（四）收益分配方案</w:t>
              <w:tab/>
              <w:t>135</w:t>
            </w:r>
          </w:hyperlink>
        </w:p>
        <w:p>
          <w:pPr>
            <w:pStyle w:val="TOC1"/>
            <w:tabs>
              <w:tab w:pos="7218" w:val="right" w:leader="dot"/>
            </w:tabs>
          </w:pPr>
          <w:hyperlink w:history="true" w:anchor="_bookmark75">
            <w:r>
              <w:rPr/>
              <w:t>（五）收益分配的时间和程序</w:t>
              <w:tab/>
              <w:t>135</w:t>
            </w:r>
          </w:hyperlink>
        </w:p>
        <w:p>
          <w:pPr>
            <w:pStyle w:val="TOC2"/>
            <w:tabs>
              <w:tab w:pos="8708" w:val="right" w:leader="dot"/>
            </w:tabs>
          </w:pPr>
          <w:hyperlink w:history="true" w:anchor="_bookmark76">
            <w:r>
              <w:rPr/>
              <w:t>十六、基金的费用与税收</w:t>
              <w:tab/>
              <w:t>137</w:t>
            </w:r>
          </w:hyperlink>
        </w:p>
        <w:p>
          <w:pPr>
            <w:pStyle w:val="TOC1"/>
            <w:tabs>
              <w:tab w:pos="7218" w:val="right" w:leader="dot"/>
            </w:tabs>
            <w:spacing w:before="103"/>
          </w:pPr>
          <w:hyperlink w:history="true" w:anchor="_bookmark77">
            <w:r>
              <w:rPr/>
              <w:t>（一）与基金运作相关的费用</w:t>
              <w:tab/>
              <w:t>137</w:t>
            </w:r>
          </w:hyperlink>
        </w:p>
        <w:p>
          <w:pPr>
            <w:pStyle w:val="TOC1"/>
            <w:tabs>
              <w:tab w:pos="7218" w:val="right" w:leader="dot"/>
            </w:tabs>
          </w:pPr>
          <w:hyperlink w:history="true" w:anchor="_bookmark78">
            <w:r>
              <w:rPr/>
              <w:t>（二）与基金销售有关的费用</w:t>
              <w:tab/>
              <w:t>139</w:t>
            </w:r>
          </w:hyperlink>
        </w:p>
        <w:p>
          <w:pPr>
            <w:pStyle w:val="TOC1"/>
            <w:tabs>
              <w:tab w:pos="7218" w:val="right" w:leader="dot"/>
            </w:tabs>
          </w:pPr>
          <w:hyperlink w:history="true" w:anchor="_bookmark79">
            <w:r>
              <w:rPr/>
              <w:t>（三）基金税收</w:t>
              <w:tab/>
              <w:t>140</w:t>
            </w:r>
          </w:hyperlink>
        </w:p>
        <w:p>
          <w:pPr>
            <w:pStyle w:val="TOC2"/>
            <w:tabs>
              <w:tab w:pos="8708" w:val="right" w:leader="dot"/>
            </w:tabs>
          </w:pPr>
          <w:hyperlink w:history="true" w:anchor="_bookmark80">
            <w:r>
              <w:rPr/>
              <w:t>十七、基金的会计与审计</w:t>
              <w:tab/>
              <w:t>141</w:t>
            </w:r>
          </w:hyperlink>
        </w:p>
        <w:p>
          <w:pPr>
            <w:pStyle w:val="TOC1"/>
            <w:tabs>
              <w:tab w:pos="7218" w:val="right" w:leader="dot"/>
            </w:tabs>
            <w:spacing w:before="104"/>
          </w:pPr>
          <w:hyperlink w:history="true" w:anchor="_bookmark81">
            <w:r>
              <w:rPr/>
              <w:t>（一）基金的会计政策</w:t>
              <w:tab/>
              <w:t>141</w:t>
            </w:r>
          </w:hyperlink>
        </w:p>
        <w:p>
          <w:pPr>
            <w:pStyle w:val="TOC1"/>
            <w:tabs>
              <w:tab w:pos="7218" w:val="right" w:leader="dot"/>
            </w:tabs>
          </w:pPr>
          <w:hyperlink w:history="true" w:anchor="_bookmark82">
            <w:r>
              <w:rPr/>
              <w:t>（二）基金的审计</w:t>
              <w:tab/>
              <w:t>141</w:t>
            </w:r>
          </w:hyperlink>
        </w:p>
        <w:p>
          <w:pPr>
            <w:pStyle w:val="TOC2"/>
            <w:tabs>
              <w:tab w:pos="8708" w:val="right" w:leader="dot"/>
            </w:tabs>
          </w:pPr>
          <w:hyperlink w:history="true" w:anchor="_bookmark83">
            <w:r>
              <w:rPr/>
              <w:t>十八、基金的信息披露</w:t>
              <w:tab/>
              <w:t>142</w:t>
            </w:r>
          </w:hyperlink>
        </w:p>
        <w:p>
          <w:pPr>
            <w:pStyle w:val="TOC2"/>
            <w:tabs>
              <w:tab w:pos="8708" w:val="right" w:leader="dot"/>
            </w:tabs>
            <w:spacing w:before="5"/>
          </w:pPr>
          <w:hyperlink w:history="true" w:anchor="_bookmark84">
            <w:r>
              <w:rPr/>
              <w:t>十九、风险揭示</w:t>
              <w:tab/>
              <w:t>147</w:t>
            </w:r>
          </w:hyperlink>
        </w:p>
        <w:p>
          <w:pPr>
            <w:pStyle w:val="TOC1"/>
            <w:tabs>
              <w:tab w:pos="7218" w:val="right" w:leader="dot"/>
            </w:tabs>
            <w:spacing w:before="104"/>
          </w:pPr>
          <w:hyperlink w:history="true" w:anchor="_bookmark85">
            <w:r>
              <w:rPr/>
              <w:t>（一）市场风险</w:t>
              <w:tab/>
              <w:t>147</w:t>
            </w:r>
          </w:hyperlink>
        </w:p>
        <w:p>
          <w:pPr>
            <w:pStyle w:val="TOC1"/>
            <w:tabs>
              <w:tab w:pos="7218" w:val="right" w:leader="dot"/>
            </w:tabs>
          </w:pPr>
          <w:hyperlink w:history="true" w:anchor="_bookmark86">
            <w:r>
              <w:rPr/>
              <w:t>（二）管理风险</w:t>
              <w:tab/>
              <w:t>147</w:t>
            </w:r>
          </w:hyperlink>
        </w:p>
        <w:p>
          <w:pPr>
            <w:pStyle w:val="TOC1"/>
            <w:tabs>
              <w:tab w:pos="7218" w:val="right" w:leader="dot"/>
            </w:tabs>
          </w:pPr>
          <w:hyperlink w:history="true" w:anchor="_bookmark87">
            <w:r>
              <w:rPr/>
              <w:t>（三）流动性风险</w:t>
              <w:tab/>
              <w:t>147</w:t>
            </w:r>
          </w:hyperlink>
        </w:p>
        <w:p>
          <w:pPr>
            <w:pStyle w:val="TOC1"/>
            <w:spacing w:after="117"/>
            <w:ind w:right="77"/>
          </w:pPr>
          <w:hyperlink w:history="true" w:anchor="_bookmark88">
            <w:r>
              <w:rPr/>
              <w:t>（四）本基金法律文件中涉及基金风险特征的表述与销售机构对基金的风险评</w:t>
            </w:r>
          </w:hyperlink>
        </w:p>
        <w:p>
          <w:pPr>
            <w:pStyle w:val="TOC3"/>
            <w:tabs>
              <w:tab w:pos="8681" w:val="right" w:leader="dot"/>
            </w:tabs>
          </w:pPr>
          <w:hyperlink w:history="true" w:anchor="_bookmark88">
            <w:r>
              <w:rPr/>
              <w:t>级可能不一致的风险</w:t>
              <w:tab/>
              <w:t>149</w:t>
            </w:r>
          </w:hyperlink>
        </w:p>
        <w:p>
          <w:pPr>
            <w:pStyle w:val="TOC4"/>
            <w:tabs>
              <w:tab w:pos="8681" w:val="right" w:leader="dot"/>
            </w:tabs>
          </w:pPr>
          <w:hyperlink w:history="true" w:anchor="_bookmark89">
            <w:r>
              <w:rPr/>
              <w:t>（五）本基金特有的风险</w:t>
              <w:tab/>
              <w:t>149</w:t>
            </w:r>
          </w:hyperlink>
        </w:p>
        <w:p>
          <w:pPr>
            <w:pStyle w:val="TOC4"/>
            <w:tabs>
              <w:tab w:pos="8681" w:val="right" w:leader="dot"/>
            </w:tabs>
          </w:pPr>
          <w:hyperlink w:history="true" w:anchor="_bookmark90">
            <w:r>
              <w:rPr/>
              <w:t>（六）其他风险</w:t>
              <w:tab/>
              <w:t>150</w:t>
            </w:r>
          </w:hyperlink>
        </w:p>
        <w:p>
          <w:pPr>
            <w:pStyle w:val="TOC2"/>
            <w:tabs>
              <w:tab w:pos="8708" w:val="right" w:leader="dot"/>
            </w:tabs>
          </w:pPr>
          <w:hyperlink w:history="true" w:anchor="_bookmark91">
            <w:r>
              <w:rPr/>
              <w:t>二十、基金合同的终止与基金财产的清算</w:t>
              <w:tab/>
              <w:t>151</w:t>
            </w:r>
          </w:hyperlink>
        </w:p>
        <w:p>
          <w:pPr>
            <w:pStyle w:val="TOC4"/>
            <w:tabs>
              <w:tab w:pos="8681" w:val="right" w:leader="dot"/>
            </w:tabs>
            <w:spacing w:before="104"/>
          </w:pPr>
          <w:hyperlink w:history="true" w:anchor="_bookmark92">
            <w:r>
              <w:rPr/>
              <w:t>（一）基金合同的终止</w:t>
              <w:tab/>
              <w:t>151</w:t>
            </w:r>
          </w:hyperlink>
        </w:p>
        <w:p>
          <w:pPr>
            <w:pStyle w:val="TOC4"/>
            <w:tabs>
              <w:tab w:pos="8681" w:val="right" w:leader="dot"/>
            </w:tabs>
          </w:pPr>
          <w:hyperlink w:history="true" w:anchor="_bookmark93">
            <w:r>
              <w:rPr/>
              <w:t>（二）基金财产的清算</w:t>
              <w:tab/>
              <w:t>151</w:t>
            </w:r>
          </w:hyperlink>
        </w:p>
        <w:p>
          <w:pPr>
            <w:pStyle w:val="TOC2"/>
            <w:tabs>
              <w:tab w:pos="8708" w:val="right" w:leader="dot"/>
            </w:tabs>
            <w:spacing w:before="79"/>
          </w:pPr>
          <w:hyperlink w:history="true" w:anchor="_bookmark94">
            <w:r>
              <w:rPr/>
              <w:t>二十一、基金合同内容摘要</w:t>
              <w:tab/>
              <w:t>153</w:t>
            </w:r>
          </w:hyperlink>
        </w:p>
        <w:p>
          <w:pPr>
            <w:pStyle w:val="TOC2"/>
            <w:tabs>
              <w:tab w:pos="8708" w:val="right" w:leader="dot"/>
            </w:tabs>
            <w:spacing w:before="6"/>
          </w:pPr>
          <w:hyperlink w:history="true" w:anchor="_bookmark95">
            <w:r>
              <w:rPr/>
              <w:t>二十二、基金托管协议的内容摘要</w:t>
              <w:tab/>
              <w:t>173</w:t>
            </w:r>
          </w:hyperlink>
        </w:p>
        <w:p>
          <w:pPr>
            <w:pStyle w:val="TOC4"/>
            <w:tabs>
              <w:tab w:pos="8681" w:val="right" w:leader="dot"/>
            </w:tabs>
            <w:spacing w:before="104"/>
          </w:pPr>
          <w:hyperlink w:history="true" w:anchor="_bookmark96">
            <w:r>
              <w:rPr/>
              <w:t>（一）托管协议当事人</w:t>
              <w:tab/>
              <w:t>173</w:t>
            </w:r>
          </w:hyperlink>
        </w:p>
        <w:p>
          <w:pPr>
            <w:pStyle w:val="TOC4"/>
            <w:tabs>
              <w:tab w:pos="8681" w:val="right" w:leader="dot"/>
            </w:tabs>
          </w:pPr>
          <w:hyperlink w:history="true" w:anchor="_bookmark97">
            <w:r>
              <w:rPr/>
              <w:t>（二）基金托管人对基金管理人的业务监督和核查</w:t>
              <w:tab/>
              <w:t>173</w:t>
            </w:r>
          </w:hyperlink>
        </w:p>
        <w:p>
          <w:pPr>
            <w:pStyle w:val="TOC4"/>
            <w:tabs>
              <w:tab w:pos="8681" w:val="right" w:leader="dot"/>
            </w:tabs>
          </w:pPr>
          <w:hyperlink w:history="true" w:anchor="_bookmark98">
            <w:r>
              <w:rPr/>
              <w:t>（三）基金管理人对基金托管人的业务核查</w:t>
              <w:tab/>
              <w:t>177</w:t>
            </w:r>
          </w:hyperlink>
        </w:p>
        <w:p>
          <w:pPr>
            <w:pStyle w:val="TOC4"/>
            <w:tabs>
              <w:tab w:pos="8681" w:val="right" w:leader="dot"/>
            </w:tabs>
          </w:pPr>
          <w:hyperlink w:history="true" w:anchor="_bookmark99">
            <w:r>
              <w:rPr/>
              <w:t>（四）基金财产的保管</w:t>
              <w:tab/>
              <w:t>178</w:t>
            </w:r>
          </w:hyperlink>
        </w:p>
        <w:p>
          <w:pPr>
            <w:pStyle w:val="TOC4"/>
            <w:tabs>
              <w:tab w:pos="8681" w:val="right" w:leader="dot"/>
            </w:tabs>
          </w:pPr>
          <w:hyperlink w:history="true" w:anchor="_bookmark100">
            <w:r>
              <w:rPr/>
              <w:t>（五）基金资产净值计算与复核</w:t>
              <w:tab/>
              <w:t>180</w:t>
            </w:r>
          </w:hyperlink>
        </w:p>
        <w:p>
          <w:pPr>
            <w:pStyle w:val="TOC4"/>
            <w:tabs>
              <w:tab w:pos="8681" w:val="right" w:leader="dot"/>
            </w:tabs>
          </w:pPr>
          <w:hyperlink w:history="true" w:anchor="_bookmark101">
            <w:r>
              <w:rPr/>
              <w:t>（六）基金份额持有人名册的登记与保管</w:t>
              <w:tab/>
              <w:t>181</w:t>
            </w:r>
          </w:hyperlink>
        </w:p>
        <w:p>
          <w:pPr>
            <w:pStyle w:val="TOC4"/>
            <w:tabs>
              <w:tab w:pos="8681" w:val="right" w:leader="dot"/>
            </w:tabs>
          </w:pPr>
          <w:hyperlink w:history="true" w:anchor="_bookmark102">
            <w:r>
              <w:rPr/>
              <w:t>（七）争议解决方式</w:t>
              <w:tab/>
              <w:t>181</w:t>
            </w:r>
          </w:hyperlink>
        </w:p>
        <w:p>
          <w:pPr>
            <w:pStyle w:val="TOC4"/>
            <w:tabs>
              <w:tab w:pos="8681" w:val="right" w:leader="dot"/>
            </w:tabs>
          </w:pPr>
          <w:hyperlink w:history="true" w:anchor="_bookmark103">
            <w:r>
              <w:rPr/>
              <w:t>（八）托管协议的修改与终止</w:t>
              <w:tab/>
              <w:t>181</w:t>
            </w:r>
          </w:hyperlink>
        </w:p>
        <w:p>
          <w:pPr>
            <w:pStyle w:val="TOC2"/>
            <w:tabs>
              <w:tab w:pos="8708" w:val="right" w:leader="dot"/>
            </w:tabs>
            <w:spacing w:before="79"/>
          </w:pPr>
          <w:hyperlink w:history="true" w:anchor="_bookmark104">
            <w:r>
              <w:rPr/>
              <w:t>二十三、对基金份额持有人的服务</w:t>
              <w:tab/>
              <w:t>182</w:t>
            </w:r>
          </w:hyperlink>
        </w:p>
        <w:p>
          <w:pPr>
            <w:pStyle w:val="TOC4"/>
            <w:tabs>
              <w:tab w:pos="8681" w:val="right" w:leader="dot"/>
            </w:tabs>
            <w:spacing w:before="104"/>
          </w:pPr>
          <w:hyperlink w:history="true" w:anchor="_bookmark105">
            <w:r>
              <w:rPr/>
              <w:t>（一）基金份额持有人投资交易确认服务</w:t>
              <w:tab/>
              <w:t>182</w:t>
            </w:r>
          </w:hyperlink>
        </w:p>
        <w:p>
          <w:pPr>
            <w:pStyle w:val="TOC4"/>
            <w:tabs>
              <w:tab w:pos="8681" w:val="right" w:leader="dot"/>
            </w:tabs>
          </w:pPr>
          <w:hyperlink w:history="true" w:anchor="_bookmark106">
            <w:r>
              <w:rPr/>
              <w:t>（二）基金份额持有人交易记录查询服务</w:t>
              <w:tab/>
              <w:t>182</w:t>
            </w:r>
          </w:hyperlink>
        </w:p>
        <w:p>
          <w:pPr>
            <w:pStyle w:val="TOC4"/>
            <w:tabs>
              <w:tab w:pos="8681" w:val="right" w:leader="dot"/>
            </w:tabs>
          </w:pPr>
          <w:hyperlink w:history="true" w:anchor="_bookmark107">
            <w:r>
              <w:rPr/>
              <w:t>（三）基金份额持有人的对账单服务</w:t>
              <w:tab/>
              <w:t>182</w:t>
            </w:r>
          </w:hyperlink>
        </w:p>
        <w:p>
          <w:pPr>
            <w:pStyle w:val="TOC4"/>
            <w:tabs>
              <w:tab w:pos="8681" w:val="right" w:leader="dot"/>
            </w:tabs>
          </w:pPr>
          <w:hyperlink w:history="true" w:anchor="_bookmark108">
            <w:r>
              <w:rPr/>
              <w:t>（四）定期定额投资计划</w:t>
              <w:tab/>
              <w:t>182</w:t>
            </w:r>
          </w:hyperlink>
        </w:p>
        <w:p>
          <w:pPr>
            <w:pStyle w:val="TOC4"/>
            <w:tabs>
              <w:tab w:pos="8681" w:val="right" w:leader="dot"/>
            </w:tabs>
          </w:pPr>
          <w:hyperlink w:history="true" w:anchor="_bookmark109">
            <w:r>
              <w:rPr/>
              <w:t>（五）资讯服务</w:t>
              <w:tab/>
              <w:t>182</w:t>
            </w:r>
          </w:hyperlink>
        </w:p>
        <w:p>
          <w:pPr>
            <w:pStyle w:val="TOC2"/>
            <w:tabs>
              <w:tab w:pos="8708" w:val="right" w:leader="dot"/>
            </w:tabs>
          </w:pPr>
          <w:hyperlink w:history="true" w:anchor="_bookmark110">
            <w:r>
              <w:rPr/>
              <w:t>二十四、其他应披露事项</w:t>
              <w:tab/>
              <w:t>183</w:t>
            </w:r>
          </w:hyperlink>
        </w:p>
        <w:p>
          <w:pPr>
            <w:pStyle w:val="TOC2"/>
            <w:tabs>
              <w:tab w:pos="8708" w:val="right" w:leader="dot"/>
            </w:tabs>
            <w:spacing w:before="5"/>
          </w:pPr>
          <w:hyperlink w:history="true" w:anchor="_bookmark111">
            <w:r>
              <w:rPr/>
              <w:t>二十五、招募说明书存放及查阅方式</w:t>
              <w:tab/>
              <w:t>186</w:t>
            </w:r>
          </w:hyperlink>
        </w:p>
        <w:p>
          <w:pPr>
            <w:pStyle w:val="TOC2"/>
            <w:tabs>
              <w:tab w:pos="8708" w:val="right" w:leader="dot"/>
            </w:tabs>
            <w:spacing w:before="6"/>
          </w:pPr>
          <w:hyperlink w:history="true" w:anchor="_bookmark112">
            <w:r>
              <w:rPr/>
              <w:t>二十六、备查文件</w:t>
              <w:tab/>
              <w:t>187</w:t>
            </w:r>
          </w:hyperlink>
        </w:p>
      </w:sdtContent>
    </w:sdt>
    <w:p>
      <w:pPr>
        <w:spacing w:after="0"/>
        <w:sectPr>
          <w:type w:val="continuous"/>
          <w:pgSz w:w="11910" w:h="16840"/>
          <w:pgMar w:top="1600" w:bottom="1698" w:left="1400" w:right="360"/>
        </w:sectPr>
      </w:pPr>
    </w:p>
    <w:p>
      <w:pPr>
        <w:pStyle w:val="Heading1"/>
        <w:ind w:right="1039"/>
        <w:jc w:val="center"/>
      </w:pPr>
      <w:bookmarkStart w:name="_bookmark0" w:id="1"/>
      <w:bookmarkEnd w:id="1"/>
      <w:r>
        <w:rPr>
          <w:b w:val="0"/>
        </w:rPr>
      </w:r>
      <w:r>
        <w:rPr/>
        <w:t>一、绪言</w:t>
      </w:r>
    </w:p>
    <w:p>
      <w:pPr>
        <w:pStyle w:val="BodyText"/>
        <w:spacing w:line="364" w:lineRule="auto" w:before="138"/>
        <w:ind w:left="413" w:right="1451" w:firstLine="482"/>
        <w:jc w:val="both"/>
      </w:pPr>
      <w:r>
        <w:rPr>
          <w:spacing w:val="-17"/>
        </w:rPr>
        <w:t>本《招募说明书》依据《中华人民共和国证券投资基金法》</w:t>
      </w:r>
      <w:r>
        <w:rPr/>
        <w:t>（</w:t>
      </w:r>
      <w:r>
        <w:rPr>
          <w:spacing w:val="-18"/>
        </w:rPr>
        <w:t>以下简称《基金法》</w:t>
      </w:r>
      <w:r>
        <w:rPr>
          <w:spacing w:val="-105"/>
        </w:rPr>
        <w:t>）</w:t>
      </w:r>
      <w:r>
        <w:rPr>
          <w:spacing w:val="-41"/>
        </w:rPr>
        <w:t>、《公</w:t>
      </w:r>
      <w:r>
        <w:rPr>
          <w:spacing w:val="-7"/>
        </w:rPr>
        <w:t>开募集证券投资基金运作管理办法》</w:t>
      </w:r>
      <w:r>
        <w:rPr/>
        <w:t>（</w:t>
      </w:r>
      <w:r>
        <w:rPr>
          <w:spacing w:val="-11"/>
        </w:rPr>
        <w:t>以下简称《运作办法》</w:t>
      </w:r>
      <w:r>
        <w:rPr>
          <w:spacing w:val="-103"/>
        </w:rPr>
        <w:t>）</w:t>
      </w:r>
      <w:r>
        <w:rPr>
          <w:spacing w:val="-11"/>
        </w:rPr>
        <w:t>、《证券投资基金销售管理办</w:t>
      </w:r>
      <w:r>
        <w:rPr>
          <w:spacing w:val="-58"/>
        </w:rPr>
        <w:t>法》</w:t>
      </w:r>
      <w:r>
        <w:rPr/>
        <w:t>（</w:t>
      </w:r>
      <w:r>
        <w:rPr>
          <w:spacing w:val="-13"/>
        </w:rPr>
        <w:t>以下简称《销售办法》</w:t>
      </w:r>
      <w:r>
        <w:rPr>
          <w:spacing w:val="-105"/>
        </w:rPr>
        <w:t>）</w:t>
      </w:r>
      <w:r>
        <w:rPr>
          <w:spacing w:val="-16"/>
        </w:rPr>
        <w:t>、《公开募集证券投资基金信息披露管理办法》</w:t>
      </w:r>
      <w:r>
        <w:rPr/>
        <w:t>（</w:t>
      </w:r>
      <w:r>
        <w:rPr>
          <w:spacing w:val="-5"/>
        </w:rPr>
        <w:t>以下简称《信</w:t>
      </w:r>
      <w:r>
        <w:rPr>
          <w:spacing w:val="-11"/>
        </w:rPr>
        <w:t>息披露办法》</w:t>
      </w:r>
      <w:r>
        <w:rPr>
          <w:spacing w:val="-98"/>
        </w:rPr>
        <w:t>）</w:t>
      </w:r>
      <w:r>
        <w:rPr>
          <w:spacing w:val="-6"/>
        </w:rPr>
        <w:t>、《证券投资基金信息披露内容与格式准则第 </w:t>
      </w:r>
      <w:r>
        <w:rPr/>
        <w:t>5</w:t>
      </w:r>
      <w:r>
        <w:rPr>
          <w:spacing w:val="-1"/>
        </w:rPr>
        <w:t> 号&lt;招募说明书的内容与格</w:t>
      </w:r>
      <w:r>
        <w:rPr>
          <w:spacing w:val="-18"/>
        </w:rPr>
        <w:t>式&gt;》、《公开募集开放式证券投资基金流动性风险管理规定》</w:t>
      </w:r>
      <w:r>
        <w:rPr>
          <w:spacing w:val="2"/>
        </w:rPr>
        <w:t>（</w:t>
      </w:r>
      <w:r>
        <w:rPr>
          <w:spacing w:val="-16"/>
        </w:rPr>
        <w:t>以下简称“《管理规定》”</w:t>
      </w:r>
      <w:r>
        <w:rPr/>
        <w:t>）</w:t>
      </w:r>
      <w:r>
        <w:rPr>
          <w:spacing w:val="-2"/>
        </w:rPr>
        <w:t>等有关法律法规以及《易方达沪深 </w:t>
      </w:r>
      <w:r>
        <w:rPr/>
        <w:t>300</w:t>
      </w:r>
      <w:r>
        <w:rPr>
          <w:spacing w:val="-5"/>
        </w:rPr>
        <w:t> 交易型开放式指数发起式证券投资基金联接基金基金合同》编写。</w:t>
      </w:r>
    </w:p>
    <w:p>
      <w:pPr>
        <w:pStyle w:val="BodyText"/>
        <w:spacing w:line="364" w:lineRule="auto"/>
        <w:ind w:left="413" w:right="1451" w:firstLine="482"/>
        <w:jc w:val="both"/>
      </w:pPr>
      <w:r>
        <w:rPr>
          <w:spacing w:val="-5"/>
        </w:rPr>
        <w:t>基金管理人承诺本招募说明书不存在任何虚假记载、误导性陈述或者重大遗漏,并对其</w:t>
      </w:r>
      <w:r>
        <w:rPr/>
        <w:t>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BodyText"/>
        <w:spacing w:line="364" w:lineRule="auto"/>
        <w:ind w:left="413" w:right="1451" w:firstLine="482"/>
        <w:jc w:val="both"/>
      </w:pPr>
      <w:r>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w:t>
      </w:r>
      <w:r>
        <w:rPr>
          <w:spacing w:val="-11"/>
        </w:rPr>
        <w:t>认和接受，并按照《基金法》、基金合同及其他有关规定享有权利、承担义务。基金投资者</w:t>
      </w:r>
      <w:r>
        <w:rPr/>
        <w:t>欲了解基金份额持有人的权利和义务，应详细查阅基金合同。</w:t>
      </w:r>
    </w:p>
    <w:p>
      <w:pPr>
        <w:spacing w:after="0" w:line="364" w:lineRule="auto"/>
        <w:jc w:val="both"/>
        <w:sectPr>
          <w:footerReference w:type="default" r:id="rId6"/>
          <w:pgSz w:w="11910" w:h="16840"/>
          <w:pgMar w:footer="1166" w:header="0" w:top="1600" w:bottom="1360" w:left="1400" w:right="360"/>
          <w:pgNumType w:start="1"/>
        </w:sectPr>
      </w:pPr>
    </w:p>
    <w:p>
      <w:pPr>
        <w:pStyle w:val="Heading1"/>
        <w:ind w:right="1039"/>
        <w:jc w:val="center"/>
      </w:pPr>
      <w:bookmarkStart w:name="_bookmark1" w:id="2"/>
      <w:bookmarkEnd w:id="2"/>
      <w:r>
        <w:rPr>
          <w:b w:val="0"/>
        </w:rPr>
      </w:r>
      <w:r>
        <w:rPr/>
        <w:t>二、释义</w:t>
      </w:r>
    </w:p>
    <w:p>
      <w:pPr>
        <w:pStyle w:val="BodyText"/>
        <w:spacing w:before="138"/>
        <w:ind w:left="893"/>
      </w:pPr>
      <w:r>
        <w:rPr/>
        <w:t>本《招募说明书》中除非文意另有所指，下列词语有如下含义：</w:t>
      </w:r>
    </w:p>
    <w:p>
      <w:pPr>
        <w:pStyle w:val="BodyText"/>
        <w:spacing w:before="139"/>
        <w:ind w:left="893"/>
      </w:pPr>
      <w:r>
        <w:rPr/>
        <w:t>1、基金或本基金：指易方达沪深 300 交易型开放式指数发起式证券投资基金联接基金</w:t>
      </w:r>
    </w:p>
    <w:p>
      <w:pPr>
        <w:pStyle w:val="BodyText"/>
        <w:spacing w:before="140"/>
        <w:ind w:left="893"/>
      </w:pPr>
      <w:r>
        <w:rPr/>
        <w:t>2、基金管理人：指易方达基金管理有限公司</w:t>
      </w:r>
    </w:p>
    <w:p>
      <w:pPr>
        <w:pStyle w:val="BodyText"/>
        <w:spacing w:before="139"/>
        <w:ind w:left="893"/>
      </w:pPr>
      <w:r>
        <w:rPr/>
        <w:t>3、基金托管人：指中国建设银行股份有限公司</w:t>
      </w:r>
    </w:p>
    <w:p>
      <w:pPr>
        <w:pStyle w:val="BodyText"/>
        <w:spacing w:line="364" w:lineRule="auto" w:before="140"/>
        <w:ind w:left="413" w:right="1452" w:firstLine="480"/>
      </w:pPr>
      <w:r>
        <w:rPr/>
        <w:t>4</w:t>
      </w:r>
      <w:r>
        <w:rPr>
          <w:spacing w:val="-13"/>
        </w:rPr>
        <w:t>、基金合同：指《易方达沪深 </w:t>
      </w:r>
      <w:r>
        <w:rPr/>
        <w:t>300</w:t>
      </w:r>
      <w:r>
        <w:rPr>
          <w:spacing w:val="-9"/>
        </w:rPr>
        <w:t> 交易型开放式指数发起式证券投资基金联接基金基</w:t>
      </w:r>
      <w:r>
        <w:rPr/>
        <w:t>金合同》及对基金合同的任何有效修订和补充</w:t>
      </w:r>
    </w:p>
    <w:p>
      <w:pPr>
        <w:pStyle w:val="BodyText"/>
        <w:spacing w:line="364" w:lineRule="auto"/>
        <w:ind w:left="413" w:right="1452" w:firstLine="480"/>
      </w:pPr>
      <w:r>
        <w:rPr/>
        <w:t>5</w:t>
      </w:r>
      <w:r>
        <w:rPr>
          <w:spacing w:val="-11"/>
        </w:rPr>
        <w:t>、托管协议：指基金管理人与基金托管人就本基金签订之《易方达沪深 </w:t>
      </w:r>
      <w:r>
        <w:rPr/>
        <w:t>300</w:t>
      </w:r>
      <w:r>
        <w:rPr>
          <w:spacing w:val="-15"/>
        </w:rPr>
        <w:t> 交易型开</w:t>
      </w:r>
      <w:r>
        <w:rPr/>
        <w:t>放式指数发起式证券投资基金联接基金托管协议》及对该托管协议的任何有效修订和补充</w:t>
      </w:r>
    </w:p>
    <w:p>
      <w:pPr>
        <w:pStyle w:val="BodyText"/>
        <w:spacing w:line="364" w:lineRule="auto"/>
        <w:ind w:left="413" w:right="1452" w:firstLine="480"/>
      </w:pPr>
      <w:r>
        <w:rPr/>
        <w:t>6</w:t>
      </w:r>
      <w:r>
        <w:rPr>
          <w:spacing w:val="-12"/>
        </w:rPr>
        <w:t>、招募说明书：指《易方达沪深 </w:t>
      </w:r>
      <w:r>
        <w:rPr/>
        <w:t>300</w:t>
      </w:r>
      <w:r>
        <w:rPr>
          <w:spacing w:val="-9"/>
        </w:rPr>
        <w:t> 交易型开放式指数发起式证券投资基金联接基金</w:t>
      </w:r>
      <w:r>
        <w:rPr/>
        <w:t>招募说明书》及其更新</w:t>
      </w:r>
    </w:p>
    <w:p>
      <w:pPr>
        <w:pStyle w:val="BodyText"/>
        <w:spacing w:line="364" w:lineRule="auto"/>
        <w:ind w:left="413" w:right="1452" w:firstLine="480"/>
      </w:pPr>
      <w:r>
        <w:rPr/>
        <w:t>7</w:t>
      </w:r>
      <w:r>
        <w:rPr>
          <w:spacing w:val="-12"/>
        </w:rPr>
        <w:t>、基金产品资料概要：指《易方达沪深 </w:t>
      </w:r>
      <w:r>
        <w:rPr/>
        <w:t>300</w:t>
      </w:r>
      <w:r>
        <w:rPr>
          <w:spacing w:val="-9"/>
        </w:rPr>
        <w:t> 交易型开放式指数发起式证券投资基金联</w:t>
      </w:r>
      <w:r>
        <w:rPr/>
        <w:t>接基金基金产品资料概要》及其更新</w:t>
      </w:r>
    </w:p>
    <w:p>
      <w:pPr>
        <w:pStyle w:val="BodyText"/>
        <w:spacing w:line="268" w:lineRule="exact"/>
        <w:ind w:left="893"/>
      </w:pPr>
      <w:r>
        <w:rPr/>
        <w:t>8、标的指数：指中证指数有限公司编制并发布的沪深 300 指数及其未来可能发生的变</w:t>
      </w:r>
    </w:p>
    <w:p>
      <w:pPr>
        <w:pStyle w:val="BodyText"/>
        <w:spacing w:before="136"/>
        <w:ind w:left="413"/>
      </w:pPr>
      <w:r>
        <w:rPr/>
        <w:t>更</w:t>
      </w:r>
    </w:p>
    <w:p>
      <w:pPr>
        <w:pStyle w:val="BodyText"/>
        <w:spacing w:before="140"/>
        <w:ind w:left="893"/>
      </w:pPr>
      <w:r>
        <w:rPr/>
        <w:t>9、目标 ETF：指易方达沪深 300 交易型开放式指数发起式证券投资基金</w:t>
      </w:r>
    </w:p>
    <w:p>
      <w:pPr>
        <w:pStyle w:val="BodyText"/>
        <w:spacing w:before="139"/>
        <w:ind w:left="893"/>
      </w:pPr>
      <w:r>
        <w:rPr/>
        <w:t>10、沪深 300ETF：指易方达沪深 300 交易型开放式指数发起式证券投资基金</w:t>
      </w:r>
    </w:p>
    <w:p>
      <w:pPr>
        <w:pStyle w:val="BodyText"/>
        <w:spacing w:before="140"/>
        <w:ind w:left="893"/>
      </w:pPr>
      <w:r>
        <w:rPr/>
        <w:t>11、法律法规：指中国现行有效并公布实施的法律、行政法规、规范性文件、司法解</w:t>
      </w:r>
    </w:p>
    <w:p>
      <w:pPr>
        <w:pStyle w:val="BodyText"/>
        <w:spacing w:before="139"/>
        <w:ind w:left="413"/>
      </w:pPr>
      <w:r>
        <w:rPr/>
        <w:t>释、行政规章以及其他对基金合同当事人有约束力的决定、决议、通知等</w:t>
      </w:r>
    </w:p>
    <w:p>
      <w:pPr>
        <w:pStyle w:val="BodyText"/>
        <w:spacing w:line="364" w:lineRule="auto" w:before="140"/>
        <w:ind w:left="413" w:right="1451" w:firstLine="480"/>
        <w:jc w:val="both"/>
      </w:pPr>
      <w:r>
        <w:rPr/>
        <w:t>12</w:t>
      </w:r>
      <w:r>
        <w:rPr>
          <w:spacing w:val="-20"/>
        </w:rPr>
        <w:t>、《基金法》：指 </w:t>
      </w:r>
      <w:r>
        <w:rPr/>
        <w:t>2012</w:t>
      </w:r>
      <w:r>
        <w:rPr>
          <w:spacing w:val="-35"/>
        </w:rPr>
        <w:t> 年 </w:t>
      </w:r>
      <w:r>
        <w:rPr/>
        <w:t>12</w:t>
      </w:r>
      <w:r>
        <w:rPr>
          <w:spacing w:val="-35"/>
        </w:rPr>
        <w:t> 月 </w:t>
      </w:r>
      <w:r>
        <w:rPr/>
        <w:t>28</w:t>
      </w:r>
      <w:r>
        <w:rPr>
          <w:spacing w:val="-8"/>
        </w:rPr>
        <w:t> 日经第十一届全国人民代表大会常务委员会第三</w:t>
      </w:r>
      <w:r>
        <w:rPr>
          <w:spacing w:val="-13"/>
        </w:rPr>
        <w:t>十次会议通过，自 </w:t>
      </w:r>
      <w:r>
        <w:rPr/>
        <w:t>2013</w:t>
      </w:r>
      <w:r>
        <w:rPr>
          <w:spacing w:val="-36"/>
        </w:rPr>
        <w:t> 年 </w:t>
      </w:r>
      <w:r>
        <w:rPr/>
        <w:t>6</w:t>
      </w:r>
      <w:r>
        <w:rPr>
          <w:spacing w:val="-36"/>
        </w:rPr>
        <w:t> 月 </w:t>
      </w:r>
      <w:r>
        <w:rPr/>
        <w:t>1</w:t>
      </w:r>
      <w:r>
        <w:rPr>
          <w:spacing w:val="-9"/>
        </w:rPr>
        <w:t> 日起实施的《中华人民共和国证券投资基金法》及颁布机</w:t>
      </w:r>
      <w:r>
        <w:rPr/>
        <w:t>关对其不时做出的修订</w:t>
      </w:r>
    </w:p>
    <w:p>
      <w:pPr>
        <w:pStyle w:val="BodyText"/>
        <w:spacing w:line="364" w:lineRule="auto"/>
        <w:ind w:left="413" w:right="1452" w:firstLine="480"/>
        <w:jc w:val="both"/>
      </w:pPr>
      <w:r>
        <w:rPr/>
        <w:t>13</w:t>
      </w:r>
      <w:r>
        <w:rPr>
          <w:spacing w:val="-19"/>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10"/>
        </w:rPr>
        <w:t> 日实施的《证券</w:t>
      </w:r>
      <w:r>
        <w:rPr/>
        <w:t>投资基金销售管理办法》及颁布机关对其不时做出的修订</w:t>
      </w:r>
    </w:p>
    <w:p>
      <w:pPr>
        <w:pStyle w:val="BodyText"/>
        <w:spacing w:line="268" w:lineRule="exact"/>
        <w:ind w:left="893"/>
        <w:jc w:val="both"/>
      </w:pPr>
      <w:r>
        <w:rPr/>
        <w:t>14、《信息披露办法》：指中国证监会 2019 年 7 月 26 日颁布、同年 9 月 1 日实施的</w:t>
      </w:r>
    </w:p>
    <w:p>
      <w:pPr>
        <w:pStyle w:val="BodyText"/>
        <w:spacing w:before="138"/>
        <w:ind w:left="413"/>
      </w:pPr>
      <w:r>
        <w:rPr/>
        <w:t>《公开募集证券投资基金信息披露管理办法》及颁布机关对其不时做出的修订</w:t>
      </w:r>
    </w:p>
    <w:p>
      <w:pPr>
        <w:pStyle w:val="BodyText"/>
        <w:spacing w:line="364" w:lineRule="auto" w:before="139"/>
        <w:ind w:left="413" w:right="1452" w:firstLine="480"/>
      </w:pPr>
      <w:r>
        <w:rPr/>
        <w:t>15</w:t>
      </w:r>
      <w:r>
        <w:rPr>
          <w:spacing w:val="-14"/>
        </w:rPr>
        <w:t>、《运作办法》：指中国证监会 </w:t>
      </w:r>
      <w:r>
        <w:rPr/>
        <w:t>2014</w:t>
      </w:r>
      <w:r>
        <w:rPr>
          <w:spacing w:val="-35"/>
        </w:rPr>
        <w:t> 年 </w:t>
      </w:r>
      <w:r>
        <w:rPr/>
        <w:t>7</w:t>
      </w:r>
      <w:r>
        <w:rPr>
          <w:spacing w:val="-35"/>
        </w:rPr>
        <w:t> 月 </w:t>
      </w:r>
      <w:r>
        <w:rPr/>
        <w:t>7</w:t>
      </w:r>
      <w:r>
        <w:rPr>
          <w:spacing w:val="-15"/>
        </w:rPr>
        <w:t> 日颁布、同年 </w:t>
      </w:r>
      <w:r>
        <w:rPr/>
        <w:t>8</w:t>
      </w:r>
      <w:r>
        <w:rPr>
          <w:spacing w:val="-35"/>
        </w:rPr>
        <w:t> 月 </w:t>
      </w:r>
      <w:r>
        <w:rPr/>
        <w:t>8</w:t>
      </w:r>
      <w:r>
        <w:rPr>
          <w:spacing w:val="-8"/>
        </w:rPr>
        <w:t> 日实施的《公开募集证券投资基金运作管理办法》及颁布机关对其不时做出的修订</w:t>
      </w:r>
    </w:p>
    <w:p>
      <w:pPr>
        <w:pStyle w:val="BodyText"/>
        <w:spacing w:line="364" w:lineRule="auto"/>
        <w:ind w:left="413" w:right="1452" w:firstLine="480"/>
      </w:pPr>
      <w:r>
        <w:rPr/>
        <w:t>16</w:t>
      </w:r>
      <w:r>
        <w:rPr>
          <w:spacing w:val="-14"/>
        </w:rPr>
        <w:t>、《管理规定》：指中国证监会 </w:t>
      </w:r>
      <w:r>
        <w:rPr/>
        <w:t>2017</w:t>
      </w:r>
      <w:r>
        <w:rPr>
          <w:spacing w:val="-35"/>
        </w:rPr>
        <w:t> 年 </w:t>
      </w:r>
      <w:r>
        <w:rPr/>
        <w:t>8</w:t>
      </w:r>
      <w:r>
        <w:rPr>
          <w:spacing w:val="-35"/>
        </w:rPr>
        <w:t> 月 </w:t>
      </w:r>
      <w:r>
        <w:rPr/>
        <w:t>31</w:t>
      </w:r>
      <w:r>
        <w:rPr>
          <w:spacing w:val="-15"/>
        </w:rPr>
        <w:t> 日颁布、同年 </w:t>
      </w:r>
      <w:r>
        <w:rPr/>
        <w:t>10</w:t>
      </w:r>
      <w:r>
        <w:rPr>
          <w:spacing w:val="-35"/>
        </w:rPr>
        <w:t> 月 </w:t>
      </w:r>
      <w:r>
        <w:rPr/>
        <w:t>1</w:t>
      </w:r>
      <w:r>
        <w:rPr>
          <w:spacing w:val="-9"/>
        </w:rPr>
        <w:t> 日实施的《公开募集开放式证券投资基金流动性风险管理规定》及颁布机关对其不时做出的修订</w:t>
      </w:r>
    </w:p>
    <w:p>
      <w:pPr>
        <w:pStyle w:val="BodyText"/>
        <w:spacing w:line="268" w:lineRule="exact"/>
        <w:ind w:left="893"/>
      </w:pPr>
      <w:r>
        <w:rPr/>
        <w:t>17、中国证监会：指中国证券监督管理委员会</w:t>
      </w:r>
    </w:p>
    <w:p>
      <w:pPr>
        <w:pStyle w:val="BodyText"/>
        <w:spacing w:before="139"/>
        <w:ind w:left="893"/>
      </w:pPr>
      <w:r>
        <w:rPr/>
        <w:t>18、银行业监督管理机构：指中国人民银行和/或中国银行保险监督管理委员会</w:t>
      </w:r>
    </w:p>
    <w:p>
      <w:pPr>
        <w:spacing w:after="0"/>
        <w:sectPr>
          <w:pgSz w:w="11910" w:h="16840"/>
          <w:pgMar w:header="0" w:footer="1166" w:top="1600" w:bottom="1440" w:left="1400" w:right="360"/>
        </w:sectPr>
      </w:pPr>
    </w:p>
    <w:p>
      <w:pPr>
        <w:pStyle w:val="BodyText"/>
        <w:spacing w:line="364" w:lineRule="auto" w:before="104"/>
        <w:ind w:left="413" w:right="1452" w:firstLine="480"/>
      </w:pPr>
      <w:r>
        <w:rPr/>
        <w:t>19、基金合同当事人：指受基金合同约束，根据基金合同享有权利并承担义务的法律主体，包括基金管理人、基金托管人和基金份额持有人</w:t>
      </w:r>
    </w:p>
    <w:p>
      <w:pPr>
        <w:pStyle w:val="BodyText"/>
        <w:spacing w:line="268" w:lineRule="exact"/>
        <w:ind w:left="893"/>
      </w:pPr>
      <w:r>
        <w:rPr/>
        <w:t>20、个人投资者：指依据有关法律法规规定可投资于证券投资基金的自然人</w:t>
      </w:r>
    </w:p>
    <w:p>
      <w:pPr>
        <w:pStyle w:val="BodyText"/>
        <w:spacing w:line="364" w:lineRule="auto" w:before="139"/>
        <w:ind w:left="413" w:right="1452" w:firstLine="480"/>
        <w:jc w:val="both"/>
      </w:pPr>
      <w:r>
        <w:rPr/>
        <w:t>21、机构投资者：指依法可以投资开放式证券投资基金的、在中华人民共和国境内合法注册登记并存续或经有关政府部门批准设立并存续的企业法人、事业法人、社会团体或其他组织</w:t>
      </w:r>
    </w:p>
    <w:p>
      <w:pPr>
        <w:pStyle w:val="BodyText"/>
        <w:spacing w:line="364" w:lineRule="auto"/>
        <w:ind w:left="413" w:right="1452" w:firstLine="480"/>
      </w:pPr>
      <w:r>
        <w:rPr/>
        <w:t>22、合格境外机构投资者：指符合现实有效的相关法律法规规定可以投资于中国境内证券市场的中国境外的机构投资者</w:t>
      </w:r>
    </w:p>
    <w:p>
      <w:pPr>
        <w:pStyle w:val="BodyText"/>
        <w:spacing w:line="364" w:lineRule="auto"/>
        <w:ind w:left="413" w:right="1452" w:firstLine="480"/>
      </w:pPr>
      <w:r>
        <w:rPr/>
        <w:t>23、投资人：指个人投资者、机构投资者和合格境外机构投资者以及法律法规或中国证监会允许购买证券投资基金的其他投资人的合称</w:t>
      </w:r>
    </w:p>
    <w:p>
      <w:pPr>
        <w:pStyle w:val="BodyText"/>
        <w:spacing w:line="268" w:lineRule="exact"/>
        <w:ind w:left="893"/>
      </w:pPr>
      <w:r>
        <w:rPr/>
        <w:t>24、基金份额持有人：指依基金合同和招募说明书合法取得基金份额的投资人</w:t>
      </w:r>
    </w:p>
    <w:p>
      <w:pPr>
        <w:pStyle w:val="BodyText"/>
        <w:spacing w:line="364" w:lineRule="auto" w:before="137"/>
        <w:ind w:left="413" w:right="1452" w:firstLine="480"/>
      </w:pPr>
      <w:r>
        <w:rPr/>
        <w:t>25、基金销售业务：指基金管理人或销售机构宣传推介基金，办理基金份额的申购、赎回、转换、转托管及定期定额投资等业务</w:t>
      </w:r>
    </w:p>
    <w:p>
      <w:pPr>
        <w:pStyle w:val="BodyText"/>
        <w:spacing w:line="268" w:lineRule="exact"/>
        <w:ind w:left="893"/>
      </w:pPr>
      <w:r>
        <w:rPr/>
        <w:t>26、销售机构：指直销机构和非直销销售机构</w:t>
      </w:r>
    </w:p>
    <w:p>
      <w:pPr>
        <w:pStyle w:val="BodyText"/>
        <w:spacing w:before="140"/>
        <w:ind w:left="893"/>
      </w:pPr>
      <w:r>
        <w:rPr/>
        <w:t>27、直销机构：指易方达基金管理有限公司</w:t>
      </w:r>
    </w:p>
    <w:p>
      <w:pPr>
        <w:pStyle w:val="BodyText"/>
        <w:spacing w:line="364" w:lineRule="auto" w:before="139"/>
        <w:ind w:left="413" w:right="1452" w:firstLine="480"/>
      </w:pPr>
      <w:r>
        <w:rPr/>
        <w:t>28、非直销销售机构：指符合《销售办法》和中国证监会规定的其他条件，取得基金销售业务资格并与基金管理人签订了基金销售服务协议，办理基金销售业务的机构</w:t>
      </w:r>
    </w:p>
    <w:p>
      <w:pPr>
        <w:pStyle w:val="BodyText"/>
        <w:spacing w:line="268" w:lineRule="exact"/>
        <w:ind w:left="893"/>
      </w:pPr>
      <w:r>
        <w:rPr/>
        <w:t>29、基金销售网点：指直销机构的直销网点及非直销销售机构的销售网点</w:t>
      </w:r>
    </w:p>
    <w:p>
      <w:pPr>
        <w:pStyle w:val="BodyText"/>
        <w:spacing w:line="364" w:lineRule="auto" w:before="140"/>
        <w:ind w:left="413" w:right="1452" w:firstLine="480"/>
        <w:jc w:val="both"/>
      </w:pPr>
      <w:r>
        <w:rPr/>
        <w:t>30、注册登记业务：指基金登记、存管、过户、清算和结算业务，具体内容包括投资人基金账户的建立和管理、基金份额注册登记、基金销售业务的确认、清算和结算、代理发放红利、建立并保管基金份额持有人名册、办理非交易过户等</w:t>
      </w:r>
    </w:p>
    <w:p>
      <w:pPr>
        <w:pStyle w:val="BodyText"/>
        <w:spacing w:line="364" w:lineRule="auto"/>
        <w:ind w:left="413" w:right="1452" w:firstLine="480"/>
      </w:pPr>
      <w:r>
        <w:rPr/>
        <w:t>31、注册登记机构：指办理注册登记业务的机构。基金的注册登记机构为易方达基金管理有限公司或接受易方达基金管理有限公司委托代为办理注册登记业务的机构</w:t>
      </w:r>
    </w:p>
    <w:p>
      <w:pPr>
        <w:pStyle w:val="BodyText"/>
        <w:spacing w:line="364" w:lineRule="auto"/>
        <w:ind w:left="413" w:right="1452" w:firstLine="480"/>
      </w:pPr>
      <w:r>
        <w:rPr/>
        <w:t>32、基金账户：指注册登记机构为投资人开立的、记录其持有的、基金管理人所管理的基金份额余额及其变动情况的账户</w:t>
      </w:r>
    </w:p>
    <w:p>
      <w:pPr>
        <w:pStyle w:val="BodyText"/>
        <w:spacing w:line="364" w:lineRule="auto"/>
        <w:ind w:left="413" w:right="1452" w:firstLine="480"/>
      </w:pPr>
      <w:r>
        <w:rPr/>
        <w:t>33、基金交易账户：指销售机构为投资人开立的、记录投资人通过该销售机构买卖本基金的基金份额变动及结余情况的账户</w:t>
      </w:r>
    </w:p>
    <w:p>
      <w:pPr>
        <w:pStyle w:val="BodyText"/>
        <w:spacing w:line="364" w:lineRule="auto"/>
        <w:ind w:left="413" w:right="1452" w:firstLine="480"/>
      </w:pPr>
      <w:r>
        <w:rPr/>
        <w:t>34、基金合同生效日：指基金募集达到法律法规规定及基金合同规定的条件，基金管理人向中国证监会办理基金备案手续完毕，并获得中国证监会书面确认的日期</w:t>
      </w:r>
    </w:p>
    <w:p>
      <w:pPr>
        <w:pStyle w:val="BodyText"/>
        <w:spacing w:line="364" w:lineRule="auto"/>
        <w:ind w:left="413" w:right="1452" w:firstLine="480"/>
      </w:pPr>
      <w:r>
        <w:rPr/>
        <w:t>35、基金合同终止日：指基金合同规定的基金合同终止事由出现后，基金财产清算完毕，清算结果报中国证监会备案并予以公告的日期</w:t>
      </w:r>
    </w:p>
    <w:p>
      <w:pPr>
        <w:pStyle w:val="BodyText"/>
        <w:spacing w:line="268" w:lineRule="exact"/>
        <w:ind w:left="893"/>
      </w:pPr>
      <w:r>
        <w:rPr/>
        <w:t>36、存续期：指基金合同生效至终止之间的不定期期限</w:t>
      </w:r>
    </w:p>
    <w:p>
      <w:pPr>
        <w:pStyle w:val="BodyText"/>
        <w:spacing w:before="134"/>
        <w:ind w:left="893"/>
      </w:pPr>
      <w:r>
        <w:rPr/>
        <w:t>37、日\天：指公历日</w:t>
      </w:r>
    </w:p>
    <w:p>
      <w:pPr>
        <w:spacing w:after="0"/>
        <w:sectPr>
          <w:pgSz w:w="11910" w:h="16840"/>
          <w:pgMar w:header="0" w:footer="1166" w:top="1600" w:bottom="1440" w:left="1400" w:right="360"/>
        </w:sectPr>
      </w:pPr>
    </w:p>
    <w:p>
      <w:pPr>
        <w:pStyle w:val="BodyText"/>
        <w:spacing w:before="104"/>
        <w:ind w:left="893"/>
      </w:pPr>
      <w:r>
        <w:rPr/>
        <w:t>38、工作日：指上海证券交易所、深圳证券交易所的正常交易日</w:t>
      </w:r>
    </w:p>
    <w:p>
      <w:pPr>
        <w:pStyle w:val="BodyText"/>
        <w:spacing w:before="139"/>
        <w:ind w:left="893"/>
      </w:pPr>
      <w:r>
        <w:rPr/>
        <w:t>39、T 日：指销售机构在规定时间受理投资人申购、赎回或其他业务申请的工作日</w:t>
      </w:r>
    </w:p>
    <w:p>
      <w:pPr>
        <w:pStyle w:val="BodyText"/>
        <w:spacing w:before="140"/>
        <w:ind w:left="893"/>
      </w:pPr>
      <w:r>
        <w:rPr/>
        <w:t>40、T+n 日：指自 T 日起第 n 个工作日(不包含 T 日)</w:t>
      </w:r>
    </w:p>
    <w:p>
      <w:pPr>
        <w:pStyle w:val="BodyText"/>
        <w:spacing w:before="139"/>
        <w:ind w:left="893"/>
      </w:pPr>
      <w:r>
        <w:rPr/>
        <w:t>41、开放日：指为投资人办理基金份额申购、赎回或其他业务的工作日</w:t>
      </w:r>
    </w:p>
    <w:p>
      <w:pPr>
        <w:pStyle w:val="BodyText"/>
        <w:spacing w:before="140"/>
        <w:ind w:left="893"/>
      </w:pPr>
      <w:r>
        <w:rPr/>
        <w:t>42、交易时间：指开放日基金接受申购、赎回或其他交易的时间段</w:t>
      </w:r>
    </w:p>
    <w:p>
      <w:pPr>
        <w:pStyle w:val="BodyText"/>
        <w:spacing w:line="364" w:lineRule="auto" w:before="139"/>
        <w:ind w:left="413" w:right="1452" w:firstLine="480"/>
        <w:jc w:val="both"/>
      </w:pPr>
      <w:r>
        <w:rPr/>
        <w:t>43</w:t>
      </w:r>
      <w:r>
        <w:rPr>
          <w:spacing w:val="-15"/>
        </w:rPr>
        <w:t>、《业务规则》：指《易方达基金管理有限公司开放式基金业务规则》，是规范基金管理人所管理的开放式证券投资基金注册登记方面的业务规则，由基金管理人和投资人共同遵守</w:t>
      </w:r>
    </w:p>
    <w:p>
      <w:pPr>
        <w:pStyle w:val="BodyText"/>
        <w:spacing w:line="364" w:lineRule="auto"/>
        <w:ind w:left="413" w:right="1452" w:firstLine="480"/>
      </w:pPr>
      <w:r>
        <w:rPr/>
        <w:t>44、申购：指基金合同生效后，投资人根据基金合同和招募说明书的规定申请购买基金份额的行为</w:t>
      </w:r>
    </w:p>
    <w:p>
      <w:pPr>
        <w:pStyle w:val="BodyText"/>
        <w:spacing w:line="364" w:lineRule="auto"/>
        <w:ind w:left="413" w:right="1452" w:firstLine="480"/>
      </w:pPr>
      <w:r>
        <w:rPr/>
        <w:t>45、赎回：指基金合同生效后，基金份额持有人按基金合同和招募说明书规定的条件要求将基金份额兑换为现金的行为</w:t>
      </w:r>
    </w:p>
    <w:p>
      <w:pPr>
        <w:pStyle w:val="BodyText"/>
        <w:spacing w:line="364" w:lineRule="auto"/>
        <w:ind w:left="413" w:right="1452" w:firstLine="480"/>
        <w:jc w:val="both"/>
      </w:pPr>
      <w:r>
        <w:rPr/>
        <w:t>46、基金转换：指基金份额持有人按照基金合同和基金管理人届时有效公告规定的条件，申请将其持有基金管理人管理的、某一基金的基金份额转换为基金管理人管理的其他基金基金份额的行为</w:t>
      </w:r>
    </w:p>
    <w:p>
      <w:pPr>
        <w:pStyle w:val="BodyText"/>
        <w:spacing w:line="364" w:lineRule="auto"/>
        <w:ind w:left="413" w:right="1452" w:firstLine="480"/>
      </w:pPr>
      <w:r>
        <w:rPr/>
        <w:t>47、转托管：指基金份额持有人在本基金的不同销售机构之间实施的变更所持基金份额销售机构的操作</w:t>
      </w:r>
    </w:p>
    <w:p>
      <w:pPr>
        <w:pStyle w:val="BodyText"/>
        <w:spacing w:line="364" w:lineRule="auto"/>
        <w:ind w:left="413" w:right="1452" w:firstLine="480"/>
        <w:jc w:val="both"/>
      </w:pPr>
      <w:r>
        <w:rPr/>
        <w:t>48、定期定额投资计划：指投资人通过有关销售机构提出申请，约定每期申购日、申购金额及扣款方式，由销售机构于每期约定申购日在投资人指定银行账户内自动完成扣款及受理基金申购申请的一种投资方式</w:t>
      </w:r>
    </w:p>
    <w:p>
      <w:pPr>
        <w:pStyle w:val="BodyText"/>
        <w:spacing w:line="364" w:lineRule="auto"/>
        <w:ind w:left="413" w:right="1347" w:firstLine="480"/>
      </w:pPr>
      <w:r>
        <w:rPr/>
        <w:t>49</w:t>
      </w:r>
      <w:r>
        <w:rPr>
          <w:spacing w:val="-9"/>
        </w:rPr>
        <w:t>、巨额赎回：指本基金单个开放日，基金净赎回申请(赎回申请份额总数加上基金转换中转出申请份额总数后扣除申购申请份额总数及基金转换中转入申请份额总数后的余额) </w:t>
      </w:r>
      <w:r>
        <w:rPr>
          <w:spacing w:val="-13"/>
        </w:rPr>
        <w:t>超过上一开放日基金总份额的 </w:t>
      </w:r>
      <w:r>
        <w:rPr/>
        <w:t>10%</w:t>
      </w:r>
    </w:p>
    <w:p>
      <w:pPr>
        <w:pStyle w:val="BodyText"/>
        <w:spacing w:line="268" w:lineRule="exact"/>
        <w:ind w:left="893"/>
      </w:pPr>
      <w:r>
        <w:rPr/>
        <w:t>50、元：指人民币元</w:t>
      </w:r>
    </w:p>
    <w:p>
      <w:pPr>
        <w:pStyle w:val="BodyText"/>
        <w:spacing w:line="364" w:lineRule="auto" w:before="132"/>
        <w:ind w:left="413" w:right="1452" w:firstLine="480"/>
      </w:pPr>
      <w:r>
        <w:rPr/>
        <w:t>51、基金利润：指基金利息收入、投资收益、公允价值变动收益和其他收入扣除相关费用后的余额</w:t>
      </w:r>
    </w:p>
    <w:p>
      <w:pPr>
        <w:pStyle w:val="BodyText"/>
        <w:spacing w:line="364" w:lineRule="auto"/>
        <w:ind w:left="413" w:right="1452" w:firstLine="480"/>
      </w:pPr>
      <w:r>
        <w:rPr/>
        <w:t>52、基金资产总值：指基金拥有的各类有价证券、银行存款本息、基金应收申购款及其他资产的价值总和</w:t>
      </w:r>
    </w:p>
    <w:p>
      <w:pPr>
        <w:pStyle w:val="BodyText"/>
        <w:spacing w:line="268" w:lineRule="exact"/>
        <w:ind w:left="893"/>
      </w:pPr>
      <w:r>
        <w:rPr/>
        <w:t>53、基金资产净值：指基金资产总值减去基金负债后的价值</w:t>
      </w:r>
    </w:p>
    <w:p>
      <w:pPr>
        <w:pStyle w:val="BodyText"/>
        <w:spacing w:before="139"/>
        <w:ind w:left="893"/>
      </w:pPr>
      <w:r>
        <w:rPr/>
        <w:t>54、基金份额净值：指计算日基金资产净值除以计算日基金份额总数</w:t>
      </w:r>
    </w:p>
    <w:p>
      <w:pPr>
        <w:pStyle w:val="BodyText"/>
        <w:spacing w:line="364" w:lineRule="auto" w:before="139"/>
        <w:ind w:left="413" w:right="1452" w:firstLine="480"/>
      </w:pPr>
      <w:r>
        <w:rPr/>
        <w:t>55、基金资产估值：指计算评估基金资产和负债的价值，以确定基金资产净值和基金份额净值的过程</w:t>
      </w:r>
    </w:p>
    <w:p>
      <w:pPr>
        <w:pStyle w:val="BodyText"/>
        <w:spacing w:line="268" w:lineRule="exact"/>
        <w:ind w:left="893"/>
      </w:pPr>
      <w:r>
        <w:rPr/>
        <w:t>56、指定媒介：指中国证监会指定的用以进行信息披露的全国性报刊及指定互联网网</w:t>
      </w:r>
    </w:p>
    <w:p>
      <w:pPr>
        <w:spacing w:after="0" w:line="268" w:lineRule="exact"/>
        <w:sectPr>
          <w:pgSz w:w="11910" w:h="16840"/>
          <w:pgMar w:header="0" w:footer="1166" w:top="1600" w:bottom="1440" w:left="1400" w:right="360"/>
        </w:sectPr>
      </w:pPr>
    </w:p>
    <w:p>
      <w:pPr>
        <w:pStyle w:val="BodyText"/>
        <w:spacing w:before="104"/>
        <w:ind w:left="413"/>
      </w:pPr>
      <w:r>
        <w:rPr/>
        <w:t>站（包括基金管理人网站、基金托管人网站、中国证监会基金电子披露网站）等媒介</w:t>
      </w:r>
    </w:p>
    <w:p>
      <w:pPr>
        <w:pStyle w:val="BodyText"/>
        <w:spacing w:line="364" w:lineRule="auto" w:before="139"/>
        <w:ind w:left="413" w:right="1452" w:firstLine="480"/>
        <w:jc w:val="both"/>
      </w:pPr>
      <w:r>
        <w:rPr/>
        <w:t>57、不可抗力：指基金合同当事人无法预见、无法抗拒、无法避免且在基金合同由基金管理人、基金托管人签署之日后发生的，使基金合同当事人无法全部或部分履行基金合同的任何事件</w:t>
      </w:r>
    </w:p>
    <w:p>
      <w:pPr>
        <w:pStyle w:val="BodyText"/>
        <w:spacing w:line="364" w:lineRule="auto"/>
        <w:ind w:left="413" w:right="1451" w:firstLine="480"/>
        <w:jc w:val="both"/>
      </w:pPr>
      <w:r>
        <w:rPr/>
        <w:t>58、流动性受限资产：指由于法律法规、监管、合同或操作障碍等原因无法以合理价</w:t>
      </w:r>
      <w:r>
        <w:rPr>
          <w:spacing w:val="-4"/>
        </w:rPr>
        <w:t>格予以变现的资产，包括但不限于到期日在 </w:t>
      </w:r>
      <w:r>
        <w:rPr/>
        <w:t>10</w:t>
      </w:r>
      <w:r>
        <w:rPr>
          <w:spacing w:val="-8"/>
        </w:rPr>
        <w:t> 个交易日以上的逆回购与银行定期存款</w:t>
      </w:r>
      <w:r>
        <w:rPr/>
        <w:t>（</w:t>
      </w:r>
      <w:r>
        <w:rPr>
          <w:spacing w:val="-15"/>
        </w:rPr>
        <w:t>含</w:t>
      </w:r>
      <w:r>
        <w:rPr/>
        <w:t>协议约定有条件提前支取的银行存款</w:t>
      </w:r>
      <w:r>
        <w:rPr>
          <w:spacing w:val="-105"/>
        </w:rPr>
        <w:t>）</w:t>
      </w:r>
      <w:r>
        <w:rPr>
          <w:spacing w:val="-5"/>
        </w:rPr>
        <w:t>、停牌股票、流通受限的新股及非公开发行股票、资</w:t>
      </w:r>
      <w:r>
        <w:rPr/>
        <w:t>产支持证券、因发行人债务违约无法进行转让或交易的债券等</w:t>
      </w:r>
    </w:p>
    <w:p>
      <w:pPr>
        <w:pStyle w:val="BodyText"/>
        <w:spacing w:line="364" w:lineRule="auto"/>
        <w:ind w:left="413" w:right="1452" w:firstLine="480"/>
      </w:pPr>
      <w:r>
        <w:rPr/>
        <w:t>59、销售服务费：指从基金财产中计提的，用于本基金市场推广、销售以及基金份额持有人服务的费用</w:t>
      </w:r>
    </w:p>
    <w:p>
      <w:pPr>
        <w:pStyle w:val="BodyText"/>
        <w:spacing w:line="364" w:lineRule="auto"/>
        <w:ind w:left="413" w:right="1452" w:firstLine="480"/>
      </w:pPr>
      <w:r>
        <w:rPr/>
        <w:t>60、A 类基金份额：在投资人申购基金时收取申购费用，并不再从本类别基金资产中计提销售服务费的基金份额，称为 A 类基金份额</w:t>
      </w:r>
    </w:p>
    <w:p>
      <w:pPr>
        <w:pStyle w:val="BodyText"/>
        <w:spacing w:line="364" w:lineRule="auto"/>
        <w:ind w:left="413" w:right="1452" w:firstLine="480"/>
      </w:pPr>
      <w:r>
        <w:rPr/>
        <w:t>61、C 类基金份额：从本类别基金资产中计提销售服务费，并不收取申购费用的基金份额，称为 C 类基金份额</w:t>
      </w:r>
    </w:p>
    <w:p>
      <w:pPr>
        <w:spacing w:after="0" w:line="364" w:lineRule="auto"/>
        <w:sectPr>
          <w:pgSz w:w="11910" w:h="16840"/>
          <w:pgMar w:header="0" w:footer="1166" w:top="1600" w:bottom="1440" w:left="1400" w:right="360"/>
        </w:sectPr>
      </w:pPr>
    </w:p>
    <w:p>
      <w:pPr>
        <w:pStyle w:val="Heading1"/>
        <w:ind w:right="1039"/>
        <w:jc w:val="center"/>
      </w:pPr>
      <w:bookmarkStart w:name="_bookmark2" w:id="3"/>
      <w:bookmarkEnd w:id="3"/>
      <w:r>
        <w:rPr>
          <w:b w:val="0"/>
        </w:rPr>
      </w:r>
      <w:r>
        <w:rPr/>
        <w:t>三、基金管理人</w:t>
      </w:r>
    </w:p>
    <w:p>
      <w:pPr>
        <w:pStyle w:val="Heading3"/>
        <w:spacing w:before="139"/>
      </w:pPr>
      <w:bookmarkStart w:name="_bookmark3" w:id="4"/>
      <w:bookmarkEnd w:id="4"/>
      <w:r>
        <w:rPr/>
      </w:r>
      <w:r>
        <w:rPr/>
        <w:t>（一）基金管理人基本情况</w:t>
      </w:r>
    </w:p>
    <w:p>
      <w:pPr>
        <w:pStyle w:val="BodyText"/>
        <w:spacing w:before="185"/>
        <w:ind w:left="833"/>
      </w:pPr>
      <w:r>
        <w:rPr/>
        <w:t>1、基金管理人：易方达基金管理有限公司</w:t>
      </w:r>
    </w:p>
    <w:p>
      <w:pPr>
        <w:pStyle w:val="BodyText"/>
        <w:spacing w:line="364" w:lineRule="auto" w:before="139"/>
        <w:ind w:left="833" w:right="2382"/>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833" w:right="663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833" w:right="7212"/>
      </w:pPr>
      <w:r>
        <w:rPr/>
        <w:t>联系电话：4008818088 联系人：李红枫</w:t>
      </w:r>
    </w:p>
    <w:p>
      <w:pPr>
        <w:pStyle w:val="BodyText"/>
        <w:spacing w:line="268" w:lineRule="exact"/>
        <w:ind w:left="833"/>
      </w:pPr>
      <w:r>
        <w:rPr/>
        <w:t>注册资本：13,244.2万元人民币</w:t>
      </w:r>
    </w:p>
    <w:p>
      <w:pPr>
        <w:pStyle w:val="BodyText"/>
        <w:spacing w:before="138"/>
        <w:ind w:left="833"/>
      </w:pPr>
      <w:r>
        <w:rPr/>
        <w:t>2、股权结构：</w:t>
      </w:r>
    </w:p>
    <w:p>
      <w:pPr>
        <w:pStyle w:val="BodyText"/>
        <w:spacing w:before="8"/>
        <w:ind w:left="0"/>
        <w:rPr>
          <w:sz w:val="10"/>
        </w:rPr>
      </w:pPr>
    </w:p>
    <w:tbl>
      <w:tblPr>
        <w:tblW w:w="0" w:type="auto"/>
        <w:jc w:val="left"/>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8"/>
        <w:gridCol w:w="1837"/>
      </w:tblGrid>
      <w:tr>
        <w:trPr>
          <w:trHeight w:val="408" w:hRule="atLeast"/>
        </w:trPr>
        <w:tc>
          <w:tcPr>
            <w:tcW w:w="4488" w:type="dxa"/>
          </w:tcPr>
          <w:p>
            <w:pPr>
              <w:pStyle w:val="TableParagraph"/>
              <w:spacing w:before="3"/>
              <w:ind w:left="2014" w:right="1584"/>
              <w:jc w:val="center"/>
              <w:rPr>
                <w:sz w:val="21"/>
              </w:rPr>
            </w:pPr>
            <w:r>
              <w:rPr>
                <w:sz w:val="21"/>
              </w:rPr>
              <w:t>股东名称</w:t>
            </w:r>
          </w:p>
        </w:tc>
        <w:tc>
          <w:tcPr>
            <w:tcW w:w="1837" w:type="dxa"/>
          </w:tcPr>
          <w:p>
            <w:pPr>
              <w:pStyle w:val="TableParagraph"/>
              <w:spacing w:before="3"/>
              <w:ind w:left="635" w:right="206"/>
              <w:jc w:val="center"/>
              <w:rPr>
                <w:sz w:val="21"/>
              </w:rPr>
            </w:pPr>
            <w:r>
              <w:rPr>
                <w:sz w:val="21"/>
              </w:rPr>
              <w:t>出资比例</w:t>
            </w:r>
          </w:p>
        </w:tc>
      </w:tr>
      <w:tr>
        <w:trPr>
          <w:trHeight w:val="408" w:hRule="atLeast"/>
        </w:trPr>
        <w:tc>
          <w:tcPr>
            <w:tcW w:w="4488" w:type="dxa"/>
          </w:tcPr>
          <w:p>
            <w:pPr>
              <w:pStyle w:val="TableParagraph"/>
              <w:spacing w:before="3"/>
              <w:ind w:left="527"/>
              <w:rPr>
                <w:sz w:val="21"/>
              </w:rPr>
            </w:pPr>
            <w:r>
              <w:rPr>
                <w:sz w:val="21"/>
              </w:rPr>
              <w:t>广东粤财信托有限公司</w:t>
            </w:r>
          </w:p>
        </w:tc>
        <w:tc>
          <w:tcPr>
            <w:tcW w:w="1837" w:type="dxa"/>
          </w:tcPr>
          <w:p>
            <w:pPr>
              <w:pStyle w:val="TableParagraph"/>
              <w:spacing w:before="3"/>
              <w:ind w:left="635" w:right="206"/>
              <w:jc w:val="center"/>
              <w:rPr>
                <w:sz w:val="21"/>
              </w:rPr>
            </w:pPr>
            <w:r>
              <w:rPr>
                <w:sz w:val="21"/>
              </w:rPr>
              <w:t>22.6514％</w:t>
            </w:r>
          </w:p>
        </w:tc>
      </w:tr>
      <w:tr>
        <w:trPr>
          <w:trHeight w:val="408" w:hRule="atLeast"/>
        </w:trPr>
        <w:tc>
          <w:tcPr>
            <w:tcW w:w="4488" w:type="dxa"/>
          </w:tcPr>
          <w:p>
            <w:pPr>
              <w:pStyle w:val="TableParagraph"/>
              <w:spacing w:before="3"/>
              <w:ind w:left="527"/>
              <w:rPr>
                <w:sz w:val="21"/>
              </w:rPr>
            </w:pPr>
            <w:r>
              <w:rPr>
                <w:sz w:val="21"/>
              </w:rPr>
              <w:t>广发证券股份有限公司</w:t>
            </w:r>
          </w:p>
        </w:tc>
        <w:tc>
          <w:tcPr>
            <w:tcW w:w="1837" w:type="dxa"/>
          </w:tcPr>
          <w:p>
            <w:pPr>
              <w:pStyle w:val="TableParagraph"/>
              <w:spacing w:before="3"/>
              <w:ind w:left="635" w:right="206"/>
              <w:jc w:val="center"/>
              <w:rPr>
                <w:sz w:val="21"/>
              </w:rPr>
            </w:pPr>
            <w:r>
              <w:rPr>
                <w:sz w:val="21"/>
              </w:rPr>
              <w:t>22.6514％</w:t>
            </w:r>
          </w:p>
        </w:tc>
      </w:tr>
      <w:tr>
        <w:trPr>
          <w:trHeight w:val="408" w:hRule="atLeast"/>
        </w:trPr>
        <w:tc>
          <w:tcPr>
            <w:tcW w:w="4488" w:type="dxa"/>
          </w:tcPr>
          <w:p>
            <w:pPr>
              <w:pStyle w:val="TableParagraph"/>
              <w:spacing w:before="3"/>
              <w:ind w:left="527"/>
              <w:rPr>
                <w:sz w:val="21"/>
              </w:rPr>
            </w:pPr>
            <w:r>
              <w:rPr>
                <w:sz w:val="21"/>
              </w:rPr>
              <w:t>盈峰控股集团有限公司</w:t>
            </w:r>
          </w:p>
        </w:tc>
        <w:tc>
          <w:tcPr>
            <w:tcW w:w="1837" w:type="dxa"/>
          </w:tcPr>
          <w:p>
            <w:pPr>
              <w:pStyle w:val="TableParagraph"/>
              <w:spacing w:before="3"/>
              <w:ind w:left="635" w:right="206"/>
              <w:jc w:val="center"/>
              <w:rPr>
                <w:sz w:val="21"/>
              </w:rPr>
            </w:pPr>
            <w:r>
              <w:rPr>
                <w:sz w:val="21"/>
              </w:rPr>
              <w:t>22.6514％</w:t>
            </w:r>
          </w:p>
        </w:tc>
      </w:tr>
      <w:tr>
        <w:trPr>
          <w:trHeight w:val="408" w:hRule="atLeast"/>
        </w:trPr>
        <w:tc>
          <w:tcPr>
            <w:tcW w:w="4488" w:type="dxa"/>
          </w:tcPr>
          <w:p>
            <w:pPr>
              <w:pStyle w:val="TableParagraph"/>
              <w:spacing w:before="3"/>
              <w:ind w:left="527"/>
              <w:rPr>
                <w:sz w:val="21"/>
              </w:rPr>
            </w:pPr>
            <w:r>
              <w:rPr>
                <w:sz w:val="21"/>
              </w:rPr>
              <w:t>广东省广晟资产经营有限公司</w:t>
            </w:r>
          </w:p>
        </w:tc>
        <w:tc>
          <w:tcPr>
            <w:tcW w:w="1837" w:type="dxa"/>
          </w:tcPr>
          <w:p>
            <w:pPr>
              <w:pStyle w:val="TableParagraph"/>
              <w:spacing w:before="3"/>
              <w:ind w:left="635" w:right="206"/>
              <w:jc w:val="center"/>
              <w:rPr>
                <w:sz w:val="21"/>
              </w:rPr>
            </w:pPr>
            <w:r>
              <w:rPr>
                <w:sz w:val="21"/>
              </w:rPr>
              <w:t>15.1010％</w:t>
            </w:r>
          </w:p>
        </w:tc>
      </w:tr>
      <w:tr>
        <w:trPr>
          <w:trHeight w:val="408" w:hRule="atLeast"/>
        </w:trPr>
        <w:tc>
          <w:tcPr>
            <w:tcW w:w="4488" w:type="dxa"/>
          </w:tcPr>
          <w:p>
            <w:pPr>
              <w:pStyle w:val="TableParagraph"/>
              <w:spacing w:before="3"/>
              <w:ind w:left="527"/>
              <w:rPr>
                <w:sz w:val="21"/>
              </w:rPr>
            </w:pPr>
            <w:r>
              <w:rPr>
                <w:sz w:val="21"/>
              </w:rPr>
              <w:t>广州市广永国有资产经营有限公司</w:t>
            </w:r>
          </w:p>
        </w:tc>
        <w:tc>
          <w:tcPr>
            <w:tcW w:w="1837" w:type="dxa"/>
          </w:tcPr>
          <w:p>
            <w:pPr>
              <w:pStyle w:val="TableParagraph"/>
              <w:spacing w:before="3"/>
              <w:ind w:left="635" w:right="206"/>
              <w:jc w:val="center"/>
              <w:rPr>
                <w:sz w:val="21"/>
              </w:rPr>
            </w:pPr>
            <w:r>
              <w:rPr>
                <w:sz w:val="21"/>
              </w:rPr>
              <w:t>7.5505％</w:t>
            </w:r>
          </w:p>
        </w:tc>
      </w:tr>
      <w:tr>
        <w:trPr>
          <w:trHeight w:val="408" w:hRule="atLeast"/>
        </w:trPr>
        <w:tc>
          <w:tcPr>
            <w:tcW w:w="4488" w:type="dxa"/>
          </w:tcPr>
          <w:p>
            <w:pPr>
              <w:pStyle w:val="TableParagraph"/>
              <w:spacing w:before="3"/>
              <w:ind w:left="527" w:right="-15"/>
              <w:rPr>
                <w:sz w:val="21"/>
              </w:rPr>
            </w:pPr>
            <w:r>
              <w:rPr>
                <w:spacing w:val="-3"/>
                <w:sz w:val="21"/>
              </w:rPr>
              <w:t>珠海祺荣宝股权投资合伙企业</w:t>
            </w:r>
            <w:r>
              <w:rPr>
                <w:sz w:val="21"/>
              </w:rPr>
              <w:t>（有限合伙</w:t>
            </w:r>
            <w:r>
              <w:rPr>
                <w:spacing w:val="-11"/>
                <w:sz w:val="21"/>
              </w:rPr>
              <w:t>）</w:t>
            </w:r>
          </w:p>
        </w:tc>
        <w:tc>
          <w:tcPr>
            <w:tcW w:w="1837" w:type="dxa"/>
          </w:tcPr>
          <w:p>
            <w:pPr>
              <w:pStyle w:val="TableParagraph"/>
              <w:spacing w:before="3"/>
              <w:ind w:left="635" w:right="206"/>
              <w:jc w:val="center"/>
              <w:rPr>
                <w:sz w:val="21"/>
              </w:rPr>
            </w:pPr>
            <w:r>
              <w:rPr>
                <w:sz w:val="21"/>
              </w:rPr>
              <w:t>1.5087％</w:t>
            </w:r>
          </w:p>
        </w:tc>
      </w:tr>
      <w:tr>
        <w:trPr>
          <w:trHeight w:val="408" w:hRule="atLeast"/>
        </w:trPr>
        <w:tc>
          <w:tcPr>
            <w:tcW w:w="4488" w:type="dxa"/>
          </w:tcPr>
          <w:p>
            <w:pPr>
              <w:pStyle w:val="TableParagraph"/>
              <w:spacing w:before="3"/>
              <w:ind w:left="527" w:right="-15"/>
              <w:rPr>
                <w:sz w:val="21"/>
              </w:rPr>
            </w:pPr>
            <w:r>
              <w:rPr>
                <w:spacing w:val="-3"/>
                <w:sz w:val="21"/>
              </w:rPr>
              <w:t>珠海祺泰宝股权投资合伙企业</w:t>
            </w:r>
            <w:r>
              <w:rPr>
                <w:sz w:val="21"/>
              </w:rPr>
              <w:t>（有限合伙</w:t>
            </w:r>
            <w:r>
              <w:rPr>
                <w:spacing w:val="-11"/>
                <w:sz w:val="21"/>
              </w:rPr>
              <w:t>）</w:t>
            </w:r>
          </w:p>
        </w:tc>
        <w:tc>
          <w:tcPr>
            <w:tcW w:w="1837" w:type="dxa"/>
          </w:tcPr>
          <w:p>
            <w:pPr>
              <w:pStyle w:val="TableParagraph"/>
              <w:spacing w:before="3"/>
              <w:ind w:left="635" w:right="206"/>
              <w:jc w:val="center"/>
              <w:rPr>
                <w:sz w:val="21"/>
              </w:rPr>
            </w:pPr>
            <w:r>
              <w:rPr>
                <w:sz w:val="21"/>
              </w:rPr>
              <w:t>1.6205％</w:t>
            </w:r>
          </w:p>
        </w:tc>
      </w:tr>
      <w:tr>
        <w:trPr>
          <w:trHeight w:val="408" w:hRule="atLeast"/>
        </w:trPr>
        <w:tc>
          <w:tcPr>
            <w:tcW w:w="4488" w:type="dxa"/>
          </w:tcPr>
          <w:p>
            <w:pPr>
              <w:pStyle w:val="TableParagraph"/>
              <w:spacing w:before="3"/>
              <w:ind w:left="527" w:right="-15"/>
              <w:rPr>
                <w:sz w:val="21"/>
              </w:rPr>
            </w:pPr>
            <w:r>
              <w:rPr>
                <w:spacing w:val="-3"/>
                <w:sz w:val="21"/>
              </w:rPr>
              <w:t>珠海祺丰宝股权投资合伙企业</w:t>
            </w:r>
            <w:r>
              <w:rPr>
                <w:sz w:val="21"/>
              </w:rPr>
              <w:t>（有限合伙</w:t>
            </w:r>
            <w:r>
              <w:rPr>
                <w:spacing w:val="-11"/>
                <w:sz w:val="21"/>
              </w:rPr>
              <w:t>）</w:t>
            </w:r>
          </w:p>
        </w:tc>
        <w:tc>
          <w:tcPr>
            <w:tcW w:w="1837" w:type="dxa"/>
          </w:tcPr>
          <w:p>
            <w:pPr>
              <w:pStyle w:val="TableParagraph"/>
              <w:spacing w:before="3"/>
              <w:ind w:left="635" w:right="206"/>
              <w:jc w:val="center"/>
              <w:rPr>
                <w:sz w:val="21"/>
              </w:rPr>
            </w:pPr>
            <w:r>
              <w:rPr>
                <w:sz w:val="21"/>
              </w:rPr>
              <w:t>1.5309％</w:t>
            </w:r>
          </w:p>
        </w:tc>
      </w:tr>
      <w:tr>
        <w:trPr>
          <w:trHeight w:val="408" w:hRule="atLeast"/>
        </w:trPr>
        <w:tc>
          <w:tcPr>
            <w:tcW w:w="4488" w:type="dxa"/>
          </w:tcPr>
          <w:p>
            <w:pPr>
              <w:pStyle w:val="TableParagraph"/>
              <w:spacing w:before="3"/>
              <w:ind w:left="527" w:right="-15"/>
              <w:rPr>
                <w:sz w:val="21"/>
              </w:rPr>
            </w:pPr>
            <w:r>
              <w:rPr>
                <w:spacing w:val="-3"/>
                <w:sz w:val="21"/>
              </w:rPr>
              <w:t>珠海聚莱康股权投资合伙企业</w:t>
            </w:r>
            <w:r>
              <w:rPr>
                <w:sz w:val="21"/>
              </w:rPr>
              <w:t>（有限合伙</w:t>
            </w:r>
            <w:r>
              <w:rPr>
                <w:spacing w:val="-11"/>
                <w:sz w:val="21"/>
              </w:rPr>
              <w:t>）</w:t>
            </w:r>
          </w:p>
        </w:tc>
        <w:tc>
          <w:tcPr>
            <w:tcW w:w="1837" w:type="dxa"/>
          </w:tcPr>
          <w:p>
            <w:pPr>
              <w:pStyle w:val="TableParagraph"/>
              <w:spacing w:before="3"/>
              <w:ind w:left="635" w:right="206"/>
              <w:jc w:val="center"/>
              <w:rPr>
                <w:sz w:val="21"/>
              </w:rPr>
            </w:pPr>
            <w:r>
              <w:rPr>
                <w:sz w:val="21"/>
              </w:rPr>
              <w:t>1.7558％</w:t>
            </w:r>
          </w:p>
        </w:tc>
      </w:tr>
      <w:tr>
        <w:trPr>
          <w:trHeight w:val="408" w:hRule="atLeast"/>
        </w:trPr>
        <w:tc>
          <w:tcPr>
            <w:tcW w:w="4488" w:type="dxa"/>
          </w:tcPr>
          <w:p>
            <w:pPr>
              <w:pStyle w:val="TableParagraph"/>
              <w:spacing w:before="3"/>
              <w:ind w:left="527" w:right="-15"/>
              <w:rPr>
                <w:sz w:val="21"/>
              </w:rPr>
            </w:pPr>
            <w:r>
              <w:rPr>
                <w:spacing w:val="-3"/>
                <w:sz w:val="21"/>
              </w:rPr>
              <w:t>珠海聚宁康股权投资合伙企业</w:t>
            </w:r>
            <w:r>
              <w:rPr>
                <w:sz w:val="21"/>
              </w:rPr>
              <w:t>（有限合伙</w:t>
            </w:r>
            <w:r>
              <w:rPr>
                <w:spacing w:val="-11"/>
                <w:sz w:val="21"/>
              </w:rPr>
              <w:t>）</w:t>
            </w:r>
          </w:p>
        </w:tc>
        <w:tc>
          <w:tcPr>
            <w:tcW w:w="1837" w:type="dxa"/>
          </w:tcPr>
          <w:p>
            <w:pPr>
              <w:pStyle w:val="TableParagraph"/>
              <w:spacing w:before="3"/>
              <w:ind w:left="635" w:right="206"/>
              <w:jc w:val="center"/>
              <w:rPr>
                <w:sz w:val="21"/>
              </w:rPr>
            </w:pPr>
            <w:r>
              <w:rPr>
                <w:sz w:val="21"/>
              </w:rPr>
              <w:t>1.4396％</w:t>
            </w:r>
          </w:p>
        </w:tc>
      </w:tr>
      <w:tr>
        <w:trPr>
          <w:trHeight w:val="408" w:hRule="atLeast"/>
        </w:trPr>
        <w:tc>
          <w:tcPr>
            <w:tcW w:w="4488" w:type="dxa"/>
          </w:tcPr>
          <w:p>
            <w:pPr>
              <w:pStyle w:val="TableParagraph"/>
              <w:spacing w:before="3"/>
              <w:ind w:left="527" w:right="-15"/>
              <w:rPr>
                <w:sz w:val="21"/>
              </w:rPr>
            </w:pPr>
            <w:r>
              <w:rPr>
                <w:spacing w:val="-3"/>
                <w:sz w:val="21"/>
              </w:rPr>
              <w:t>珠海聚弘康股权投资合伙企业</w:t>
            </w:r>
            <w:r>
              <w:rPr>
                <w:sz w:val="21"/>
              </w:rPr>
              <w:t>（有限合伙</w:t>
            </w:r>
            <w:r>
              <w:rPr>
                <w:spacing w:val="-11"/>
                <w:sz w:val="21"/>
              </w:rPr>
              <w:t>）</w:t>
            </w:r>
          </w:p>
        </w:tc>
        <w:tc>
          <w:tcPr>
            <w:tcW w:w="1837" w:type="dxa"/>
          </w:tcPr>
          <w:p>
            <w:pPr>
              <w:pStyle w:val="TableParagraph"/>
              <w:spacing w:before="3"/>
              <w:ind w:left="635" w:right="206"/>
              <w:jc w:val="center"/>
              <w:rPr>
                <w:sz w:val="21"/>
              </w:rPr>
            </w:pPr>
            <w:r>
              <w:rPr>
                <w:sz w:val="21"/>
              </w:rPr>
              <w:t>1.5388％</w:t>
            </w:r>
          </w:p>
        </w:tc>
      </w:tr>
      <w:tr>
        <w:trPr>
          <w:trHeight w:val="408" w:hRule="atLeast"/>
        </w:trPr>
        <w:tc>
          <w:tcPr>
            <w:tcW w:w="4488" w:type="dxa"/>
          </w:tcPr>
          <w:p>
            <w:pPr>
              <w:pStyle w:val="TableParagraph"/>
              <w:spacing w:before="3"/>
              <w:ind w:left="527"/>
              <w:rPr>
                <w:sz w:val="21"/>
              </w:rPr>
            </w:pPr>
            <w:r>
              <w:rPr>
                <w:sz w:val="21"/>
              </w:rPr>
              <w:t>总计</w:t>
            </w:r>
          </w:p>
        </w:tc>
        <w:tc>
          <w:tcPr>
            <w:tcW w:w="1837" w:type="dxa"/>
          </w:tcPr>
          <w:p>
            <w:pPr>
              <w:pStyle w:val="TableParagraph"/>
              <w:spacing w:before="3"/>
              <w:ind w:left="635" w:right="206"/>
              <w:jc w:val="center"/>
              <w:rPr>
                <w:sz w:val="21"/>
              </w:rPr>
            </w:pPr>
            <w:r>
              <w:rPr>
                <w:sz w:val="21"/>
              </w:rPr>
              <w:t>100％</w:t>
            </w:r>
          </w:p>
        </w:tc>
      </w:tr>
    </w:tbl>
    <w:p>
      <w:pPr>
        <w:pStyle w:val="Heading3"/>
        <w:spacing w:before="4"/>
      </w:pPr>
      <w:bookmarkStart w:name="_bookmark4" w:id="5"/>
      <w:bookmarkEnd w:id="5"/>
      <w:r>
        <w:rPr/>
      </w:r>
      <w:r>
        <w:rPr/>
        <w:t>（二）主要人员情况</w:t>
      </w:r>
    </w:p>
    <w:p>
      <w:pPr>
        <w:pStyle w:val="BodyText"/>
        <w:spacing w:before="185"/>
        <w:ind w:left="833"/>
      </w:pPr>
      <w:r>
        <w:rPr/>
        <w:t>1、董事、监事及高级管理人员</w:t>
      </w:r>
    </w:p>
    <w:p>
      <w:pPr>
        <w:pStyle w:val="BodyText"/>
        <w:spacing w:line="364" w:lineRule="auto" w:before="139"/>
        <w:ind w:left="413" w:right="1242" w:firstLine="420"/>
      </w:pPr>
      <w:r>
        <w:rPr/>
        <w:t>詹余引先生，工商管理博士，董事长。曾任中国平安保险公司证券部研究咨询室总经 </w:t>
      </w:r>
      <w:r>
        <w:rPr>
          <w:spacing w:val="-2"/>
        </w:rPr>
        <w:t>理助理，平安证券有限责任公司研究咨询部副总经理</w:t>
      </w:r>
      <w:r>
        <w:rPr/>
        <w:t>（主持工作</w:t>
      </w:r>
      <w:r>
        <w:rPr>
          <w:spacing w:val="-105"/>
        </w:rPr>
        <w:t>）</w:t>
      </w:r>
      <w:r>
        <w:rPr>
          <w:spacing w:val="-3"/>
        </w:rPr>
        <w:t>、国债部副总经理</w:t>
      </w:r>
      <w:r>
        <w:rPr/>
        <w:t>（主持 工作</w:t>
      </w:r>
      <w:r>
        <w:rPr>
          <w:spacing w:val="-105"/>
        </w:rPr>
        <w:t>）</w:t>
      </w:r>
      <w:r>
        <w:rPr>
          <w:spacing w:val="-4"/>
        </w:rPr>
        <w:t>、资产管理部副总经理、资产管理部总经理，中国平安保险股份有限公司投资管理部副</w:t>
      </w:r>
      <w:r>
        <w:rPr>
          <w:spacing w:val="4"/>
        </w:rPr>
        <w:t>总经理</w:t>
      </w:r>
      <w:r>
        <w:rPr>
          <w:spacing w:val="5"/>
        </w:rPr>
        <w:t>（</w:t>
      </w:r>
      <w:r>
        <w:rPr>
          <w:spacing w:val="4"/>
        </w:rPr>
        <w:t>主持工作</w:t>
      </w:r>
      <w:r>
        <w:rPr>
          <w:spacing w:val="-101"/>
        </w:rPr>
        <w:t>）</w:t>
      </w:r>
      <w:r>
        <w:rPr>
          <w:spacing w:val="2"/>
        </w:rPr>
        <w:t>，全国社会保障基金理事会投资部资产配置处处长、投资部副主任、境外投资部主任、投资部主任、证券投资部主任。现任易方达基金管理有限公司董事长，</w:t>
      </w:r>
    </w:p>
    <w:p>
      <w:pPr>
        <w:spacing w:after="0" w:line="364" w:lineRule="auto"/>
        <w:sectPr>
          <w:pgSz w:w="11910" w:h="16840"/>
          <w:pgMar w:header="0" w:footer="1166" w:top="1600" w:bottom="1440" w:left="1400" w:right="360"/>
        </w:sectPr>
      </w:pPr>
    </w:p>
    <w:p>
      <w:pPr>
        <w:pStyle w:val="BodyText"/>
        <w:spacing w:before="104"/>
        <w:ind w:left="413"/>
      </w:pPr>
      <w:r>
        <w:rPr/>
        <w:t>易方达国际控股有限公司董事长。</w:t>
      </w:r>
    </w:p>
    <w:p>
      <w:pPr>
        <w:pStyle w:val="BodyText"/>
        <w:spacing w:line="364" w:lineRule="auto" w:before="139"/>
        <w:ind w:left="413" w:right="1242" w:firstLine="420"/>
      </w:pPr>
      <w:r>
        <w:rPr/>
        <w:t>刘晓艳女士，经济学博士，副董事长、总裁。曾任广发证券有限责任公司投资理财部 副经理、基金经理、基金投资理财部副总经理，易方达基金管理有限公司督察员、监察部 总经理、市场部总经理、总裁助理、副总裁、常务副总裁，易方达资产管理有限公司董事， 易方达资产管理（香港）有限公司董事长。现任易方达基金管理有限公司副董事长、总裁， 易方达国际控股有限公司董事。</w:t>
      </w:r>
    </w:p>
    <w:p>
      <w:pPr>
        <w:pStyle w:val="BodyText"/>
        <w:spacing w:line="364" w:lineRule="auto"/>
        <w:ind w:left="413" w:right="1451" w:firstLine="420"/>
        <w:jc w:val="both"/>
      </w:pPr>
      <w:r>
        <w:rPr>
          <w:spacing w:val="-2"/>
        </w:rPr>
        <w:t>周泽群先生，高级管理人员工商管理硕士</w:t>
      </w:r>
      <w:r>
        <w:rPr/>
        <w:t>（EMBA</w:t>
      </w:r>
      <w:r>
        <w:rPr>
          <w:spacing w:val="-105"/>
        </w:rPr>
        <w:t>）</w:t>
      </w:r>
      <w:r>
        <w:rPr>
          <w:spacing w:val="-4"/>
        </w:rPr>
        <w:t>，董事。曾任珠海粤财实业有限公司</w:t>
      </w:r>
      <w:r>
        <w:rPr/>
        <w:t>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pPr>
        <w:pStyle w:val="BodyText"/>
        <w:spacing w:line="364" w:lineRule="auto"/>
        <w:ind w:left="413" w:right="1452" w:firstLine="420"/>
        <w:jc w:val="both"/>
      </w:pPr>
      <w:r>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证券资产管理（广东）有限公司董事长。现任易方达基金管理有限公司董事，广发证券股份有限公司执行董事、常务副总经理，广发控股（香港）有限公司董事长。</w:t>
      </w:r>
    </w:p>
    <w:p>
      <w:pPr>
        <w:pStyle w:val="BodyText"/>
        <w:spacing w:line="364" w:lineRule="auto"/>
        <w:ind w:left="413" w:right="1452" w:firstLine="420"/>
        <w:jc w:val="both"/>
      </w:pPr>
      <w:r>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pPr>
        <w:pStyle w:val="BodyText"/>
        <w:spacing w:line="364" w:lineRule="auto"/>
        <w:ind w:left="413" w:right="1452" w:firstLine="420"/>
        <w:jc w:val="both"/>
      </w:pPr>
      <w:r>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413" w:right="1452" w:firstLine="420"/>
        <w:jc w:val="both"/>
      </w:pPr>
      <w:r>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w:t>
      </w:r>
    </w:p>
    <w:p>
      <w:pPr>
        <w:pStyle w:val="BodyText"/>
        <w:spacing w:line="364" w:lineRule="auto"/>
        <w:ind w:left="413" w:right="1451" w:firstLine="420"/>
      </w:pPr>
      <w:r>
        <w:rPr>
          <w:spacing w:val="-2"/>
        </w:rPr>
        <w:t>谭劲松先生，管理学博士</w:t>
      </w:r>
      <w:r>
        <w:rPr/>
        <w:t>（会计学</w:t>
      </w:r>
      <w:r>
        <w:rPr>
          <w:spacing w:val="-105"/>
        </w:rPr>
        <w:t>）</w:t>
      </w:r>
      <w:r>
        <w:rPr>
          <w:spacing w:val="-5"/>
        </w:rPr>
        <w:t>，独立董事。曾任邵阳市财会学校教师，中山大学</w:t>
      </w:r>
      <w:r>
        <w:rPr/>
        <w:t>管理学院助教、讲师、副教授。现任易方达基金管理有限公司独立董事，中山大学管理学</w:t>
      </w:r>
    </w:p>
    <w:p>
      <w:pPr>
        <w:spacing w:after="0" w:line="364" w:lineRule="auto"/>
        <w:sectPr>
          <w:pgSz w:w="11910" w:h="16840"/>
          <w:pgMar w:header="0" w:footer="1166" w:top="1600" w:bottom="1440" w:left="1400" w:right="360"/>
        </w:sectPr>
      </w:pPr>
    </w:p>
    <w:p>
      <w:pPr>
        <w:pStyle w:val="BodyText"/>
        <w:spacing w:line="364" w:lineRule="auto" w:before="104"/>
        <w:ind w:left="413" w:right="1451"/>
        <w:jc w:val="both"/>
      </w:pPr>
      <w:r>
        <w:rPr/>
        <w:t>院教授，中远海运特种运输股份有限公司独立董事，上海莱士血液制品股份有限公司独立董事，珠海华发实业股份有限公司独立董事，广州恒运企业集团股份有限公司独立董事， </w:t>
      </w:r>
      <w:r>
        <w:rPr>
          <w:spacing w:val="-6"/>
        </w:rPr>
        <w:t>中国南方航空股份有限公司独立董事，广州环保投资集团有限公司外部董事，玉山银行</w:t>
      </w:r>
      <w:r>
        <w:rPr/>
        <w:t>（</w:t>
      </w:r>
      <w:r>
        <w:rPr>
          <w:spacing w:val="-14"/>
        </w:rPr>
        <w:t>中</w:t>
      </w:r>
      <w:r>
        <w:rPr/>
        <w:t>国）有限公司独立董事，广东粤财金融租赁股份有限公司独立董事，中新广州知识城投资开发有限公司监事，美的置业控股有限公司独立非执行董事，中信证券华南股份有限公司独立董事。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413" w:right="1452" w:firstLine="420"/>
        <w:jc w:val="both"/>
      </w:pPr>
      <w:r>
        <w:rPr/>
        <w:t>庄伟燕女士，法学博士，独立董事。曾任广东省妇女联合会干部，广东鸿鼎律师事务所主任，广东广悦鸿鼎律师事务所管委会主任。现任易方达基金管理有限公司独立董事， 广东广信君达律师事务所高级合伙人。</w:t>
      </w:r>
    </w:p>
    <w:p>
      <w:pPr>
        <w:pStyle w:val="BodyText"/>
        <w:spacing w:line="364" w:lineRule="auto"/>
        <w:ind w:left="413" w:right="1242" w:firstLine="420"/>
      </w:pPr>
      <w:r>
        <w:rPr/>
        <w:t>刘发宏先生，工商管理硕士，监事会主席。曾任天津商学院团总支书记兼政治辅导员、人事处干部，海南省三亚国际奥林匹克射击娱乐中心会计主管，三英（珠海）纺织有限公 司财务主管，珠海市饼业食品有限公司财务部长、审计部长，珠海市国弘财务顾问有限公 司项目经理，珠海市迪威有限公司会计师，珠海市卡都九洲食品有限公司财务总监，珠海 格力集团（派驻下属企业）财务总监，珠海市国资委（派驻国有企业）财务总监，珠海港 置业开发有限公司总经理，酒鬼酒股份有限公司副总经理，广东粤财投资控股有限公司审 计部总经理，广东粤财信托有限公司党委委员、副书记。现任易方达基金管理有限公司监 事会主席，广东粤财投资控股有限公司党委办主任、人力资源部总经理，广东粤财信托有 限公司董事。</w:t>
      </w:r>
    </w:p>
    <w:p>
      <w:pPr>
        <w:pStyle w:val="BodyText"/>
        <w:spacing w:line="364" w:lineRule="auto"/>
        <w:ind w:left="413" w:right="1452"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pPr>
        <w:pStyle w:val="BodyText"/>
        <w:spacing w:line="364" w:lineRule="auto"/>
        <w:ind w:left="413" w:right="1346" w:firstLine="420"/>
        <w:jc w:val="both"/>
      </w:pPr>
      <w:r>
        <w:rPr/>
        <w:t>陈国祥先生，经济学硕士，监事。曾任交通银行广州分行江南西营业部经理，广东粤财信托投资公司证券部副总经理、基金部总经理，易方达基金管理有限公司市场拓展部总</w:t>
      </w:r>
      <w:r>
        <w:rPr>
          <w:spacing w:val="-5"/>
        </w:rPr>
        <w:t>经理、总裁助理、市场总监。现任易方达基金管理有限公司监事、党群工作部联席总经理。</w:t>
      </w:r>
    </w:p>
    <w:p>
      <w:pPr>
        <w:pStyle w:val="BodyText"/>
        <w:spacing w:line="364" w:lineRule="auto"/>
        <w:ind w:left="413" w:right="1452"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pPr>
        <w:pStyle w:val="BodyText"/>
        <w:spacing w:line="364" w:lineRule="auto"/>
        <w:ind w:left="413" w:right="1452" w:firstLine="420"/>
      </w:pPr>
      <w:r>
        <w:rPr/>
        <w:t>邓志盛先生，经济学研究生，监事。曾任广东证监会信息部部长，中国证监会广州证管办机构二处处长，金鹰基金管理有限公司副总经理，易方达基金管理有限公司综合管理</w:t>
      </w:r>
    </w:p>
    <w:p>
      <w:pPr>
        <w:spacing w:after="0" w:line="364" w:lineRule="auto"/>
        <w:sectPr>
          <w:pgSz w:w="11910" w:h="16840"/>
          <w:pgMar w:header="0" w:footer="1166" w:top="1600" w:bottom="1440" w:left="1400" w:right="360"/>
        </w:sectPr>
      </w:pPr>
    </w:p>
    <w:p>
      <w:pPr>
        <w:pStyle w:val="BodyText"/>
        <w:spacing w:line="364" w:lineRule="auto" w:before="104"/>
        <w:ind w:left="413" w:right="1452"/>
      </w:pPr>
      <w:r>
        <w:rPr/>
        <w:t>部总经理、董事会秘书。现任易方达基金管理有限公司监事、行政总监、党群工作部总经理。</w:t>
      </w:r>
    </w:p>
    <w:p>
      <w:pPr>
        <w:pStyle w:val="BodyText"/>
        <w:spacing w:line="364" w:lineRule="auto"/>
        <w:ind w:left="413" w:right="1242" w:firstLine="420"/>
      </w:pPr>
      <w:r>
        <w:rPr>
          <w:spacing w:val="5"/>
        </w:rPr>
        <w:t>马骏先生，工商管理硕士（</w:t>
      </w:r>
      <w:r>
        <w:rPr/>
        <w:t>EMB</w:t>
      </w:r>
      <w:r>
        <w:rPr>
          <w:spacing w:val="5"/>
        </w:rPr>
        <w:t>A</w:t>
      </w:r>
      <w:r>
        <w:rPr>
          <w:spacing w:val="-100"/>
        </w:rPr>
        <w:t>）</w:t>
      </w:r>
      <w:r>
        <w:rPr>
          <w:spacing w:val="4"/>
        </w:rPr>
        <w:t>，常务副总裁。曾任君安证券有限公司营业部职员，深圳众大投资有限公司投资部副总经理，广发证券有限责任公司研究员，易方达基金管理 有限公司基金经理、固定收益部总经理、现金管理部总经理、固定收益总部总经理、总裁 助理、固定收益投资总监、固定收益首席投资官，易方达资产管理有限公司董事。现任易 方达基金管理有限公司常务副总裁、固定收益投资决策委员会委员，易方达资产管理（香 </w:t>
      </w:r>
      <w:r>
        <w:rPr>
          <w:spacing w:val="5"/>
        </w:rPr>
        <w:t>港）有限公司董事长、人民币合格境外投资者</w:t>
      </w:r>
      <w:r>
        <w:rPr>
          <w:spacing w:val="2"/>
        </w:rPr>
        <w:t>（RQFII）</w:t>
      </w:r>
      <w:r>
        <w:rPr>
          <w:spacing w:val="4"/>
        </w:rPr>
        <w:t>业务负责人、证券交易负责人员</w:t>
      </w:r>
    </w:p>
    <w:p>
      <w:pPr>
        <w:pStyle w:val="BodyText"/>
        <w:spacing w:line="364" w:lineRule="auto"/>
        <w:ind w:left="413" w:right="1451"/>
      </w:pPr>
      <w:r>
        <w:rPr/>
        <w:t>（RO</w:t>
      </w:r>
      <w:r>
        <w:rPr>
          <w:spacing w:val="-105"/>
        </w:rPr>
        <w:t>）</w:t>
      </w:r>
      <w:r>
        <w:rPr>
          <w:spacing w:val="-3"/>
        </w:rPr>
        <w:t>、就证券提供意见负责人员</w:t>
      </w:r>
      <w:r>
        <w:rPr/>
        <w:t>（RO</w:t>
      </w:r>
      <w:r>
        <w:rPr>
          <w:spacing w:val="-105"/>
        </w:rPr>
        <w:t>）</w:t>
      </w:r>
      <w:r>
        <w:rPr>
          <w:spacing w:val="-3"/>
        </w:rPr>
        <w:t>、提供资产管理负责人员</w:t>
      </w:r>
      <w:r>
        <w:rPr/>
        <w:t>（RO</w:t>
      </w:r>
      <w:r>
        <w:rPr>
          <w:spacing w:val="-105"/>
        </w:rPr>
        <w:t>）</w:t>
      </w:r>
      <w:r>
        <w:rPr>
          <w:spacing w:val="-4"/>
        </w:rPr>
        <w:t>、固定收益投资决策</w:t>
      </w:r>
      <w:r>
        <w:rPr/>
        <w:t>委员会委员、产品审批委员会委员。</w:t>
      </w:r>
    </w:p>
    <w:p>
      <w:pPr>
        <w:pStyle w:val="BodyText"/>
        <w:spacing w:line="364" w:lineRule="auto"/>
        <w:ind w:left="413" w:right="1452" w:firstLine="420"/>
        <w:jc w:val="both"/>
      </w:pPr>
      <w:r>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pPr>
        <w:pStyle w:val="BodyText"/>
        <w:spacing w:line="364" w:lineRule="auto"/>
        <w:ind w:left="413" w:right="1452" w:firstLine="420"/>
        <w:jc w:val="both"/>
      </w:pPr>
      <w:r>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pPr>
        <w:pStyle w:val="BodyText"/>
        <w:spacing w:line="364" w:lineRule="auto"/>
        <w:ind w:left="413" w:right="1452" w:firstLine="420"/>
        <w:jc w:val="both"/>
      </w:pPr>
      <w:r>
        <w:rPr/>
        <w:t>张南女士，经济学博士，督察长。曾任广东省经济贸易委员会主任科员、副处长，易方达基金管理有限公司市场拓展部副总经理、监察部总经理。现任易方达基金管理有限公司督察长。</w:t>
      </w:r>
    </w:p>
    <w:p>
      <w:pPr>
        <w:pStyle w:val="BodyText"/>
        <w:spacing w:line="364" w:lineRule="auto"/>
        <w:ind w:left="413" w:right="1452" w:firstLine="420"/>
        <w:jc w:val="both"/>
      </w:pPr>
      <w:r>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pPr>
        <w:pStyle w:val="BodyText"/>
        <w:spacing w:line="364" w:lineRule="auto"/>
        <w:ind w:left="413" w:right="1451" w:firstLine="420"/>
        <w:jc w:val="both"/>
      </w:pPr>
      <w:r>
        <w:rPr>
          <w:spacing w:val="-2"/>
        </w:rPr>
        <w:t>高松凡先生，工商管理硕士</w:t>
      </w:r>
      <w:r>
        <w:rPr/>
        <w:t>（EMBA</w:t>
      </w:r>
      <w:r>
        <w:rPr>
          <w:spacing w:val="-105"/>
        </w:rPr>
        <w:t>）</w:t>
      </w:r>
      <w:r>
        <w:rPr>
          <w:spacing w:val="-4"/>
        </w:rPr>
        <w:t>，副总经理级高级管理人员。曾任招商银行总行人</w:t>
      </w:r>
      <w:r>
        <w:rPr/>
        <w:t>事部高级经理、企业年金中心副主任，浦东发展银行总行企业年金部总经理，长江养老保险公司首席市场总监，易方达基金管理有限公司养老金业务总监。现任易方达基金管理有限公司副总经理级高级管理人员。</w:t>
      </w:r>
    </w:p>
    <w:p>
      <w:pPr>
        <w:pStyle w:val="BodyText"/>
        <w:spacing w:line="267" w:lineRule="exact"/>
        <w:ind w:left="833"/>
      </w:pPr>
      <w:r>
        <w:rPr/>
        <w:t>关秀霞女士，工商管理硕士、金融学硕士，副总经理级高级管理人员。曾任中国银行</w:t>
      </w:r>
    </w:p>
    <w:p>
      <w:pPr>
        <w:spacing w:after="0" w:line="267" w:lineRule="exact"/>
        <w:sectPr>
          <w:pgSz w:w="11910" w:h="16840"/>
          <w:pgMar w:header="0" w:footer="1166" w:top="1600" w:bottom="1440" w:left="1400" w:right="360"/>
        </w:sectPr>
      </w:pPr>
    </w:p>
    <w:p>
      <w:pPr>
        <w:pStyle w:val="BodyText"/>
        <w:spacing w:line="364" w:lineRule="auto" w:before="104"/>
        <w:ind w:left="413" w:right="1451"/>
        <w:jc w:val="both"/>
      </w:pPr>
      <w:r>
        <w:rPr/>
        <w:t>（香港</w:t>
      </w:r>
      <w:r>
        <w:rPr>
          <w:spacing w:val="-23"/>
        </w:rPr>
        <w:t>）</w:t>
      </w:r>
      <w:r>
        <w:rPr>
          <w:spacing w:val="-1"/>
        </w:rPr>
        <w:t>有限公司分析员，</w:t>
      </w:r>
      <w:r>
        <w:rPr>
          <w:spacing w:val="-4"/>
        </w:rPr>
        <w:t>Daniel </w:t>
      </w:r>
      <w:r>
        <w:rPr/>
        <w:t>Dennis</w:t>
      </w:r>
      <w:r>
        <w:rPr>
          <w:spacing w:val="-10"/>
        </w:rPr>
        <w:t> 高级审计师，美国道富银行公司内部审计部高级</w:t>
      </w:r>
      <w:r>
        <w:rPr/>
        <w:t>审计师、美国共同基金业务风险经理、亚洲区（除日本外）机构服务主管、亚洲区（除日本外）副总裁、大中华地区董事总经理、大中华地区高级副总裁、中国区行长。现任易方达基金管理有限公司副总经理级高级管理人员。</w:t>
      </w:r>
    </w:p>
    <w:p>
      <w:pPr>
        <w:pStyle w:val="BodyText"/>
        <w:spacing w:line="364" w:lineRule="auto"/>
        <w:ind w:left="413" w:right="1452" w:firstLine="420"/>
        <w:jc w:val="both"/>
      </w:pPr>
      <w:r>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pPr>
        <w:pStyle w:val="BodyText"/>
        <w:spacing w:line="364" w:lineRule="auto"/>
        <w:ind w:left="413" w:right="1242" w:firstLine="420"/>
      </w:pPr>
      <w:r>
        <w:rPr/>
        <w:t>汪兰英女士，工学学士、法学学士，副总经理级高级管理人员。曾任中信证券股份有 限公司风险投资部投资经理助理，中国证监会基金监管部副主任科员、主任科员、副处长、</w:t>
      </w:r>
      <w:r>
        <w:rPr>
          <w:spacing w:val="-3"/>
        </w:rPr>
        <w:t>处长，中国人寿资产管理有限公司风险管理部副总经理</w:t>
      </w:r>
      <w:r>
        <w:rPr/>
        <w:t>（主持工作</w:t>
      </w:r>
      <w:r>
        <w:rPr>
          <w:spacing w:val="-105"/>
        </w:rPr>
        <w:t>）</w:t>
      </w:r>
      <w:r>
        <w:rPr>
          <w:spacing w:val="-2"/>
        </w:rPr>
        <w:t>、项目评审部副总经理</w:t>
      </w:r>
    </w:p>
    <w:p>
      <w:pPr>
        <w:pStyle w:val="BodyText"/>
        <w:spacing w:line="364" w:lineRule="auto"/>
        <w:ind w:left="413" w:right="1452"/>
        <w:jc w:val="both"/>
      </w:pPr>
      <w:r>
        <w:rPr/>
        <w:t>（主持工作</w:t>
      </w:r>
      <w:r>
        <w:rPr>
          <w:spacing w:val="-103"/>
        </w:rPr>
        <w:t>）</w:t>
      </w:r>
      <w:r>
        <w:rPr/>
        <w:t>、基金投资部副总经理（主持工作</w:t>
      </w:r>
      <w:r>
        <w:rPr>
          <w:spacing w:val="-103"/>
        </w:rPr>
        <w:t>）</w:t>
      </w:r>
      <w:r>
        <w:rPr/>
        <w:t>。现任易方达基金管理有限公司副总经理级高级管理人员、指数投资决策委员会委员、多资产投资决策委员会委员，易方达资产管理有限公司董事。</w:t>
      </w:r>
    </w:p>
    <w:p>
      <w:pPr>
        <w:pStyle w:val="BodyText"/>
        <w:spacing w:line="364" w:lineRule="auto"/>
        <w:ind w:left="413" w:right="1452" w:firstLine="420"/>
        <w:jc w:val="both"/>
      </w:pPr>
      <w:r>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pPr>
        <w:pStyle w:val="BodyText"/>
        <w:spacing w:line="364" w:lineRule="auto"/>
        <w:ind w:left="413" w:right="1452" w:firstLine="420"/>
        <w:jc w:val="both"/>
      </w:pPr>
      <w:r>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pPr>
        <w:pStyle w:val="BodyText"/>
        <w:spacing w:line="364" w:lineRule="auto"/>
        <w:ind w:left="413" w:right="1452" w:firstLine="420"/>
        <w:jc w:val="both"/>
      </w:pPr>
      <w:r>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pPr>
        <w:pStyle w:val="BodyText"/>
        <w:spacing w:line="364" w:lineRule="auto"/>
        <w:ind w:left="413" w:right="1452" w:firstLine="420"/>
        <w:jc w:val="both"/>
      </w:pPr>
      <w:r>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pPr>
        <w:pStyle w:val="BodyText"/>
        <w:spacing w:line="364" w:lineRule="auto"/>
        <w:ind w:left="413" w:right="1452" w:firstLine="420"/>
        <w:jc w:val="both"/>
      </w:pPr>
      <w:r>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2"/>
      </w:pPr>
      <w:r>
        <w:rPr/>
        <w:t>易方达基金管理有限公司副总经理级高级管理人员、研究部总经理、权益投资决策委员会委员、基金经理。</w:t>
      </w:r>
    </w:p>
    <w:p>
      <w:pPr>
        <w:pStyle w:val="BodyText"/>
        <w:spacing w:line="364" w:lineRule="auto"/>
        <w:ind w:left="413" w:right="1452" w:firstLine="420"/>
        <w:jc w:val="both"/>
      </w:pPr>
      <w:r>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pPr>
        <w:pStyle w:val="BodyText"/>
        <w:spacing w:line="267" w:lineRule="exact"/>
        <w:ind w:left="833"/>
      </w:pPr>
      <w:r>
        <w:rPr/>
        <w:t>2、基金经理</w:t>
      </w:r>
    </w:p>
    <w:p>
      <w:pPr>
        <w:pStyle w:val="BodyText"/>
        <w:spacing w:line="364" w:lineRule="auto" w:before="138"/>
        <w:ind w:left="413" w:right="1451" w:firstLine="420"/>
        <w:jc w:val="both"/>
      </w:pPr>
      <w:r>
        <w:rPr>
          <w:spacing w:val="-5"/>
        </w:rPr>
        <w:t>余海燕女士，经济学硕士。曾任汇丰银行 </w:t>
      </w:r>
      <w:r>
        <w:rPr/>
        <w:t>Consumer Credit Risk</w:t>
      </w:r>
      <w:r>
        <w:rPr>
          <w:spacing w:val="-9"/>
        </w:rPr>
        <w:t> 信用风险分析师，华</w:t>
      </w:r>
      <w:r>
        <w:rPr/>
        <w:t>宝兴业基金管理有限公司分析师、基金经理助理、基金经理，易方达基金管理有限公司投资发展部产品经理。现任易方达基金管理有限公司指数投资部副总经理、指数投资决策委</w:t>
      </w:r>
      <w:r>
        <w:rPr>
          <w:spacing w:val="-11"/>
        </w:rPr>
        <w:t>员会委员、易方达沪深 </w:t>
      </w:r>
      <w:r>
        <w:rPr/>
        <w:t>300</w:t>
      </w:r>
      <w:r>
        <w:rPr>
          <w:spacing w:val="-10"/>
        </w:rPr>
        <w:t> 医药卫生交易型开放式指数证券投资基金基金经理</w:t>
      </w:r>
      <w:r>
        <w:rPr/>
        <w:t>（</w:t>
      </w:r>
      <w:r>
        <w:rPr>
          <w:spacing w:val="-27"/>
        </w:rPr>
        <w:t>自 </w:t>
      </w:r>
      <w:r>
        <w:rPr/>
        <w:t>2013</w:t>
      </w:r>
      <w:r>
        <w:rPr>
          <w:spacing w:val="-27"/>
        </w:rPr>
        <w:t> 年9</w:t>
      </w:r>
      <w:r>
        <w:rPr>
          <w:spacing w:val="-33"/>
        </w:rPr>
        <w:t> 月 </w:t>
      </w:r>
      <w:r>
        <w:rPr/>
        <w:t>23</w:t>
      </w:r>
      <w:r>
        <w:rPr>
          <w:spacing w:val="-9"/>
        </w:rPr>
        <w:t> 日起任职</w:t>
      </w:r>
      <w:r>
        <w:rPr>
          <w:spacing w:val="-101"/>
        </w:rPr>
        <w:t>）</w:t>
      </w:r>
      <w:r>
        <w:rPr>
          <w:spacing w:val="-6"/>
        </w:rPr>
        <w:t>、易方达沪深 </w:t>
      </w:r>
      <w:r>
        <w:rPr/>
        <w:t>300</w:t>
      </w:r>
      <w:r>
        <w:rPr>
          <w:spacing w:val="-5"/>
        </w:rPr>
        <w:t> 非银行金融交易型开放式指数证券投资基金基金经理</w:t>
      </w:r>
    </w:p>
    <w:p>
      <w:pPr>
        <w:pStyle w:val="BodyText"/>
        <w:spacing w:line="364" w:lineRule="auto"/>
        <w:ind w:left="413" w:right="1451"/>
        <w:jc w:val="both"/>
      </w:pPr>
      <w:r>
        <w:rPr/>
        <w:t>（</w:t>
      </w:r>
      <w:r>
        <w:rPr>
          <w:spacing w:val="-27"/>
        </w:rPr>
        <w:t>自 </w:t>
      </w:r>
      <w:r>
        <w:rPr/>
        <w:t>2014</w:t>
      </w:r>
      <w:r>
        <w:rPr>
          <w:spacing w:val="-36"/>
        </w:rPr>
        <w:t> 年 </w:t>
      </w:r>
      <w:r>
        <w:rPr/>
        <w:t>6</w:t>
      </w:r>
      <w:r>
        <w:rPr>
          <w:spacing w:val="-36"/>
        </w:rPr>
        <w:t> 月 </w:t>
      </w:r>
      <w:r>
        <w:rPr/>
        <w:t>26</w:t>
      </w:r>
      <w:r>
        <w:rPr>
          <w:spacing w:val="-12"/>
        </w:rPr>
        <w:t> 日起任职</w:t>
      </w:r>
      <w:r>
        <w:rPr>
          <w:spacing w:val="-105"/>
        </w:rPr>
        <w:t>）</w:t>
      </w:r>
      <w:r>
        <w:rPr>
          <w:spacing w:val="-11"/>
        </w:rPr>
        <w:t>、易方达沪深 </w:t>
      </w:r>
      <w:r>
        <w:rPr/>
        <w:t>300</w:t>
      </w:r>
      <w:r>
        <w:rPr>
          <w:spacing w:val="-9"/>
        </w:rPr>
        <w:t> 非银行金融交易型开放式指数证券投资基</w:t>
      </w:r>
      <w:r>
        <w:rPr/>
        <w:t>金联接基金基金经理（</w:t>
      </w:r>
      <w:r>
        <w:rPr>
          <w:spacing w:val="-22"/>
        </w:rPr>
        <w:t>自 </w:t>
      </w:r>
      <w:r>
        <w:rPr/>
        <w:t>2015</w:t>
      </w:r>
      <w:r>
        <w:rPr>
          <w:spacing w:val="-30"/>
        </w:rPr>
        <w:t> 年 </w:t>
      </w:r>
      <w:r>
        <w:rPr/>
        <w:t>1</w:t>
      </w:r>
      <w:r>
        <w:rPr>
          <w:spacing w:val="-29"/>
        </w:rPr>
        <w:t> 月 </w:t>
      </w:r>
      <w:r>
        <w:rPr/>
        <w:t>22</w:t>
      </w:r>
      <w:r>
        <w:rPr>
          <w:spacing w:val="-10"/>
        </w:rPr>
        <w:t> 日起任职</w:t>
      </w:r>
      <w:r>
        <w:rPr>
          <w:spacing w:val="-103"/>
        </w:rPr>
        <w:t>）</w:t>
      </w:r>
      <w:r>
        <w:rPr>
          <w:spacing w:val="-7"/>
        </w:rPr>
        <w:t>、易方达上证 </w:t>
      </w:r>
      <w:r>
        <w:rPr/>
        <w:t>50</w:t>
      </w:r>
      <w:r>
        <w:rPr>
          <w:spacing w:val="-7"/>
        </w:rPr>
        <w:t> 指数分级证券投资基</w:t>
      </w:r>
      <w:r>
        <w:rPr>
          <w:spacing w:val="-8"/>
        </w:rPr>
        <w:t>金基金经理</w:t>
      </w:r>
      <w:r>
        <w:rPr/>
        <w:t>（</w:t>
      </w:r>
      <w:r>
        <w:rPr>
          <w:spacing w:val="-27"/>
        </w:rPr>
        <w:t>自 </w:t>
      </w:r>
      <w:r>
        <w:rPr/>
        <w:t>2015</w:t>
      </w:r>
      <w:r>
        <w:rPr>
          <w:spacing w:val="-36"/>
        </w:rPr>
        <w:t> 年 </w:t>
      </w:r>
      <w:r>
        <w:rPr/>
        <w:t>4</w:t>
      </w:r>
      <w:r>
        <w:rPr>
          <w:spacing w:val="-36"/>
        </w:rPr>
        <w:t> 月 </w:t>
      </w:r>
      <w:r>
        <w:rPr/>
        <w:t>15</w:t>
      </w:r>
      <w:r>
        <w:rPr>
          <w:spacing w:val="-12"/>
        </w:rPr>
        <w:t> 日起任职</w:t>
      </w:r>
      <w:r>
        <w:rPr>
          <w:spacing w:val="-105"/>
        </w:rPr>
        <w:t>）</w:t>
      </w:r>
      <w:r>
        <w:rPr>
          <w:spacing w:val="-4"/>
        </w:rPr>
        <w:t>、易方达国企改革指数分级证券投资基金基金经</w:t>
      </w:r>
      <w:r>
        <w:rPr/>
        <w:t>理（</w:t>
      </w:r>
      <w:r>
        <w:rPr>
          <w:spacing w:val="-22"/>
        </w:rPr>
        <w:t>自 </w:t>
      </w:r>
      <w:r>
        <w:rPr/>
        <w:t>2015</w:t>
      </w:r>
      <w:r>
        <w:rPr>
          <w:spacing w:val="-29"/>
        </w:rPr>
        <w:t> 年 </w:t>
      </w:r>
      <w:r>
        <w:rPr/>
        <w:t>6</w:t>
      </w:r>
      <w:r>
        <w:rPr>
          <w:spacing w:val="-29"/>
        </w:rPr>
        <w:t> 月 </w:t>
      </w:r>
      <w:r>
        <w:rPr/>
        <w:t>15</w:t>
      </w:r>
      <w:r>
        <w:rPr>
          <w:spacing w:val="-10"/>
        </w:rPr>
        <w:t> 日起任职</w:t>
      </w:r>
      <w:r>
        <w:rPr>
          <w:spacing w:val="-103"/>
        </w:rPr>
        <w:t>）</w:t>
      </w:r>
      <w:r>
        <w:rPr/>
        <w:t>、易方达军工指数分级证券投资基金基金经理（</w:t>
      </w:r>
      <w:r>
        <w:rPr>
          <w:spacing w:val="-22"/>
        </w:rPr>
        <w:t>自 </w:t>
      </w:r>
      <w:r>
        <w:rPr/>
        <w:t>2015</w:t>
      </w:r>
    </w:p>
    <w:p>
      <w:pPr>
        <w:pStyle w:val="BodyText"/>
        <w:spacing w:line="364" w:lineRule="auto"/>
        <w:ind w:left="413" w:right="1451"/>
        <w:jc w:val="both"/>
      </w:pPr>
      <w:r>
        <w:rPr>
          <w:spacing w:val="-23"/>
        </w:rPr>
        <w:t>年 </w:t>
      </w:r>
      <w:r>
        <w:rPr/>
        <w:t>7</w:t>
      </w:r>
      <w:r>
        <w:rPr>
          <w:spacing w:val="-31"/>
        </w:rPr>
        <w:t> 月 </w:t>
      </w:r>
      <w:r>
        <w:rPr/>
        <w:t>8</w:t>
      </w:r>
      <w:r>
        <w:rPr>
          <w:spacing w:val="-10"/>
        </w:rPr>
        <w:t> 日起任职</w:t>
      </w:r>
      <w:r>
        <w:rPr>
          <w:spacing w:val="-103"/>
        </w:rPr>
        <w:t>）</w:t>
      </w:r>
      <w:r>
        <w:rPr/>
        <w:t>、易方达证券公司指数分级证券投资基金基金经理（</w:t>
      </w:r>
      <w:r>
        <w:rPr>
          <w:spacing w:val="-23"/>
        </w:rPr>
        <w:t>自 </w:t>
      </w:r>
      <w:r>
        <w:rPr/>
        <w:t>2015</w:t>
      </w:r>
      <w:r>
        <w:rPr>
          <w:spacing w:val="-31"/>
        </w:rPr>
        <w:t> 年 </w:t>
      </w:r>
      <w:r>
        <w:rPr/>
        <w:t>7</w:t>
      </w:r>
      <w:r>
        <w:rPr>
          <w:spacing w:val="-31"/>
        </w:rPr>
        <w:t> 月 </w:t>
      </w:r>
      <w:r>
        <w:rPr/>
        <w:t>8 日起任职</w:t>
      </w:r>
      <w:r>
        <w:rPr>
          <w:spacing w:val="-105"/>
        </w:rPr>
        <w:t>）</w:t>
      </w:r>
      <w:r>
        <w:rPr>
          <w:spacing w:val="-17"/>
        </w:rPr>
        <w:t>、易方达沪深 </w:t>
      </w:r>
      <w:r>
        <w:rPr/>
        <w:t>300</w:t>
      </w:r>
      <w:r>
        <w:rPr>
          <w:spacing w:val="-11"/>
        </w:rPr>
        <w:t> 交易型开放式指数发起式证券投资基金基金经理</w:t>
      </w:r>
      <w:r>
        <w:rPr/>
        <w:t>（</w:t>
      </w:r>
      <w:r>
        <w:rPr>
          <w:spacing w:val="-27"/>
        </w:rPr>
        <w:t>自 </w:t>
      </w:r>
      <w:r>
        <w:rPr/>
        <w:t>2016</w:t>
      </w:r>
      <w:r>
        <w:rPr>
          <w:spacing w:val="-36"/>
        </w:rPr>
        <w:t> 年 </w:t>
      </w:r>
      <w:r>
        <w:rPr/>
        <w:t>4 </w:t>
      </w:r>
      <w:r>
        <w:rPr>
          <w:spacing w:val="-19"/>
        </w:rPr>
        <w:t>月 </w:t>
      </w:r>
      <w:r>
        <w:rPr/>
        <w:t>16</w:t>
      </w:r>
      <w:r>
        <w:rPr>
          <w:spacing w:val="-8"/>
        </w:rPr>
        <w:t> 日起任职</w:t>
      </w:r>
      <w:r>
        <w:rPr>
          <w:spacing w:val="-103"/>
        </w:rPr>
        <w:t>）</w:t>
      </w:r>
      <w:r>
        <w:rPr>
          <w:spacing w:val="-6"/>
        </w:rPr>
        <w:t>、易方达沪深 </w:t>
      </w:r>
      <w:r>
        <w:rPr/>
        <w:t>300</w:t>
      </w:r>
      <w:r>
        <w:rPr>
          <w:spacing w:val="-6"/>
        </w:rPr>
        <w:t> 交易型开放式指数发起式证券投资基金联接基金基金经</w:t>
      </w:r>
      <w:r>
        <w:rPr>
          <w:spacing w:val="-8"/>
        </w:rPr>
        <w:t>理</w:t>
      </w:r>
      <w:r>
        <w:rPr/>
        <w:t>（</w:t>
      </w:r>
      <w:r>
        <w:rPr>
          <w:spacing w:val="-27"/>
        </w:rPr>
        <w:t>自 </w:t>
      </w:r>
      <w:r>
        <w:rPr/>
        <w:t>2016</w:t>
      </w:r>
      <w:r>
        <w:rPr>
          <w:spacing w:val="-36"/>
        </w:rPr>
        <w:t> 年 </w:t>
      </w:r>
      <w:r>
        <w:rPr/>
        <w:t>4</w:t>
      </w:r>
      <w:r>
        <w:rPr>
          <w:spacing w:val="-36"/>
        </w:rPr>
        <w:t> 月 </w:t>
      </w:r>
      <w:r>
        <w:rPr/>
        <w:t>16</w:t>
      </w:r>
      <w:r>
        <w:rPr>
          <w:spacing w:val="-12"/>
        </w:rPr>
        <w:t> 日起任职</w:t>
      </w:r>
      <w:r>
        <w:rPr>
          <w:spacing w:val="-105"/>
        </w:rPr>
        <w:t>）</w:t>
      </w:r>
      <w:r>
        <w:rPr>
          <w:spacing w:val="-11"/>
        </w:rPr>
        <w:t>、易方达中证 </w:t>
      </w:r>
      <w:r>
        <w:rPr/>
        <w:t>500</w:t>
      </w:r>
      <w:r>
        <w:rPr>
          <w:spacing w:val="-9"/>
        </w:rPr>
        <w:t> 交易型开放式指数证券投资基金基金经</w:t>
      </w:r>
      <w:r>
        <w:rPr/>
        <w:t>理（</w:t>
      </w:r>
      <w:r>
        <w:rPr>
          <w:spacing w:val="-22"/>
        </w:rPr>
        <w:t>自 </w:t>
      </w:r>
      <w:r>
        <w:rPr/>
        <w:t>2016</w:t>
      </w:r>
      <w:r>
        <w:rPr>
          <w:spacing w:val="-29"/>
        </w:rPr>
        <w:t> 年 </w:t>
      </w:r>
      <w:r>
        <w:rPr/>
        <w:t>4</w:t>
      </w:r>
      <w:r>
        <w:rPr>
          <w:spacing w:val="-30"/>
        </w:rPr>
        <w:t> 月 </w:t>
      </w:r>
      <w:r>
        <w:rPr/>
        <w:t>16</w:t>
      </w:r>
      <w:r>
        <w:rPr>
          <w:spacing w:val="-10"/>
        </w:rPr>
        <w:t> 日起任职</w:t>
      </w:r>
      <w:r>
        <w:rPr>
          <w:spacing w:val="-103"/>
        </w:rPr>
        <w:t>）</w:t>
      </w:r>
      <w:r>
        <w:rPr>
          <w:spacing w:val="-4"/>
        </w:rPr>
        <w:t>、易方达中证海外中国互联网 </w:t>
      </w:r>
      <w:r>
        <w:rPr/>
        <w:t>50</w:t>
      </w:r>
      <w:r>
        <w:rPr>
          <w:spacing w:val="-7"/>
        </w:rPr>
        <w:t> 交易型开放式指数证券</w:t>
      </w:r>
    </w:p>
    <w:p>
      <w:pPr>
        <w:pStyle w:val="BodyText"/>
        <w:spacing w:line="364" w:lineRule="auto"/>
        <w:ind w:left="413" w:right="1451"/>
        <w:jc w:val="both"/>
      </w:pPr>
      <w:r>
        <w:rPr/>
        <w:t>投资基金基金经理（</w:t>
      </w:r>
      <w:r>
        <w:rPr>
          <w:spacing w:val="-21"/>
        </w:rPr>
        <w:t>自 </w:t>
      </w:r>
      <w:r>
        <w:rPr/>
        <w:t>2017</w:t>
      </w:r>
      <w:r>
        <w:rPr>
          <w:spacing w:val="-28"/>
        </w:rPr>
        <w:t> 年 </w:t>
      </w:r>
      <w:r>
        <w:rPr/>
        <w:t>1</w:t>
      </w:r>
      <w:r>
        <w:rPr>
          <w:spacing w:val="-28"/>
        </w:rPr>
        <w:t> 月 </w:t>
      </w:r>
      <w:r>
        <w:rPr/>
        <w:t>4</w:t>
      </w:r>
      <w:r>
        <w:rPr>
          <w:spacing w:val="-9"/>
        </w:rPr>
        <w:t> 日起任职</w:t>
      </w:r>
      <w:r>
        <w:rPr>
          <w:spacing w:val="-103"/>
        </w:rPr>
        <w:t>）</w:t>
      </w:r>
      <w:r>
        <w:rPr/>
        <w:t>、易方达中证军工交易型开放式指数证券</w:t>
      </w:r>
      <w:r>
        <w:rPr>
          <w:spacing w:val="-1"/>
        </w:rPr>
        <w:t>投资基金基金经理</w:t>
      </w:r>
      <w:r>
        <w:rPr/>
        <w:t>（</w:t>
      </w:r>
      <w:r>
        <w:rPr>
          <w:spacing w:val="-27"/>
        </w:rPr>
        <w:t>自 </w:t>
      </w:r>
      <w:r>
        <w:rPr/>
        <w:t>2017</w:t>
      </w:r>
      <w:r>
        <w:rPr>
          <w:spacing w:val="-36"/>
        </w:rPr>
        <w:t> 年 </w:t>
      </w:r>
      <w:r>
        <w:rPr/>
        <w:t>7</w:t>
      </w:r>
      <w:r>
        <w:rPr>
          <w:spacing w:val="-36"/>
        </w:rPr>
        <w:t> 月 </w:t>
      </w:r>
      <w:r>
        <w:rPr/>
        <w:t>14</w:t>
      </w:r>
      <w:r>
        <w:rPr>
          <w:spacing w:val="-12"/>
        </w:rPr>
        <w:t> 日起任职</w:t>
      </w:r>
      <w:r>
        <w:rPr>
          <w:spacing w:val="-105"/>
        </w:rPr>
        <w:t>）</w:t>
      </w:r>
      <w:r>
        <w:rPr>
          <w:spacing w:val="-4"/>
        </w:rPr>
        <w:t>、易方达中证全指证券公司交易型开放式</w:t>
      </w:r>
      <w:r>
        <w:rPr>
          <w:spacing w:val="-1"/>
        </w:rPr>
        <w:t>指数证券投资基金基金经理</w:t>
      </w:r>
      <w:r>
        <w:rPr/>
        <w:t>（</w:t>
      </w:r>
      <w:r>
        <w:rPr>
          <w:spacing w:val="-27"/>
        </w:rPr>
        <w:t>自 </w:t>
      </w:r>
      <w:r>
        <w:rPr/>
        <w:t>2017</w:t>
      </w:r>
      <w:r>
        <w:rPr>
          <w:spacing w:val="-36"/>
        </w:rPr>
        <w:t> 年 </w:t>
      </w:r>
      <w:r>
        <w:rPr/>
        <w:t>7</w:t>
      </w:r>
      <w:r>
        <w:rPr>
          <w:spacing w:val="-36"/>
        </w:rPr>
        <w:t> 月 </w:t>
      </w:r>
      <w:r>
        <w:rPr/>
        <w:t>27</w:t>
      </w:r>
      <w:r>
        <w:rPr>
          <w:spacing w:val="-12"/>
        </w:rPr>
        <w:t> 日起任职</w:t>
      </w:r>
      <w:r>
        <w:rPr>
          <w:spacing w:val="-105"/>
        </w:rPr>
        <w:t>）</w:t>
      </w:r>
      <w:r>
        <w:rPr>
          <w:spacing w:val="-11"/>
        </w:rPr>
        <w:t>、易方达沪深 </w:t>
      </w:r>
      <w:r>
        <w:rPr/>
        <w:t>300</w:t>
      </w:r>
      <w:r>
        <w:rPr>
          <w:spacing w:val="-11"/>
        </w:rPr>
        <w:t> 医药卫生交易</w:t>
      </w:r>
      <w:r>
        <w:rPr/>
        <w:t>型开放式指数证券投资基金联接基金基金经理（</w:t>
      </w:r>
      <w:r>
        <w:rPr>
          <w:spacing w:val="-21"/>
        </w:rPr>
        <w:t>自 </w:t>
      </w:r>
      <w:r>
        <w:rPr/>
        <w:t>2017</w:t>
      </w:r>
      <w:r>
        <w:rPr>
          <w:spacing w:val="-28"/>
        </w:rPr>
        <w:t> 年 </w:t>
      </w:r>
      <w:r>
        <w:rPr/>
        <w:t>11</w:t>
      </w:r>
      <w:r>
        <w:rPr>
          <w:spacing w:val="-28"/>
        </w:rPr>
        <w:t> 月 </w:t>
      </w:r>
      <w:r>
        <w:rPr/>
        <w:t>22</w:t>
      </w:r>
      <w:r>
        <w:rPr>
          <w:spacing w:val="-9"/>
        </w:rPr>
        <w:t> 日起任职</w:t>
      </w:r>
      <w:r>
        <w:rPr>
          <w:spacing w:val="-103"/>
        </w:rPr>
        <w:t>）</w:t>
      </w:r>
      <w:r>
        <w:rPr/>
        <w:t>、易方达恒</w:t>
      </w:r>
      <w:r>
        <w:rPr>
          <w:spacing w:val="-1"/>
        </w:rPr>
        <w:t>生中国企业交易型开放式指数证券投资基金基金经理</w:t>
      </w: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spacing w:val="-7"/>
        </w:rPr>
        <w:t>、易方</w:t>
      </w:r>
      <w:r>
        <w:rPr/>
        <w:t>达恒生中国企业交易型开放式指数证券投资基金联接基金基金经理（</w:t>
      </w:r>
      <w:r>
        <w:rPr>
          <w:spacing w:val="-20"/>
        </w:rPr>
        <w:t>自 </w:t>
      </w:r>
      <w:r>
        <w:rPr/>
        <w:t>2018</w:t>
      </w:r>
      <w:r>
        <w:rPr>
          <w:spacing w:val="-27"/>
        </w:rPr>
        <w:t> 年 </w:t>
      </w:r>
      <w:r>
        <w:rPr/>
        <w:t>8</w:t>
      </w:r>
      <w:r>
        <w:rPr>
          <w:spacing w:val="-28"/>
        </w:rPr>
        <w:t> 月 </w:t>
      </w:r>
      <w:r>
        <w:rPr/>
        <w:t>11</w:t>
      </w:r>
      <w:r>
        <w:rPr>
          <w:spacing w:val="-20"/>
        </w:rPr>
        <w:t> 日</w:t>
      </w:r>
    </w:p>
    <w:p>
      <w:pPr>
        <w:pStyle w:val="BodyText"/>
        <w:spacing w:line="266" w:lineRule="exact"/>
        <w:ind w:left="413"/>
        <w:jc w:val="both"/>
      </w:pPr>
      <w:r>
        <w:rPr/>
        <w:t>起任职</w:t>
      </w:r>
      <w:r>
        <w:rPr>
          <w:spacing w:val="-103"/>
        </w:rPr>
        <w:t>）</w:t>
      </w:r>
      <w:r>
        <w:rPr/>
        <w:t>、易方达黄金交易型开放式证券投资基金基金经理（</w:t>
      </w:r>
      <w:r>
        <w:rPr>
          <w:spacing w:val="-21"/>
        </w:rPr>
        <w:t>自 </w:t>
      </w:r>
      <w:r>
        <w:rPr/>
        <w:t>2018</w:t>
      </w:r>
      <w:r>
        <w:rPr>
          <w:spacing w:val="-28"/>
        </w:rPr>
        <w:t> 年 </w:t>
      </w:r>
      <w:r>
        <w:rPr/>
        <w:t>8</w:t>
      </w:r>
      <w:r>
        <w:rPr>
          <w:spacing w:val="-27"/>
        </w:rPr>
        <w:t> 月 </w:t>
      </w:r>
      <w:r>
        <w:rPr/>
        <w:t>11</w:t>
      </w:r>
      <w:r>
        <w:rPr>
          <w:spacing w:val="-9"/>
        </w:rPr>
        <w:t> 日起任职</w:t>
      </w:r>
      <w:r>
        <w:rPr>
          <w:spacing w:val="-103"/>
        </w:rPr>
        <w:t>）</w:t>
      </w:r>
      <w:r>
        <w:rPr/>
        <w:t>、</w:t>
      </w:r>
    </w:p>
    <w:p>
      <w:pPr>
        <w:pStyle w:val="BodyText"/>
        <w:spacing w:before="133"/>
        <w:ind w:left="413"/>
        <w:jc w:val="both"/>
      </w:pPr>
      <w:r>
        <w:rPr>
          <w:spacing w:val="5"/>
        </w:rPr>
        <w:t>易方达黄金交易型开放式证券投资基金联接基金基金经理（</w:t>
      </w:r>
      <w:r>
        <w:rPr>
          <w:spacing w:val="-24"/>
        </w:rPr>
        <w:t>自 </w:t>
      </w:r>
      <w:r>
        <w:rPr/>
        <w:t>2018</w:t>
      </w:r>
      <w:r>
        <w:rPr>
          <w:spacing w:val="-32"/>
        </w:rPr>
        <w:t> 年 </w:t>
      </w:r>
      <w:r>
        <w:rPr/>
        <w:t>8</w:t>
      </w:r>
      <w:r>
        <w:rPr>
          <w:spacing w:val="-32"/>
        </w:rPr>
        <w:t> 月 </w:t>
      </w:r>
      <w:r>
        <w:rPr/>
        <w:t>11</w:t>
      </w:r>
      <w:r>
        <w:rPr>
          <w:spacing w:val="-7"/>
        </w:rPr>
        <w:t> 日起任职</w:t>
      </w:r>
      <w:r>
        <w:rPr>
          <w:spacing w:val="-100"/>
        </w:rPr>
        <w:t>）</w:t>
      </w:r>
      <w:r>
        <w:rPr/>
        <w:t>、</w:t>
      </w:r>
    </w:p>
    <w:p>
      <w:pPr>
        <w:pStyle w:val="BodyText"/>
        <w:spacing w:before="140"/>
        <w:ind w:left="413"/>
        <w:jc w:val="both"/>
      </w:pPr>
      <w:r>
        <w:rPr>
          <w:spacing w:val="-5"/>
        </w:rPr>
        <w:t>易方达中证海外中国互联网 </w:t>
      </w:r>
      <w:r>
        <w:rPr/>
        <w:t>50</w:t>
      </w:r>
      <w:r>
        <w:rPr>
          <w:spacing w:val="-11"/>
        </w:rPr>
        <w:t> 交易型开放式指数证券投资基金联接基金基金经理</w:t>
      </w:r>
      <w:r>
        <w:rPr/>
        <w:t>（</w:t>
      </w:r>
      <w:r>
        <w:rPr>
          <w:spacing w:val="-27"/>
        </w:rPr>
        <w:t>自 </w:t>
      </w:r>
      <w:r>
        <w:rPr/>
        <w:t>2019</w:t>
      </w:r>
    </w:p>
    <w:p>
      <w:pPr>
        <w:pStyle w:val="BodyText"/>
        <w:spacing w:line="364" w:lineRule="auto" w:before="139"/>
        <w:ind w:left="413" w:right="1451"/>
        <w:jc w:val="both"/>
      </w:pPr>
      <w:r>
        <w:rPr>
          <w:spacing w:val="-21"/>
        </w:rPr>
        <w:t>年 </w:t>
      </w:r>
      <w:r>
        <w:rPr/>
        <w:t>1</w:t>
      </w:r>
      <w:r>
        <w:rPr>
          <w:spacing w:val="-28"/>
        </w:rPr>
        <w:t> 月 </w:t>
      </w:r>
      <w:r>
        <w:rPr/>
        <w:t>18</w:t>
      </w:r>
      <w:r>
        <w:rPr>
          <w:spacing w:val="-9"/>
        </w:rPr>
        <w:t> 日起任职</w:t>
      </w:r>
      <w:r>
        <w:rPr>
          <w:spacing w:val="-103"/>
        </w:rPr>
        <w:t>）</w:t>
      </w:r>
      <w:r>
        <w:rPr>
          <w:spacing w:val="-6"/>
        </w:rPr>
        <w:t>、易方达中证 </w:t>
      </w:r>
      <w:r>
        <w:rPr/>
        <w:t>500</w:t>
      </w:r>
      <w:r>
        <w:rPr>
          <w:spacing w:val="-7"/>
        </w:rPr>
        <w:t> 交易型开放式指数证券投资基金发起式联接基金基</w:t>
      </w:r>
      <w:r>
        <w:rPr>
          <w:spacing w:val="-8"/>
        </w:rPr>
        <w:t>金经理</w:t>
      </w:r>
      <w:r>
        <w:rPr/>
        <w:t>（</w:t>
      </w:r>
      <w:r>
        <w:rPr>
          <w:spacing w:val="-27"/>
        </w:rPr>
        <w:t>自 </w:t>
      </w:r>
      <w:r>
        <w:rPr/>
        <w:t>2019</w:t>
      </w:r>
      <w:r>
        <w:rPr>
          <w:spacing w:val="-36"/>
        </w:rPr>
        <w:t> 年 </w:t>
      </w:r>
      <w:r>
        <w:rPr/>
        <w:t>3</w:t>
      </w:r>
      <w:r>
        <w:rPr>
          <w:spacing w:val="-36"/>
        </w:rPr>
        <w:t> 月 </w:t>
      </w:r>
      <w:r>
        <w:rPr/>
        <w:t>20</w:t>
      </w:r>
      <w:r>
        <w:rPr>
          <w:spacing w:val="-12"/>
        </w:rPr>
        <w:t> 日起任职</w:t>
      </w:r>
      <w:r>
        <w:rPr>
          <w:spacing w:val="-105"/>
        </w:rPr>
        <w:t>）</w:t>
      </w:r>
      <w:r>
        <w:rPr>
          <w:spacing w:val="-8"/>
        </w:rPr>
        <w:t>、易方达日兴资管日经 </w:t>
      </w:r>
      <w:r>
        <w:rPr/>
        <w:t>225</w:t>
      </w:r>
      <w:r>
        <w:rPr>
          <w:spacing w:val="-9"/>
        </w:rPr>
        <w:t> 交易型开放式指数证券投</w:t>
      </w:r>
      <w:r>
        <w:rPr/>
        <w:t>资基金（QDII）基金经理（</w:t>
      </w:r>
      <w:r>
        <w:rPr>
          <w:spacing w:val="-22"/>
        </w:rPr>
        <w:t>自 </w:t>
      </w:r>
      <w:r>
        <w:rPr/>
        <w:t>2019</w:t>
      </w:r>
      <w:r>
        <w:rPr>
          <w:spacing w:val="-30"/>
        </w:rPr>
        <w:t> 年 </w:t>
      </w:r>
      <w:r>
        <w:rPr/>
        <w:t>6</w:t>
      </w:r>
      <w:r>
        <w:rPr>
          <w:spacing w:val="-30"/>
        </w:rPr>
        <w:t> 月 </w:t>
      </w:r>
      <w:r>
        <w:rPr/>
        <w:t>12</w:t>
      </w:r>
      <w:r>
        <w:rPr>
          <w:spacing w:val="-10"/>
        </w:rPr>
        <w:t> 日起任职</w:t>
      </w:r>
      <w:r>
        <w:rPr>
          <w:spacing w:val="-103"/>
        </w:rPr>
        <w:t>）</w:t>
      </w:r>
      <w:r>
        <w:rPr>
          <w:spacing w:val="-7"/>
        </w:rPr>
        <w:t>、易方达上证 </w:t>
      </w:r>
      <w:r>
        <w:rPr/>
        <w:t>50</w:t>
      </w:r>
      <w:r>
        <w:rPr>
          <w:spacing w:val="-7"/>
        </w:rPr>
        <w:t> 交易型开放式指</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1"/>
      </w:pPr>
      <w:r>
        <w:rPr>
          <w:spacing w:val="-1"/>
        </w:rPr>
        <w:t>数证券投资基金基金经理</w:t>
      </w:r>
      <w:r>
        <w:rPr/>
        <w:t>（</w:t>
      </w:r>
      <w:r>
        <w:rPr>
          <w:spacing w:val="-27"/>
        </w:rPr>
        <w:t>自 </w:t>
      </w:r>
      <w:r>
        <w:rPr/>
        <w:t>2019</w:t>
      </w:r>
      <w:r>
        <w:rPr>
          <w:spacing w:val="-36"/>
        </w:rPr>
        <w:t> 年 </w:t>
      </w:r>
      <w:r>
        <w:rPr/>
        <w:t>9</w:t>
      </w:r>
      <w:r>
        <w:rPr>
          <w:spacing w:val="-36"/>
        </w:rPr>
        <w:t> 月 </w:t>
      </w:r>
      <w:r>
        <w:rPr/>
        <w:t>6</w:t>
      </w:r>
      <w:r>
        <w:rPr>
          <w:spacing w:val="-12"/>
        </w:rPr>
        <w:t> 日起任职</w:t>
      </w:r>
      <w:r>
        <w:rPr>
          <w:spacing w:val="-105"/>
        </w:rPr>
        <w:t>）</w:t>
      </w:r>
      <w:r>
        <w:rPr>
          <w:spacing w:val="-11"/>
        </w:rPr>
        <w:t>、易方达上证 </w:t>
      </w:r>
      <w:r>
        <w:rPr/>
        <w:t>50</w:t>
      </w:r>
      <w:r>
        <w:rPr>
          <w:spacing w:val="-9"/>
        </w:rPr>
        <w:t> 交易型开放式指数</w:t>
      </w:r>
      <w:r>
        <w:rPr/>
        <w:t>证券投资基金发起式联接基金基金经理（</w:t>
      </w:r>
      <w:r>
        <w:rPr>
          <w:spacing w:val="-27"/>
        </w:rPr>
        <w:t>自 </w:t>
      </w:r>
      <w:r>
        <w:rPr/>
        <w:t>2019</w:t>
      </w:r>
      <w:r>
        <w:rPr>
          <w:spacing w:val="-36"/>
        </w:rPr>
        <w:t> 年 </w:t>
      </w:r>
      <w:r>
        <w:rPr/>
        <w:t>9</w:t>
      </w:r>
      <w:r>
        <w:rPr>
          <w:spacing w:val="-36"/>
        </w:rPr>
        <w:t> 月 </w:t>
      </w:r>
      <w:r>
        <w:rPr/>
        <w:t>9</w:t>
      </w:r>
      <w:r>
        <w:rPr>
          <w:spacing w:val="-12"/>
        </w:rPr>
        <w:t> 日起任职</w:t>
      </w:r>
      <w:r>
        <w:rPr>
          <w:spacing w:val="-105"/>
        </w:rPr>
        <w:t>）</w:t>
      </w:r>
      <w:r>
        <w:rPr/>
        <w:t>。</w:t>
      </w:r>
    </w:p>
    <w:p>
      <w:pPr>
        <w:pStyle w:val="BodyText"/>
        <w:spacing w:line="364" w:lineRule="auto"/>
        <w:ind w:left="413" w:right="1346" w:firstLine="420"/>
      </w:pPr>
      <w:r>
        <w:rPr>
          <w:spacing w:val="-11"/>
        </w:rPr>
        <w:t>本基金历任基金经理情况：林飞，管理时间为 </w:t>
      </w:r>
      <w:r>
        <w:rPr/>
        <w:t>2009</w:t>
      </w:r>
      <w:r>
        <w:rPr>
          <w:spacing w:val="-36"/>
        </w:rPr>
        <w:t> 年 </w:t>
      </w:r>
      <w:r>
        <w:rPr/>
        <w:t>8</w:t>
      </w:r>
      <w:r>
        <w:rPr>
          <w:spacing w:val="-36"/>
        </w:rPr>
        <w:t> 月 </w:t>
      </w:r>
      <w:r>
        <w:rPr/>
        <w:t>26</w:t>
      </w:r>
      <w:r>
        <w:rPr>
          <w:spacing w:val="-27"/>
        </w:rPr>
        <w:t> 日至 </w:t>
      </w:r>
      <w:r>
        <w:rPr/>
        <w:t>2010</w:t>
      </w:r>
      <w:r>
        <w:rPr>
          <w:spacing w:val="-36"/>
        </w:rPr>
        <w:t> 年 </w:t>
      </w:r>
      <w:r>
        <w:rPr/>
        <w:t>12</w:t>
      </w:r>
      <w:r>
        <w:rPr>
          <w:spacing w:val="-36"/>
        </w:rPr>
        <w:t> 月 </w:t>
      </w:r>
      <w:r>
        <w:rPr/>
        <w:t>30</w:t>
      </w:r>
      <w:r>
        <w:rPr>
          <w:spacing w:val="-32"/>
        </w:rPr>
        <w:t> 日； </w:t>
      </w:r>
      <w:r>
        <w:rPr>
          <w:spacing w:val="-35"/>
        </w:rPr>
        <w:t>张胜记，管理时间为 </w:t>
      </w:r>
      <w:r>
        <w:rPr/>
        <w:t>2011</w:t>
      </w:r>
      <w:r>
        <w:rPr>
          <w:spacing w:val="-36"/>
        </w:rPr>
        <w:t> 年 </w:t>
      </w:r>
      <w:r>
        <w:rPr/>
        <w:t>1</w:t>
      </w:r>
      <w:r>
        <w:rPr>
          <w:spacing w:val="-36"/>
        </w:rPr>
        <w:t> 月 </w:t>
      </w:r>
      <w:r>
        <w:rPr/>
        <w:t>1</w:t>
      </w:r>
      <w:r>
        <w:rPr>
          <w:spacing w:val="-27"/>
        </w:rPr>
        <w:t> 日至 </w:t>
      </w:r>
      <w:r>
        <w:rPr/>
        <w:t>2013</w:t>
      </w:r>
      <w:r>
        <w:rPr>
          <w:spacing w:val="-36"/>
        </w:rPr>
        <w:t> 年 </w:t>
      </w:r>
      <w:r>
        <w:rPr/>
        <w:t>11</w:t>
      </w:r>
      <w:r>
        <w:rPr>
          <w:spacing w:val="-36"/>
        </w:rPr>
        <w:t> 月 </w:t>
      </w:r>
      <w:r>
        <w:rPr/>
        <w:t>13</w:t>
      </w:r>
      <w:r>
        <w:rPr>
          <w:spacing w:val="-16"/>
        </w:rPr>
        <w:t> 日；林伟斌，管理时间为 </w:t>
      </w:r>
      <w:r>
        <w:rPr/>
        <w:t>2013</w:t>
      </w:r>
      <w:r>
        <w:rPr>
          <w:spacing w:val="-27"/>
        </w:rPr>
        <w:t> 年11</w:t>
      </w:r>
      <w:r>
        <w:rPr>
          <w:spacing w:val="-36"/>
        </w:rPr>
        <w:t> 月 </w:t>
      </w:r>
      <w:r>
        <w:rPr/>
        <w:t>14</w:t>
      </w:r>
      <w:r>
        <w:rPr>
          <w:spacing w:val="-27"/>
        </w:rPr>
        <w:t> 日至 </w:t>
      </w:r>
      <w:r>
        <w:rPr/>
        <w:t>2017</w:t>
      </w:r>
      <w:r>
        <w:rPr>
          <w:spacing w:val="-36"/>
        </w:rPr>
        <w:t> 年 </w:t>
      </w:r>
      <w:r>
        <w:rPr/>
        <w:t>6</w:t>
      </w:r>
      <w:r>
        <w:rPr>
          <w:spacing w:val="-36"/>
        </w:rPr>
        <w:t> 月 </w:t>
      </w:r>
      <w:r>
        <w:rPr/>
        <w:t>22</w:t>
      </w:r>
      <w:r>
        <w:rPr>
          <w:spacing w:val="-26"/>
        </w:rPr>
        <w:t> 日；杨俊，管理时间为 </w:t>
      </w:r>
      <w:r>
        <w:rPr/>
        <w:t>2017</w:t>
      </w:r>
      <w:r>
        <w:rPr>
          <w:spacing w:val="-36"/>
        </w:rPr>
        <w:t> 年 </w:t>
      </w:r>
      <w:r>
        <w:rPr/>
        <w:t>6</w:t>
      </w:r>
      <w:r>
        <w:rPr>
          <w:spacing w:val="-36"/>
        </w:rPr>
        <w:t> 月 </w:t>
      </w:r>
      <w:r>
        <w:rPr/>
        <w:t>23</w:t>
      </w:r>
      <w:r>
        <w:rPr>
          <w:spacing w:val="-27"/>
        </w:rPr>
        <w:t> 日至 </w:t>
      </w:r>
      <w:r>
        <w:rPr/>
        <w:t>2020</w:t>
      </w:r>
      <w:r>
        <w:rPr>
          <w:spacing w:val="-36"/>
        </w:rPr>
        <w:t> 年 </w:t>
      </w:r>
      <w:r>
        <w:rPr/>
        <w:t>3</w:t>
      </w:r>
      <w:r>
        <w:rPr>
          <w:spacing w:val="-36"/>
        </w:rPr>
        <w:t> 月 </w:t>
      </w:r>
      <w:r>
        <w:rPr/>
        <w:t>17</w:t>
      </w:r>
      <w:r>
        <w:rPr>
          <w:spacing w:val="-18"/>
        </w:rPr>
        <w:t> 日。</w:t>
      </w:r>
    </w:p>
    <w:p>
      <w:pPr>
        <w:pStyle w:val="BodyText"/>
        <w:spacing w:line="268" w:lineRule="exact"/>
        <w:ind w:left="833"/>
      </w:pPr>
      <w:r>
        <w:rPr/>
        <w:t>3、指数投资决策委员会成员</w:t>
      </w:r>
    </w:p>
    <w:p>
      <w:pPr>
        <w:pStyle w:val="BodyText"/>
        <w:spacing w:line="364" w:lineRule="auto" w:before="138"/>
        <w:ind w:left="833" w:right="1962"/>
      </w:pPr>
      <w:r>
        <w:rPr/>
        <w:t>本公司指数投资决策委员会成员包括：汪兰英女士、林伟斌先生、余海燕女士。汪兰英女士，同上。</w:t>
      </w:r>
    </w:p>
    <w:p>
      <w:pPr>
        <w:pStyle w:val="BodyText"/>
        <w:spacing w:line="364" w:lineRule="auto"/>
        <w:ind w:left="413" w:right="1452" w:firstLine="420"/>
        <w:jc w:val="both"/>
      </w:pPr>
      <w:r>
        <w:rPr/>
        <w:t>林伟斌先生，经济学博士。曾任中国金融期货交易所股份有限公司研发部研究员，易方达基金管理有限公司指数与量化投资部指数量化研究员、基金经理助理、量化基金组合</w:t>
      </w:r>
      <w:r>
        <w:rPr>
          <w:spacing w:val="-1"/>
        </w:rPr>
        <w:t>部副总经理、量化策略部副总经理、指数投资部副总经理、易方达沪深 </w:t>
      </w:r>
      <w:r>
        <w:rPr/>
        <w:t>300</w:t>
      </w:r>
      <w:r>
        <w:rPr>
          <w:spacing w:val="-4"/>
        </w:rPr>
        <w:t> 交易型开放式</w:t>
      </w:r>
    </w:p>
    <w:p>
      <w:pPr>
        <w:pStyle w:val="BodyText"/>
        <w:spacing w:line="268" w:lineRule="exact"/>
        <w:ind w:left="413"/>
        <w:jc w:val="both"/>
      </w:pPr>
      <w:r>
        <w:rPr>
          <w:spacing w:val="-1"/>
        </w:rPr>
        <w:t>指数发起式证券投资基金基金经理、易方达沪深 </w:t>
      </w:r>
      <w:r>
        <w:rPr/>
        <w:t>300</w:t>
      </w:r>
      <w:r>
        <w:rPr>
          <w:spacing w:val="-4"/>
        </w:rPr>
        <w:t> 交易型开放式指数发起式证券投资基</w:t>
      </w:r>
    </w:p>
    <w:p>
      <w:pPr>
        <w:pStyle w:val="BodyText"/>
        <w:spacing w:line="364" w:lineRule="auto" w:before="139"/>
        <w:ind w:left="413" w:right="1451"/>
        <w:jc w:val="both"/>
      </w:pPr>
      <w:r>
        <w:rPr>
          <w:spacing w:val="-2"/>
        </w:rPr>
        <w:t>金联接基金基金经理、易方达中证 </w:t>
      </w:r>
      <w:r>
        <w:rPr/>
        <w:t>500</w:t>
      </w:r>
      <w:r>
        <w:rPr>
          <w:spacing w:val="-5"/>
        </w:rPr>
        <w:t> 交易型开放式指数证券投资基金基金经理、易方达黄金交易型开放式证券投资基金基金经理、易方达黄金交易型开放式证券投资基金联接基金基金经理、易方达标普医疗保健指数证券投资基金</w:t>
      </w:r>
      <w:r>
        <w:rPr/>
        <w:t>（LOF）</w:t>
      </w:r>
      <w:r>
        <w:rPr>
          <w:spacing w:val="-6"/>
        </w:rPr>
        <w:t>基金经理、易方达标普 </w:t>
      </w:r>
      <w:r>
        <w:rPr/>
        <w:t>500</w:t>
      </w:r>
      <w:r>
        <w:rPr>
          <w:spacing w:val="-35"/>
        </w:rPr>
        <w:t> 指</w:t>
      </w:r>
      <w:r>
        <w:rPr/>
        <w:t>数证券投资基金（LOF）基金经理、易方达标普生物科技指数证券投资基金（LOF）基金经</w:t>
      </w:r>
      <w:r>
        <w:rPr>
          <w:spacing w:val="-3"/>
        </w:rPr>
        <w:t>理、易方达标普信息科技指数证券投资基金</w:t>
      </w:r>
      <w:r>
        <w:rPr/>
        <w:t>（LOF）</w:t>
      </w:r>
      <w:r>
        <w:rPr>
          <w:spacing w:val="-6"/>
        </w:rPr>
        <w:t>基金经理、易方达纳斯达克 </w:t>
      </w:r>
      <w:r>
        <w:rPr/>
        <w:t>100</w:t>
      </w:r>
      <w:r>
        <w:rPr>
          <w:spacing w:val="-18"/>
        </w:rPr>
        <w:t> 指数证</w:t>
      </w:r>
      <w:r>
        <w:rPr>
          <w:spacing w:val="-1"/>
        </w:rPr>
        <w:t>券投资基金</w:t>
      </w:r>
      <w:r>
        <w:rPr/>
        <w:t>（LOF）</w:t>
      </w:r>
      <w:r>
        <w:rPr>
          <w:spacing w:val="-3"/>
        </w:rPr>
        <w:t>基金经理。现任易方达基金管理有限公司指数投资部总经理、易方达中</w:t>
      </w:r>
      <w:r>
        <w:rPr>
          <w:spacing w:val="-18"/>
        </w:rPr>
        <w:t>证 </w:t>
      </w:r>
      <w:r>
        <w:rPr/>
        <w:t>800</w:t>
      </w:r>
      <w:r>
        <w:rPr>
          <w:spacing w:val="-8"/>
        </w:rPr>
        <w:t> 交易型开放式指数证券投资基金基金经理、易方达中证 </w:t>
      </w:r>
      <w:r>
        <w:rPr/>
        <w:t>800</w:t>
      </w:r>
      <w:r>
        <w:rPr>
          <w:spacing w:val="-6"/>
        </w:rPr>
        <w:t> 交易型开放式指数证券投资基金发起式联接基金基金经理、易方达中证红利交易型开放式指数证券投资基金基金经理、易方达中证红利交易型开放式指数证券投资基金发起式联接基金基金经理。</w:t>
      </w:r>
    </w:p>
    <w:p>
      <w:pPr>
        <w:pStyle w:val="BodyText"/>
        <w:spacing w:line="265" w:lineRule="exact"/>
        <w:ind w:left="833"/>
      </w:pPr>
      <w:r>
        <w:rPr/>
        <w:t>余海燕女士，同上。</w:t>
      </w:r>
    </w:p>
    <w:p>
      <w:pPr>
        <w:pStyle w:val="BodyText"/>
        <w:spacing w:before="139"/>
        <w:ind w:left="833"/>
      </w:pPr>
      <w:r>
        <w:rPr/>
        <w:t>4、上述人员之间均不存在近亲属关系。</w:t>
      </w:r>
    </w:p>
    <w:p>
      <w:pPr>
        <w:pStyle w:val="Heading3"/>
        <w:spacing w:before="141"/>
      </w:pPr>
      <w:bookmarkStart w:name="_bookmark5" w:id="6"/>
      <w:bookmarkEnd w:id="6"/>
      <w:r>
        <w:rPr/>
      </w:r>
      <w:r>
        <w:rPr/>
        <w:t>（三）基金管理人的职责</w:t>
      </w:r>
    </w:p>
    <w:p>
      <w:pPr>
        <w:pStyle w:val="BodyText"/>
        <w:spacing w:before="185"/>
        <w:ind w:left="833"/>
      </w:pPr>
      <w:r>
        <w:rPr/>
        <w:t>1、依法募集资金，办理基金份额的发售和登记事宜；</w:t>
      </w:r>
    </w:p>
    <w:p>
      <w:pPr>
        <w:pStyle w:val="BodyText"/>
        <w:spacing w:before="139"/>
        <w:ind w:left="833"/>
      </w:pPr>
      <w:r>
        <w:rPr/>
        <w:t>2、办理基金备案手续；</w:t>
      </w:r>
    </w:p>
    <w:p>
      <w:pPr>
        <w:pStyle w:val="BodyText"/>
        <w:spacing w:before="140"/>
        <w:ind w:left="833"/>
      </w:pPr>
      <w:r>
        <w:rPr/>
        <w:t>3、对所管理的不同基金财产分别管理、分别记账，进行证券投资；</w:t>
      </w:r>
    </w:p>
    <w:p>
      <w:pPr>
        <w:pStyle w:val="BodyText"/>
        <w:spacing w:before="139"/>
        <w:ind w:left="833"/>
      </w:pPr>
      <w:r>
        <w:rPr/>
        <w:t>4、按照基金合同的约定确定基金收益分配方案，及时向基金份额持有人分配收益；</w:t>
      </w:r>
    </w:p>
    <w:p>
      <w:pPr>
        <w:pStyle w:val="BodyText"/>
        <w:spacing w:before="140"/>
        <w:ind w:left="833"/>
      </w:pPr>
      <w:r>
        <w:rPr/>
        <w:t>5、进行基金会计核算并编制基金财务会计报告；</w:t>
      </w:r>
    </w:p>
    <w:p>
      <w:pPr>
        <w:pStyle w:val="BodyText"/>
        <w:spacing w:before="139"/>
        <w:ind w:left="833"/>
      </w:pPr>
      <w:r>
        <w:rPr/>
        <w:t>6、编制季度报告、中期报告和年度报告；</w:t>
      </w:r>
    </w:p>
    <w:p>
      <w:pPr>
        <w:pStyle w:val="BodyText"/>
        <w:spacing w:before="139"/>
        <w:ind w:left="833"/>
      </w:pPr>
      <w:r>
        <w:rPr/>
        <w:t>7、计算并公告基金净值信息，确定基金份额申购、赎回价格；</w:t>
      </w:r>
    </w:p>
    <w:p>
      <w:pPr>
        <w:pStyle w:val="BodyText"/>
        <w:spacing w:before="140"/>
        <w:ind w:left="833"/>
      </w:pPr>
      <w:r>
        <w:rPr/>
        <w:t>8、办理与基金财产管理业务活动有关的信息披露事项；</w:t>
      </w:r>
    </w:p>
    <w:p>
      <w:pPr>
        <w:spacing w:after="0"/>
        <w:sectPr>
          <w:pgSz w:w="11910" w:h="16840"/>
          <w:pgMar w:header="0" w:footer="1166" w:top="1600" w:bottom="1440" w:left="1400" w:right="360"/>
        </w:sectPr>
      </w:pPr>
    </w:p>
    <w:p>
      <w:pPr>
        <w:pStyle w:val="BodyText"/>
        <w:spacing w:before="104"/>
        <w:ind w:left="833"/>
      </w:pPr>
      <w:r>
        <w:rPr/>
        <w:t>9、按照规定召集基金份额持有人大会；</w:t>
      </w:r>
    </w:p>
    <w:p>
      <w:pPr>
        <w:pStyle w:val="BodyText"/>
        <w:spacing w:before="139"/>
        <w:ind w:left="833"/>
      </w:pPr>
      <w:r>
        <w:rPr/>
        <w:t>10、保存基金财产管理业务活动的记录、账册、报表和其他相关资料；</w:t>
      </w:r>
    </w:p>
    <w:p>
      <w:pPr>
        <w:pStyle w:val="BodyText"/>
        <w:spacing w:line="364" w:lineRule="auto" w:before="140"/>
        <w:ind w:left="413" w:right="1452" w:firstLine="420"/>
      </w:pPr>
      <w:r>
        <w:rPr/>
        <w:t>11、以基金管理人名义，代表基金份额持有人利益行使诉讼权利或者实施其他法律行为；</w:t>
      </w:r>
    </w:p>
    <w:p>
      <w:pPr>
        <w:pStyle w:val="BodyText"/>
        <w:spacing w:line="268" w:lineRule="exact"/>
        <w:ind w:left="833"/>
      </w:pPr>
      <w:r>
        <w:rPr/>
        <w:t>12、国务院证券监督管理机构规定的其他职责。</w:t>
      </w:r>
    </w:p>
    <w:p>
      <w:pPr>
        <w:pStyle w:val="Heading3"/>
        <w:spacing w:before="140"/>
      </w:pPr>
      <w:bookmarkStart w:name="_bookmark6" w:id="7"/>
      <w:bookmarkEnd w:id="7"/>
      <w:r>
        <w:rPr/>
      </w:r>
      <w:r>
        <w:rPr/>
        <w:t>（四）基金管理人的承诺</w:t>
      </w:r>
    </w:p>
    <w:p>
      <w:pPr>
        <w:pStyle w:val="BodyText"/>
        <w:spacing w:line="364" w:lineRule="auto" w:before="185"/>
        <w:ind w:left="413" w:right="1242" w:firstLine="420"/>
      </w:pPr>
      <w:r>
        <w:rPr/>
        <w:t>1</w:t>
      </w:r>
      <w:r>
        <w:rPr>
          <w:spacing w:val="-4"/>
        </w:rPr>
        <w:t>、本基金管理人承诺严格遵守现行有效的相关法律、法规、规章、基金合同和中国证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413" w:right="1451" w:firstLine="420"/>
      </w:pPr>
      <w:r>
        <w:rPr/>
        <w:t>2</w:t>
      </w:r>
      <w:r>
        <w:rPr>
          <w:spacing w:val="-16"/>
        </w:rPr>
        <w:t>、本基金管理人承诺严格遵守《证券法》、《基金法》及有关法律法规，建立健全内部</w:t>
      </w:r>
      <w:r>
        <w:rPr/>
        <w:t>控制制度，采取有效措施，防止下列行为发生：</w:t>
      </w:r>
    </w:p>
    <w:p>
      <w:pPr>
        <w:pStyle w:val="ListParagraph"/>
        <w:numPr>
          <w:ilvl w:val="0"/>
          <w:numId w:val="1"/>
        </w:numPr>
        <w:tabs>
          <w:tab w:pos="1548" w:val="left" w:leader="none"/>
        </w:tabs>
        <w:spacing w:line="268" w:lineRule="exact" w:before="0" w:after="0"/>
        <w:ind w:left="1548" w:right="0" w:hanging="715"/>
        <w:jc w:val="left"/>
        <w:rPr>
          <w:sz w:val="21"/>
        </w:rPr>
      </w:pPr>
      <w:r>
        <w:rPr>
          <w:sz w:val="21"/>
        </w:rPr>
        <w:t>将其固有财产或者他人财产混同于基金财产从事证券投资；</w:t>
      </w:r>
    </w:p>
    <w:p>
      <w:pPr>
        <w:pStyle w:val="ListParagraph"/>
        <w:numPr>
          <w:ilvl w:val="0"/>
          <w:numId w:val="1"/>
        </w:numPr>
        <w:tabs>
          <w:tab w:pos="1548" w:val="left" w:leader="none"/>
        </w:tabs>
        <w:spacing w:line="240" w:lineRule="auto" w:before="138" w:after="0"/>
        <w:ind w:left="1548" w:right="0" w:hanging="715"/>
        <w:jc w:val="left"/>
        <w:rPr>
          <w:sz w:val="21"/>
        </w:rPr>
      </w:pPr>
      <w:r>
        <w:rPr>
          <w:sz w:val="21"/>
        </w:rPr>
        <w:t>不公平地对待其管理的不同基金财产；</w:t>
      </w:r>
    </w:p>
    <w:p>
      <w:pPr>
        <w:pStyle w:val="ListParagraph"/>
        <w:numPr>
          <w:ilvl w:val="0"/>
          <w:numId w:val="1"/>
        </w:numPr>
        <w:tabs>
          <w:tab w:pos="1548" w:val="left" w:leader="none"/>
        </w:tabs>
        <w:spacing w:line="240" w:lineRule="auto" w:before="140" w:after="0"/>
        <w:ind w:left="1548" w:right="0" w:hanging="715"/>
        <w:jc w:val="left"/>
        <w:rPr>
          <w:sz w:val="21"/>
        </w:rPr>
      </w:pPr>
      <w:r>
        <w:rPr>
          <w:sz w:val="21"/>
        </w:rPr>
        <w:t>利用基金财产或者职务之便为基金份额持有人以外的第三人谋取利益；</w:t>
      </w:r>
    </w:p>
    <w:p>
      <w:pPr>
        <w:pStyle w:val="ListParagraph"/>
        <w:numPr>
          <w:ilvl w:val="0"/>
          <w:numId w:val="1"/>
        </w:numPr>
        <w:tabs>
          <w:tab w:pos="1548" w:val="left" w:leader="none"/>
        </w:tabs>
        <w:spacing w:line="240" w:lineRule="auto" w:before="139" w:after="0"/>
        <w:ind w:left="1548" w:right="0" w:hanging="715"/>
        <w:jc w:val="left"/>
        <w:rPr>
          <w:sz w:val="21"/>
        </w:rPr>
      </w:pPr>
      <w:r>
        <w:rPr>
          <w:sz w:val="21"/>
        </w:rPr>
        <w:t>向基金份额持有人违规承诺收益或者承担损失；</w:t>
      </w:r>
    </w:p>
    <w:p>
      <w:pPr>
        <w:pStyle w:val="ListParagraph"/>
        <w:numPr>
          <w:ilvl w:val="0"/>
          <w:numId w:val="1"/>
        </w:numPr>
        <w:tabs>
          <w:tab w:pos="1548" w:val="left" w:leader="none"/>
        </w:tabs>
        <w:spacing w:line="240" w:lineRule="auto" w:before="140" w:after="0"/>
        <w:ind w:left="1548" w:right="0" w:hanging="715"/>
        <w:jc w:val="left"/>
        <w:rPr>
          <w:sz w:val="21"/>
        </w:rPr>
      </w:pPr>
      <w:r>
        <w:rPr>
          <w:sz w:val="21"/>
        </w:rPr>
        <w:t>侵占、挪用基金财产；</w:t>
      </w:r>
    </w:p>
    <w:p>
      <w:pPr>
        <w:pStyle w:val="ListParagraph"/>
        <w:numPr>
          <w:ilvl w:val="0"/>
          <w:numId w:val="1"/>
        </w:numPr>
        <w:tabs>
          <w:tab w:pos="1548" w:val="left" w:leader="none"/>
        </w:tabs>
        <w:spacing w:line="364" w:lineRule="auto" w:before="139" w:after="0"/>
        <w:ind w:left="1547" w:right="1452" w:hanging="714"/>
        <w:jc w:val="left"/>
        <w:rPr>
          <w:sz w:val="21"/>
        </w:rPr>
      </w:pPr>
      <w:r>
        <w:rPr>
          <w:spacing w:val="-1"/>
          <w:sz w:val="21"/>
        </w:rPr>
        <w:t>泄露因职务便利获取的未公开信息、利用该信息从事或者明示、暗示他人从事</w:t>
      </w:r>
      <w:r>
        <w:rPr>
          <w:sz w:val="21"/>
        </w:rPr>
        <w:t>相关的交易活动；</w:t>
      </w:r>
    </w:p>
    <w:p>
      <w:pPr>
        <w:pStyle w:val="ListParagraph"/>
        <w:numPr>
          <w:ilvl w:val="0"/>
          <w:numId w:val="1"/>
        </w:numPr>
        <w:tabs>
          <w:tab w:pos="1548" w:val="left" w:leader="none"/>
        </w:tabs>
        <w:spacing w:line="268" w:lineRule="exact" w:before="0" w:after="0"/>
        <w:ind w:left="1548" w:right="0" w:hanging="715"/>
        <w:jc w:val="left"/>
        <w:rPr>
          <w:sz w:val="21"/>
        </w:rPr>
      </w:pPr>
      <w:r>
        <w:rPr>
          <w:sz w:val="21"/>
        </w:rPr>
        <w:t>玩忽职守，不按照规定履行职责；</w:t>
      </w:r>
    </w:p>
    <w:p>
      <w:pPr>
        <w:pStyle w:val="ListParagraph"/>
        <w:numPr>
          <w:ilvl w:val="0"/>
          <w:numId w:val="1"/>
        </w:numPr>
        <w:tabs>
          <w:tab w:pos="1548" w:val="left" w:leader="none"/>
        </w:tabs>
        <w:spacing w:line="240" w:lineRule="auto" w:before="139" w:after="0"/>
        <w:ind w:left="1548" w:right="0" w:hanging="715"/>
        <w:jc w:val="left"/>
        <w:rPr>
          <w:sz w:val="21"/>
        </w:rPr>
      </w:pPr>
      <w:r>
        <w:rPr>
          <w:sz w:val="21"/>
        </w:rPr>
        <w:t>法律、行政法规和中国证监会规定禁止的其他行为。</w:t>
      </w:r>
    </w:p>
    <w:p>
      <w:pPr>
        <w:pStyle w:val="BodyText"/>
        <w:spacing w:line="364" w:lineRule="auto" w:before="140"/>
        <w:ind w:left="413" w:right="1429"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366" w:val="left" w:leader="none"/>
        </w:tabs>
        <w:spacing w:line="268" w:lineRule="exact" w:before="0" w:after="0"/>
        <w:ind w:left="1366" w:right="0" w:hanging="527"/>
        <w:jc w:val="left"/>
        <w:rPr>
          <w:sz w:val="21"/>
        </w:rPr>
      </w:pPr>
      <w:r>
        <w:rPr>
          <w:sz w:val="21"/>
        </w:rPr>
        <w:t>越权或违规经营；</w:t>
      </w:r>
    </w:p>
    <w:p>
      <w:pPr>
        <w:pStyle w:val="ListParagraph"/>
        <w:numPr>
          <w:ilvl w:val="0"/>
          <w:numId w:val="2"/>
        </w:numPr>
        <w:tabs>
          <w:tab w:pos="1366" w:val="left" w:leader="none"/>
        </w:tabs>
        <w:spacing w:line="240" w:lineRule="auto" w:before="139" w:after="0"/>
        <w:ind w:left="1366" w:right="0" w:hanging="527"/>
        <w:jc w:val="left"/>
        <w:rPr>
          <w:sz w:val="21"/>
        </w:rPr>
      </w:pPr>
      <w:r>
        <w:rPr>
          <w:sz w:val="21"/>
        </w:rPr>
        <w:t>违反基金合同或托管协议；</w:t>
      </w:r>
    </w:p>
    <w:p>
      <w:pPr>
        <w:pStyle w:val="ListParagraph"/>
        <w:numPr>
          <w:ilvl w:val="0"/>
          <w:numId w:val="2"/>
        </w:numPr>
        <w:tabs>
          <w:tab w:pos="1366" w:val="left" w:leader="none"/>
        </w:tabs>
        <w:spacing w:line="240" w:lineRule="auto" w:before="140" w:after="0"/>
        <w:ind w:left="1366" w:right="0" w:hanging="527"/>
        <w:jc w:val="left"/>
        <w:rPr>
          <w:sz w:val="21"/>
        </w:rPr>
      </w:pPr>
      <w:r>
        <w:rPr>
          <w:sz w:val="21"/>
        </w:rPr>
        <w:t>故意损害基金份额持有人或其他基金相关机构的合法利益；</w:t>
      </w:r>
    </w:p>
    <w:p>
      <w:pPr>
        <w:pStyle w:val="ListParagraph"/>
        <w:numPr>
          <w:ilvl w:val="0"/>
          <w:numId w:val="2"/>
        </w:numPr>
        <w:tabs>
          <w:tab w:pos="1366" w:val="left" w:leader="none"/>
        </w:tabs>
        <w:spacing w:line="240" w:lineRule="auto" w:before="139" w:after="0"/>
        <w:ind w:left="1366" w:right="0" w:hanging="527"/>
        <w:jc w:val="left"/>
        <w:rPr>
          <w:sz w:val="21"/>
        </w:rPr>
      </w:pPr>
      <w:r>
        <w:rPr>
          <w:sz w:val="21"/>
        </w:rPr>
        <w:t>在向中国证监会报送的资料中弄虚作假；</w:t>
      </w:r>
    </w:p>
    <w:p>
      <w:pPr>
        <w:pStyle w:val="ListParagraph"/>
        <w:numPr>
          <w:ilvl w:val="0"/>
          <w:numId w:val="2"/>
        </w:numPr>
        <w:tabs>
          <w:tab w:pos="1366" w:val="left" w:leader="none"/>
        </w:tabs>
        <w:spacing w:line="240" w:lineRule="auto" w:before="140" w:after="0"/>
        <w:ind w:left="1366" w:right="0" w:hanging="527"/>
        <w:jc w:val="left"/>
        <w:rPr>
          <w:sz w:val="21"/>
        </w:rPr>
      </w:pPr>
      <w:r>
        <w:rPr>
          <w:sz w:val="21"/>
        </w:rPr>
        <w:t>拒绝、干扰、阻挠或严重影响中国证监会依法监管；</w:t>
      </w:r>
    </w:p>
    <w:p>
      <w:pPr>
        <w:pStyle w:val="ListParagraph"/>
        <w:numPr>
          <w:ilvl w:val="0"/>
          <w:numId w:val="2"/>
        </w:numPr>
        <w:tabs>
          <w:tab w:pos="1366" w:val="left" w:leader="none"/>
        </w:tabs>
        <w:spacing w:line="240" w:lineRule="auto" w:before="139" w:after="0"/>
        <w:ind w:left="1366" w:right="0" w:hanging="527"/>
        <w:jc w:val="left"/>
        <w:rPr>
          <w:sz w:val="21"/>
        </w:rPr>
      </w:pPr>
      <w:r>
        <w:rPr>
          <w:sz w:val="21"/>
        </w:rPr>
        <w:t>玩忽职守、滥用职权；</w:t>
      </w:r>
    </w:p>
    <w:p>
      <w:pPr>
        <w:pStyle w:val="ListParagraph"/>
        <w:numPr>
          <w:ilvl w:val="0"/>
          <w:numId w:val="2"/>
        </w:numPr>
        <w:tabs>
          <w:tab w:pos="1366" w:val="left" w:leader="none"/>
        </w:tabs>
        <w:spacing w:line="364" w:lineRule="auto" w:before="139" w:after="0"/>
        <w:ind w:left="413" w:right="1452" w:firstLine="426"/>
        <w:jc w:val="left"/>
        <w:rPr>
          <w:sz w:val="21"/>
        </w:rPr>
      </w:pPr>
      <w:r>
        <w:rPr>
          <w:spacing w:val="-5"/>
          <w:sz w:val="21"/>
        </w:rPr>
        <w:t>违反现行有效的有关法律、法规、规章、基金合同和中国证监会的有关规定，泄</w:t>
      </w:r>
      <w:r>
        <w:rPr>
          <w:sz w:val="21"/>
        </w:rPr>
        <w:t>漏在任职期间知悉的有关证券、基金的商业秘密，尚未依法公开的基金投资内容、基金投资计划等信息；</w:t>
      </w:r>
    </w:p>
    <w:p>
      <w:pPr>
        <w:pStyle w:val="ListParagraph"/>
        <w:numPr>
          <w:ilvl w:val="0"/>
          <w:numId w:val="2"/>
        </w:numPr>
        <w:tabs>
          <w:tab w:pos="1365" w:val="left" w:leader="none"/>
        </w:tabs>
        <w:spacing w:line="268" w:lineRule="exact" w:before="0" w:after="0"/>
        <w:ind w:left="1364" w:right="0" w:hanging="527"/>
        <w:jc w:val="left"/>
        <w:rPr>
          <w:sz w:val="21"/>
        </w:rPr>
      </w:pPr>
      <w:r>
        <w:rPr>
          <w:spacing w:val="-3"/>
          <w:sz w:val="21"/>
        </w:rPr>
        <w:t>违反证券交易场所业务规则，利用对敲、倒仓等手段操纵市场价格，扰乱市场秩</w:t>
      </w:r>
    </w:p>
    <w:p>
      <w:pPr>
        <w:spacing w:after="0" w:line="268" w:lineRule="exact"/>
        <w:jc w:val="left"/>
        <w:rPr>
          <w:sz w:val="21"/>
        </w:rPr>
        <w:sectPr>
          <w:pgSz w:w="11910" w:h="16840"/>
          <w:pgMar w:header="0" w:footer="1166" w:top="1600" w:bottom="1440" w:left="1400" w:right="360"/>
        </w:sectPr>
      </w:pPr>
    </w:p>
    <w:p>
      <w:pPr>
        <w:pStyle w:val="BodyText"/>
        <w:spacing w:before="104"/>
        <w:ind w:left="413"/>
      </w:pPr>
      <w:r>
        <w:rPr/>
        <w:t>序；</w:t>
      </w:r>
    </w:p>
    <w:p>
      <w:pPr>
        <w:pStyle w:val="ListParagraph"/>
        <w:numPr>
          <w:ilvl w:val="0"/>
          <w:numId w:val="2"/>
        </w:numPr>
        <w:tabs>
          <w:tab w:pos="1365" w:val="left" w:leader="none"/>
        </w:tabs>
        <w:spacing w:line="240" w:lineRule="auto" w:before="139" w:after="0"/>
        <w:ind w:left="1364" w:right="0" w:hanging="527"/>
        <w:jc w:val="left"/>
        <w:rPr>
          <w:sz w:val="21"/>
        </w:rPr>
      </w:pPr>
      <w:r>
        <w:rPr>
          <w:sz w:val="21"/>
        </w:rPr>
        <w:t>贬损同行，以抬高自己；</w:t>
      </w:r>
    </w:p>
    <w:p>
      <w:pPr>
        <w:pStyle w:val="ListParagraph"/>
        <w:numPr>
          <w:ilvl w:val="0"/>
          <w:numId w:val="2"/>
        </w:numPr>
        <w:tabs>
          <w:tab w:pos="1470" w:val="left" w:leader="none"/>
        </w:tabs>
        <w:spacing w:line="240" w:lineRule="auto" w:before="140" w:after="0"/>
        <w:ind w:left="1469" w:right="0" w:hanging="632"/>
        <w:jc w:val="left"/>
        <w:rPr>
          <w:sz w:val="21"/>
        </w:rPr>
      </w:pPr>
      <w:r>
        <w:rPr>
          <w:sz w:val="21"/>
        </w:rPr>
        <w:t>以不正当手段谋求业务发展；</w:t>
      </w:r>
    </w:p>
    <w:p>
      <w:pPr>
        <w:pStyle w:val="ListParagraph"/>
        <w:numPr>
          <w:ilvl w:val="0"/>
          <w:numId w:val="2"/>
        </w:numPr>
        <w:tabs>
          <w:tab w:pos="1470" w:val="left" w:leader="none"/>
        </w:tabs>
        <w:spacing w:line="240" w:lineRule="auto" w:before="139" w:after="0"/>
        <w:ind w:left="1469" w:right="0" w:hanging="632"/>
        <w:jc w:val="left"/>
        <w:rPr>
          <w:sz w:val="21"/>
        </w:rPr>
      </w:pPr>
      <w:r>
        <w:rPr>
          <w:sz w:val="21"/>
        </w:rPr>
        <w:t>有悖社会公德，损害证券投资基金人员形象；</w:t>
      </w:r>
    </w:p>
    <w:p>
      <w:pPr>
        <w:pStyle w:val="ListParagraph"/>
        <w:numPr>
          <w:ilvl w:val="0"/>
          <w:numId w:val="2"/>
        </w:numPr>
        <w:tabs>
          <w:tab w:pos="1470" w:val="left" w:leader="none"/>
        </w:tabs>
        <w:spacing w:line="240" w:lineRule="auto" w:before="140" w:after="0"/>
        <w:ind w:left="1469" w:right="0" w:hanging="632"/>
        <w:jc w:val="left"/>
        <w:rPr>
          <w:sz w:val="21"/>
        </w:rPr>
      </w:pPr>
      <w:r>
        <w:rPr>
          <w:sz w:val="21"/>
        </w:rPr>
        <w:t>在公开信息披露和广告中故意含有虚假、误导、欺诈成分；</w:t>
      </w:r>
    </w:p>
    <w:p>
      <w:pPr>
        <w:pStyle w:val="ListParagraph"/>
        <w:numPr>
          <w:ilvl w:val="0"/>
          <w:numId w:val="2"/>
        </w:numPr>
        <w:tabs>
          <w:tab w:pos="1470" w:val="left" w:leader="none"/>
        </w:tabs>
        <w:spacing w:line="240" w:lineRule="auto" w:before="139" w:after="0"/>
        <w:ind w:left="1469" w:right="0" w:hanging="632"/>
        <w:jc w:val="left"/>
        <w:rPr>
          <w:sz w:val="21"/>
        </w:rPr>
      </w:pPr>
      <w:r>
        <w:rPr>
          <w:sz w:val="21"/>
        </w:rPr>
        <w:t>其他法律、行政法规以及中国证监会禁止的行为。</w:t>
      </w:r>
    </w:p>
    <w:p>
      <w:pPr>
        <w:pStyle w:val="BodyText"/>
        <w:spacing w:before="140"/>
        <w:ind w:left="833"/>
      </w:pPr>
      <w:r>
        <w:rPr/>
        <w:t>4、基金经理承诺</w:t>
      </w:r>
    </w:p>
    <w:p>
      <w:pPr>
        <w:pStyle w:val="ListParagraph"/>
        <w:numPr>
          <w:ilvl w:val="0"/>
          <w:numId w:val="3"/>
        </w:numPr>
        <w:tabs>
          <w:tab w:pos="1360" w:val="left" w:leader="none"/>
        </w:tabs>
        <w:spacing w:line="364" w:lineRule="auto" w:before="139" w:after="0"/>
        <w:ind w:left="413" w:right="1451" w:firstLine="420"/>
        <w:jc w:val="left"/>
        <w:rPr>
          <w:sz w:val="21"/>
        </w:rPr>
      </w:pPr>
      <w:r>
        <w:rPr>
          <w:spacing w:val="-3"/>
          <w:sz w:val="21"/>
        </w:rPr>
        <w:t>依照有关法律、法规和基金合同的规定，本着谨慎的原则为基金份额持有人谋取</w:t>
      </w:r>
      <w:r>
        <w:rPr>
          <w:sz w:val="21"/>
        </w:rPr>
        <w:t>最大利益；</w:t>
      </w:r>
    </w:p>
    <w:p>
      <w:pPr>
        <w:pStyle w:val="ListParagraph"/>
        <w:numPr>
          <w:ilvl w:val="0"/>
          <w:numId w:val="3"/>
        </w:numPr>
        <w:tabs>
          <w:tab w:pos="1360" w:val="left" w:leader="none"/>
        </w:tabs>
        <w:spacing w:line="268" w:lineRule="exact" w:before="0" w:after="0"/>
        <w:ind w:left="1360" w:right="0" w:hanging="527"/>
        <w:jc w:val="left"/>
        <w:rPr>
          <w:sz w:val="21"/>
        </w:rPr>
      </w:pPr>
      <w:r>
        <w:rPr>
          <w:sz w:val="21"/>
        </w:rPr>
        <w:t>不利用职务之便为自己及其代理人、受雇人或任何第三人谋取利益；</w:t>
      </w:r>
    </w:p>
    <w:p>
      <w:pPr>
        <w:pStyle w:val="ListParagraph"/>
        <w:numPr>
          <w:ilvl w:val="0"/>
          <w:numId w:val="3"/>
        </w:numPr>
        <w:tabs>
          <w:tab w:pos="1375" w:val="left" w:leader="none"/>
        </w:tabs>
        <w:spacing w:line="364" w:lineRule="auto" w:before="139" w:after="0"/>
        <w:ind w:left="413" w:right="1242" w:firstLine="420"/>
        <w:jc w:val="left"/>
        <w:rPr>
          <w:sz w:val="21"/>
        </w:rPr>
      </w:pPr>
      <w:r>
        <w:rPr>
          <w:spacing w:val="4"/>
          <w:sz w:val="21"/>
        </w:rPr>
        <w:t>不违反现行有效的有关法律、法规、规章、基金合同和中国证监会的有关规定， 泄漏在任职期间知悉的有关证券、基金的商业秘密、尚未依法公开的基金投资内容、基金 投资计划等信息；</w:t>
      </w:r>
    </w:p>
    <w:p>
      <w:pPr>
        <w:pStyle w:val="ListParagraph"/>
        <w:numPr>
          <w:ilvl w:val="0"/>
          <w:numId w:val="3"/>
        </w:numPr>
        <w:tabs>
          <w:tab w:pos="1360" w:val="left" w:leader="none"/>
        </w:tabs>
        <w:spacing w:line="268" w:lineRule="exact" w:before="0" w:after="0"/>
        <w:ind w:left="1360" w:right="0" w:hanging="527"/>
        <w:jc w:val="left"/>
        <w:rPr>
          <w:sz w:val="21"/>
        </w:rPr>
      </w:pPr>
      <w:r>
        <w:rPr>
          <w:sz w:val="21"/>
        </w:rPr>
        <w:t>不从事损害基金财产和基金份额持有人利益的证券交易及其他活动。</w:t>
      </w:r>
    </w:p>
    <w:p>
      <w:pPr>
        <w:pStyle w:val="Heading3"/>
        <w:spacing w:before="141"/>
      </w:pPr>
      <w:bookmarkStart w:name="_bookmark7" w:id="8"/>
      <w:bookmarkEnd w:id="8"/>
      <w:r>
        <w:rPr/>
      </w:r>
      <w:r>
        <w:rPr/>
        <w:t>（五）基金管理人的内部控制制度</w:t>
      </w:r>
    </w:p>
    <w:p>
      <w:pPr>
        <w:pStyle w:val="BodyText"/>
        <w:spacing w:line="364" w:lineRule="auto" w:before="185"/>
        <w:ind w:left="413" w:right="1452" w:firstLine="420"/>
        <w:jc w:val="both"/>
      </w:pPr>
      <w:r>
        <w:rPr/>
        <w:t>为保证公司规范化运作，有效地防范和化解经营风险，促进公司诚信、合法、有效经营，保障基金份额持有人利益，维护公司及公司股东的合法权益，本基金管理人建立了科学、严密、高效的内部控制体系。</w:t>
      </w:r>
    </w:p>
    <w:p>
      <w:pPr>
        <w:pStyle w:val="BodyText"/>
        <w:spacing w:line="268" w:lineRule="exact"/>
        <w:ind w:left="833"/>
      </w:pPr>
      <w:r>
        <w:rPr/>
        <w:t>1、公司内部控制的总体目标</w:t>
      </w:r>
    </w:p>
    <w:p>
      <w:pPr>
        <w:pStyle w:val="ListParagraph"/>
        <w:numPr>
          <w:ilvl w:val="0"/>
          <w:numId w:val="4"/>
        </w:numPr>
        <w:tabs>
          <w:tab w:pos="1407" w:val="left" w:leader="none"/>
        </w:tabs>
        <w:spacing w:line="240" w:lineRule="auto" w:before="139" w:after="0"/>
        <w:ind w:left="1407" w:right="0" w:hanging="568"/>
        <w:jc w:val="left"/>
        <w:rPr>
          <w:sz w:val="21"/>
        </w:rPr>
      </w:pPr>
      <w:r>
        <w:rPr>
          <w:sz w:val="21"/>
        </w:rPr>
        <w:t>保证公司经营管理活动的合法合规性；</w:t>
      </w:r>
    </w:p>
    <w:p>
      <w:pPr>
        <w:pStyle w:val="ListParagraph"/>
        <w:numPr>
          <w:ilvl w:val="0"/>
          <w:numId w:val="4"/>
        </w:numPr>
        <w:tabs>
          <w:tab w:pos="1407" w:val="left" w:leader="none"/>
        </w:tabs>
        <w:spacing w:line="240" w:lineRule="auto" w:before="140" w:after="0"/>
        <w:ind w:left="1407" w:right="0" w:hanging="568"/>
        <w:jc w:val="left"/>
        <w:rPr>
          <w:sz w:val="21"/>
        </w:rPr>
      </w:pPr>
      <w:r>
        <w:rPr>
          <w:sz w:val="21"/>
        </w:rPr>
        <w:t>保证基金份额持有人的合法权益不受侵犯；</w:t>
      </w:r>
    </w:p>
    <w:p>
      <w:pPr>
        <w:pStyle w:val="ListParagraph"/>
        <w:numPr>
          <w:ilvl w:val="0"/>
          <w:numId w:val="4"/>
        </w:numPr>
        <w:tabs>
          <w:tab w:pos="1407" w:val="left" w:leader="none"/>
        </w:tabs>
        <w:spacing w:line="240" w:lineRule="auto" w:before="139" w:after="0"/>
        <w:ind w:left="1407" w:right="0" w:hanging="568"/>
        <w:jc w:val="left"/>
        <w:rPr>
          <w:sz w:val="21"/>
        </w:rPr>
      </w:pPr>
      <w:r>
        <w:rPr>
          <w:sz w:val="21"/>
        </w:rPr>
        <w:t>实现公司稳健、持续发展，维护股东权益；</w:t>
      </w:r>
    </w:p>
    <w:p>
      <w:pPr>
        <w:pStyle w:val="ListParagraph"/>
        <w:numPr>
          <w:ilvl w:val="0"/>
          <w:numId w:val="4"/>
        </w:numPr>
        <w:tabs>
          <w:tab w:pos="1407" w:val="left" w:leader="none"/>
        </w:tabs>
        <w:spacing w:line="240" w:lineRule="auto" w:before="140" w:after="0"/>
        <w:ind w:left="1407" w:right="0" w:hanging="568"/>
        <w:jc w:val="left"/>
        <w:rPr>
          <w:sz w:val="21"/>
        </w:rPr>
      </w:pPr>
      <w:r>
        <w:rPr>
          <w:sz w:val="21"/>
        </w:rPr>
        <w:t>促进公司全体员工恪守职业操守，正直诚信，廉洁自律，勤勉尽责；</w:t>
      </w:r>
    </w:p>
    <w:p>
      <w:pPr>
        <w:pStyle w:val="ListParagraph"/>
        <w:numPr>
          <w:ilvl w:val="0"/>
          <w:numId w:val="4"/>
        </w:numPr>
        <w:tabs>
          <w:tab w:pos="1407" w:val="left" w:leader="none"/>
        </w:tabs>
        <w:spacing w:line="240" w:lineRule="auto" w:before="139" w:after="0"/>
        <w:ind w:left="1407" w:right="0" w:hanging="568"/>
        <w:jc w:val="left"/>
        <w:rPr>
          <w:sz w:val="21"/>
        </w:rPr>
      </w:pPr>
      <w:r>
        <w:rPr>
          <w:sz w:val="21"/>
        </w:rPr>
        <w:t>保护公司最重要的资本：公司声誉。</w:t>
      </w:r>
    </w:p>
    <w:p>
      <w:pPr>
        <w:pStyle w:val="BodyText"/>
        <w:spacing w:before="139"/>
        <w:ind w:left="833"/>
      </w:pPr>
      <w:r>
        <w:rPr/>
        <w:t>2、公司内部控制遵循的原则</w:t>
      </w:r>
    </w:p>
    <w:p>
      <w:pPr>
        <w:pStyle w:val="ListParagraph"/>
        <w:numPr>
          <w:ilvl w:val="0"/>
          <w:numId w:val="5"/>
        </w:numPr>
        <w:tabs>
          <w:tab w:pos="1407" w:val="left" w:leader="none"/>
        </w:tabs>
        <w:spacing w:line="364" w:lineRule="auto" w:before="140" w:after="0"/>
        <w:ind w:left="413" w:right="1452" w:firstLine="426"/>
        <w:jc w:val="left"/>
        <w:rPr>
          <w:sz w:val="21"/>
        </w:rPr>
      </w:pPr>
      <w:r>
        <w:rPr>
          <w:spacing w:val="-10"/>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407" w:val="left" w:leader="none"/>
        </w:tabs>
        <w:spacing w:line="364" w:lineRule="auto" w:before="0" w:after="0"/>
        <w:ind w:left="413" w:right="1452" w:firstLine="426"/>
        <w:jc w:val="left"/>
        <w:rPr>
          <w:sz w:val="21"/>
        </w:rPr>
      </w:pPr>
      <w:r>
        <w:rPr>
          <w:spacing w:val="-10"/>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407" w:val="left" w:leader="none"/>
        </w:tabs>
        <w:spacing w:line="268" w:lineRule="exact" w:before="0" w:after="0"/>
        <w:ind w:left="1407" w:right="0" w:hanging="568"/>
        <w:jc w:val="left"/>
        <w:rPr>
          <w:sz w:val="21"/>
        </w:rPr>
      </w:pPr>
      <w:r>
        <w:rPr>
          <w:sz w:val="21"/>
        </w:rPr>
        <w:t>相互制约原则：公司设置的各部门、各岗位权责分明、相互制衡。</w:t>
      </w:r>
    </w:p>
    <w:p>
      <w:pPr>
        <w:pStyle w:val="ListParagraph"/>
        <w:numPr>
          <w:ilvl w:val="0"/>
          <w:numId w:val="5"/>
        </w:numPr>
        <w:tabs>
          <w:tab w:pos="1407" w:val="left" w:leader="none"/>
        </w:tabs>
        <w:spacing w:line="364" w:lineRule="auto" w:before="138" w:after="0"/>
        <w:ind w:left="413" w:right="1452" w:firstLine="426"/>
        <w:jc w:val="left"/>
        <w:rPr>
          <w:sz w:val="21"/>
        </w:rPr>
      </w:pPr>
      <w:r>
        <w:rPr>
          <w:spacing w:val="-9"/>
          <w:sz w:val="21"/>
        </w:rPr>
        <w:t>独立性原则：公司根据业务的需要设立相对独立的机构、部门和岗位；公司内部</w:t>
      </w:r>
      <w:r>
        <w:rPr>
          <w:sz w:val="21"/>
        </w:rPr>
        <w:t>部门和岗位的设置必须权责分明；</w:t>
      </w:r>
    </w:p>
    <w:p>
      <w:pPr>
        <w:spacing w:after="0" w:line="364" w:lineRule="auto"/>
        <w:jc w:val="left"/>
        <w:rPr>
          <w:sz w:val="21"/>
        </w:rPr>
        <w:sectPr>
          <w:pgSz w:w="11910" w:h="16840"/>
          <w:pgMar w:header="0" w:footer="1166" w:top="1600" w:bottom="1440" w:left="1400" w:right="360"/>
        </w:sectPr>
      </w:pPr>
    </w:p>
    <w:p>
      <w:pPr>
        <w:pStyle w:val="ListParagraph"/>
        <w:numPr>
          <w:ilvl w:val="0"/>
          <w:numId w:val="5"/>
        </w:numPr>
        <w:tabs>
          <w:tab w:pos="1407" w:val="left" w:leader="none"/>
        </w:tabs>
        <w:spacing w:line="364" w:lineRule="auto" w:before="104" w:after="0"/>
        <w:ind w:left="413" w:right="1346" w:firstLine="426"/>
        <w:jc w:val="left"/>
        <w:rPr>
          <w:sz w:val="21"/>
        </w:rPr>
      </w:pPr>
      <w:r>
        <w:rPr>
          <w:spacing w:val="-9"/>
          <w:sz w:val="21"/>
        </w:rPr>
        <w:t>有效性原则：各种内部管理制度具有高度的权威性，应是所有员工严格遵守的行</w:t>
      </w:r>
      <w:r>
        <w:rPr>
          <w:spacing w:val="-7"/>
          <w:sz w:val="21"/>
        </w:rPr>
        <w:t>动指南；执行内部管理制度不能有任何例外，任何人不得拥有超越制度或违反规章的权力；</w:t>
      </w:r>
    </w:p>
    <w:p>
      <w:pPr>
        <w:pStyle w:val="ListParagraph"/>
        <w:numPr>
          <w:ilvl w:val="0"/>
          <w:numId w:val="5"/>
        </w:numPr>
        <w:tabs>
          <w:tab w:pos="1407" w:val="left" w:leader="none"/>
        </w:tabs>
        <w:spacing w:line="364" w:lineRule="auto" w:before="0" w:after="0"/>
        <w:ind w:left="413" w:right="1242" w:firstLine="426"/>
        <w:jc w:val="left"/>
        <w:rPr>
          <w:sz w:val="21"/>
        </w:rPr>
      </w:pPr>
      <w:r>
        <w:rPr>
          <w:spacing w:val="3"/>
          <w:sz w:val="21"/>
        </w:rPr>
        <w:t>适时性原则：内部控制应具有前瞻性，并且必须随着公司经营战略、经营方针、经营理念等内部环境的变化和国家法律、法规、政策制度等外部环境的改变及时进行相应 的修改和完善；</w:t>
      </w:r>
    </w:p>
    <w:p>
      <w:pPr>
        <w:pStyle w:val="ListParagraph"/>
        <w:numPr>
          <w:ilvl w:val="0"/>
          <w:numId w:val="5"/>
        </w:numPr>
        <w:tabs>
          <w:tab w:pos="1407" w:val="left" w:leader="none"/>
        </w:tabs>
        <w:spacing w:line="364" w:lineRule="auto" w:before="0" w:after="0"/>
        <w:ind w:left="413" w:right="1242" w:firstLine="426"/>
        <w:jc w:val="left"/>
        <w:rPr>
          <w:sz w:val="21"/>
        </w:rPr>
      </w:pPr>
      <w:r>
        <w:rPr>
          <w:spacing w:val="3"/>
          <w:sz w:val="21"/>
        </w:rPr>
        <w:t>成本效益原则：公司运用科学化的经营管理方法降低运作成本，提高经济效益， 力争以合理的控制成本达到最佳的内部控制效果。</w:t>
      </w:r>
    </w:p>
    <w:p>
      <w:pPr>
        <w:pStyle w:val="BodyText"/>
        <w:spacing w:line="268" w:lineRule="exact"/>
        <w:ind w:left="833"/>
      </w:pPr>
      <w:r>
        <w:rPr/>
        <w:t>3、内部控制的制度体系</w:t>
      </w:r>
    </w:p>
    <w:p>
      <w:pPr>
        <w:pStyle w:val="BodyText"/>
        <w:spacing w:line="364" w:lineRule="auto" w:before="137"/>
        <w:ind w:left="413" w:right="1242" w:firstLine="420"/>
      </w:pPr>
      <w:r>
        <w:rPr/>
        <w:t>公司制定了合理、完备、有效并易于执行的制度体系。公司制度体系由不同层面的制 度构成。按照其效力大小分为四个层面：第一个层面是公司章程；第二个层面是公司内部 控制大纲，它是公司制定各项规章制度的基础和依据；第三个层面是公司基本管理制度； 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 的要求，不断检讨和增强公司制度的完备性、有效性。</w:t>
      </w:r>
    </w:p>
    <w:p>
      <w:pPr>
        <w:pStyle w:val="BodyText"/>
        <w:spacing w:line="266" w:lineRule="exact"/>
        <w:ind w:left="833"/>
      </w:pPr>
      <w:r>
        <w:rPr/>
        <w:t>4、关于授权、研究、投资、交易等方面的控制点</w:t>
      </w:r>
    </w:p>
    <w:p>
      <w:pPr>
        <w:pStyle w:val="ListParagraph"/>
        <w:numPr>
          <w:ilvl w:val="0"/>
          <w:numId w:val="6"/>
        </w:numPr>
        <w:tabs>
          <w:tab w:pos="1265" w:val="left" w:leader="none"/>
        </w:tabs>
        <w:spacing w:line="240" w:lineRule="auto" w:before="139" w:after="0"/>
        <w:ind w:left="1265" w:right="0" w:hanging="568"/>
        <w:jc w:val="left"/>
        <w:rPr>
          <w:sz w:val="21"/>
        </w:rPr>
      </w:pPr>
      <w:r>
        <w:rPr>
          <w:sz w:val="21"/>
        </w:rPr>
        <w:t>授权制度</w:t>
      </w:r>
    </w:p>
    <w:p>
      <w:pPr>
        <w:pStyle w:val="BodyText"/>
        <w:spacing w:line="364" w:lineRule="auto" w:before="140"/>
        <w:ind w:left="413" w:right="1452" w:firstLine="420"/>
        <w:jc w:val="both"/>
      </w:pPr>
      <w:r>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pPr>
        <w:pStyle w:val="ListParagraph"/>
        <w:numPr>
          <w:ilvl w:val="0"/>
          <w:numId w:val="6"/>
        </w:numPr>
        <w:tabs>
          <w:tab w:pos="1265" w:val="left" w:leader="none"/>
        </w:tabs>
        <w:spacing w:line="266" w:lineRule="exact" w:before="0" w:after="0"/>
        <w:ind w:left="1265" w:right="0" w:hanging="568"/>
        <w:jc w:val="left"/>
        <w:rPr>
          <w:sz w:val="21"/>
        </w:rPr>
      </w:pPr>
      <w:r>
        <w:rPr>
          <w:sz w:val="21"/>
        </w:rPr>
        <w:t>公司研究业务</w:t>
      </w:r>
    </w:p>
    <w:p>
      <w:pPr>
        <w:pStyle w:val="BodyText"/>
        <w:spacing w:line="364" w:lineRule="auto" w:before="139"/>
        <w:ind w:left="413" w:right="1452" w:firstLine="420"/>
        <w:jc w:val="both"/>
      </w:pPr>
      <w:r>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 保持畅通的交流渠道；建立研究报告质量评价体系，不断提高研究水平。</w:t>
      </w:r>
    </w:p>
    <w:p>
      <w:pPr>
        <w:pStyle w:val="ListParagraph"/>
        <w:numPr>
          <w:ilvl w:val="0"/>
          <w:numId w:val="6"/>
        </w:numPr>
        <w:tabs>
          <w:tab w:pos="1265" w:val="left" w:leader="none"/>
        </w:tabs>
        <w:spacing w:line="267" w:lineRule="exact" w:before="0" w:after="0"/>
        <w:ind w:left="1265" w:right="0" w:hanging="568"/>
        <w:jc w:val="left"/>
        <w:rPr>
          <w:sz w:val="21"/>
        </w:rPr>
      </w:pPr>
      <w:r>
        <w:rPr>
          <w:sz w:val="21"/>
        </w:rPr>
        <w:t>基金投资业务</w:t>
      </w:r>
    </w:p>
    <w:p>
      <w:pPr>
        <w:pStyle w:val="BodyText"/>
        <w:spacing w:line="364" w:lineRule="auto" w:before="140"/>
        <w:ind w:left="413" w:right="1452" w:firstLine="420"/>
        <w:jc w:val="both"/>
      </w:pPr>
      <w:r>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w:t>
      </w:r>
    </w:p>
    <w:p>
      <w:pPr>
        <w:spacing w:after="0" w:line="364" w:lineRule="auto"/>
        <w:jc w:val="both"/>
        <w:sectPr>
          <w:pgSz w:w="11910" w:h="16840"/>
          <w:pgMar w:header="0" w:footer="1166" w:top="1600" w:bottom="1440" w:left="1400" w:right="360"/>
        </w:sectPr>
      </w:pPr>
    </w:p>
    <w:p>
      <w:pPr>
        <w:pStyle w:val="BodyText"/>
        <w:spacing w:before="104"/>
        <w:ind w:left="413"/>
      </w:pPr>
      <w:r>
        <w:rPr/>
        <w:t>学的投资管理业绩评价体系。</w:t>
      </w:r>
    </w:p>
    <w:p>
      <w:pPr>
        <w:pStyle w:val="ListParagraph"/>
        <w:numPr>
          <w:ilvl w:val="0"/>
          <w:numId w:val="6"/>
        </w:numPr>
        <w:tabs>
          <w:tab w:pos="1265" w:val="left" w:leader="none"/>
        </w:tabs>
        <w:spacing w:line="240" w:lineRule="auto" w:before="139" w:after="0"/>
        <w:ind w:left="1265" w:right="0" w:hanging="568"/>
        <w:jc w:val="left"/>
        <w:rPr>
          <w:sz w:val="21"/>
        </w:rPr>
      </w:pPr>
      <w:r>
        <w:rPr>
          <w:sz w:val="21"/>
        </w:rPr>
        <w:t>交易业务</w:t>
      </w:r>
    </w:p>
    <w:p>
      <w:pPr>
        <w:pStyle w:val="BodyText"/>
        <w:spacing w:line="364" w:lineRule="auto" w:before="140"/>
        <w:ind w:left="413" w:right="1242" w:firstLine="420"/>
      </w:pPr>
      <w:r>
        <w:rPr/>
        <w:t>建立集中交易室和集中交易制度，投资指令通过集中交易室完成；应建立交易监测系 统、预警系统和交易反馈系统，完善相关的安全设施；集中交易室应对交易指令进行审核， 建立公平的交易分配制度，确保各基金利益的公平；交易记录应完善，并及时进行反馈、 核对和存档保管；同时应建立科学的投资交易绩效评价体系。</w:t>
      </w:r>
    </w:p>
    <w:p>
      <w:pPr>
        <w:pStyle w:val="ListParagraph"/>
        <w:numPr>
          <w:ilvl w:val="0"/>
          <w:numId w:val="6"/>
        </w:numPr>
        <w:tabs>
          <w:tab w:pos="1265" w:val="left" w:leader="none"/>
        </w:tabs>
        <w:spacing w:line="267" w:lineRule="exact" w:before="0" w:after="0"/>
        <w:ind w:left="1265" w:right="0" w:hanging="568"/>
        <w:jc w:val="left"/>
        <w:rPr>
          <w:sz w:val="21"/>
        </w:rPr>
      </w:pPr>
      <w:r>
        <w:rPr>
          <w:sz w:val="21"/>
        </w:rPr>
        <w:t>基金会计核算</w:t>
      </w:r>
    </w:p>
    <w:p>
      <w:pPr>
        <w:pStyle w:val="BodyText"/>
        <w:spacing w:line="364" w:lineRule="auto" w:before="139"/>
        <w:ind w:left="413" w:right="1452" w:firstLine="420"/>
        <w:jc w:val="both"/>
      </w:pPr>
      <w:r>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265" w:val="left" w:leader="none"/>
        </w:tabs>
        <w:spacing w:line="267" w:lineRule="exact" w:before="0" w:after="0"/>
        <w:ind w:left="1265" w:right="0" w:hanging="568"/>
        <w:jc w:val="left"/>
        <w:rPr>
          <w:sz w:val="21"/>
        </w:rPr>
      </w:pPr>
      <w:r>
        <w:rPr>
          <w:sz w:val="21"/>
        </w:rPr>
        <w:t>信息披露</w:t>
      </w:r>
    </w:p>
    <w:p>
      <w:pPr>
        <w:pStyle w:val="BodyText"/>
        <w:spacing w:line="364" w:lineRule="auto" w:before="140"/>
        <w:ind w:left="413" w:right="1452" w:firstLine="420"/>
        <w:jc w:val="both"/>
      </w:pPr>
      <w:r>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pPr>
        <w:pStyle w:val="ListParagraph"/>
        <w:numPr>
          <w:ilvl w:val="0"/>
          <w:numId w:val="6"/>
        </w:numPr>
        <w:tabs>
          <w:tab w:pos="1265" w:val="left" w:leader="none"/>
        </w:tabs>
        <w:spacing w:line="267" w:lineRule="exact" w:before="0" w:after="0"/>
        <w:ind w:left="1265" w:right="0" w:hanging="568"/>
        <w:jc w:val="left"/>
        <w:rPr>
          <w:sz w:val="21"/>
        </w:rPr>
      </w:pPr>
      <w:r>
        <w:rPr>
          <w:sz w:val="21"/>
        </w:rPr>
        <w:t>监察与合规管理</w:t>
      </w:r>
    </w:p>
    <w:p>
      <w:pPr>
        <w:pStyle w:val="BodyText"/>
        <w:spacing w:line="364" w:lineRule="auto" w:before="139"/>
        <w:ind w:left="413" w:right="1452"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364" w:lineRule="auto"/>
        <w:ind w:left="413" w:right="1452" w:firstLine="420"/>
        <w:jc w:val="both"/>
      </w:pPr>
      <w:r>
        <w:rPr/>
        <w:t>公司设立监察合规管理部门开展监察与合规管理工作，并保证监察合规管理部门的独立性和权威性。公司明确了监察合规管理部门及内部各岗位的具体职责，严格制订了专业任职条件、操作程序和组织纪律。</w:t>
      </w:r>
    </w:p>
    <w:p>
      <w:pPr>
        <w:pStyle w:val="BodyText"/>
        <w:spacing w:line="364" w:lineRule="auto"/>
        <w:ind w:left="413" w:right="1452" w:firstLine="420"/>
      </w:pPr>
      <w:r>
        <w:rPr/>
        <w:t>监察合规管理部门强化内部检查制度，通过定期或不定期检查内部控制制度的执行情况，促使公司各项经营管理活动的规范运行。</w:t>
      </w:r>
    </w:p>
    <w:p>
      <w:pPr>
        <w:pStyle w:val="BodyText"/>
        <w:spacing w:line="364" w:lineRule="auto"/>
        <w:ind w:left="413" w:right="1452" w:firstLine="420"/>
      </w:pPr>
      <w:r>
        <w:rPr/>
        <w:t>公司董事会和管理层充分重视和支持监察与合规管理工作，对违反法律、法规和公司内部控制制度的，追究有关部门和人员的责任。</w:t>
      </w:r>
    </w:p>
    <w:p>
      <w:pPr>
        <w:pStyle w:val="BodyText"/>
        <w:spacing w:line="268" w:lineRule="exact"/>
        <w:ind w:left="833"/>
      </w:pPr>
      <w:r>
        <w:rPr/>
        <w:t>5、基金管理人关于内部控制制度声明书</w:t>
      </w:r>
    </w:p>
    <w:p>
      <w:pPr>
        <w:pStyle w:val="ListParagraph"/>
        <w:numPr>
          <w:ilvl w:val="0"/>
          <w:numId w:val="7"/>
        </w:numPr>
        <w:tabs>
          <w:tab w:pos="1265" w:val="left" w:leader="none"/>
        </w:tabs>
        <w:spacing w:line="240" w:lineRule="auto" w:before="135" w:after="0"/>
        <w:ind w:left="1265" w:right="0" w:hanging="568"/>
        <w:jc w:val="left"/>
        <w:rPr>
          <w:sz w:val="21"/>
        </w:rPr>
      </w:pPr>
      <w:r>
        <w:rPr>
          <w:sz w:val="21"/>
        </w:rPr>
        <w:t>本公司承诺以上关于内部控制制度的披露真实、准确；</w:t>
      </w:r>
    </w:p>
    <w:p>
      <w:pPr>
        <w:pStyle w:val="ListParagraph"/>
        <w:numPr>
          <w:ilvl w:val="0"/>
          <w:numId w:val="7"/>
        </w:numPr>
        <w:tabs>
          <w:tab w:pos="1265" w:val="left" w:leader="none"/>
        </w:tabs>
        <w:spacing w:line="240" w:lineRule="auto" w:before="140" w:after="0"/>
        <w:ind w:left="1265" w:right="0" w:hanging="568"/>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66" w:top="1600" w:bottom="1440" w:left="1400" w:right="360"/>
        </w:sectPr>
      </w:pPr>
    </w:p>
    <w:p>
      <w:pPr>
        <w:pStyle w:val="Heading1"/>
        <w:ind w:right="1039"/>
        <w:jc w:val="center"/>
      </w:pPr>
      <w:bookmarkStart w:name="_bookmark8" w:id="9"/>
      <w:bookmarkEnd w:id="9"/>
      <w:r>
        <w:rPr>
          <w:b w:val="0"/>
        </w:rPr>
      </w:r>
      <w:r>
        <w:rPr/>
        <w:t>四、基金托管人</w:t>
      </w:r>
    </w:p>
    <w:p>
      <w:pPr>
        <w:pStyle w:val="BodyText"/>
        <w:ind w:left="0"/>
        <w:rPr>
          <w:rFonts w:ascii="Microsoft JhengHei"/>
          <w:b/>
          <w:sz w:val="9"/>
        </w:rPr>
      </w:pPr>
    </w:p>
    <w:p>
      <w:pPr>
        <w:pStyle w:val="BodyText"/>
        <w:spacing w:before="70"/>
        <w:ind w:left="833"/>
      </w:pPr>
      <w:r>
        <w:rPr/>
        <w:t>（一）基金托管人情况</w:t>
      </w:r>
    </w:p>
    <w:p>
      <w:pPr>
        <w:pStyle w:val="BodyText"/>
        <w:spacing w:before="7"/>
        <w:ind w:left="0"/>
        <w:rPr>
          <w:sz w:val="15"/>
        </w:rPr>
      </w:pPr>
    </w:p>
    <w:p>
      <w:pPr>
        <w:pStyle w:val="BodyText"/>
        <w:ind w:left="833"/>
      </w:pPr>
      <w:r>
        <w:rPr/>
        <w:t>1、基本情况</w:t>
      </w:r>
    </w:p>
    <w:p>
      <w:pPr>
        <w:pStyle w:val="BodyText"/>
        <w:spacing w:before="7"/>
        <w:ind w:left="0"/>
        <w:rPr>
          <w:sz w:val="15"/>
        </w:rPr>
      </w:pPr>
    </w:p>
    <w:p>
      <w:pPr>
        <w:pStyle w:val="BodyText"/>
        <w:spacing w:line="417" w:lineRule="auto"/>
        <w:ind w:left="833" w:right="4062"/>
      </w:pPr>
      <w:r>
        <w:rPr/>
        <w:t>名称：中国建设银行股份有限公司(简称：中国建设银行) 住所：北京市西城区金融大街 25 号</w:t>
      </w:r>
    </w:p>
    <w:p>
      <w:pPr>
        <w:pStyle w:val="BodyText"/>
        <w:spacing w:line="417" w:lineRule="auto"/>
        <w:ind w:left="833" w:right="469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17" w:lineRule="auto"/>
        <w:ind w:left="833" w:right="6528"/>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17" w:lineRule="auto"/>
        <w:ind w:left="833" w:right="3852"/>
      </w:pPr>
      <w:r>
        <w:rPr/>
        <w:t>注册资本：贰仟伍佰亿壹仟零玖拾柒万柒仟肆佰捌拾陆元整存续期间：持续经营</w:t>
      </w:r>
    </w:p>
    <w:p>
      <w:pPr>
        <w:pStyle w:val="BodyText"/>
        <w:tabs>
          <w:tab w:pos="2093" w:val="left" w:leader="none"/>
        </w:tabs>
        <w:spacing w:line="417" w:lineRule="auto"/>
        <w:ind w:left="833" w:right="3798"/>
      </w:pPr>
      <w:r>
        <w:rPr/>
        <w:t>基金托管资格批文及文号：中国证监会证监基字[1998]12</w:t>
      </w:r>
      <w:r>
        <w:rPr>
          <w:spacing w:val="-53"/>
        </w:rPr>
        <w:t> </w:t>
      </w:r>
      <w:r>
        <w:rPr>
          <w:spacing w:val="-16"/>
        </w:rPr>
        <w:t>号</w:t>
      </w:r>
      <w:r>
        <w:rPr/>
        <w:t>联系人：田</w:t>
        <w:tab/>
        <w:t>青</w:t>
      </w:r>
    </w:p>
    <w:p>
      <w:pPr>
        <w:pStyle w:val="BodyText"/>
        <w:spacing w:line="269" w:lineRule="exact"/>
        <w:ind w:left="833"/>
      </w:pPr>
      <w:r>
        <w:rPr/>
        <w:t>联系电话：(010)6759 5096</w:t>
      </w:r>
    </w:p>
    <w:p>
      <w:pPr>
        <w:pStyle w:val="BodyText"/>
        <w:spacing w:before="5"/>
        <w:ind w:left="0"/>
        <w:rPr>
          <w:sz w:val="15"/>
        </w:rPr>
      </w:pPr>
    </w:p>
    <w:p>
      <w:pPr>
        <w:pStyle w:val="BodyText"/>
        <w:spacing w:line="417" w:lineRule="auto"/>
        <w:ind w:left="413" w:right="1451" w:firstLine="420"/>
        <w:jc w:val="both"/>
      </w:pPr>
      <w:r>
        <w:rPr>
          <w:spacing w:val="-4"/>
        </w:rPr>
        <w:t>中国建设银行成立于 </w:t>
      </w:r>
      <w:r>
        <w:rPr/>
        <w:t>1954</w:t>
      </w:r>
      <w:r>
        <w:rPr>
          <w:spacing w:val="-25"/>
        </w:rPr>
        <w:t> 年 </w:t>
      </w:r>
      <w:r>
        <w:rPr/>
        <w:t>10</w:t>
      </w:r>
      <w:r>
        <w:rPr>
          <w:spacing w:val="-6"/>
        </w:rPr>
        <w:t> 月，是一家国内领先、国际知名的大型股份制商业银</w:t>
      </w:r>
      <w:r>
        <w:rPr>
          <w:spacing w:val="-24"/>
        </w:rPr>
        <w:t>行，总部设在北京。本行于 </w:t>
      </w:r>
      <w:r>
        <w:rPr/>
        <w:t>2005</w:t>
      </w:r>
      <w:r>
        <w:rPr>
          <w:spacing w:val="-37"/>
        </w:rPr>
        <w:t> 年 </w:t>
      </w:r>
      <w:r>
        <w:rPr/>
        <w:t>10</w:t>
      </w:r>
      <w:r>
        <w:rPr>
          <w:spacing w:val="-11"/>
        </w:rPr>
        <w:t> 月在香港联合交易所挂牌上市(股票代码 </w:t>
      </w:r>
      <w:r>
        <w:rPr/>
        <w:t>939)</w:t>
      </w:r>
      <w:r>
        <w:rPr>
          <w:spacing w:val="-54"/>
        </w:rPr>
        <w:t>，于 </w:t>
      </w:r>
      <w:r>
        <w:rPr>
          <w:spacing w:val="-4"/>
        </w:rPr>
        <w:t>2007</w:t>
      </w:r>
      <w:r>
        <w:rPr>
          <w:spacing w:val="-27"/>
        </w:rPr>
        <w:t>年 </w:t>
      </w:r>
      <w:r>
        <w:rPr/>
        <w:t>9</w:t>
      </w:r>
      <w:r>
        <w:rPr>
          <w:spacing w:val="-11"/>
        </w:rPr>
        <w:t> 月在上海证券交易所挂牌上市(股票代码 </w:t>
      </w:r>
      <w:r>
        <w:rPr/>
        <w:t>601939)。</w:t>
      </w:r>
    </w:p>
    <w:p>
      <w:pPr>
        <w:pStyle w:val="BodyText"/>
        <w:spacing w:line="417" w:lineRule="auto"/>
        <w:ind w:left="413" w:right="1383" w:firstLine="420"/>
        <w:jc w:val="both"/>
      </w:pPr>
      <w:r>
        <w:rPr/>
        <w:t>2018</w:t>
      </w:r>
      <w:r>
        <w:rPr>
          <w:spacing w:val="-12"/>
        </w:rPr>
        <w:t> 年末，集团资产规模 </w:t>
      </w:r>
      <w:r>
        <w:rPr/>
        <w:t>23.22</w:t>
      </w:r>
      <w:r>
        <w:rPr>
          <w:spacing w:val="-11"/>
        </w:rPr>
        <w:t> 万亿元，较上年增长 </w:t>
      </w:r>
      <w:r>
        <w:rPr/>
        <w:t>4.96%。2018</w:t>
      </w:r>
      <w:r>
        <w:rPr>
          <w:spacing w:val="-8"/>
        </w:rPr>
        <w:t> 年度，集团实现净</w:t>
      </w:r>
      <w:r>
        <w:rPr>
          <w:spacing w:val="-24"/>
        </w:rPr>
        <w:t>利润 </w:t>
      </w:r>
      <w:r>
        <w:rPr/>
        <w:t>2,556.26</w:t>
      </w:r>
      <w:r>
        <w:rPr>
          <w:spacing w:val="-13"/>
        </w:rPr>
        <w:t> 亿元，较上年增长 </w:t>
      </w:r>
      <w:r>
        <w:rPr/>
        <w:t>4.93%；平均资产回报率和加权平均净资产收益率分别为1.13%</w:t>
      </w:r>
      <w:r>
        <w:rPr>
          <w:spacing w:val="-27"/>
        </w:rPr>
        <w:t>和 </w:t>
      </w:r>
      <w:r>
        <w:rPr/>
        <w:t>14.04%；</w:t>
      </w:r>
      <w:r>
        <w:rPr>
          <w:spacing w:val="-9"/>
        </w:rPr>
        <w:t>不良贷款率 </w:t>
      </w:r>
      <w:r>
        <w:rPr/>
        <w:t>1.46%，</w:t>
      </w:r>
      <w:r>
        <w:rPr>
          <w:spacing w:val="-5"/>
        </w:rPr>
        <w:t>保持稳中有降；资本充足率 </w:t>
      </w:r>
      <w:r>
        <w:rPr/>
        <w:t>17.19%，</w:t>
      </w:r>
      <w:r>
        <w:rPr>
          <w:spacing w:val="-3"/>
        </w:rPr>
        <w:t>保持领先同业。</w:t>
      </w:r>
    </w:p>
    <w:p>
      <w:pPr>
        <w:pStyle w:val="BodyText"/>
        <w:spacing w:line="269" w:lineRule="exact"/>
        <w:ind w:left="833"/>
        <w:jc w:val="both"/>
      </w:pPr>
      <w:r>
        <w:rPr/>
        <w:t>2018</w:t>
      </w:r>
      <w:r>
        <w:rPr>
          <w:spacing w:val="-10"/>
        </w:rPr>
        <w:t> 年，本集团先后荣获新加坡《亚洲银行家》“</w:t>
      </w:r>
      <w:r>
        <w:rPr/>
        <w:t>2018</w:t>
      </w:r>
      <w:r>
        <w:rPr>
          <w:spacing w:val="-12"/>
        </w:rPr>
        <w:t> 年中国最佳大型零售银行奖”、</w:t>
      </w:r>
    </w:p>
    <w:p>
      <w:pPr>
        <w:pStyle w:val="BodyText"/>
        <w:spacing w:before="6"/>
        <w:ind w:left="0"/>
        <w:rPr>
          <w:sz w:val="15"/>
        </w:rPr>
      </w:pPr>
    </w:p>
    <w:p>
      <w:pPr>
        <w:pStyle w:val="BodyText"/>
        <w:spacing w:before="1"/>
        <w:ind w:left="413"/>
        <w:jc w:val="both"/>
      </w:pPr>
      <w:r>
        <w:rPr/>
        <w:t>“2018</w:t>
      </w:r>
      <w:r>
        <w:rPr>
          <w:spacing w:val="-21"/>
        </w:rPr>
        <w:t> 年中国全面风险管理成就奖”；美国《环球金融》“全球贸易金融最具创新力银行”、</w:t>
      </w:r>
    </w:p>
    <w:p>
      <w:pPr>
        <w:pStyle w:val="BodyText"/>
        <w:spacing w:before="6"/>
        <w:ind w:left="0"/>
        <w:rPr>
          <w:sz w:val="15"/>
        </w:rPr>
      </w:pPr>
    </w:p>
    <w:p>
      <w:pPr>
        <w:pStyle w:val="BodyText"/>
        <w:spacing w:line="417" w:lineRule="auto"/>
        <w:ind w:left="413" w:right="1451"/>
        <w:jc w:val="both"/>
      </w:pPr>
      <w:r>
        <w:rPr>
          <w:spacing w:val="-21"/>
        </w:rPr>
        <w:t>《银行家》</w:t>
      </w:r>
      <w:r>
        <w:rPr/>
        <w:t>“2018</w:t>
      </w:r>
      <w:r>
        <w:rPr>
          <w:spacing w:val="-28"/>
        </w:rPr>
        <w:t> 最佳金融创新奖”、《金融时报》</w:t>
      </w:r>
      <w:r>
        <w:rPr/>
        <w:t>“2018</w:t>
      </w:r>
      <w:r>
        <w:rPr>
          <w:spacing w:val="-9"/>
        </w:rPr>
        <w:t> 年金龙奖—年度最佳普惠金融服务</w:t>
      </w:r>
      <w:r>
        <w:rPr>
          <w:spacing w:val="-10"/>
        </w:rPr>
        <w:t>银行”等多项重要奖项。本集团同时获得英国《银行家》、香港《亚洲货币》杂志</w:t>
      </w:r>
      <w:r>
        <w:rPr/>
        <w:t>“2018</w:t>
      </w:r>
      <w:r>
        <w:rPr>
          <w:spacing w:val="-34"/>
        </w:rPr>
        <w:t> 年</w:t>
      </w:r>
      <w:r>
        <w:rPr>
          <w:spacing w:val="-5"/>
        </w:rPr>
        <w:t>中国最佳银行”称号，并在中国银行业协会 </w:t>
      </w:r>
      <w:r>
        <w:rPr/>
        <w:t>2018</w:t>
      </w:r>
      <w:r>
        <w:rPr>
          <w:spacing w:val="-9"/>
        </w:rPr>
        <w:t> 年“陀螺”评价中排名全国性商业银行第</w:t>
      </w:r>
      <w:r>
        <w:rPr/>
        <w:t>一。</w:t>
      </w:r>
    </w:p>
    <w:p>
      <w:pPr>
        <w:pStyle w:val="BodyText"/>
        <w:spacing w:line="417" w:lineRule="auto"/>
        <w:ind w:left="413" w:right="1452" w:firstLine="420"/>
      </w:pPr>
      <w:r>
        <w:rPr/>
        <w:t>中国建设银行总行设资产托管业务部，下设综合与合规管理处、基金市场处、证券保险资产市场处、理财信托股权市场处、养老金托管处、全球托管处、新兴业务处、运营管</w:t>
      </w:r>
    </w:p>
    <w:p>
      <w:pPr>
        <w:spacing w:after="0" w:line="417" w:lineRule="auto"/>
        <w:sectPr>
          <w:pgSz w:w="11910" w:h="16840"/>
          <w:pgMar w:header="0" w:footer="1166" w:top="1600" w:bottom="1440" w:left="1400" w:right="360"/>
        </w:sectPr>
      </w:pPr>
    </w:p>
    <w:p>
      <w:pPr>
        <w:pStyle w:val="BodyText"/>
        <w:spacing w:before="3"/>
        <w:ind w:left="0"/>
        <w:rPr>
          <w:sz w:val="10"/>
        </w:rPr>
      </w:pPr>
    </w:p>
    <w:p>
      <w:pPr>
        <w:pStyle w:val="BodyText"/>
        <w:spacing w:line="417" w:lineRule="auto" w:before="71"/>
        <w:ind w:left="413" w:right="1451"/>
        <w:jc w:val="both"/>
      </w:pPr>
      <w:r>
        <w:rPr>
          <w:spacing w:val="-6"/>
        </w:rPr>
        <w:t>理处、托管应用系统支持处、跨境托管运营处、合规监督处等 </w:t>
      </w:r>
      <w:r>
        <w:rPr/>
        <w:t>11</w:t>
      </w:r>
      <w:r>
        <w:rPr>
          <w:spacing w:val="-9"/>
        </w:rPr>
        <w:t> 个职能处室，在安徽合肥</w:t>
      </w:r>
      <w:r>
        <w:rPr>
          <w:spacing w:val="-4"/>
        </w:rPr>
        <w:t>设有托管运营中心，在上海设有托管运营中心上海分中心，共有员工 </w:t>
      </w:r>
      <w:r>
        <w:rPr/>
        <w:t>300</w:t>
      </w:r>
      <w:r>
        <w:rPr>
          <w:spacing w:val="-19"/>
        </w:rPr>
        <w:t> 余人。自 </w:t>
      </w:r>
      <w:r>
        <w:rPr/>
        <w:t>2007</w:t>
      </w:r>
      <w:r>
        <w:rPr>
          <w:spacing w:val="-33"/>
        </w:rPr>
        <w:t> 年</w:t>
      </w:r>
      <w:r>
        <w:rPr/>
        <w:t>起，托管部连续聘请外部会计师事务所对托管业务进行内部控制审计，并已经成为常规化的内控工作手段。</w:t>
      </w:r>
    </w:p>
    <w:p>
      <w:pPr>
        <w:pStyle w:val="BodyText"/>
        <w:spacing w:line="268" w:lineRule="exact"/>
        <w:ind w:left="833"/>
      </w:pPr>
      <w:r>
        <w:rPr/>
        <w:t>2、主要人员情况</w:t>
      </w:r>
    </w:p>
    <w:p>
      <w:pPr>
        <w:pStyle w:val="BodyText"/>
        <w:spacing w:before="6"/>
        <w:ind w:left="0"/>
        <w:rPr>
          <w:sz w:val="15"/>
        </w:rPr>
      </w:pPr>
    </w:p>
    <w:p>
      <w:pPr>
        <w:pStyle w:val="BodyText"/>
        <w:spacing w:line="417" w:lineRule="auto"/>
        <w:ind w:left="413" w:right="1452" w:firstLine="420"/>
        <w:jc w:val="both"/>
      </w:pPr>
      <w:r>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pPr>
        <w:pStyle w:val="BodyText"/>
        <w:spacing w:line="417" w:lineRule="auto"/>
        <w:ind w:left="413" w:right="1451" w:firstLine="420"/>
        <w:jc w:val="both"/>
      </w:pPr>
      <w:r>
        <w:rPr>
          <w:spacing w:val="-3"/>
        </w:rPr>
        <w:t>龚毅，资产托管业务部资深经理</w:t>
      </w:r>
      <w:r>
        <w:rPr/>
        <w:t>（专业技术一级</w:t>
      </w:r>
      <w:r>
        <w:rPr>
          <w:spacing w:val="-105"/>
        </w:rPr>
        <w:t>）</w:t>
      </w:r>
      <w:r>
        <w:rPr>
          <w:spacing w:val="-3"/>
        </w:rPr>
        <w:t>，曾就职于中国建设银行北京市分行</w:t>
      </w:r>
      <w:r>
        <w:rPr/>
        <w:t>国际部、营业部并担任副行长，长期从事信贷业务和集团客户业务等工作，具有丰富的客户服务和业务管理经验。</w:t>
      </w:r>
    </w:p>
    <w:p>
      <w:pPr>
        <w:pStyle w:val="BodyText"/>
        <w:spacing w:line="417" w:lineRule="auto"/>
        <w:ind w:left="413" w:right="1451" w:firstLine="420"/>
      </w:pPr>
      <w:r>
        <w:rPr>
          <w:spacing w:val="-3"/>
        </w:rPr>
        <w:t>黄秀莲，资产托管业务部资深经理</w:t>
      </w:r>
      <w:r>
        <w:rPr/>
        <w:t>（专业技术一级</w:t>
      </w:r>
      <w:r>
        <w:rPr>
          <w:spacing w:val="-105"/>
        </w:rPr>
        <w:t>）</w:t>
      </w:r>
      <w:r>
        <w:rPr>
          <w:spacing w:val="-3"/>
        </w:rPr>
        <w:t>，曾就职于中国建设银行总行会计</w:t>
      </w:r>
      <w:r>
        <w:rPr/>
        <w:t>部，长期从事托管业务管理等工作，具有丰富的客户服务和业务管理经验。</w:t>
      </w:r>
    </w:p>
    <w:p>
      <w:pPr>
        <w:pStyle w:val="BodyText"/>
        <w:spacing w:line="417" w:lineRule="auto"/>
        <w:ind w:left="413" w:right="1242" w:firstLine="420"/>
      </w:pPr>
      <w:r>
        <w:rPr/>
        <w:t>郑绍平，资产托管业务部副总经理，曾就职于中国建设银行总行投资部、委托代理部、战略客户部，长期从事客户服务、信贷业务管理等工作，具有丰富的客户服务和业务管理 经验。</w:t>
      </w:r>
    </w:p>
    <w:p>
      <w:pPr>
        <w:pStyle w:val="BodyText"/>
        <w:spacing w:line="417" w:lineRule="auto"/>
        <w:ind w:left="413" w:right="1452" w:firstLine="420"/>
        <w:jc w:val="both"/>
      </w:pPr>
      <w:r>
        <w:rPr/>
        <w:t>原玎，资产托管业务部副总经理，曾就职于中国建设银行总行国际业务部，长期从事海外机构及海外业务管理、境内外汇业务管理、国外金融机构客户营销拓展等工作，具有丰富的客户服务和业务管理经验。</w:t>
      </w:r>
    </w:p>
    <w:p>
      <w:pPr>
        <w:pStyle w:val="BodyText"/>
        <w:spacing w:line="269" w:lineRule="exact"/>
        <w:ind w:left="833"/>
      </w:pPr>
      <w:r>
        <w:rPr/>
        <w:t>3、基金托管业务经营情况</w:t>
      </w:r>
    </w:p>
    <w:p>
      <w:pPr>
        <w:pStyle w:val="BodyText"/>
        <w:spacing w:before="5"/>
        <w:ind w:left="0"/>
        <w:rPr>
          <w:sz w:val="15"/>
        </w:rPr>
      </w:pPr>
    </w:p>
    <w:p>
      <w:pPr>
        <w:pStyle w:val="BodyText"/>
        <w:spacing w:line="417" w:lineRule="auto"/>
        <w:ind w:left="413" w:right="1242" w:firstLine="420"/>
      </w:pPr>
      <w:r>
        <w:rPr/>
        <w:t>作为国内首批开办证券投资基金托管业务的商业银行，中国建设银行一直秉持“以客 户为中心”的经营理念，不断加强风险管理和内部控制，严格履行托管人的各项职责，切 实维护资产持有人的合法权益，为资产委托人提供高质量的托管服务。经过多年稳步发展， 中国建设银行托管资产规模不断扩大，托管业务品种不断增加，已形成包括证券投资基金、社保基金、保险资金、基本养老个人账户、(R)QFII、(R)QDII、企业年金、存托业务等产 </w:t>
      </w:r>
      <w:r>
        <w:rPr>
          <w:spacing w:val="-4"/>
        </w:rPr>
        <w:t>品在内的托管业务体系，是目前国内托管业务品种最齐全的商业银行之一。截至 </w:t>
      </w:r>
      <w:r>
        <w:rPr/>
        <w:t>2019</w:t>
      </w:r>
      <w:r>
        <w:rPr>
          <w:spacing w:val="-17"/>
        </w:rPr>
        <w:t> 年二季度末，中国建设银行已托管 </w:t>
      </w:r>
      <w:r>
        <w:rPr/>
        <w:t>924</w:t>
      </w:r>
      <w:r>
        <w:rPr>
          <w:spacing w:val="-2"/>
        </w:rPr>
        <w:t> 只证券投资基金。中国建设银行专业高效的托管服务能力</w:t>
      </w:r>
      <w:r>
        <w:rPr>
          <w:spacing w:val="-6"/>
        </w:rPr>
        <w:t>和业务水平，赢得了业内的高度认同。中国建设银行先后 </w:t>
      </w:r>
      <w:r>
        <w:rPr/>
        <w:t>9</w:t>
      </w:r>
      <w:r>
        <w:rPr>
          <w:spacing w:val="-14"/>
        </w:rPr>
        <w:t> 次获得《全球托管人》“中国</w:t>
      </w:r>
    </w:p>
    <w:p>
      <w:pPr>
        <w:spacing w:after="0" w:line="417" w:lineRule="auto"/>
        <w:sectPr>
          <w:pgSz w:w="11910" w:h="16840"/>
          <w:pgMar w:header="0" w:footer="1166" w:top="1600" w:bottom="1440" w:left="1400" w:right="360"/>
        </w:sectPr>
      </w:pPr>
    </w:p>
    <w:p>
      <w:pPr>
        <w:pStyle w:val="BodyText"/>
        <w:spacing w:before="3"/>
        <w:ind w:left="0"/>
        <w:rPr>
          <w:sz w:val="10"/>
        </w:rPr>
      </w:pPr>
    </w:p>
    <w:p>
      <w:pPr>
        <w:pStyle w:val="BodyText"/>
        <w:spacing w:line="417" w:lineRule="auto" w:before="71"/>
        <w:ind w:left="413" w:right="1452"/>
        <w:jc w:val="both"/>
      </w:pPr>
      <w:r>
        <w:rPr>
          <w:spacing w:val="-14"/>
        </w:rPr>
        <w:t>最佳托管银行”、</w:t>
      </w:r>
      <w:r>
        <w:rPr/>
        <w:t>4</w:t>
      </w:r>
      <w:r>
        <w:rPr>
          <w:spacing w:val="-21"/>
        </w:rPr>
        <w:t> 次获得《财资》“中国最佳次托管银行”、连续 </w:t>
      </w:r>
      <w:r>
        <w:rPr/>
        <w:t>5</w:t>
      </w:r>
      <w:r>
        <w:rPr>
          <w:spacing w:val="-8"/>
        </w:rPr>
        <w:t> 年获得中债登“优秀资</w:t>
      </w:r>
      <w:r>
        <w:rPr/>
        <w:t>产托管机构”等奖项，并在 2016</w:t>
      </w:r>
      <w:r>
        <w:rPr>
          <w:spacing w:val="-2"/>
        </w:rPr>
        <w:t> 年被《环球金融》评为中国市场唯一一家“最佳托管银</w:t>
      </w:r>
      <w:r>
        <w:rPr>
          <w:spacing w:val="-33"/>
        </w:rPr>
        <w:t>行”、在 </w:t>
      </w:r>
      <w:r>
        <w:rPr/>
        <w:t>2017</w:t>
      </w:r>
      <w:r>
        <w:rPr>
          <w:spacing w:val="-19"/>
        </w:rPr>
        <w:t> 年荣获《亚洲银行家》“最佳托管系统实施奖”。</w:t>
      </w:r>
    </w:p>
    <w:p>
      <w:pPr>
        <w:pStyle w:val="BodyText"/>
        <w:spacing w:line="269" w:lineRule="exact"/>
        <w:ind w:left="833"/>
      </w:pPr>
      <w:r>
        <w:rPr/>
        <w:t>（二）基金托管人的内部控制制度</w:t>
      </w:r>
    </w:p>
    <w:p>
      <w:pPr>
        <w:pStyle w:val="BodyText"/>
        <w:spacing w:before="6"/>
        <w:ind w:left="0"/>
        <w:rPr>
          <w:sz w:val="15"/>
        </w:rPr>
      </w:pPr>
    </w:p>
    <w:p>
      <w:pPr>
        <w:pStyle w:val="BodyText"/>
        <w:ind w:left="833"/>
      </w:pPr>
      <w:r>
        <w:rPr/>
        <w:t>1、内部控制目标</w:t>
      </w:r>
    </w:p>
    <w:p>
      <w:pPr>
        <w:pStyle w:val="BodyText"/>
        <w:spacing w:before="7"/>
        <w:ind w:left="0"/>
        <w:rPr>
          <w:sz w:val="15"/>
        </w:rPr>
      </w:pPr>
    </w:p>
    <w:p>
      <w:pPr>
        <w:pStyle w:val="BodyText"/>
        <w:spacing w:line="417" w:lineRule="auto"/>
        <w:ind w:left="413" w:right="1452" w:firstLine="420"/>
        <w:jc w:val="both"/>
      </w:pPr>
      <w:r>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pPr>
        <w:pStyle w:val="BodyText"/>
        <w:spacing w:line="268" w:lineRule="exact"/>
        <w:ind w:left="833"/>
      </w:pPr>
      <w:r>
        <w:rPr/>
        <w:t>2、内部控制组织结构</w:t>
      </w:r>
    </w:p>
    <w:p>
      <w:pPr>
        <w:pStyle w:val="BodyText"/>
        <w:spacing w:before="7"/>
        <w:ind w:left="0"/>
        <w:rPr>
          <w:sz w:val="15"/>
        </w:rPr>
      </w:pPr>
    </w:p>
    <w:p>
      <w:pPr>
        <w:pStyle w:val="BodyText"/>
        <w:spacing w:line="417" w:lineRule="auto"/>
        <w:ind w:left="413" w:right="1452" w:firstLine="420"/>
        <w:jc w:val="both"/>
      </w:pPr>
      <w:r>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pPr>
        <w:pStyle w:val="BodyText"/>
        <w:spacing w:line="269" w:lineRule="exact"/>
        <w:ind w:left="833"/>
      </w:pPr>
      <w:r>
        <w:rPr/>
        <w:t>3、内部控制制度及措施</w:t>
      </w:r>
    </w:p>
    <w:p>
      <w:pPr>
        <w:pStyle w:val="BodyText"/>
        <w:spacing w:before="6"/>
        <w:ind w:left="0"/>
        <w:rPr>
          <w:sz w:val="15"/>
        </w:rPr>
      </w:pPr>
    </w:p>
    <w:p>
      <w:pPr>
        <w:pStyle w:val="BodyText"/>
        <w:spacing w:line="417" w:lineRule="auto" w:before="1"/>
        <w:ind w:left="413" w:right="1242" w:firstLine="420"/>
      </w:pPr>
      <w:r>
        <w:rPr/>
        <w:t>资产托管业务部具备系统、完善的制度控制体系，建立了管理制度、控制制度、岗位 职责、业务操作流程，可以保证托管业务的规范操作和顺利进行；业务人员具备从业资格； 业务管理严格实行复核、审核、检查制度，授权工作实行集中控制，业务印章按规程保管、存放、使用，账户资料严格保管，制约机制严格有效；业务操作区专门设置，封闭管理， 实施音像监控；业务信息由专职信息披露人负责，防止泄密；业务实现自动化操作，防止 人为事故的发生，技术系统完整、独立。</w:t>
      </w:r>
    </w:p>
    <w:p>
      <w:pPr>
        <w:pStyle w:val="BodyText"/>
        <w:spacing w:line="268" w:lineRule="exact"/>
        <w:ind w:left="833"/>
      </w:pPr>
      <w:r>
        <w:rPr/>
        <w:t>（三）基金托管人对基金管理人运作基金进行监督的方法和程序</w:t>
      </w:r>
    </w:p>
    <w:p>
      <w:pPr>
        <w:pStyle w:val="BodyText"/>
        <w:spacing w:before="6"/>
        <w:ind w:left="0"/>
        <w:rPr>
          <w:sz w:val="15"/>
        </w:rPr>
      </w:pPr>
    </w:p>
    <w:p>
      <w:pPr>
        <w:pStyle w:val="BodyText"/>
        <w:ind w:left="833"/>
      </w:pPr>
      <w:r>
        <w:rPr/>
        <w:t>1、监督方法</w:t>
      </w:r>
    </w:p>
    <w:p>
      <w:pPr>
        <w:pStyle w:val="BodyText"/>
        <w:spacing w:before="7"/>
        <w:ind w:left="0"/>
        <w:rPr>
          <w:sz w:val="15"/>
        </w:rPr>
      </w:pPr>
    </w:p>
    <w:p>
      <w:pPr>
        <w:pStyle w:val="BodyText"/>
        <w:spacing w:line="417" w:lineRule="auto"/>
        <w:ind w:left="413" w:right="1451" w:firstLine="420"/>
        <w:jc w:val="both"/>
      </w:pPr>
      <w:r>
        <w:rPr/>
        <w:t>依照《基金法》及其配套法规和基金合同的约定，监督所托管基金的投资运作。利用</w:t>
      </w:r>
      <w:r>
        <w:rPr>
          <w:spacing w:val="-9"/>
        </w:rPr>
        <w:t>自行开发的“新一代托管应用监督子系统”，严格按照现行法律法规以及基金合同规定，对</w:t>
      </w:r>
      <w:r>
        <w:rPr/>
        <w:t>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pPr>
        <w:pStyle w:val="BodyText"/>
        <w:spacing w:line="268" w:lineRule="exact"/>
        <w:ind w:left="833"/>
      </w:pPr>
      <w:r>
        <w:rPr/>
        <w:t>2、监督流程</w:t>
      </w:r>
    </w:p>
    <w:p>
      <w:pPr>
        <w:spacing w:after="0" w:line="268" w:lineRule="exact"/>
        <w:sectPr>
          <w:pgSz w:w="11910" w:h="16840"/>
          <w:pgMar w:header="0" w:footer="1166" w:top="1600" w:bottom="1440" w:left="1400" w:right="360"/>
        </w:sectPr>
      </w:pPr>
    </w:p>
    <w:p>
      <w:pPr>
        <w:pStyle w:val="BodyText"/>
        <w:spacing w:before="3"/>
        <w:ind w:left="0"/>
        <w:rPr>
          <w:sz w:val="10"/>
        </w:rPr>
      </w:pPr>
    </w:p>
    <w:p>
      <w:pPr>
        <w:pStyle w:val="ListParagraph"/>
        <w:numPr>
          <w:ilvl w:val="1"/>
          <w:numId w:val="7"/>
        </w:numPr>
        <w:tabs>
          <w:tab w:pos="1360" w:val="left" w:leader="none"/>
        </w:tabs>
        <w:spacing w:line="417" w:lineRule="auto" w:before="71" w:after="0"/>
        <w:ind w:left="413" w:right="1451" w:firstLine="420"/>
        <w:jc w:val="both"/>
        <w:rPr>
          <w:sz w:val="21"/>
        </w:rPr>
      </w:pPr>
      <w:r>
        <w:rPr>
          <w:spacing w:val="-2"/>
          <w:sz w:val="21"/>
        </w:rPr>
        <w:t>每工作日按时通过新一代托管应用监督子系统，对各基金投资运作比例控制等情</w:t>
      </w:r>
      <w:r>
        <w:rPr>
          <w:sz w:val="21"/>
        </w:rPr>
        <w:t>况进行监控，如发现投资异常情况，向基金管理人进行风险提示，与基金管理人进行情况核实，督促其纠正，如有重大异常事项及时报告中国证监会。</w:t>
      </w:r>
    </w:p>
    <w:p>
      <w:pPr>
        <w:pStyle w:val="ListParagraph"/>
        <w:numPr>
          <w:ilvl w:val="1"/>
          <w:numId w:val="7"/>
        </w:numPr>
        <w:tabs>
          <w:tab w:pos="1360" w:val="left" w:leader="none"/>
        </w:tabs>
        <w:spacing w:line="269" w:lineRule="exact" w:before="0" w:after="0"/>
        <w:ind w:left="1360" w:right="0" w:hanging="527"/>
        <w:jc w:val="left"/>
        <w:rPr>
          <w:sz w:val="21"/>
        </w:rPr>
      </w:pPr>
      <w:r>
        <w:rPr>
          <w:sz w:val="21"/>
        </w:rPr>
        <w:t>收到基金管理人的划款指令后，对指令要素等内容进行核查。</w:t>
      </w:r>
    </w:p>
    <w:p>
      <w:pPr>
        <w:pStyle w:val="BodyText"/>
        <w:spacing w:before="6"/>
        <w:ind w:left="0"/>
        <w:rPr>
          <w:sz w:val="15"/>
        </w:rPr>
      </w:pPr>
    </w:p>
    <w:p>
      <w:pPr>
        <w:pStyle w:val="ListParagraph"/>
        <w:numPr>
          <w:ilvl w:val="1"/>
          <w:numId w:val="7"/>
        </w:numPr>
        <w:tabs>
          <w:tab w:pos="1360" w:val="left" w:leader="none"/>
        </w:tabs>
        <w:spacing w:line="417" w:lineRule="auto" w:before="0" w:after="0"/>
        <w:ind w:left="413" w:right="1451" w:firstLine="420"/>
        <w:jc w:val="left"/>
        <w:rPr>
          <w:sz w:val="21"/>
        </w:rPr>
      </w:pPr>
      <w:r>
        <w:rPr>
          <w:spacing w:val="-2"/>
          <w:sz w:val="21"/>
        </w:rPr>
        <w:t>通过技术或非技术手段发现基金涉嫌违规交易，电话或书面要求基金管理人进行</w:t>
      </w:r>
      <w:r>
        <w:rPr>
          <w:sz w:val="21"/>
        </w:rPr>
        <w:t>解释或举证，如有必要将及时报告中国证监会。</w:t>
      </w:r>
    </w:p>
    <w:p>
      <w:pPr>
        <w:spacing w:after="0" w:line="417" w:lineRule="auto"/>
        <w:jc w:val="left"/>
        <w:rPr>
          <w:sz w:val="21"/>
        </w:rPr>
        <w:sectPr>
          <w:pgSz w:w="11910" w:h="16840"/>
          <w:pgMar w:header="0" w:footer="1166" w:top="1600" w:bottom="1440" w:left="1400" w:right="360"/>
        </w:sectPr>
      </w:pPr>
    </w:p>
    <w:p>
      <w:pPr>
        <w:pStyle w:val="Heading1"/>
        <w:ind w:left="3268"/>
      </w:pPr>
      <w:bookmarkStart w:name="_bookmark9" w:id="10"/>
      <w:bookmarkEnd w:id="10"/>
      <w:r>
        <w:rPr>
          <w:b w:val="0"/>
        </w:rPr>
      </w:r>
      <w:r>
        <w:rPr/>
        <w:t>五、相关服务机构</w:t>
      </w:r>
    </w:p>
    <w:p>
      <w:pPr>
        <w:pStyle w:val="Heading3"/>
        <w:spacing w:before="139"/>
      </w:pPr>
      <w:bookmarkStart w:name="_bookmark10" w:id="11"/>
      <w:bookmarkEnd w:id="11"/>
      <w:r>
        <w:rPr/>
      </w:r>
      <w:r>
        <w:rPr/>
        <w:t>（一）基金份额销售机构</w:t>
      </w:r>
    </w:p>
    <w:p>
      <w:pPr>
        <w:pStyle w:val="Heading4"/>
        <w:spacing w:before="116"/>
      </w:pPr>
      <w:r>
        <w:rPr/>
        <w:t>1、直销机构：</w:t>
      </w:r>
    </w:p>
    <w:p>
      <w:pPr>
        <w:pStyle w:val="BodyText"/>
        <w:spacing w:before="91"/>
      </w:pPr>
      <w:r>
        <w:rPr/>
        <w:t>易方达基金管理有限公司</w:t>
      </w:r>
    </w:p>
    <w:p>
      <w:pPr>
        <w:pStyle w:val="BodyText"/>
        <w:spacing w:line="364" w:lineRule="auto" w:before="140"/>
        <w:ind w:left="833" w:right="2443" w:hanging="61"/>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t>办公地址：广州市天河区珠江新城珠江东路30号广州银行大厦40-43楼</w:t>
      </w:r>
    </w:p>
    <w:p>
      <w:pPr>
        <w:pStyle w:val="BodyText"/>
        <w:spacing w:line="364" w:lineRule="auto"/>
        <w:ind w:right="7483"/>
        <w:jc w:val="both"/>
      </w:pPr>
      <w:r>
        <w:rPr/>
        <w:t>法定代表人：刘晓艳电话：020-85102506 传真：4008818099</w:t>
      </w:r>
    </w:p>
    <w:p>
      <w:pPr>
        <w:pStyle w:val="BodyText"/>
        <w:spacing w:line="268" w:lineRule="exact"/>
      </w:pPr>
      <w:r>
        <w:rPr/>
        <w:t>联系人：王峰</w:t>
      </w:r>
    </w:p>
    <w:p>
      <w:pPr>
        <w:pStyle w:val="BodyText"/>
        <w:spacing w:line="364" w:lineRule="auto" w:before="138"/>
        <w:ind w:right="6958"/>
      </w:pPr>
      <w:hyperlink r:id="rId7">
        <w:r>
          <w:rPr/>
          <w:t>网址：www.efunds.com.cn </w:t>
        </w:r>
      </w:hyperlink>
      <w:r>
        <w:rPr/>
        <w:t>直销机构网点信息：</w:t>
      </w:r>
    </w:p>
    <w:p>
      <w:pPr>
        <w:pStyle w:val="ListParagraph"/>
        <w:numPr>
          <w:ilvl w:val="0"/>
          <w:numId w:val="8"/>
        </w:numPr>
        <w:tabs>
          <w:tab w:pos="1299" w:val="left" w:leader="none"/>
        </w:tabs>
        <w:spacing w:line="268" w:lineRule="exact" w:before="0" w:after="0"/>
        <w:ind w:left="1299" w:right="0" w:hanging="527"/>
        <w:jc w:val="left"/>
        <w:rPr>
          <w:sz w:val="21"/>
        </w:rPr>
      </w:pPr>
      <w:r>
        <w:rPr>
          <w:sz w:val="21"/>
        </w:rPr>
        <w:t>易方达基金管理有限公司广州直销中心</w:t>
      </w:r>
    </w:p>
    <w:p>
      <w:pPr>
        <w:pStyle w:val="BodyText"/>
        <w:spacing w:line="364" w:lineRule="auto" w:before="140"/>
        <w:ind w:right="3222" w:firstLine="61"/>
      </w:pPr>
      <w:r>
        <w:rPr/>
        <w:t>办公地址：广州市天河区珠江新城珠江东路30号广州银行大厦40楼电话：020-85102506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8"/>
        </w:numPr>
        <w:tabs>
          <w:tab w:pos="1299" w:val="left" w:leader="none"/>
        </w:tabs>
        <w:spacing w:line="240" w:lineRule="auto" w:before="140" w:after="0"/>
        <w:ind w:left="1299" w:right="0" w:hanging="527"/>
        <w:jc w:val="left"/>
        <w:rPr>
          <w:sz w:val="21"/>
        </w:rPr>
      </w:pPr>
      <w:r>
        <w:rPr>
          <w:sz w:val="21"/>
        </w:rPr>
        <w:t>易方达基金管理有限公司北京直销中心</w:t>
      </w:r>
    </w:p>
    <w:p>
      <w:pPr>
        <w:pStyle w:val="BodyText"/>
        <w:spacing w:line="364" w:lineRule="auto" w:before="139"/>
        <w:ind w:right="4018"/>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8"/>
        </w:numPr>
        <w:tabs>
          <w:tab w:pos="1299" w:val="left" w:leader="none"/>
        </w:tabs>
        <w:spacing w:line="240" w:lineRule="auto" w:before="140" w:after="0"/>
        <w:ind w:left="1299" w:right="0" w:hanging="527"/>
        <w:jc w:val="left"/>
        <w:rPr>
          <w:sz w:val="21"/>
        </w:rPr>
      </w:pPr>
      <w:r>
        <w:rPr>
          <w:sz w:val="21"/>
        </w:rPr>
        <w:t>易方达基金管理有限公司上海直销中心</w:t>
      </w:r>
    </w:p>
    <w:p>
      <w:pPr>
        <w:pStyle w:val="BodyText"/>
        <w:spacing w:line="364" w:lineRule="auto" w:before="139"/>
        <w:ind w:right="4123"/>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40"/>
      </w:pPr>
      <w:r>
        <w:rPr/>
        <w:t>联系人：王程</w:t>
      </w:r>
    </w:p>
    <w:p>
      <w:pPr>
        <w:pStyle w:val="ListParagraph"/>
        <w:numPr>
          <w:ilvl w:val="0"/>
          <w:numId w:val="8"/>
        </w:numPr>
        <w:tabs>
          <w:tab w:pos="1299" w:val="left" w:leader="none"/>
        </w:tabs>
        <w:spacing w:line="364" w:lineRule="auto" w:before="139" w:after="0"/>
        <w:ind w:left="772" w:right="5278" w:firstLine="0"/>
        <w:jc w:val="left"/>
        <w:rPr>
          <w:sz w:val="21"/>
        </w:rPr>
      </w:pPr>
      <w:r>
        <w:rPr>
          <w:spacing w:val="-2"/>
          <w:sz w:val="21"/>
        </w:rPr>
        <w:t>易方达基金管理有限公司网上交易系统</w:t>
      </w:r>
      <w:hyperlink r:id="rId7">
        <w:r>
          <w:rPr>
            <w:sz w:val="21"/>
          </w:rPr>
          <w:t>网址：www.efunds.com.cn</w:t>
        </w:r>
      </w:hyperlink>
    </w:p>
    <w:p>
      <w:pPr>
        <w:pStyle w:val="Heading4"/>
        <w:spacing w:line="316" w:lineRule="exact"/>
      </w:pPr>
      <w:r>
        <w:rPr/>
        <w:t>2、非直销销售机构（以下排序不分先后）</w:t>
      </w:r>
    </w:p>
    <w:p>
      <w:pPr>
        <w:pStyle w:val="BodyText"/>
        <w:spacing w:before="92"/>
      </w:pPr>
      <w:r>
        <w:rPr/>
        <w:t>（1）A 类基金份额</w:t>
      </w:r>
    </w:p>
    <w:p>
      <w:pPr>
        <w:pStyle w:val="ListParagraph"/>
        <w:numPr>
          <w:ilvl w:val="0"/>
          <w:numId w:val="9"/>
        </w:numPr>
        <w:tabs>
          <w:tab w:pos="1088" w:val="left" w:leader="none"/>
        </w:tabs>
        <w:spacing w:line="240" w:lineRule="auto" w:before="139" w:after="0"/>
        <w:ind w:left="1088" w:right="0" w:hanging="316"/>
        <w:jc w:val="left"/>
        <w:rPr>
          <w:sz w:val="21"/>
        </w:rPr>
      </w:pPr>
      <w:r>
        <w:rPr>
          <w:sz w:val="21"/>
        </w:rPr>
        <w:t>中国建设银行</w:t>
      </w:r>
    </w:p>
    <w:p>
      <w:pPr>
        <w:spacing w:after="0" w:line="240" w:lineRule="auto"/>
        <w:jc w:val="left"/>
        <w:rPr>
          <w:sz w:val="21"/>
        </w:rPr>
        <w:sectPr>
          <w:pgSz w:w="11910" w:h="16840"/>
          <w:pgMar w:header="0" w:footer="1166" w:top="1600" w:bottom="1440" w:left="1400" w:right="360"/>
        </w:sectPr>
      </w:pPr>
    </w:p>
    <w:p>
      <w:pPr>
        <w:pStyle w:val="BodyText"/>
        <w:spacing w:before="104"/>
      </w:pPr>
      <w:r>
        <w:rPr/>
        <w:t>注册地址：北京市西城区金融大街 25 号</w:t>
      </w:r>
    </w:p>
    <w:p>
      <w:pPr>
        <w:pStyle w:val="BodyText"/>
        <w:spacing w:line="364" w:lineRule="auto" w:before="139"/>
        <w:ind w:right="4753"/>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7378"/>
      </w:pPr>
      <w:r>
        <w:rPr/>
        <w:t>客户服务电话：95533 </w:t>
      </w:r>
      <w:hyperlink r:id="rId8">
        <w:r>
          <w:rPr/>
          <w:t>网址：www.ccb.com</w:t>
        </w:r>
      </w:hyperlink>
    </w:p>
    <w:p>
      <w:pPr>
        <w:pStyle w:val="ListParagraph"/>
        <w:numPr>
          <w:ilvl w:val="0"/>
          <w:numId w:val="9"/>
        </w:numPr>
        <w:tabs>
          <w:tab w:pos="1088" w:val="left" w:leader="none"/>
        </w:tabs>
        <w:spacing w:line="268" w:lineRule="exact" w:before="0" w:after="0"/>
        <w:ind w:left="1088" w:right="0" w:hanging="316"/>
        <w:jc w:val="left"/>
        <w:rPr>
          <w:sz w:val="21"/>
        </w:rPr>
      </w:pPr>
      <w:r>
        <w:rPr>
          <w:sz w:val="21"/>
        </w:rPr>
        <w:t>渤海银行</w:t>
      </w:r>
    </w:p>
    <w:p>
      <w:pPr>
        <w:pStyle w:val="BodyText"/>
        <w:spacing w:before="139"/>
      </w:pPr>
      <w:r>
        <w:rPr/>
        <w:t>注册地址：天津市河东区海河东路 218 号</w:t>
      </w:r>
    </w:p>
    <w:p>
      <w:pPr>
        <w:pStyle w:val="BodyText"/>
        <w:spacing w:line="364" w:lineRule="auto" w:before="140"/>
        <w:ind w:right="4333"/>
      </w:pPr>
      <w:r>
        <w:rPr>
          <w:spacing w:val="-4"/>
        </w:rPr>
        <w:t>办公地址：天津市河东区海河东路 </w:t>
      </w:r>
      <w:r>
        <w:rPr/>
        <w:t>218</w:t>
      </w:r>
      <w:r>
        <w:rPr>
          <w:spacing w:val="-10"/>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7378"/>
      </w:pPr>
      <w:r>
        <w:rPr/>
        <w:t>客户服务电话：95541 传真：022-58316569</w:t>
      </w:r>
    </w:p>
    <w:p>
      <w:pPr>
        <w:pStyle w:val="BodyText"/>
        <w:spacing w:line="268" w:lineRule="exact"/>
      </w:pPr>
      <w:hyperlink r:id="rId9">
        <w:r>
          <w:rPr/>
          <w:t>网址：www.cbhb.com.cn</w:t>
        </w:r>
      </w:hyperlink>
    </w:p>
    <w:p>
      <w:pPr>
        <w:pStyle w:val="ListParagraph"/>
        <w:numPr>
          <w:ilvl w:val="0"/>
          <w:numId w:val="9"/>
        </w:numPr>
        <w:tabs>
          <w:tab w:pos="1088" w:val="left" w:leader="none"/>
        </w:tabs>
        <w:spacing w:line="240" w:lineRule="auto" w:before="139" w:after="0"/>
        <w:ind w:left="1088" w:right="0" w:hanging="316"/>
        <w:jc w:val="both"/>
        <w:rPr>
          <w:sz w:val="21"/>
        </w:rPr>
      </w:pPr>
      <w:r>
        <w:rPr>
          <w:sz w:val="21"/>
        </w:rPr>
        <w:t>广发银行</w:t>
      </w:r>
    </w:p>
    <w:p>
      <w:pPr>
        <w:pStyle w:val="BodyText"/>
        <w:spacing w:line="364" w:lineRule="auto" w:before="139"/>
        <w:ind w:right="4963"/>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法定代表人：尹兆君</w:t>
      </w:r>
    </w:p>
    <w:p>
      <w:pPr>
        <w:pStyle w:val="BodyText"/>
        <w:spacing w:line="364" w:lineRule="auto"/>
        <w:ind w:right="6643"/>
      </w:pPr>
      <w:r>
        <w:rPr/>
        <w:t>客户服务电话：400-830-8003 </w:t>
      </w:r>
      <w:hyperlink r:id="rId10">
        <w:r>
          <w:rPr/>
          <w:t>网址：www.cgbchina.com.cn</w:t>
        </w:r>
      </w:hyperlink>
    </w:p>
    <w:p>
      <w:pPr>
        <w:pStyle w:val="ListParagraph"/>
        <w:numPr>
          <w:ilvl w:val="0"/>
          <w:numId w:val="9"/>
        </w:numPr>
        <w:tabs>
          <w:tab w:pos="1088" w:val="left" w:leader="none"/>
        </w:tabs>
        <w:spacing w:line="268" w:lineRule="exact" w:before="0" w:after="0"/>
        <w:ind w:left="1088" w:right="0" w:hanging="316"/>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40"/>
        <w:ind w:right="4018"/>
      </w:pPr>
      <w:r>
        <w:rPr>
          <w:spacing w:val="-3"/>
        </w:rPr>
        <w:t>办公地址：北京市东城区建国门内大街 </w:t>
      </w:r>
      <w:r>
        <w:rPr/>
        <w:t>22</w:t>
      </w:r>
      <w:r>
        <w:rPr>
          <w:spacing w:val="-10"/>
        </w:rPr>
        <w:t> 号华夏银行大厦</w:t>
      </w:r>
      <w:r>
        <w:rPr/>
        <w:t>法定代表人：李民吉</w:t>
      </w:r>
    </w:p>
    <w:p>
      <w:pPr>
        <w:pStyle w:val="BodyText"/>
        <w:spacing w:line="268" w:lineRule="exact"/>
      </w:pPr>
      <w:r>
        <w:rPr/>
        <w:t>联系人：刘湘波</w:t>
      </w:r>
    </w:p>
    <w:p>
      <w:pPr>
        <w:pStyle w:val="BodyText"/>
        <w:spacing w:line="364" w:lineRule="auto" w:before="139"/>
        <w:ind w:right="7378"/>
      </w:pPr>
      <w:r>
        <w:rPr/>
        <w:t>客户服务电话：95577 传真：010-85238680</w:t>
      </w:r>
    </w:p>
    <w:p>
      <w:pPr>
        <w:pStyle w:val="BodyText"/>
        <w:spacing w:line="268" w:lineRule="exact"/>
      </w:pPr>
      <w:hyperlink r:id="rId11">
        <w:r>
          <w:rPr/>
          <w:t>网址：www.hxb.com.cn</w:t>
        </w:r>
      </w:hyperlink>
    </w:p>
    <w:p>
      <w:pPr>
        <w:pStyle w:val="ListParagraph"/>
        <w:numPr>
          <w:ilvl w:val="0"/>
          <w:numId w:val="9"/>
        </w:numPr>
        <w:tabs>
          <w:tab w:pos="1088" w:val="left" w:leader="none"/>
        </w:tabs>
        <w:spacing w:line="240" w:lineRule="auto" w:before="140" w:after="0"/>
        <w:ind w:left="1088" w:right="0" w:hanging="316"/>
        <w:jc w:val="both"/>
        <w:rPr>
          <w:sz w:val="21"/>
        </w:rPr>
      </w:pPr>
      <w:r>
        <w:rPr>
          <w:sz w:val="21"/>
        </w:rPr>
        <w:t>交通银行</w:t>
      </w:r>
    </w:p>
    <w:p>
      <w:pPr>
        <w:pStyle w:val="BodyText"/>
        <w:spacing w:line="364" w:lineRule="auto" w:before="139"/>
        <w:ind w:right="4123"/>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spacing w:after="0" w:line="364" w:lineRule="auto"/>
        <w:jc w:val="both"/>
        <w:sectPr>
          <w:pgSz w:w="11910" w:h="16840"/>
          <w:pgMar w:header="0" w:footer="1166" w:top="1600" w:bottom="1440" w:left="1400" w:right="360"/>
        </w:sectPr>
      </w:pPr>
    </w:p>
    <w:p>
      <w:pPr>
        <w:pStyle w:val="BodyText"/>
        <w:spacing w:before="104"/>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2">
        <w:r>
          <w:rPr/>
          <w:t>网址：www.bankcomm.com</w:t>
        </w:r>
      </w:hyperlink>
    </w:p>
    <w:p>
      <w:pPr>
        <w:pStyle w:val="ListParagraph"/>
        <w:numPr>
          <w:ilvl w:val="0"/>
          <w:numId w:val="9"/>
        </w:numPr>
        <w:tabs>
          <w:tab w:pos="1088" w:val="left" w:leader="none"/>
        </w:tabs>
        <w:spacing w:line="240" w:lineRule="auto" w:before="140" w:after="0"/>
        <w:ind w:left="1088" w:right="0" w:hanging="316"/>
        <w:jc w:val="both"/>
        <w:rPr>
          <w:sz w:val="21"/>
        </w:rPr>
      </w:pPr>
      <w:r>
        <w:rPr>
          <w:sz w:val="21"/>
        </w:rPr>
        <w:t>平安银行</w:t>
      </w:r>
    </w:p>
    <w:p>
      <w:pPr>
        <w:pStyle w:val="BodyText"/>
        <w:spacing w:line="364" w:lineRule="auto" w:before="139"/>
        <w:ind w:right="4858"/>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7168"/>
      </w:pPr>
      <w:r>
        <w:rPr/>
        <w:t>客户服务电话：95511-3 传真：021-50979507</w:t>
      </w:r>
    </w:p>
    <w:p>
      <w:pPr>
        <w:pStyle w:val="BodyText"/>
        <w:spacing w:line="268" w:lineRule="exact"/>
      </w:pPr>
      <w:r>
        <w:rPr/>
        <w:t>网址：bank.pingan.com</w:t>
      </w:r>
    </w:p>
    <w:p>
      <w:pPr>
        <w:pStyle w:val="ListParagraph"/>
        <w:numPr>
          <w:ilvl w:val="0"/>
          <w:numId w:val="9"/>
        </w:numPr>
        <w:tabs>
          <w:tab w:pos="1088" w:val="left" w:leader="none"/>
        </w:tabs>
        <w:spacing w:line="240" w:lineRule="auto" w:before="139" w:after="0"/>
        <w:ind w:left="1088" w:right="0" w:hanging="316"/>
        <w:jc w:val="both"/>
        <w:rPr>
          <w:sz w:val="21"/>
        </w:rPr>
      </w:pPr>
      <w:r>
        <w:rPr>
          <w:sz w:val="21"/>
        </w:rPr>
        <w:t>浦发银行</w:t>
      </w:r>
    </w:p>
    <w:p>
      <w:pPr>
        <w:pStyle w:val="BodyText"/>
        <w:spacing w:line="364" w:lineRule="auto" w:before="140"/>
        <w:ind w:right="6118"/>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7378"/>
      </w:pPr>
      <w:r>
        <w:rPr/>
        <w:t>客户服务电话：95528 传真：021-63604196</w:t>
      </w:r>
    </w:p>
    <w:p>
      <w:pPr>
        <w:pStyle w:val="BodyText"/>
        <w:spacing w:line="268" w:lineRule="exact"/>
      </w:pPr>
      <w:hyperlink r:id="rId13">
        <w:r>
          <w:rPr/>
          <w:t>网址：www.spdb.com.cn</w:t>
        </w:r>
      </w:hyperlink>
    </w:p>
    <w:p>
      <w:pPr>
        <w:pStyle w:val="ListParagraph"/>
        <w:numPr>
          <w:ilvl w:val="0"/>
          <w:numId w:val="9"/>
        </w:numPr>
        <w:tabs>
          <w:tab w:pos="1088" w:val="left" w:leader="none"/>
        </w:tabs>
        <w:spacing w:line="240" w:lineRule="auto" w:before="139" w:after="0"/>
        <w:ind w:left="1088" w:right="0" w:hanging="316"/>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40"/>
        <w:ind w:right="4753"/>
      </w:pPr>
      <w:r>
        <w:rPr/>
        <w:t>法定代表人：陶以平（代为履行法定代表人职权） 联系人：孙琪虹</w:t>
      </w:r>
    </w:p>
    <w:p>
      <w:pPr>
        <w:pStyle w:val="BodyText"/>
        <w:spacing w:line="364" w:lineRule="auto"/>
        <w:ind w:right="7273"/>
      </w:pPr>
      <w:r>
        <w:rPr/>
        <w:t>客户服务电话：95561 </w:t>
      </w:r>
      <w:hyperlink r:id="rId14">
        <w:r>
          <w:rPr/>
          <w:t>网址：www.cib.com.cn</w:t>
        </w:r>
      </w:hyperlink>
    </w:p>
    <w:p>
      <w:pPr>
        <w:pStyle w:val="ListParagraph"/>
        <w:numPr>
          <w:ilvl w:val="0"/>
          <w:numId w:val="9"/>
        </w:numPr>
        <w:tabs>
          <w:tab w:pos="1088" w:val="left" w:leader="none"/>
        </w:tabs>
        <w:spacing w:line="268" w:lineRule="exact" w:before="0" w:after="0"/>
        <w:ind w:left="1088" w:right="0" w:hanging="316"/>
        <w:jc w:val="left"/>
        <w:rPr>
          <w:sz w:val="21"/>
        </w:rPr>
      </w:pPr>
      <w:r>
        <w:rPr>
          <w:sz w:val="21"/>
        </w:rPr>
        <w:t>招商银行</w:t>
      </w:r>
    </w:p>
    <w:p>
      <w:pPr>
        <w:pStyle w:val="BodyText"/>
        <w:spacing w:line="364" w:lineRule="auto" w:before="138"/>
        <w:ind w:right="4228"/>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spacing w:after="0" w:line="364" w:lineRule="auto"/>
        <w:jc w:val="both"/>
        <w:sectPr>
          <w:pgSz w:w="11910" w:h="16840"/>
          <w:pgMar w:header="0" w:footer="1166" w:top="1600" w:bottom="1440" w:left="1400" w:right="360"/>
        </w:sectPr>
      </w:pPr>
    </w:p>
    <w:p>
      <w:pPr>
        <w:pStyle w:val="BodyText"/>
        <w:spacing w:before="104"/>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浙商银行</w:t>
      </w:r>
    </w:p>
    <w:p>
      <w:pPr>
        <w:pStyle w:val="BodyText"/>
        <w:spacing w:line="364" w:lineRule="auto" w:before="140"/>
        <w:ind w:right="5068"/>
      </w:pPr>
      <w:r>
        <w:rPr>
          <w:spacing w:val="-3"/>
        </w:rPr>
        <w:t>注册地址：浙江省杭州市萧山区鸿宁路 </w:t>
      </w:r>
      <w:r>
        <w:rPr/>
        <w:t>1788</w:t>
      </w:r>
      <w:r>
        <w:rPr>
          <w:spacing w:val="-35"/>
        </w:rPr>
        <w:t> 号</w:t>
      </w:r>
      <w:r>
        <w:rPr>
          <w:spacing w:val="-4"/>
        </w:rPr>
        <w:t>办公地址：浙江杭州市庆春路 </w:t>
      </w:r>
      <w:r>
        <w:rPr/>
        <w:t>288</w:t>
      </w:r>
      <w:r>
        <w:rPr>
          <w:spacing w:val="-27"/>
        </w:rPr>
        <w:t> 号</w:t>
      </w:r>
    </w:p>
    <w:p>
      <w:pPr>
        <w:pStyle w:val="BodyText"/>
        <w:spacing w:line="364" w:lineRule="auto"/>
        <w:ind w:right="7483"/>
      </w:pPr>
      <w:r>
        <w:rPr/>
        <w:t>法定代表人：沈仁康联系人：沈崟杰</w:t>
      </w:r>
    </w:p>
    <w:p>
      <w:pPr>
        <w:pStyle w:val="BodyText"/>
        <w:spacing w:line="268" w:lineRule="exact"/>
      </w:pPr>
      <w:r>
        <w:rPr/>
        <w:t>联系电话：0571- 88261822</w:t>
      </w:r>
    </w:p>
    <w:p>
      <w:pPr>
        <w:pStyle w:val="BodyText"/>
        <w:spacing w:line="364" w:lineRule="auto" w:before="138"/>
        <w:ind w:right="7378"/>
      </w:pPr>
      <w:r>
        <w:rPr/>
        <w:t>客户服务电话：95527 传真：0571-87659954</w:t>
      </w:r>
    </w:p>
    <w:p>
      <w:pPr>
        <w:pStyle w:val="BodyText"/>
        <w:spacing w:line="268" w:lineRule="exact"/>
      </w:pPr>
      <w:hyperlink r:id="rId16">
        <w:r>
          <w:rPr/>
          <w:t>网址：www.czbank.com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中国工商银行</w:t>
      </w:r>
    </w:p>
    <w:p>
      <w:pPr>
        <w:pStyle w:val="BodyText"/>
        <w:spacing w:line="364" w:lineRule="auto" w:before="139"/>
        <w:ind w:right="5488"/>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40"/>
        <w:ind w:right="7168"/>
      </w:pPr>
      <w:r>
        <w:rPr/>
        <w:t>客户服务电话：95588 </w:t>
      </w:r>
      <w:hyperlink r:id="rId17">
        <w:r>
          <w:rPr>
            <w:spacing w:val="-1"/>
          </w:rPr>
          <w:t>网址：www.icbc.com.cn</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中国民生银行</w:t>
      </w:r>
    </w:p>
    <w:p>
      <w:pPr>
        <w:pStyle w:val="BodyText"/>
        <w:spacing w:line="364" w:lineRule="auto" w:before="139"/>
        <w:ind w:right="5383"/>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联系人：徐野</w:t>
      </w:r>
    </w:p>
    <w:p>
      <w:pPr>
        <w:pStyle w:val="BodyText"/>
        <w:spacing w:line="364" w:lineRule="auto" w:before="139"/>
        <w:ind w:right="7168"/>
      </w:pPr>
      <w:r>
        <w:rPr/>
        <w:t>客户服务电话：95568 </w:t>
      </w:r>
      <w:hyperlink r:id="rId18">
        <w:r>
          <w:rPr>
            <w:spacing w:val="-1"/>
          </w:rPr>
          <w:t>网址：www.cmbc.com.cn</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中国农业银行</w:t>
      </w:r>
    </w:p>
    <w:p>
      <w:pPr>
        <w:pStyle w:val="BodyText"/>
        <w:spacing w:line="364" w:lineRule="auto" w:before="140"/>
        <w:ind w:right="5278"/>
        <w:jc w:val="both"/>
      </w:pPr>
      <w:r>
        <w:rPr>
          <w:spacing w:val="-3"/>
        </w:rPr>
        <w:t>注册地址：北京市东城区建国门内大街 </w:t>
      </w:r>
      <w:r>
        <w:rPr/>
        <w:t>69</w:t>
      </w:r>
      <w:r>
        <w:rPr>
          <w:spacing w:val="-35"/>
        </w:rPr>
        <w:t> 号</w:t>
      </w:r>
      <w:r>
        <w:rPr>
          <w:spacing w:val="-3"/>
        </w:rPr>
        <w:t>办公地址：北京市东城区建国门内大街 </w:t>
      </w:r>
      <w:r>
        <w:rPr/>
        <w:t>69</w:t>
      </w:r>
      <w:r>
        <w:rPr>
          <w:spacing w:val="-35"/>
        </w:rPr>
        <w:t> 号</w:t>
      </w:r>
      <w:r>
        <w:rPr/>
        <w:t>法定代表人：周慕冰</w:t>
      </w:r>
    </w:p>
    <w:p>
      <w:pPr>
        <w:pStyle w:val="BodyText"/>
        <w:spacing w:line="268" w:lineRule="exact"/>
      </w:pPr>
      <w:r>
        <w:rPr/>
        <w:t>联系人：李紫钰</w:t>
      </w:r>
    </w:p>
    <w:p>
      <w:pPr>
        <w:pStyle w:val="BodyText"/>
        <w:spacing w:line="364" w:lineRule="auto" w:before="139"/>
        <w:ind w:right="7378"/>
      </w:pPr>
      <w:r>
        <w:rPr/>
        <w:t>客户服务电话：95599 传真：010-85109219</w:t>
      </w:r>
    </w:p>
    <w:p>
      <w:pPr>
        <w:spacing w:after="0" w:line="364" w:lineRule="auto"/>
        <w:sectPr>
          <w:pgSz w:w="11910" w:h="16840"/>
          <w:pgMar w:header="0" w:footer="1166" w:top="1600" w:bottom="1440" w:left="1400" w:right="360"/>
        </w:sectPr>
      </w:pPr>
    </w:p>
    <w:p>
      <w:pPr>
        <w:pStyle w:val="BodyText"/>
        <w:spacing w:before="104"/>
      </w:pPr>
      <w:hyperlink r:id="rId19">
        <w:r>
          <w:rPr/>
          <w:t>网址：www.abchina.com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中国银行</w:t>
      </w:r>
    </w:p>
    <w:p>
      <w:pPr>
        <w:pStyle w:val="BodyText"/>
        <w:spacing w:line="364" w:lineRule="auto" w:before="140"/>
        <w:ind w:right="5383"/>
        <w:jc w:val="both"/>
      </w:pPr>
      <w:r>
        <w:rPr>
          <w:spacing w:val="-3"/>
        </w:rPr>
        <w:t>注册地址：北京市西城区复兴门内大街 </w:t>
      </w:r>
      <w:r>
        <w:rPr/>
        <w:t>1</w:t>
      </w:r>
      <w:r>
        <w:rPr>
          <w:spacing w:val="-35"/>
        </w:rPr>
        <w:t> 号</w:t>
      </w:r>
      <w:r>
        <w:rPr>
          <w:spacing w:val="-3"/>
        </w:rPr>
        <w:t>办公地址：北京市西城区复兴门内大街 </w:t>
      </w:r>
      <w:r>
        <w:rPr/>
        <w:t>1</w:t>
      </w:r>
      <w:r>
        <w:rPr>
          <w:spacing w:val="-35"/>
        </w:rPr>
        <w:t> 号</w:t>
      </w:r>
      <w:r>
        <w:rPr/>
        <w:t>法定代表人：刘连舸</w:t>
      </w:r>
    </w:p>
    <w:p>
      <w:pPr>
        <w:pStyle w:val="BodyText"/>
        <w:spacing w:line="364" w:lineRule="auto"/>
        <w:ind w:right="7378"/>
      </w:pPr>
      <w:r>
        <w:rPr/>
        <w:t>客户服务电话：95566 </w:t>
      </w:r>
      <w:hyperlink r:id="rId20">
        <w:r>
          <w:rPr/>
          <w:t>网址：www.boc.cn</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中国邮政储蓄银行</w:t>
      </w:r>
    </w:p>
    <w:p>
      <w:pPr>
        <w:pStyle w:val="BodyText"/>
        <w:spacing w:line="364" w:lineRule="auto" w:before="138"/>
        <w:ind w:right="5803"/>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39"/>
        <w:ind w:right="7378"/>
      </w:pPr>
      <w:r>
        <w:rPr/>
        <w:t>客户服务电话</w:t>
      </w:r>
      <w:r>
        <w:rPr>
          <w:spacing w:val="-3"/>
        </w:rPr>
        <w:t>：95580 </w:t>
      </w:r>
      <w:r>
        <w:rPr/>
        <w:t>传真：010-68858057</w:t>
      </w:r>
    </w:p>
    <w:p>
      <w:pPr>
        <w:pStyle w:val="BodyText"/>
        <w:spacing w:line="268" w:lineRule="exact"/>
      </w:pPr>
      <w:hyperlink r:id="rId21">
        <w:r>
          <w:rPr/>
          <w:t>网址：www.psbc.com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中信银行</w:t>
      </w:r>
    </w:p>
    <w:p>
      <w:pPr>
        <w:pStyle w:val="BodyText"/>
        <w:spacing w:line="364" w:lineRule="auto" w:before="139"/>
        <w:ind w:right="5383"/>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40"/>
        <w:ind w:right="7378"/>
      </w:pPr>
      <w:r>
        <w:rPr/>
        <w:t>客户服务电话：95558 传真：010-85230049</w:t>
      </w:r>
    </w:p>
    <w:p>
      <w:pPr>
        <w:pStyle w:val="BodyText"/>
        <w:spacing w:line="268" w:lineRule="exact"/>
      </w:pPr>
      <w:r>
        <w:rPr/>
        <w:t>网址：bank.ecitic.com</w:t>
      </w:r>
    </w:p>
    <w:p>
      <w:pPr>
        <w:pStyle w:val="ListParagraph"/>
        <w:numPr>
          <w:ilvl w:val="0"/>
          <w:numId w:val="9"/>
        </w:numPr>
        <w:tabs>
          <w:tab w:pos="1193" w:val="left" w:leader="none"/>
        </w:tabs>
        <w:spacing w:line="240" w:lineRule="auto" w:before="139" w:after="0"/>
        <w:ind w:left="1193" w:right="0" w:hanging="421"/>
        <w:jc w:val="both"/>
        <w:rPr>
          <w:sz w:val="21"/>
        </w:rPr>
      </w:pPr>
      <w:r>
        <w:rPr>
          <w:sz w:val="21"/>
        </w:rPr>
        <w:t>包商银行</w:t>
      </w:r>
    </w:p>
    <w:p>
      <w:pPr>
        <w:pStyle w:val="BodyText"/>
        <w:spacing w:line="364" w:lineRule="auto" w:before="139"/>
        <w:ind w:right="4543"/>
        <w:jc w:val="both"/>
      </w:pPr>
      <w:r>
        <w:rPr>
          <w:spacing w:val="-3"/>
        </w:rPr>
        <w:t>注册地址：内蒙古自治区包头市青山区钢铁大街 </w:t>
      </w:r>
      <w:r>
        <w:rPr/>
        <w:t>6</w:t>
      </w:r>
      <w:r>
        <w:rPr>
          <w:spacing w:val="-35"/>
        </w:rPr>
        <w:t> 号</w:t>
      </w:r>
      <w:r>
        <w:rPr>
          <w:spacing w:val="-3"/>
        </w:rPr>
        <w:t>办公地址：内蒙古自治区包头市青山区钢铁大街 </w:t>
      </w:r>
      <w:r>
        <w:rPr/>
        <w:t>6</w:t>
      </w:r>
      <w:r>
        <w:rPr>
          <w:spacing w:val="-35"/>
        </w:rPr>
        <w:t> 号</w:t>
      </w:r>
      <w:r>
        <w:rPr/>
        <w:t>法定代表人：周学东</w:t>
      </w:r>
    </w:p>
    <w:p>
      <w:pPr>
        <w:pStyle w:val="BodyText"/>
        <w:spacing w:line="268" w:lineRule="exact"/>
      </w:pPr>
      <w:r>
        <w:rPr/>
        <w:t>联系人：张晶</w:t>
      </w:r>
    </w:p>
    <w:p>
      <w:pPr>
        <w:pStyle w:val="BodyText"/>
        <w:spacing w:before="140"/>
      </w:pPr>
      <w:r>
        <w:rPr/>
        <w:t>联系电话：0472-5189165</w:t>
      </w:r>
    </w:p>
    <w:p>
      <w:pPr>
        <w:pStyle w:val="BodyText"/>
        <w:spacing w:line="364" w:lineRule="auto" w:before="139"/>
        <w:ind w:right="7378"/>
      </w:pPr>
      <w:r>
        <w:rPr/>
        <w:t>客户服务电话：95352 传真：010-84596546</w:t>
      </w:r>
    </w:p>
    <w:p>
      <w:pPr>
        <w:pStyle w:val="BodyText"/>
        <w:spacing w:line="268" w:lineRule="exact"/>
      </w:pPr>
      <w:hyperlink r:id="rId22">
        <w:r>
          <w:rPr/>
          <w:t>网址：www.bsb.com.cn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北京银行</w:t>
      </w:r>
    </w:p>
    <w:p>
      <w:pPr>
        <w:spacing w:after="0" w:line="240" w:lineRule="auto"/>
        <w:jc w:val="both"/>
        <w:rPr>
          <w:sz w:val="21"/>
        </w:rPr>
        <w:sectPr>
          <w:pgSz w:w="11910" w:h="16840"/>
          <w:pgMar w:header="0" w:footer="1166" w:top="1600" w:bottom="1440" w:left="1400" w:right="360"/>
        </w:sectPr>
      </w:pPr>
    </w:p>
    <w:p>
      <w:pPr>
        <w:pStyle w:val="BodyText"/>
        <w:spacing w:line="364" w:lineRule="auto" w:before="104"/>
        <w:ind w:right="5068"/>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7483"/>
      </w:pPr>
      <w:r>
        <w:rPr/>
        <w:t>法定代表人：张东宁联系人：周黎</w:t>
      </w:r>
    </w:p>
    <w:p>
      <w:pPr>
        <w:pStyle w:val="BodyText"/>
        <w:spacing w:line="268" w:lineRule="exact"/>
      </w:pPr>
      <w:r>
        <w:rPr/>
        <w:t>客户服务电话：95526</w:t>
      </w:r>
    </w:p>
    <w:p>
      <w:pPr>
        <w:pStyle w:val="BodyText"/>
        <w:spacing w:before="138"/>
      </w:pPr>
      <w:hyperlink r:id="rId23">
        <w:r>
          <w:rPr/>
          <w:t>网址：www.bankofbeijing.com.cn</w:t>
        </w:r>
      </w:hyperlink>
    </w:p>
    <w:p>
      <w:pPr>
        <w:pStyle w:val="ListParagraph"/>
        <w:numPr>
          <w:ilvl w:val="0"/>
          <w:numId w:val="9"/>
        </w:numPr>
        <w:tabs>
          <w:tab w:pos="1193" w:val="left" w:leader="none"/>
        </w:tabs>
        <w:spacing w:line="240" w:lineRule="auto" w:before="140" w:after="0"/>
        <w:ind w:left="1193" w:right="0" w:hanging="421"/>
        <w:jc w:val="left"/>
        <w:rPr>
          <w:sz w:val="21"/>
        </w:rPr>
      </w:pPr>
      <w:r>
        <w:rPr>
          <w:sz w:val="21"/>
        </w:rPr>
        <w:t>长安银行</w:t>
      </w:r>
    </w:p>
    <w:p>
      <w:pPr>
        <w:pStyle w:val="BodyText"/>
        <w:spacing w:line="364" w:lineRule="auto" w:before="139"/>
        <w:ind w:right="2548"/>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7483"/>
      </w:pPr>
      <w:r>
        <w:rPr/>
        <w:t>法定代表人：赵永军联系人：闫石</w:t>
      </w:r>
    </w:p>
    <w:p>
      <w:pPr>
        <w:pStyle w:val="BodyText"/>
        <w:spacing w:line="364" w:lineRule="auto"/>
        <w:ind w:right="5173"/>
      </w:pPr>
      <w:r>
        <w:rPr/>
        <w:t>客户服务电话：400-05-96669；（029）96669 传真：029-88609566</w:t>
      </w:r>
    </w:p>
    <w:p>
      <w:pPr>
        <w:pStyle w:val="BodyText"/>
        <w:spacing w:line="268" w:lineRule="exact"/>
      </w:pPr>
      <w:hyperlink r:id="rId24">
        <w:r>
          <w:rPr/>
          <w:t>网址：http://www.ccabchina.com/</w:t>
        </w:r>
      </w:hyperlink>
    </w:p>
    <w:p>
      <w:pPr>
        <w:pStyle w:val="ListParagraph"/>
        <w:numPr>
          <w:ilvl w:val="0"/>
          <w:numId w:val="9"/>
        </w:numPr>
        <w:tabs>
          <w:tab w:pos="1193" w:val="left" w:leader="none"/>
        </w:tabs>
        <w:spacing w:line="240" w:lineRule="auto" w:before="138" w:after="0"/>
        <w:ind w:left="1193" w:right="0" w:hanging="421"/>
        <w:jc w:val="left"/>
        <w:rPr>
          <w:sz w:val="21"/>
        </w:rPr>
      </w:pPr>
      <w:r>
        <w:rPr>
          <w:sz w:val="21"/>
        </w:rPr>
        <w:t>长沙银行</w:t>
      </w:r>
    </w:p>
    <w:p>
      <w:pPr>
        <w:pStyle w:val="BodyText"/>
        <w:spacing w:line="364" w:lineRule="auto" w:before="139"/>
        <w:ind w:right="4228"/>
      </w:pPr>
      <w:r>
        <w:rPr>
          <w:spacing w:val="-4"/>
        </w:rPr>
        <w:t>注册地址：长沙市岳麓区滨江路 </w:t>
      </w:r>
      <w:r>
        <w:rPr/>
        <w:t>53</w:t>
      </w:r>
      <w:r>
        <w:rPr>
          <w:spacing w:val="-13"/>
        </w:rPr>
        <w:t> 号楷林商务中心 </w:t>
      </w:r>
      <w:r>
        <w:rPr/>
        <w:t>B</w:t>
      </w:r>
      <w:r>
        <w:rPr>
          <w:spacing w:val="-35"/>
        </w:rPr>
        <w:t> 座</w:t>
      </w:r>
      <w:r>
        <w:rPr/>
        <w:t>办公地址：长沙市岳麓区滨江路长沙银行大厦</w:t>
      </w:r>
    </w:p>
    <w:p>
      <w:pPr>
        <w:pStyle w:val="BodyText"/>
        <w:spacing w:line="364" w:lineRule="auto"/>
        <w:ind w:right="7483"/>
      </w:pPr>
      <w:r>
        <w:rPr/>
        <w:t>法定代表人：朱玉国联系人：龙秀芳</w:t>
      </w:r>
    </w:p>
    <w:p>
      <w:pPr>
        <w:pStyle w:val="BodyText"/>
        <w:spacing w:line="268" w:lineRule="exact"/>
      </w:pPr>
      <w:r>
        <w:rPr/>
        <w:t>联系电话：0731-89736250</w:t>
      </w:r>
    </w:p>
    <w:p>
      <w:pPr>
        <w:pStyle w:val="BodyText"/>
        <w:spacing w:line="364" w:lineRule="auto" w:before="139"/>
        <w:ind w:right="3388"/>
      </w:pPr>
      <w:r>
        <w:rPr/>
        <w:t>客户服务电话：0731-96511（湖南省内）、40067-96511（全国） </w:t>
      </w:r>
      <w:hyperlink r:id="rId25">
        <w:r>
          <w:rPr/>
          <w:t>网址：www.bankofchangsha.com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大连银行</w:t>
      </w:r>
    </w:p>
    <w:p>
      <w:pPr>
        <w:pStyle w:val="BodyText"/>
        <w:spacing w:line="364" w:lineRule="auto" w:before="139"/>
        <w:ind w:right="5278"/>
      </w:pPr>
      <w:r>
        <w:rPr>
          <w:spacing w:val="-3"/>
        </w:rPr>
        <w:t>注册地址：辽宁省大连市中山区中山路 </w:t>
      </w:r>
      <w:r>
        <w:rPr/>
        <w:t>88</w:t>
      </w:r>
      <w:r>
        <w:rPr>
          <w:spacing w:val="-35"/>
        </w:rPr>
        <w:t> 号</w:t>
      </w:r>
      <w:r>
        <w:rPr>
          <w:spacing w:val="-4"/>
        </w:rPr>
        <w:t>办公地址：大连市中山区中山路 </w:t>
      </w:r>
      <w:r>
        <w:rPr/>
        <w:t>88</w:t>
      </w:r>
      <w:r>
        <w:rPr>
          <w:spacing w:val="-27"/>
        </w:rPr>
        <w:t> 号</w:t>
      </w:r>
    </w:p>
    <w:p>
      <w:pPr>
        <w:pStyle w:val="BodyText"/>
        <w:spacing w:line="364" w:lineRule="auto"/>
        <w:ind w:right="7693"/>
      </w:pPr>
      <w:r>
        <w:rPr/>
        <w:t>法定代表人：崔磊联系人：卜书慧</w:t>
      </w:r>
    </w:p>
    <w:p>
      <w:pPr>
        <w:pStyle w:val="BodyText"/>
        <w:spacing w:line="268" w:lineRule="exact"/>
      </w:pPr>
      <w:r>
        <w:rPr/>
        <w:t>联系电话：0411-82311936</w:t>
      </w:r>
    </w:p>
    <w:p>
      <w:pPr>
        <w:pStyle w:val="BodyText"/>
        <w:spacing w:line="364" w:lineRule="auto" w:before="139"/>
        <w:ind w:right="6643"/>
      </w:pPr>
      <w:r>
        <w:rPr/>
        <w:t>客户服务电话</w:t>
      </w:r>
      <w:r>
        <w:rPr>
          <w:spacing w:val="-2"/>
        </w:rPr>
        <w:t>：400-664-0099 </w:t>
      </w:r>
      <w:hyperlink r:id="rId26">
        <w:r>
          <w:rPr/>
          <w:t>网址：www.bankofdl.com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德州银行</w:t>
      </w:r>
    </w:p>
    <w:p>
      <w:pPr>
        <w:pStyle w:val="BodyText"/>
        <w:spacing w:line="364" w:lineRule="auto" w:before="139"/>
        <w:ind w:right="5488"/>
      </w:pPr>
      <w:r>
        <w:rPr>
          <w:spacing w:val="-4"/>
        </w:rPr>
        <w:t>注册地址：山东省德州市三八东路 </w:t>
      </w:r>
      <w:r>
        <w:rPr/>
        <w:t>1266</w:t>
      </w:r>
      <w:r>
        <w:rPr>
          <w:spacing w:val="-35"/>
        </w:rPr>
        <w:t> 号</w:t>
      </w:r>
      <w:r>
        <w:rPr>
          <w:spacing w:val="-4"/>
        </w:rPr>
        <w:t>办公地址：山东省德州市三八东路 </w:t>
      </w:r>
      <w:r>
        <w:rPr/>
        <w:t>1266</w:t>
      </w:r>
      <w:r>
        <w:rPr>
          <w:spacing w:val="-35"/>
        </w:rPr>
        <w:t> 号</w:t>
      </w:r>
    </w:p>
    <w:p>
      <w:pPr>
        <w:spacing w:after="0" w:line="364" w:lineRule="auto"/>
        <w:sectPr>
          <w:pgSz w:w="11910" w:h="16840"/>
          <w:pgMar w:header="0" w:footer="1166" w:top="1600" w:bottom="1440" w:left="1400" w:right="360"/>
        </w:sectPr>
      </w:pPr>
    </w:p>
    <w:p>
      <w:pPr>
        <w:pStyle w:val="BodyText"/>
        <w:spacing w:line="364" w:lineRule="auto" w:before="104"/>
        <w:ind w:right="7483"/>
      </w:pPr>
      <w:r>
        <w:rPr/>
        <w:t>法定代表人：董合平联系人：王方震</w:t>
      </w:r>
    </w:p>
    <w:p>
      <w:pPr>
        <w:pStyle w:val="BodyText"/>
        <w:spacing w:line="268" w:lineRule="exact"/>
      </w:pPr>
      <w:r>
        <w:rPr/>
        <w:t>电话：0534-2297326</w:t>
      </w:r>
    </w:p>
    <w:p>
      <w:pPr>
        <w:pStyle w:val="BodyText"/>
        <w:spacing w:line="364" w:lineRule="auto" w:before="139"/>
        <w:ind w:right="6643"/>
      </w:pPr>
      <w:r>
        <w:rPr/>
        <w:t>客户服务电话：400-01-96588 </w:t>
      </w:r>
      <w:hyperlink r:id="rId27">
        <w:r>
          <w:rPr/>
          <w:t>网址：www.dzbchina.com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3493"/>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40"/>
        <w:ind w:right="6748"/>
      </w:pPr>
      <w:r>
        <w:rPr/>
        <w:t>客户服务电话：0769-961122 </w:t>
      </w:r>
      <w:hyperlink r:id="rId28">
        <w:r>
          <w:rPr/>
          <w:t>网址：www.drcbank.com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东莞银行</w:t>
      </w:r>
    </w:p>
    <w:p>
      <w:pPr>
        <w:pStyle w:val="BodyText"/>
        <w:spacing w:before="139"/>
      </w:pPr>
      <w:r>
        <w:rPr/>
        <w:t>注册地址：东莞市莞城区体育路 21 号</w:t>
      </w:r>
    </w:p>
    <w:p>
      <w:pPr>
        <w:pStyle w:val="BodyText"/>
        <w:spacing w:line="364" w:lineRule="auto" w:before="140"/>
        <w:ind w:right="4648"/>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39"/>
      </w:pPr>
      <w:r>
        <w:rPr/>
        <w:t>客户服务电话：956033</w:t>
      </w:r>
    </w:p>
    <w:p>
      <w:pPr>
        <w:pStyle w:val="BodyText"/>
        <w:spacing w:before="140"/>
      </w:pPr>
      <w:hyperlink r:id="rId29">
        <w:r>
          <w:rPr/>
          <w:t>网址：www.dongguanbank.cn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佛山农商银行</w:t>
      </w:r>
    </w:p>
    <w:p>
      <w:pPr>
        <w:pStyle w:val="BodyText"/>
        <w:spacing w:line="364" w:lineRule="auto" w:before="140"/>
        <w:ind w:right="5803"/>
        <w:jc w:val="both"/>
      </w:pPr>
      <w:r>
        <w:rPr>
          <w:spacing w:val="-4"/>
        </w:rPr>
        <w:t>注册地址：佛山市禅城区华远东路 </w:t>
      </w:r>
      <w:r>
        <w:rPr/>
        <w:t>5</w:t>
      </w:r>
      <w:r>
        <w:rPr>
          <w:spacing w:val="-35"/>
        </w:rPr>
        <w:t> 号</w:t>
      </w:r>
      <w:r>
        <w:rPr>
          <w:spacing w:val="-4"/>
        </w:rPr>
        <w:t>办公地址：佛山市禅城区华远东路 </w:t>
      </w:r>
      <w:r>
        <w:rPr/>
        <w:t>5</w:t>
      </w:r>
      <w:r>
        <w:rPr>
          <w:spacing w:val="-35"/>
        </w:rPr>
        <w:t> 号</w:t>
      </w:r>
      <w:r>
        <w:rPr/>
        <w:t>法定代表人：李川</w:t>
      </w:r>
    </w:p>
    <w:p>
      <w:pPr>
        <w:pStyle w:val="BodyText"/>
        <w:spacing w:line="268" w:lineRule="exact"/>
      </w:pPr>
      <w:r>
        <w:rPr/>
        <w:t>联系人：陈棠熙</w:t>
      </w:r>
    </w:p>
    <w:p>
      <w:pPr>
        <w:pStyle w:val="BodyText"/>
        <w:spacing w:before="139"/>
      </w:pPr>
      <w:r>
        <w:rPr/>
        <w:t>客户服务电话：96138</w:t>
      </w:r>
    </w:p>
    <w:p>
      <w:pPr>
        <w:pStyle w:val="BodyText"/>
        <w:spacing w:before="140"/>
      </w:pPr>
      <w:hyperlink r:id="rId30">
        <w:r>
          <w:rPr/>
          <w:t>网址：www.foshanbank.cn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3073"/>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spacing w:after="0"/>
        <w:sectPr>
          <w:pgSz w:w="11910" w:h="16840"/>
          <w:pgMar w:header="0" w:footer="1166" w:top="1600" w:bottom="1440" w:left="1400" w:right="360"/>
        </w:sectPr>
      </w:pPr>
    </w:p>
    <w:p>
      <w:pPr>
        <w:pStyle w:val="BodyText"/>
        <w:spacing w:line="364" w:lineRule="auto" w:before="104"/>
        <w:ind w:right="6643"/>
      </w:pPr>
      <w:r>
        <w:rPr/>
        <w:t>客户服务电话：400-893-9999 传真：0591-87330926</w:t>
      </w:r>
    </w:p>
    <w:p>
      <w:pPr>
        <w:pStyle w:val="BodyText"/>
        <w:spacing w:line="268" w:lineRule="exact"/>
      </w:pPr>
      <w:hyperlink r:id="rId31">
        <w:r>
          <w:rPr/>
          <w:t>网址：www.fjhxbank.com</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富阳农商银行</w:t>
      </w:r>
    </w:p>
    <w:p>
      <w:pPr>
        <w:pStyle w:val="BodyText"/>
        <w:spacing w:line="364" w:lineRule="auto" w:before="140"/>
        <w:ind w:right="4333"/>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7483"/>
      </w:pPr>
      <w:r>
        <w:rPr/>
        <w:t>法定代表人：丁松茂联系人：陈硕</w:t>
      </w:r>
    </w:p>
    <w:p>
      <w:pPr>
        <w:pStyle w:val="BodyText"/>
        <w:spacing w:line="268" w:lineRule="exact"/>
      </w:pPr>
      <w:r>
        <w:rPr/>
        <w:t>联系电话：0571-63280253</w:t>
      </w:r>
    </w:p>
    <w:p>
      <w:pPr>
        <w:pStyle w:val="BodyText"/>
        <w:spacing w:line="364" w:lineRule="auto" w:before="138"/>
        <w:ind w:right="6118"/>
      </w:pPr>
      <w:r>
        <w:rPr/>
        <w:t>客户服务电话：96596、4008896596 </w:t>
      </w:r>
      <w:hyperlink r:id="rId32">
        <w:r>
          <w:rPr/>
          <w:t>网址：www.fyrcbk.com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广东华兴银行</w:t>
      </w:r>
    </w:p>
    <w:p>
      <w:pPr>
        <w:pStyle w:val="BodyText"/>
        <w:spacing w:line="364" w:lineRule="auto" w:before="140"/>
        <w:ind w:right="4858"/>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7483"/>
      </w:pPr>
      <w:r>
        <w:rPr/>
        <w:t>法定代表人：周泽荣联系人：许悦</w:t>
      </w:r>
    </w:p>
    <w:p>
      <w:pPr>
        <w:pStyle w:val="BodyText"/>
        <w:spacing w:line="268" w:lineRule="exact"/>
      </w:pPr>
      <w:r>
        <w:rPr/>
        <w:t>联系电话：020-38173552</w:t>
      </w:r>
    </w:p>
    <w:p>
      <w:pPr>
        <w:pStyle w:val="BodyText"/>
        <w:spacing w:line="364" w:lineRule="auto" w:before="138"/>
        <w:ind w:right="6643"/>
      </w:pPr>
      <w:r>
        <w:rPr/>
        <w:t>客户服务电话：400-830-8001 传真：020-38173857</w:t>
      </w:r>
    </w:p>
    <w:p>
      <w:pPr>
        <w:pStyle w:val="BodyText"/>
        <w:spacing w:line="268" w:lineRule="exact"/>
      </w:pPr>
      <w:hyperlink r:id="rId33">
        <w:r>
          <w:rPr/>
          <w:t>网址：www.ghbank.com.cn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广东南粤银行</w:t>
      </w:r>
    </w:p>
    <w:p>
      <w:pPr>
        <w:pStyle w:val="BodyText"/>
        <w:spacing w:line="364" w:lineRule="auto" w:before="139"/>
        <w:ind w:right="4228"/>
        <w:jc w:val="both"/>
      </w:pPr>
      <w:r>
        <w:rPr>
          <w:spacing w:val="-3"/>
        </w:rPr>
        <w:t>注册地址：广东省湛江市经济技术开发区乐山大道 </w:t>
      </w:r>
      <w:r>
        <w:rPr/>
        <w:t>60</w:t>
      </w:r>
      <w:r>
        <w:rPr>
          <w:spacing w:val="-35"/>
        </w:rPr>
        <w:t> 号</w:t>
      </w:r>
      <w:r>
        <w:rPr>
          <w:spacing w:val="-3"/>
        </w:rPr>
        <w:t>办公地址：广东省湛江市经济技术开发区乐山大道 </w:t>
      </w:r>
      <w:r>
        <w:rPr/>
        <w:t>60</w:t>
      </w:r>
      <w:r>
        <w:rPr>
          <w:spacing w:val="-35"/>
        </w:rPr>
        <w:t> 号</w:t>
      </w:r>
      <w:r>
        <w:rPr/>
        <w:t>法定代表人：蒋丹</w:t>
      </w:r>
    </w:p>
    <w:p>
      <w:pPr>
        <w:pStyle w:val="BodyText"/>
        <w:spacing w:line="268" w:lineRule="exact"/>
      </w:pPr>
      <w:r>
        <w:rPr/>
        <w:t>联系人：陈静</w:t>
      </w:r>
    </w:p>
    <w:p>
      <w:pPr>
        <w:pStyle w:val="BodyText"/>
        <w:spacing w:before="140"/>
      </w:pPr>
      <w:r>
        <w:rPr/>
        <w:t>联系电话：020-28308757</w:t>
      </w:r>
    </w:p>
    <w:p>
      <w:pPr>
        <w:pStyle w:val="BodyText"/>
        <w:spacing w:line="364" w:lineRule="auto" w:before="139"/>
        <w:ind w:right="6748"/>
      </w:pPr>
      <w:r>
        <w:rPr/>
        <w:t>客户服务电话</w:t>
      </w:r>
      <w:r>
        <w:rPr>
          <w:spacing w:val="-2"/>
        </w:rPr>
        <w:t>：4000-961818 </w:t>
      </w:r>
      <w:hyperlink r:id="rId34">
        <w:r>
          <w:rPr/>
          <w:t>网址：www.gdnybank.com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40"/>
        <w:ind w:right="5173"/>
      </w:pPr>
      <w:r>
        <w:rPr>
          <w:spacing w:val="-3"/>
        </w:rPr>
        <w:t>办公地址：广州市天河区珠江新城华夏路 </w:t>
      </w:r>
      <w:r>
        <w:rPr/>
        <w:t>1</w:t>
      </w:r>
      <w:r>
        <w:rPr>
          <w:spacing w:val="-35"/>
        </w:rPr>
        <w:t> 号</w:t>
      </w:r>
      <w:r>
        <w:rPr/>
        <w:t>法定代表人：王继康</w:t>
      </w:r>
    </w:p>
    <w:p>
      <w:pPr>
        <w:pStyle w:val="BodyText"/>
        <w:spacing w:line="268" w:lineRule="exact"/>
      </w:pPr>
      <w:r>
        <w:rPr/>
        <w:t>联系人：刘强</w:t>
      </w:r>
    </w:p>
    <w:p>
      <w:pPr>
        <w:spacing w:after="0" w:line="268" w:lineRule="exact"/>
        <w:sectPr>
          <w:pgSz w:w="11910" w:h="16840"/>
          <w:pgMar w:header="0" w:footer="1166" w:top="1600" w:bottom="1440" w:left="1400" w:right="360"/>
        </w:sectPr>
      </w:pPr>
    </w:p>
    <w:p>
      <w:pPr>
        <w:pStyle w:val="BodyText"/>
        <w:spacing w:before="104"/>
      </w:pPr>
      <w:r>
        <w:rPr/>
        <w:t>联系电话：020-22389067</w:t>
      </w:r>
    </w:p>
    <w:p>
      <w:pPr>
        <w:pStyle w:val="BodyText"/>
        <w:spacing w:line="364" w:lineRule="auto" w:before="139"/>
        <w:ind w:right="7378"/>
      </w:pPr>
      <w:r>
        <w:rPr/>
        <w:t>客户服务电话：95313 传真：020-22389031</w:t>
      </w:r>
    </w:p>
    <w:p>
      <w:pPr>
        <w:pStyle w:val="BodyText"/>
        <w:spacing w:line="268" w:lineRule="exact"/>
      </w:pPr>
      <w:hyperlink r:id="rId35">
        <w:r>
          <w:rPr/>
          <w:t>网址：www.grcbank.com</w:t>
        </w:r>
      </w:hyperlink>
    </w:p>
    <w:p>
      <w:pPr>
        <w:pStyle w:val="ListParagraph"/>
        <w:numPr>
          <w:ilvl w:val="0"/>
          <w:numId w:val="9"/>
        </w:numPr>
        <w:tabs>
          <w:tab w:pos="1193" w:val="left" w:leader="none"/>
        </w:tabs>
        <w:spacing w:line="240" w:lineRule="auto" w:before="140" w:after="0"/>
        <w:ind w:left="1193" w:right="0" w:hanging="421"/>
        <w:jc w:val="left"/>
        <w:rPr>
          <w:sz w:val="21"/>
        </w:rPr>
      </w:pPr>
      <w:r>
        <w:rPr>
          <w:sz w:val="21"/>
        </w:rPr>
        <w:t>广州银行</w:t>
      </w:r>
    </w:p>
    <w:p>
      <w:pPr>
        <w:pStyle w:val="BodyText"/>
        <w:spacing w:before="139"/>
      </w:pPr>
      <w:r>
        <w:rPr/>
        <w:t>注册地址：广州市天河区珠江东路 30 号</w:t>
      </w:r>
    </w:p>
    <w:p>
      <w:pPr>
        <w:pStyle w:val="BodyText"/>
        <w:spacing w:line="364" w:lineRule="auto" w:before="140"/>
        <w:ind w:right="4438"/>
      </w:pPr>
      <w:r>
        <w:rPr>
          <w:spacing w:val="-4"/>
        </w:rPr>
        <w:t>办公地址：广州市天河区珠江东路 </w:t>
      </w:r>
      <w:r>
        <w:rPr/>
        <w:t>30</w:t>
      </w:r>
      <w:r>
        <w:rPr>
          <w:spacing w:val="-10"/>
        </w:rPr>
        <w:t> 号广州银行大厦</w:t>
      </w:r>
      <w:r>
        <w:rPr/>
        <w:t>法定代表人：黄子励</w:t>
      </w:r>
    </w:p>
    <w:p>
      <w:pPr>
        <w:pStyle w:val="BodyText"/>
        <w:spacing w:line="268" w:lineRule="exact"/>
      </w:pPr>
      <w:r>
        <w:rPr/>
        <w:t>联系人：唐荟</w:t>
      </w:r>
    </w:p>
    <w:p>
      <w:pPr>
        <w:pStyle w:val="BodyText"/>
        <w:spacing w:line="364" w:lineRule="auto" w:before="139"/>
        <w:ind w:right="4438"/>
      </w:pPr>
      <w:r>
        <w:rPr/>
        <w:t>客户服务电话：96699（广东）400-83-96699（全国） </w:t>
      </w:r>
      <w:hyperlink r:id="rId36">
        <w:r>
          <w:rPr/>
          <w:t>网址：www.gzcb.com.cn</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哈尔滨银行</w:t>
      </w:r>
    </w:p>
    <w:p>
      <w:pPr>
        <w:pStyle w:val="BodyText"/>
        <w:spacing w:line="364" w:lineRule="auto" w:before="140"/>
        <w:ind w:right="5383"/>
      </w:pPr>
      <w:r>
        <w:rPr>
          <w:spacing w:val="-4"/>
        </w:rPr>
        <w:t>注册地址：哈尔滨市道里区尚志大街 </w:t>
      </w:r>
      <w:r>
        <w:rPr/>
        <w:t>160</w:t>
      </w:r>
      <w:r>
        <w:rPr>
          <w:spacing w:val="-35"/>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39"/>
        <w:ind w:right="7378"/>
      </w:pPr>
      <w:r>
        <w:rPr/>
        <w:t>客户服务电话</w:t>
      </w:r>
      <w:r>
        <w:rPr>
          <w:spacing w:val="-3"/>
        </w:rPr>
        <w:t>：95537 </w:t>
      </w:r>
      <w:r>
        <w:rPr>
          <w:spacing w:val="-2"/>
        </w:rPr>
        <w:t>传真</w:t>
      </w:r>
      <w:r>
        <w:rPr>
          <w:spacing w:val="-1"/>
        </w:rPr>
        <w:t>：0451-87792682</w:t>
      </w:r>
    </w:p>
    <w:p>
      <w:pPr>
        <w:pStyle w:val="BodyText"/>
        <w:spacing w:line="268" w:lineRule="exact"/>
      </w:pPr>
      <w:hyperlink r:id="rId37">
        <w:r>
          <w:rPr/>
          <w:t>网址：www.hrbb.com.cn</w:t>
        </w:r>
      </w:hyperlink>
    </w:p>
    <w:p>
      <w:pPr>
        <w:pStyle w:val="ListParagraph"/>
        <w:numPr>
          <w:ilvl w:val="0"/>
          <w:numId w:val="9"/>
        </w:numPr>
        <w:tabs>
          <w:tab w:pos="1193" w:val="left" w:leader="none"/>
        </w:tabs>
        <w:spacing w:line="240" w:lineRule="auto" w:before="140" w:after="0"/>
        <w:ind w:left="1193" w:right="0" w:hanging="421"/>
        <w:jc w:val="left"/>
        <w:rPr>
          <w:sz w:val="21"/>
        </w:rPr>
      </w:pPr>
      <w:r>
        <w:rPr>
          <w:sz w:val="21"/>
        </w:rPr>
        <w:t>杭州联合银行</w:t>
      </w:r>
    </w:p>
    <w:p>
      <w:pPr>
        <w:pStyle w:val="BodyText"/>
        <w:spacing w:line="364" w:lineRule="auto" w:before="139"/>
        <w:ind w:right="5068"/>
      </w:pPr>
      <w:r>
        <w:rPr>
          <w:spacing w:val="-3"/>
        </w:rPr>
        <w:t>注册地址：浙江省杭州市上城区建国中路 </w:t>
      </w:r>
      <w:r>
        <w:rPr/>
        <w:t>99</w:t>
      </w:r>
      <w:r>
        <w:rPr>
          <w:spacing w:val="-35"/>
        </w:rPr>
        <w:t> 号</w:t>
      </w:r>
      <w:r>
        <w:rPr>
          <w:spacing w:val="-5"/>
        </w:rPr>
        <w:t>办公地址：杭州市建国中路 </w:t>
      </w:r>
      <w:r>
        <w:rPr/>
        <w:t>99</w:t>
      </w:r>
      <w:r>
        <w:rPr>
          <w:spacing w:val="-27"/>
        </w:rPr>
        <w:t> 号</w:t>
      </w:r>
    </w:p>
    <w:p>
      <w:pPr>
        <w:pStyle w:val="BodyText"/>
        <w:spacing w:line="364" w:lineRule="auto"/>
        <w:ind w:right="7483"/>
      </w:pPr>
      <w:r>
        <w:rPr/>
        <w:t>法定代表人：张海林联系人：吴徐立</w:t>
      </w:r>
    </w:p>
    <w:p>
      <w:pPr>
        <w:pStyle w:val="BodyText"/>
        <w:spacing w:line="268" w:lineRule="exact"/>
      </w:pPr>
      <w:r>
        <w:rPr/>
        <w:t>联系电话：0571-87923324</w:t>
      </w:r>
    </w:p>
    <w:p>
      <w:pPr>
        <w:pStyle w:val="BodyText"/>
        <w:spacing w:line="364" w:lineRule="auto" w:before="139"/>
        <w:ind w:right="7378"/>
      </w:pPr>
      <w:r>
        <w:rPr/>
        <w:t>客户服务电话</w:t>
      </w:r>
      <w:r>
        <w:rPr>
          <w:spacing w:val="-3"/>
        </w:rPr>
        <w:t>：96596 </w:t>
      </w:r>
      <w:r>
        <w:rPr>
          <w:spacing w:val="-2"/>
        </w:rPr>
        <w:t>传真</w:t>
      </w:r>
      <w:r>
        <w:rPr>
          <w:spacing w:val="-1"/>
        </w:rPr>
        <w:t>：0571-87923214</w:t>
      </w:r>
    </w:p>
    <w:p>
      <w:pPr>
        <w:pStyle w:val="BodyText"/>
        <w:spacing w:line="268" w:lineRule="exact"/>
      </w:pPr>
      <w:hyperlink r:id="rId38">
        <w:r>
          <w:rPr/>
          <w:t>网址：www.urcb.com</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杭州银行</w:t>
      </w:r>
    </w:p>
    <w:p>
      <w:pPr>
        <w:pStyle w:val="BodyText"/>
        <w:spacing w:before="140"/>
      </w:pPr>
      <w:r>
        <w:rPr/>
        <w:t>注册地址：浙江省杭州市下城区庆春路 46 号</w:t>
      </w:r>
    </w:p>
    <w:p>
      <w:pPr>
        <w:pStyle w:val="BodyText"/>
        <w:spacing w:line="364" w:lineRule="auto" w:before="139"/>
        <w:ind w:right="4648"/>
      </w:pPr>
      <w:r>
        <w:rPr>
          <w:spacing w:val="-4"/>
        </w:rPr>
        <w:t>办公地址：杭州市下城区庆春路 </w:t>
      </w:r>
      <w:r>
        <w:rPr/>
        <w:t>46</w:t>
      </w:r>
      <w:r>
        <w:rPr>
          <w:spacing w:val="-10"/>
        </w:rPr>
        <w:t> 号杭州银行大厦</w:t>
      </w:r>
      <w:r>
        <w:rPr/>
        <w:t>法定代表人：陈震山</w:t>
      </w:r>
    </w:p>
    <w:p>
      <w:pPr>
        <w:spacing w:after="0" w:line="364" w:lineRule="auto"/>
        <w:sectPr>
          <w:pgSz w:w="11910" w:h="16840"/>
          <w:pgMar w:header="0" w:footer="1166" w:top="1600" w:bottom="1440" w:left="1400" w:right="360"/>
        </w:sectPr>
      </w:pPr>
    </w:p>
    <w:p>
      <w:pPr>
        <w:pStyle w:val="BodyText"/>
        <w:spacing w:before="104"/>
      </w:pPr>
      <w:r>
        <w:rPr/>
        <w:t>联系人：蒋梦君</w:t>
      </w:r>
    </w:p>
    <w:p>
      <w:pPr>
        <w:pStyle w:val="BodyText"/>
        <w:spacing w:before="139"/>
      </w:pPr>
      <w:r>
        <w:rPr/>
        <w:t>联系电话：0571-85120718</w:t>
      </w:r>
    </w:p>
    <w:p>
      <w:pPr>
        <w:pStyle w:val="BodyText"/>
        <w:spacing w:line="364" w:lineRule="auto" w:before="140"/>
        <w:ind w:right="7378"/>
      </w:pPr>
      <w:r>
        <w:rPr/>
        <w:t>客户服务电话：95398 传真：0571-85106576</w:t>
      </w:r>
    </w:p>
    <w:p>
      <w:pPr>
        <w:pStyle w:val="BodyText"/>
        <w:spacing w:line="268" w:lineRule="exact"/>
      </w:pPr>
      <w:hyperlink r:id="rId39">
        <w:r>
          <w:rPr/>
          <w:t>网址：www.hzbank.com.cn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河北银行</w:t>
      </w:r>
    </w:p>
    <w:p>
      <w:pPr>
        <w:pStyle w:val="BodyText"/>
        <w:spacing w:line="364" w:lineRule="auto" w:before="140"/>
        <w:ind w:right="5908"/>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6643"/>
      </w:pPr>
      <w:r>
        <w:rPr/>
        <w:t>客户服务电话：400-612-9999 传真：0311-67806407</w:t>
      </w:r>
    </w:p>
    <w:p>
      <w:pPr>
        <w:pStyle w:val="BodyText"/>
        <w:spacing w:line="268" w:lineRule="exact"/>
      </w:pPr>
      <w:hyperlink r:id="rId40">
        <w:r>
          <w:rPr/>
          <w:t>网址：www.hebbank.com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吉林银行</w:t>
      </w:r>
    </w:p>
    <w:p>
      <w:pPr>
        <w:pStyle w:val="BodyText"/>
        <w:spacing w:line="364" w:lineRule="auto" w:before="139"/>
        <w:ind w:right="3808"/>
        <w:jc w:val="both"/>
      </w:pPr>
      <w:r>
        <w:rPr>
          <w:spacing w:val="-3"/>
        </w:rPr>
        <w:t>注册地址：吉林省长春市经济技术开发区东南湖大路 </w:t>
      </w:r>
      <w:r>
        <w:rPr/>
        <w:t>1817</w:t>
      </w:r>
      <w:r>
        <w:rPr>
          <w:spacing w:val="-35"/>
        </w:rPr>
        <w:t> 号</w:t>
      </w:r>
      <w:r>
        <w:rPr>
          <w:spacing w:val="-3"/>
        </w:rPr>
        <w:t>办公地址：吉林省长春市经济技术开发区东南湖大路 </w:t>
      </w:r>
      <w:r>
        <w:rPr/>
        <w:t>1817</w:t>
      </w:r>
      <w:r>
        <w:rPr>
          <w:spacing w:val="-35"/>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6643"/>
      </w:pPr>
      <w:r>
        <w:rPr/>
        <w:t>客户服务电话：400-88-96666 传真：0431-84992649</w:t>
      </w:r>
    </w:p>
    <w:p>
      <w:pPr>
        <w:pStyle w:val="BodyText"/>
        <w:spacing w:line="268" w:lineRule="exact"/>
      </w:pPr>
      <w:hyperlink r:id="rId41">
        <w:r>
          <w:rPr/>
          <w:t>网址：www.jlbank.com.cn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嘉兴银行</w:t>
      </w:r>
    </w:p>
    <w:p>
      <w:pPr>
        <w:pStyle w:val="BodyText"/>
        <w:spacing w:line="364" w:lineRule="auto" w:before="139"/>
        <w:ind w:right="5488"/>
        <w:jc w:val="both"/>
      </w:pPr>
      <w:r>
        <w:rPr>
          <w:spacing w:val="-4"/>
        </w:rPr>
        <w:t>注册地址：浙江省嘉兴市昌盛南路 </w:t>
      </w:r>
      <w:r>
        <w:rPr/>
        <w:t>1001</w:t>
      </w:r>
      <w:r>
        <w:rPr>
          <w:spacing w:val="-35"/>
        </w:rPr>
        <w:t> 号</w:t>
      </w:r>
      <w:r>
        <w:rPr>
          <w:spacing w:val="-4"/>
        </w:rPr>
        <w:t>办公地址：浙江省嘉兴市昌盛南路 </w:t>
      </w:r>
      <w:r>
        <w:rPr/>
        <w:t>1001</w:t>
      </w:r>
      <w:r>
        <w:rPr>
          <w:spacing w:val="-35"/>
        </w:rPr>
        <w:t> 号</w:t>
      </w:r>
      <w:r>
        <w:rPr/>
        <w:t>法定代表人：夏林生</w:t>
      </w:r>
    </w:p>
    <w:p>
      <w:pPr>
        <w:pStyle w:val="BodyText"/>
        <w:spacing w:line="268" w:lineRule="exact"/>
      </w:pPr>
      <w:r>
        <w:rPr/>
        <w:t>联系人：余舟</w:t>
      </w:r>
    </w:p>
    <w:p>
      <w:pPr>
        <w:pStyle w:val="BodyText"/>
        <w:spacing w:before="140"/>
      </w:pPr>
      <w:r>
        <w:rPr/>
        <w:t>联系电话：0573-82080201</w:t>
      </w:r>
    </w:p>
    <w:p>
      <w:pPr>
        <w:pStyle w:val="BodyText"/>
        <w:spacing w:line="364" w:lineRule="auto" w:before="139"/>
        <w:ind w:right="6748"/>
      </w:pPr>
      <w:r>
        <w:rPr/>
        <w:t>客户服务电话：0573-96528 </w:t>
      </w:r>
      <w:hyperlink r:id="rId42">
        <w:r>
          <w:rPr/>
          <w:t>网址：http://www.bojx.com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江南农村商业银行</w:t>
      </w:r>
    </w:p>
    <w:p>
      <w:pPr>
        <w:pStyle w:val="BodyText"/>
        <w:spacing w:before="140"/>
      </w:pPr>
      <w:r>
        <w:rPr/>
        <w:t>注册地址：常州市和平中路 413 号</w:t>
      </w:r>
    </w:p>
    <w:p>
      <w:pPr>
        <w:spacing w:after="0"/>
        <w:sectPr>
          <w:pgSz w:w="11910" w:h="16840"/>
          <w:pgMar w:header="0" w:footer="1166" w:top="1600" w:bottom="1440" w:left="1400" w:right="360"/>
        </w:sectPr>
      </w:pPr>
    </w:p>
    <w:p>
      <w:pPr>
        <w:pStyle w:val="BodyText"/>
        <w:spacing w:line="364" w:lineRule="auto" w:before="104"/>
        <w:ind w:right="6223"/>
      </w:pP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853"/>
      </w:pPr>
      <w:r>
        <w:rPr>
          <w:spacing w:val="-1"/>
        </w:rPr>
        <w:t>客户服务电话</w:t>
      </w:r>
      <w:r>
        <w:rPr/>
        <w:t>：0519-96005 传真：0519-89995170</w:t>
      </w:r>
    </w:p>
    <w:p>
      <w:pPr>
        <w:pStyle w:val="BodyText"/>
        <w:spacing w:line="268" w:lineRule="exact"/>
      </w:pPr>
      <w:hyperlink r:id="rId43">
        <w:r>
          <w:rPr/>
          <w:t>网址：http://www.jnbank.com.cn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江苏银行</w:t>
      </w:r>
    </w:p>
    <w:p>
      <w:pPr>
        <w:pStyle w:val="BodyText"/>
        <w:spacing w:line="364" w:lineRule="auto" w:before="140"/>
        <w:ind w:right="6538"/>
        <w:jc w:val="both"/>
      </w:pPr>
      <w:r>
        <w:rPr>
          <w:spacing w:val="-5"/>
        </w:rPr>
        <w:t>注册地址：南京市中华路 </w:t>
      </w:r>
      <w:r>
        <w:rPr/>
        <w:t>26</w:t>
      </w:r>
      <w:r>
        <w:rPr>
          <w:spacing w:val="-35"/>
        </w:rPr>
        <w:t> 号</w:t>
      </w:r>
      <w:r>
        <w:rPr>
          <w:spacing w:val="-5"/>
        </w:rPr>
        <w:t>办公地址：南京市中华路 </w:t>
      </w:r>
      <w:r>
        <w:rPr/>
        <w:t>26</w:t>
      </w:r>
      <w:r>
        <w:rPr>
          <w:spacing w:val="-35"/>
        </w:rPr>
        <w:t> 号</w:t>
      </w:r>
      <w:r>
        <w:rPr/>
        <w:t>法定代表人：夏平</w:t>
      </w:r>
    </w:p>
    <w:p>
      <w:pPr>
        <w:pStyle w:val="BodyText"/>
        <w:spacing w:line="268" w:lineRule="exact"/>
      </w:pPr>
      <w:r>
        <w:rPr/>
        <w:t>联系人：展海军</w:t>
      </w:r>
    </w:p>
    <w:p>
      <w:pPr>
        <w:pStyle w:val="BodyText"/>
        <w:spacing w:before="139"/>
      </w:pPr>
      <w:r>
        <w:rPr/>
        <w:t>联系电话：025-58587039</w:t>
      </w:r>
    </w:p>
    <w:p>
      <w:pPr>
        <w:pStyle w:val="BodyText"/>
        <w:spacing w:line="364" w:lineRule="auto" w:before="140"/>
        <w:ind w:right="7378"/>
      </w:pPr>
      <w:r>
        <w:rPr/>
        <w:t>客户服务电话：95319 传真：025-58587820</w:t>
      </w:r>
    </w:p>
    <w:p>
      <w:pPr>
        <w:pStyle w:val="BodyText"/>
        <w:spacing w:line="268" w:lineRule="exact"/>
      </w:pPr>
      <w:hyperlink r:id="rId44">
        <w:r>
          <w:rPr/>
          <w:t>网址：www.jsbchina.cn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江西银行</w:t>
      </w:r>
    </w:p>
    <w:p>
      <w:pPr>
        <w:pStyle w:val="BodyText"/>
        <w:spacing w:line="364" w:lineRule="auto" w:before="139"/>
        <w:ind w:right="4543"/>
        <w:jc w:val="both"/>
      </w:pPr>
      <w:r>
        <w:rPr>
          <w:spacing w:val="-3"/>
        </w:rPr>
        <w:t>注册地址：江西省南昌市红谷滩新区金融大街 </w:t>
      </w:r>
      <w:r>
        <w:rPr/>
        <w:t>699</w:t>
      </w:r>
      <w:r>
        <w:rPr>
          <w:spacing w:val="-35"/>
        </w:rPr>
        <w:t> 号</w:t>
      </w:r>
      <w:r>
        <w:rPr>
          <w:spacing w:val="-3"/>
        </w:rPr>
        <w:t>办公地址：江西省南昌市红谷滩新区金融大街 </w:t>
      </w:r>
      <w:r>
        <w:rPr/>
        <w:t>699</w:t>
      </w:r>
      <w:r>
        <w:rPr>
          <w:spacing w:val="-35"/>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7273"/>
      </w:pPr>
      <w:r>
        <w:rPr/>
        <w:t>客户服务电话：956055 传真：0791-86790795</w:t>
      </w:r>
    </w:p>
    <w:p>
      <w:pPr>
        <w:pStyle w:val="BodyText"/>
        <w:spacing w:line="268" w:lineRule="exact"/>
      </w:pPr>
      <w:hyperlink r:id="rId45">
        <w:r>
          <w:rPr/>
          <w:t>网址：www.jx-bank.com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金华银行</w:t>
      </w:r>
    </w:p>
    <w:p>
      <w:pPr>
        <w:pStyle w:val="BodyText"/>
        <w:spacing w:before="139"/>
      </w:pPr>
      <w:r>
        <w:rPr/>
        <w:t>注册地址：浙江省金华市丹溪路 1388 号</w:t>
      </w:r>
    </w:p>
    <w:p>
      <w:pPr>
        <w:pStyle w:val="BodyText"/>
        <w:spacing w:line="364" w:lineRule="auto" w:before="140"/>
        <w:ind w:right="5173"/>
      </w:pPr>
      <w:r>
        <w:rPr>
          <w:spacing w:val="-3"/>
        </w:rPr>
        <w:t>办公地址：浙江省金华市金东区光南路 </w:t>
      </w:r>
      <w:r>
        <w:rPr/>
        <w:t>668</w:t>
      </w:r>
      <w:r>
        <w:rPr>
          <w:spacing w:val="-35"/>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6643"/>
      </w:pPr>
      <w:r>
        <w:rPr/>
        <w:t>客户服务电话：400-711-6668 传真：0579-82178321</w:t>
      </w:r>
    </w:p>
    <w:p>
      <w:pPr>
        <w:spacing w:after="0" w:line="364" w:lineRule="auto"/>
        <w:sectPr>
          <w:pgSz w:w="11910" w:h="16840"/>
          <w:pgMar w:header="0" w:footer="1166" w:top="1600" w:bottom="1440" w:left="1400" w:right="360"/>
        </w:sectPr>
      </w:pPr>
    </w:p>
    <w:p>
      <w:pPr>
        <w:pStyle w:val="BodyText"/>
        <w:spacing w:before="104"/>
      </w:pPr>
      <w:hyperlink r:id="rId46">
        <w:r>
          <w:rPr/>
          <w:t>网址：www.jhccb.com.cn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锦州银行</w:t>
      </w:r>
    </w:p>
    <w:p>
      <w:pPr>
        <w:pStyle w:val="BodyText"/>
        <w:spacing w:line="364" w:lineRule="auto" w:before="140"/>
        <w:ind w:right="5908"/>
        <w:jc w:val="both"/>
      </w:pPr>
      <w:r>
        <w:rPr>
          <w:spacing w:val="-4"/>
        </w:rPr>
        <w:t>注册地址：辽宁省锦州市科技路 </w:t>
      </w:r>
      <w:r>
        <w:rPr/>
        <w:t>68</w:t>
      </w:r>
      <w:r>
        <w:rPr>
          <w:spacing w:val="-35"/>
        </w:rPr>
        <w:t> 号</w:t>
      </w:r>
      <w:r>
        <w:rPr>
          <w:spacing w:val="-4"/>
        </w:rPr>
        <w:t>办公地址：辽宁省锦州市科技路 </w:t>
      </w:r>
      <w:r>
        <w:rPr/>
        <w:t>68</w:t>
      </w:r>
      <w:r>
        <w:rPr>
          <w:spacing w:val="-35"/>
        </w:rPr>
        <w:t> 号</w:t>
      </w:r>
      <w:r>
        <w:rPr/>
        <w:t>法定代表人：魏学坤</w:t>
      </w:r>
    </w:p>
    <w:p>
      <w:pPr>
        <w:pStyle w:val="BodyText"/>
        <w:spacing w:line="268" w:lineRule="exact"/>
      </w:pPr>
      <w:r>
        <w:rPr/>
        <w:t>联系人：庞璐璐</w:t>
      </w:r>
    </w:p>
    <w:p>
      <w:pPr>
        <w:pStyle w:val="BodyText"/>
        <w:spacing w:line="364" w:lineRule="auto" w:before="139"/>
        <w:ind w:right="6643"/>
      </w:pPr>
      <w:r>
        <w:rPr/>
        <w:t>客户服务电话：400-66-96178 </w:t>
      </w:r>
      <w:hyperlink r:id="rId47">
        <w:r>
          <w:rPr/>
          <w:t>网址：www.jinzhoubank.com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晋商银行</w:t>
      </w:r>
    </w:p>
    <w:p>
      <w:pPr>
        <w:pStyle w:val="BodyText"/>
        <w:spacing w:line="364" w:lineRule="auto" w:before="140"/>
        <w:ind w:right="5278"/>
        <w:jc w:val="both"/>
      </w:pPr>
      <w:r>
        <w:rPr>
          <w:spacing w:val="-3"/>
        </w:rPr>
        <w:t>注册地址：山西省太原市小店区长风街 </w:t>
      </w:r>
      <w:r>
        <w:rPr/>
        <w:t>59</w:t>
      </w:r>
      <w:r>
        <w:rPr>
          <w:spacing w:val="-35"/>
        </w:rPr>
        <w:t> 号</w:t>
      </w:r>
      <w:r>
        <w:rPr>
          <w:spacing w:val="-3"/>
        </w:rPr>
        <w:t>办公地址：山西省太原市小店区长风街 </w:t>
      </w:r>
      <w:r>
        <w:rPr/>
        <w:t>59</w:t>
      </w:r>
      <w:r>
        <w:rPr>
          <w:spacing w:val="-35"/>
        </w:rPr>
        <w:t> 号</w:t>
      </w:r>
      <w:r>
        <w:rPr/>
        <w:t>法定代表人：阎俊生</w:t>
      </w:r>
    </w:p>
    <w:p>
      <w:pPr>
        <w:pStyle w:val="BodyText"/>
        <w:spacing w:line="268" w:lineRule="exact"/>
      </w:pPr>
      <w:r>
        <w:rPr/>
        <w:t>联系人：董嘉文</w:t>
      </w:r>
    </w:p>
    <w:p>
      <w:pPr>
        <w:pStyle w:val="BodyText"/>
        <w:spacing w:before="139"/>
      </w:pPr>
      <w:r>
        <w:rPr/>
        <w:t>联系电话：0351-6819579</w:t>
      </w:r>
    </w:p>
    <w:p>
      <w:pPr>
        <w:pStyle w:val="BodyText"/>
        <w:spacing w:line="364" w:lineRule="auto" w:before="140"/>
        <w:ind w:right="6958"/>
      </w:pPr>
      <w:r>
        <w:rPr/>
        <w:t>客户服务电话：9510-5588 传真：0351-6819926</w:t>
      </w:r>
    </w:p>
    <w:p>
      <w:pPr>
        <w:pStyle w:val="BodyText"/>
        <w:spacing w:line="268" w:lineRule="exact"/>
      </w:pPr>
      <w:hyperlink r:id="rId48">
        <w:r>
          <w:rPr/>
          <w:t>网址：www.jshbank.com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九江银行</w:t>
      </w:r>
    </w:p>
    <w:p>
      <w:pPr>
        <w:pStyle w:val="BodyText"/>
        <w:spacing w:line="364" w:lineRule="auto" w:before="139"/>
        <w:ind w:right="4963"/>
        <w:jc w:val="both"/>
      </w:pPr>
      <w:r>
        <w:rPr>
          <w:spacing w:val="-3"/>
        </w:rPr>
        <w:t>注册地址：江西省九江市濂溪区长虹大道 </w:t>
      </w:r>
      <w:r>
        <w:rPr/>
        <w:t>619</w:t>
      </w:r>
      <w:r>
        <w:rPr>
          <w:spacing w:val="-35"/>
        </w:rPr>
        <w:t> 号</w:t>
      </w:r>
      <w:r>
        <w:rPr>
          <w:spacing w:val="-3"/>
        </w:rPr>
        <w:t>办公地址：江西省九江市濂溪区长虹大道 </w:t>
      </w:r>
      <w:r>
        <w:rPr/>
        <w:t>619</w:t>
      </w:r>
      <w:r>
        <w:rPr>
          <w:spacing w:val="-35"/>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7378"/>
      </w:pPr>
      <w:r>
        <w:rPr/>
        <w:t>客户服务电话：95316 </w:t>
      </w:r>
      <w:hyperlink r:id="rId49">
        <w:r>
          <w:rPr/>
          <w:t>网址：www.jjccb.com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九台农商银行</w:t>
      </w:r>
    </w:p>
    <w:p>
      <w:pPr>
        <w:pStyle w:val="BodyText"/>
        <w:spacing w:before="140"/>
      </w:pPr>
      <w:r>
        <w:rPr/>
        <w:t>注册地址：吉林省长春市九台区新华大街 504 号</w:t>
      </w:r>
    </w:p>
    <w:p>
      <w:pPr>
        <w:pStyle w:val="BodyText"/>
        <w:spacing w:line="364" w:lineRule="auto" w:before="139"/>
        <w:ind w:right="4648"/>
      </w:pPr>
      <w:r>
        <w:rPr>
          <w:spacing w:val="-3"/>
        </w:rPr>
        <w:t>办公地址：吉林省长春市高新开发区蔚山路 </w:t>
      </w:r>
      <w:r>
        <w:rPr/>
        <w:t>2559</w:t>
      </w:r>
      <w:r>
        <w:rPr>
          <w:spacing w:val="-35"/>
        </w:rPr>
        <w:t> 号</w:t>
      </w:r>
      <w:r>
        <w:rPr/>
        <w:t>法定代表人：高兵</w:t>
      </w:r>
    </w:p>
    <w:p>
      <w:pPr>
        <w:pStyle w:val="BodyText"/>
        <w:spacing w:line="268" w:lineRule="exact"/>
      </w:pPr>
      <w:r>
        <w:rPr/>
        <w:t>联系人：曲凌</w:t>
      </w:r>
    </w:p>
    <w:p>
      <w:pPr>
        <w:pStyle w:val="BodyText"/>
        <w:spacing w:line="364" w:lineRule="auto" w:before="140"/>
        <w:ind w:right="6433"/>
      </w:pPr>
      <w:r>
        <w:rPr/>
        <w:t>客户服务电话：0431-96888-0-2 </w:t>
      </w:r>
      <w:hyperlink r:id="rId50">
        <w:r>
          <w:rPr/>
          <w:t>网址：http://www.jtnsh.com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昆山农村商业银行</w:t>
      </w:r>
    </w:p>
    <w:p>
      <w:pPr>
        <w:spacing w:after="0" w:line="268" w:lineRule="exact"/>
        <w:jc w:val="left"/>
        <w:rPr>
          <w:sz w:val="21"/>
        </w:rPr>
        <w:sectPr>
          <w:pgSz w:w="11910" w:h="16840"/>
          <w:pgMar w:header="0" w:footer="1166" w:top="1600" w:bottom="1440" w:left="1400" w:right="360"/>
        </w:sectPr>
      </w:pPr>
    </w:p>
    <w:p>
      <w:pPr>
        <w:pStyle w:val="BodyText"/>
        <w:spacing w:line="364" w:lineRule="auto" w:before="104"/>
        <w:ind w:right="5593"/>
        <w:jc w:val="both"/>
      </w:pPr>
      <w:r>
        <w:rPr>
          <w:spacing w:val="-4"/>
        </w:rPr>
        <w:t>注册地址：江苏省昆山市前进东路 </w:t>
      </w:r>
      <w:r>
        <w:rPr/>
        <w:t>828</w:t>
      </w:r>
      <w:r>
        <w:rPr>
          <w:spacing w:val="-35"/>
        </w:rPr>
        <w:t> 号</w:t>
      </w:r>
      <w:r>
        <w:rPr>
          <w:spacing w:val="-4"/>
        </w:rPr>
        <w:t>办公地址：江苏省昆山市前进东路 </w:t>
      </w:r>
      <w:r>
        <w:rPr/>
        <w:t>828</w:t>
      </w:r>
      <w:r>
        <w:rPr>
          <w:spacing w:val="-35"/>
        </w:rPr>
        <w:t> 号</w:t>
      </w:r>
      <w:r>
        <w:rPr/>
        <w:t>法定代表人：张哲清</w:t>
      </w:r>
    </w:p>
    <w:p>
      <w:pPr>
        <w:pStyle w:val="BodyText"/>
        <w:spacing w:line="268" w:lineRule="exact"/>
      </w:pPr>
      <w:r>
        <w:rPr/>
        <w:t>联系人：黄怡</w:t>
      </w:r>
    </w:p>
    <w:p>
      <w:pPr>
        <w:pStyle w:val="BodyText"/>
        <w:spacing w:line="364" w:lineRule="auto" w:before="139"/>
        <w:ind w:right="6853"/>
      </w:pPr>
      <w:r>
        <w:rPr/>
        <w:t>客户服务电话：0512-96079 </w:t>
      </w:r>
      <w:hyperlink r:id="rId51">
        <w:r>
          <w:rPr/>
          <w:t>网址：www.ksrcb.com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兰州银行</w:t>
      </w:r>
    </w:p>
    <w:p>
      <w:pPr>
        <w:pStyle w:val="BodyText"/>
        <w:spacing w:line="364" w:lineRule="auto" w:before="140"/>
        <w:ind w:right="5173"/>
        <w:jc w:val="both"/>
      </w:pPr>
      <w:r>
        <w:rPr>
          <w:spacing w:val="-3"/>
        </w:rPr>
        <w:t>注册地址：甘肃省兰州市城关区酒泉路 </w:t>
      </w:r>
      <w:r>
        <w:rPr/>
        <w:t>211</w:t>
      </w:r>
      <w:r>
        <w:rPr>
          <w:spacing w:val="-35"/>
        </w:rPr>
        <w:t> 号</w:t>
      </w:r>
      <w:r>
        <w:rPr>
          <w:spacing w:val="-3"/>
        </w:rPr>
        <w:t>办公地址：甘肃省兰州市城关区酒泉路 </w:t>
      </w:r>
      <w:r>
        <w:rPr/>
        <w:t>211</w:t>
      </w:r>
      <w:r>
        <w:rPr>
          <w:spacing w:val="-35"/>
        </w:rPr>
        <w:t> 号</w:t>
      </w:r>
      <w:r>
        <w:rPr/>
        <w:t>法定代表人：许建平</w:t>
      </w:r>
    </w:p>
    <w:p>
      <w:pPr>
        <w:pStyle w:val="BodyText"/>
        <w:spacing w:line="364" w:lineRule="auto"/>
        <w:ind w:right="7063"/>
      </w:pPr>
      <w:r>
        <w:rPr/>
        <w:t>联系人：鱼倩、任星儒 联系电话</w:t>
      </w:r>
      <w:r>
        <w:rPr>
          <w:spacing w:val="-2"/>
        </w:rPr>
        <w:t>：0931-4600528</w:t>
      </w:r>
    </w:p>
    <w:p>
      <w:pPr>
        <w:pStyle w:val="BodyText"/>
        <w:spacing w:line="364" w:lineRule="auto"/>
        <w:ind w:right="3808"/>
      </w:pPr>
      <w:r>
        <w:rPr/>
        <w:t>客户服务电话：400-88-96799（全国）、96799（甘肃省内</w:t>
      </w:r>
      <w:r>
        <w:rPr>
          <w:spacing w:val="-18"/>
        </w:rPr>
        <w:t>） </w:t>
      </w:r>
      <w:hyperlink r:id="rId52">
        <w:r>
          <w:rPr/>
          <w:t>网址：https://www.lzbank.com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乐清农商银行</w:t>
      </w:r>
    </w:p>
    <w:p>
      <w:pPr>
        <w:pStyle w:val="BodyText"/>
        <w:spacing w:line="364" w:lineRule="auto" w:before="137"/>
        <w:ind w:right="4858"/>
        <w:jc w:val="both"/>
      </w:pPr>
      <w:r>
        <w:rPr>
          <w:spacing w:val="-3"/>
        </w:rPr>
        <w:t>注册地址：浙江省乐清市城南街道伯乐西路 </w:t>
      </w:r>
      <w:r>
        <w:rPr/>
        <w:t>99</w:t>
      </w:r>
      <w:r>
        <w:rPr>
          <w:spacing w:val="-35"/>
        </w:rPr>
        <w:t> 号</w:t>
      </w:r>
      <w:r>
        <w:rPr>
          <w:spacing w:val="-3"/>
        </w:rPr>
        <w:t>办公地址：浙江省乐清市城南街道伯乐西路 </w:t>
      </w:r>
      <w:r>
        <w:rPr/>
        <w:t>99</w:t>
      </w:r>
      <w:r>
        <w:rPr>
          <w:spacing w:val="-35"/>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853"/>
      </w:pPr>
      <w:r>
        <w:rPr>
          <w:spacing w:val="-1"/>
        </w:rPr>
        <w:t>客户服务电话</w:t>
      </w:r>
      <w:r>
        <w:rPr/>
        <w:t>：4008896596 传真：0577-61566063</w:t>
      </w:r>
    </w:p>
    <w:p>
      <w:pPr>
        <w:pStyle w:val="BodyText"/>
        <w:spacing w:line="268" w:lineRule="exact"/>
      </w:pPr>
      <w:hyperlink r:id="rId53">
        <w:r>
          <w:rPr/>
          <w:t>网址：www.yqbank.com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龙江银行</w:t>
      </w:r>
    </w:p>
    <w:p>
      <w:pPr>
        <w:pStyle w:val="BodyText"/>
        <w:spacing w:line="364" w:lineRule="auto" w:before="140"/>
        <w:ind w:right="4753"/>
        <w:jc w:val="both"/>
      </w:pPr>
      <w:r>
        <w:rPr>
          <w:spacing w:val="-3"/>
        </w:rPr>
        <w:t>注册地址：黑龙江省哈尔滨市道里区友谊路 </w:t>
      </w:r>
      <w:r>
        <w:rPr/>
        <w:t>436</w:t>
      </w:r>
      <w:r>
        <w:rPr>
          <w:spacing w:val="-35"/>
        </w:rPr>
        <w:t> 号</w:t>
      </w:r>
      <w:r>
        <w:rPr>
          <w:spacing w:val="-3"/>
        </w:rPr>
        <w:t>办公地址：黑龙江省哈尔滨市道里区友谊路 </w:t>
      </w:r>
      <w:r>
        <w:rPr/>
        <w:t>436</w:t>
      </w:r>
      <w:r>
        <w:rPr>
          <w:spacing w:val="-35"/>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6643"/>
      </w:pPr>
      <w:r>
        <w:rPr/>
        <w:t>客户服务电话：400-645-8888 传真：0451-85706036</w:t>
      </w:r>
    </w:p>
    <w:p>
      <w:pPr>
        <w:pStyle w:val="BodyText"/>
        <w:spacing w:line="268" w:lineRule="exact"/>
      </w:pPr>
      <w:hyperlink r:id="rId54">
        <w:r>
          <w:rPr/>
          <w:t>网址：http://www.lj-bank.com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龙湾农商银行</w:t>
      </w:r>
    </w:p>
    <w:p>
      <w:pPr>
        <w:spacing w:after="0" w:line="240" w:lineRule="auto"/>
        <w:jc w:val="both"/>
        <w:rPr>
          <w:sz w:val="21"/>
        </w:rPr>
        <w:sectPr>
          <w:pgSz w:w="11910" w:h="16840"/>
          <w:pgMar w:header="0" w:footer="1166" w:top="1600" w:bottom="1440" w:left="1400" w:right="360"/>
        </w:sectPr>
      </w:pPr>
    </w:p>
    <w:p>
      <w:pPr>
        <w:pStyle w:val="BodyText"/>
        <w:spacing w:line="364" w:lineRule="auto" w:before="104"/>
        <w:ind w:right="4123"/>
        <w:jc w:val="both"/>
      </w:pPr>
      <w:r>
        <w:rPr>
          <w:spacing w:val="-3"/>
        </w:rPr>
        <w:t>注册地址：浙江省温州市龙湾区永中街道永宁西路 </w:t>
      </w:r>
      <w:r>
        <w:rPr/>
        <w:t>555</w:t>
      </w:r>
      <w:r>
        <w:rPr>
          <w:spacing w:val="-35"/>
        </w:rPr>
        <w:t> 号</w:t>
      </w:r>
      <w:r>
        <w:rPr>
          <w:spacing w:val="-3"/>
        </w:rPr>
        <w:t>办公地址：浙江省温州市龙湾区永中街道永宁西路 </w:t>
      </w:r>
      <w:r>
        <w:rPr/>
        <w:t>555</w:t>
      </w:r>
      <w:r>
        <w:rPr>
          <w:spacing w:val="-35"/>
        </w:rPr>
        <w:t> 号</w:t>
      </w:r>
      <w:r>
        <w:rPr/>
        <w:t>法定代表人：朱朋远</w:t>
      </w:r>
    </w:p>
    <w:p>
      <w:pPr>
        <w:pStyle w:val="BodyText"/>
        <w:spacing w:line="268" w:lineRule="exact"/>
      </w:pPr>
      <w:r>
        <w:rPr/>
        <w:t>联系人：胡俊杰</w:t>
      </w:r>
    </w:p>
    <w:p>
      <w:pPr>
        <w:pStyle w:val="BodyText"/>
        <w:spacing w:before="139"/>
      </w:pPr>
      <w:r>
        <w:rPr/>
        <w:t>联系电话：0577-86923223</w:t>
      </w:r>
    </w:p>
    <w:p>
      <w:pPr>
        <w:pStyle w:val="BodyText"/>
        <w:spacing w:line="364" w:lineRule="auto" w:before="140"/>
        <w:ind w:right="6853"/>
      </w:pPr>
      <w:r>
        <w:rPr>
          <w:spacing w:val="-1"/>
        </w:rPr>
        <w:t>客户服务电话</w:t>
      </w:r>
      <w:r>
        <w:rPr/>
        <w:t>：4008296596 传真：0577-86921250</w:t>
      </w:r>
    </w:p>
    <w:p>
      <w:pPr>
        <w:pStyle w:val="BodyText"/>
        <w:spacing w:line="268" w:lineRule="exact"/>
      </w:pPr>
      <w:hyperlink r:id="rId55">
        <w:r>
          <w:rPr/>
          <w:t>网址：www.lwrcb.com</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鹿城农商银行</w:t>
      </w:r>
    </w:p>
    <w:p>
      <w:pPr>
        <w:pStyle w:val="BodyText"/>
        <w:spacing w:line="364" w:lineRule="auto" w:before="140"/>
        <w:ind w:right="4228"/>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7483"/>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56">
        <w:r>
          <w:rPr/>
          <w:t>网址：http://www.lcrcbank.com/</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洛阳银行</w:t>
      </w:r>
    </w:p>
    <w:p>
      <w:pPr>
        <w:pStyle w:val="BodyText"/>
        <w:spacing w:line="364" w:lineRule="auto" w:before="140"/>
        <w:ind w:right="4543"/>
      </w:pPr>
      <w:r>
        <w:rPr/>
        <w:t>注册地址：洛阳市洛阳新区开元大道与通济街交叉口办公地址：河南省洛阳市开元大道 256 号</w:t>
      </w:r>
    </w:p>
    <w:p>
      <w:pPr>
        <w:pStyle w:val="BodyText"/>
        <w:spacing w:line="364" w:lineRule="auto"/>
        <w:ind w:right="7483"/>
      </w:pPr>
      <w:r>
        <w:rPr/>
        <w:t>法定代表人：王建甫联系人：郭文博</w:t>
      </w:r>
    </w:p>
    <w:p>
      <w:pPr>
        <w:pStyle w:val="BodyText"/>
        <w:spacing w:line="268" w:lineRule="exact"/>
      </w:pPr>
      <w:r>
        <w:rPr/>
        <w:t>联系电话：0379-65921977</w:t>
      </w:r>
    </w:p>
    <w:p>
      <w:pPr>
        <w:pStyle w:val="BodyText"/>
        <w:spacing w:line="364" w:lineRule="auto" w:before="138"/>
        <w:ind w:right="6853"/>
      </w:pPr>
      <w:r>
        <w:rPr/>
        <w:t>客户服务电话：0379-96699 传真：0379-65938595</w:t>
      </w:r>
    </w:p>
    <w:p>
      <w:pPr>
        <w:pStyle w:val="BodyText"/>
        <w:spacing w:line="268" w:lineRule="exact"/>
      </w:pPr>
      <w:hyperlink r:id="rId57">
        <w:r>
          <w:rPr/>
          <w:t>网址：www.bankofluoyang.com.cn/</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南海农商银行</w:t>
      </w:r>
    </w:p>
    <w:p>
      <w:pPr>
        <w:pStyle w:val="BodyText"/>
        <w:spacing w:before="140"/>
      </w:pPr>
      <w:r>
        <w:rPr/>
        <w:t>注册地址：广东省佛山市南海区桂城街道南海大道北 26 号</w:t>
      </w:r>
    </w:p>
    <w:p>
      <w:pPr>
        <w:pStyle w:val="BodyText"/>
        <w:spacing w:line="364" w:lineRule="auto" w:before="139"/>
        <w:ind w:right="2758"/>
      </w:pPr>
      <w:r>
        <w:rPr>
          <w:spacing w:val="-3"/>
        </w:rPr>
        <w:t>办公地址：广东省佛山市南海区桂城街道南海大道北 </w:t>
      </w:r>
      <w:r>
        <w:rPr/>
        <w:t>26</w:t>
      </w:r>
      <w:r>
        <w:rPr>
          <w:spacing w:val="-10"/>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7378"/>
      </w:pPr>
      <w:r>
        <w:rPr/>
        <w:t>客户服务电话</w:t>
      </w:r>
      <w:r>
        <w:rPr>
          <w:spacing w:val="-3"/>
        </w:rPr>
        <w:t>：96138 </w:t>
      </w:r>
      <w:r>
        <w:rPr>
          <w:spacing w:val="-2"/>
        </w:rPr>
        <w:t>传真</w:t>
      </w:r>
      <w:r>
        <w:rPr>
          <w:spacing w:val="-1"/>
        </w:rPr>
        <w:t>：0757-86250627</w:t>
      </w:r>
    </w:p>
    <w:p>
      <w:pPr>
        <w:spacing w:after="0" w:line="364" w:lineRule="auto"/>
        <w:sectPr>
          <w:pgSz w:w="11910" w:h="16840"/>
          <w:pgMar w:header="0" w:footer="1166" w:top="1600" w:bottom="1440" w:left="1400" w:right="360"/>
        </w:sectPr>
      </w:pPr>
    </w:p>
    <w:p>
      <w:pPr>
        <w:pStyle w:val="BodyText"/>
        <w:spacing w:before="104"/>
      </w:pPr>
      <w:hyperlink r:id="rId58">
        <w:r>
          <w:rPr/>
          <w:t>网址：www.nanhaibank.com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南洋商业银行</w:t>
      </w:r>
    </w:p>
    <w:p>
      <w:pPr>
        <w:pStyle w:val="BodyText"/>
        <w:spacing w:line="364" w:lineRule="auto" w:before="140"/>
        <w:ind w:right="1452"/>
      </w:pPr>
      <w:r>
        <w:rPr>
          <w:spacing w:val="-10"/>
        </w:rPr>
        <w:t>注册地址：中国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pStyle w:val="BodyText"/>
        <w:spacing w:line="364" w:lineRule="auto"/>
        <w:ind w:right="1452"/>
      </w:pPr>
      <w:r>
        <w:rPr>
          <w:spacing w:val="-10"/>
        </w:rPr>
        <w:t>办公地址：中国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pStyle w:val="BodyText"/>
        <w:spacing w:line="364" w:lineRule="auto"/>
        <w:ind w:right="7483"/>
      </w:pPr>
      <w:r>
        <w:rPr/>
        <w:t>法定代表人：陈孝周联系人：马小明</w:t>
      </w:r>
    </w:p>
    <w:p>
      <w:pPr>
        <w:pStyle w:val="BodyText"/>
        <w:spacing w:line="268" w:lineRule="exact"/>
      </w:pPr>
      <w:r>
        <w:rPr/>
        <w:t>联系电话：021-38566452</w:t>
      </w:r>
    </w:p>
    <w:p>
      <w:pPr>
        <w:pStyle w:val="BodyText"/>
        <w:spacing w:before="137"/>
      </w:pPr>
      <w:r>
        <w:rPr>
          <w:spacing w:val="5"/>
        </w:rPr>
        <w:t>客户服务电话： </w:t>
      </w:r>
      <w:r>
        <w:rPr/>
        <w:t>8008207898</w:t>
      </w:r>
      <w:r>
        <w:rPr>
          <w:spacing w:val="-84"/>
        </w:rPr>
        <w:t> </w:t>
      </w:r>
      <w:r>
        <w:rPr/>
        <w:t>（</w:t>
      </w:r>
      <w:r>
        <w:rPr>
          <w:spacing w:val="5"/>
        </w:rPr>
        <w:t> 内地固话用户</w:t>
      </w:r>
      <w:r>
        <w:rPr>
          <w:spacing w:val="21"/>
        </w:rPr>
        <w:t>）、</w:t>
      </w:r>
      <w:r>
        <w:rPr/>
        <w:t>4008207898</w:t>
      </w:r>
      <w:r>
        <w:rPr>
          <w:spacing w:val="-83"/>
        </w:rPr>
        <w:t> </w:t>
      </w:r>
      <w:r>
        <w:rPr/>
        <w:t>（</w:t>
      </w:r>
      <w:r>
        <w:rPr>
          <w:spacing w:val="4"/>
        </w:rPr>
        <w:t> 内地手机用户</w:t>
      </w:r>
      <w:r>
        <w:rPr>
          <w:spacing w:val="21"/>
        </w:rPr>
        <w:t>）</w:t>
      </w:r>
      <w:r>
        <w:rPr/>
        <w:t>、</w:t>
      </w:r>
    </w:p>
    <w:p>
      <w:pPr>
        <w:pStyle w:val="BodyText"/>
        <w:spacing w:line="364" w:lineRule="auto" w:before="140"/>
        <w:ind w:right="5908"/>
      </w:pPr>
      <w:r>
        <w:rPr/>
        <w:t>（86551）64360499（港澳台及境外） 传真：021-38566400</w:t>
      </w:r>
    </w:p>
    <w:p>
      <w:pPr>
        <w:pStyle w:val="BodyText"/>
        <w:spacing w:line="268" w:lineRule="exact"/>
      </w:pPr>
      <w:hyperlink r:id="rId59">
        <w:r>
          <w:rPr/>
          <w:t>网址：http://www.ncbchina.cn/cn/index.html</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宁波银行</w:t>
      </w:r>
    </w:p>
    <w:p>
      <w:pPr>
        <w:pStyle w:val="BodyText"/>
        <w:spacing w:line="364" w:lineRule="auto" w:before="140"/>
        <w:ind w:right="5173"/>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联系人：夏禾</w:t>
      </w:r>
    </w:p>
    <w:p>
      <w:pPr>
        <w:pStyle w:val="BodyText"/>
        <w:spacing w:line="364" w:lineRule="auto" w:before="139"/>
        <w:ind w:right="7168"/>
      </w:pPr>
      <w:r>
        <w:rPr/>
        <w:t>客户服务电话：95574 </w:t>
      </w:r>
      <w:hyperlink r:id="rId60">
        <w:r>
          <w:rPr>
            <w:spacing w:val="-1"/>
          </w:rPr>
          <w:t>网址：www.nbcb.com.cn</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宁夏银行</w:t>
      </w:r>
    </w:p>
    <w:p>
      <w:pPr>
        <w:pStyle w:val="BodyText"/>
        <w:spacing w:line="364" w:lineRule="auto" w:before="140"/>
        <w:ind w:right="5593"/>
        <w:jc w:val="both"/>
      </w:pPr>
      <w:r>
        <w:rPr>
          <w:spacing w:val="-4"/>
        </w:rPr>
        <w:t>注册地址：银川市金凤区北京中路 </w:t>
      </w:r>
      <w:r>
        <w:rPr/>
        <w:t>157</w:t>
      </w:r>
      <w:r>
        <w:rPr>
          <w:spacing w:val="-35"/>
        </w:rPr>
        <w:t> 号</w:t>
      </w:r>
      <w:r>
        <w:rPr>
          <w:spacing w:val="-4"/>
        </w:rPr>
        <w:t>办公地址：银川市金凤区北京中路 </w:t>
      </w:r>
      <w:r>
        <w:rPr/>
        <w:t>157</w:t>
      </w:r>
      <w:r>
        <w:rPr>
          <w:spacing w:val="-35"/>
        </w:rPr>
        <w:t> 号</w:t>
      </w:r>
      <w:r>
        <w:rPr/>
        <w:t>法定代表人：居光华</w:t>
      </w:r>
    </w:p>
    <w:p>
      <w:pPr>
        <w:pStyle w:val="BodyText"/>
        <w:spacing w:line="268" w:lineRule="exact"/>
      </w:pPr>
      <w:r>
        <w:rPr/>
        <w:t>联系人：蒋阳</w:t>
      </w:r>
    </w:p>
    <w:p>
      <w:pPr>
        <w:pStyle w:val="BodyText"/>
        <w:spacing w:before="139"/>
      </w:pPr>
      <w:r>
        <w:rPr/>
        <w:t>联系电话：0951-5165256</w:t>
      </w:r>
    </w:p>
    <w:p>
      <w:pPr>
        <w:pStyle w:val="BodyText"/>
        <w:spacing w:before="139"/>
      </w:pPr>
      <w:r>
        <w:rPr/>
        <w:t>客户服务电话：4008096558、0951-96558</w:t>
      </w:r>
    </w:p>
    <w:p>
      <w:pPr>
        <w:pStyle w:val="BodyText"/>
        <w:spacing w:before="140"/>
      </w:pPr>
      <w:hyperlink r:id="rId61">
        <w:r>
          <w:rPr/>
          <w:t>网址：http://www.bankofnx.com.cn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齐商银行</w:t>
      </w:r>
    </w:p>
    <w:p>
      <w:pPr>
        <w:pStyle w:val="BodyText"/>
        <w:spacing w:before="140"/>
      </w:pPr>
      <w:r>
        <w:rPr/>
        <w:t>注册地址：淄博市张店区中心路 105 号</w:t>
      </w:r>
    </w:p>
    <w:p>
      <w:pPr>
        <w:pStyle w:val="BodyText"/>
        <w:spacing w:line="364" w:lineRule="auto" w:before="139"/>
        <w:ind w:right="4963"/>
      </w:pPr>
      <w:r>
        <w:rPr>
          <w:spacing w:val="-3"/>
        </w:rPr>
        <w:t>办公地址：山东省淄博市张店区金晶大道 </w:t>
      </w:r>
      <w:r>
        <w:rPr/>
        <w:t>105</w:t>
      </w:r>
      <w:r>
        <w:rPr>
          <w:spacing w:val="-35"/>
        </w:rPr>
        <w:t> 号</w:t>
      </w:r>
      <w:r>
        <w:rPr/>
        <w:t>法定代表人：杲传勇</w:t>
      </w:r>
    </w:p>
    <w:p>
      <w:pPr>
        <w:pStyle w:val="BodyText"/>
        <w:spacing w:line="268" w:lineRule="exact"/>
      </w:pPr>
      <w:r>
        <w:rPr/>
        <w:t>联系人：焦浦</w:t>
      </w:r>
    </w:p>
    <w:p>
      <w:pPr>
        <w:spacing w:after="0" w:line="268" w:lineRule="exact"/>
        <w:sectPr>
          <w:pgSz w:w="11910" w:h="16840"/>
          <w:pgMar w:header="0" w:footer="1166" w:top="1600" w:bottom="1440" w:left="1400" w:right="360"/>
        </w:sectPr>
      </w:pPr>
    </w:p>
    <w:p>
      <w:pPr>
        <w:pStyle w:val="BodyText"/>
        <w:spacing w:before="104"/>
      </w:pPr>
      <w:r>
        <w:rPr/>
        <w:t>联系电话：0533-2178888-9907</w:t>
      </w:r>
    </w:p>
    <w:p>
      <w:pPr>
        <w:pStyle w:val="BodyText"/>
        <w:spacing w:line="364" w:lineRule="auto" w:before="139"/>
        <w:ind w:right="6643"/>
      </w:pPr>
      <w:r>
        <w:rPr/>
        <w:t>客户服务电话</w:t>
      </w:r>
      <w:r>
        <w:rPr>
          <w:spacing w:val="-2"/>
        </w:rPr>
        <w:t>：400-86-96588 </w:t>
      </w:r>
      <w:r>
        <w:rPr/>
        <w:t>传真：0533-2180303</w:t>
      </w:r>
    </w:p>
    <w:p>
      <w:pPr>
        <w:pStyle w:val="BodyText"/>
        <w:spacing w:line="268" w:lineRule="exact"/>
      </w:pPr>
      <w:hyperlink r:id="rId62">
        <w:r>
          <w:rPr/>
          <w:t>网址：www.qsbank.cc</w:t>
        </w:r>
      </w:hyperlink>
    </w:p>
    <w:p>
      <w:pPr>
        <w:pStyle w:val="ListParagraph"/>
        <w:numPr>
          <w:ilvl w:val="0"/>
          <w:numId w:val="9"/>
        </w:numPr>
        <w:tabs>
          <w:tab w:pos="1193" w:val="left" w:leader="none"/>
        </w:tabs>
        <w:spacing w:line="240" w:lineRule="auto" w:before="140" w:after="0"/>
        <w:ind w:left="1193" w:right="0" w:hanging="421"/>
        <w:jc w:val="left"/>
        <w:rPr>
          <w:sz w:val="21"/>
        </w:rPr>
      </w:pPr>
      <w:r>
        <w:rPr>
          <w:sz w:val="21"/>
        </w:rPr>
        <w:t>青岛农商银行</w:t>
      </w:r>
    </w:p>
    <w:p>
      <w:pPr>
        <w:pStyle w:val="BodyText"/>
        <w:spacing w:line="364" w:lineRule="auto" w:before="139"/>
        <w:ind w:right="4753"/>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7483"/>
      </w:pPr>
      <w:r>
        <w:rPr/>
        <w:t>法定代表人：刘仲生联系人：严菲</w:t>
      </w:r>
    </w:p>
    <w:p>
      <w:pPr>
        <w:pStyle w:val="BodyText"/>
        <w:spacing w:line="268" w:lineRule="exact"/>
      </w:pPr>
      <w:r>
        <w:rPr/>
        <w:t>联系电话：0532-66957360</w:t>
      </w:r>
    </w:p>
    <w:p>
      <w:pPr>
        <w:pStyle w:val="BodyText"/>
        <w:spacing w:line="364" w:lineRule="auto" w:before="139"/>
        <w:ind w:right="6853"/>
      </w:pPr>
      <w:r>
        <w:rPr/>
        <w:t>客户服务电话：0532-96668 传真：0532-66957229</w:t>
      </w:r>
    </w:p>
    <w:p>
      <w:pPr>
        <w:pStyle w:val="BodyText"/>
        <w:spacing w:line="268" w:lineRule="exact"/>
      </w:pPr>
      <w:hyperlink r:id="rId63">
        <w:r>
          <w:rPr/>
          <w:t>网址：www.qrcb.com.cn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青岛银行</w:t>
      </w:r>
    </w:p>
    <w:p>
      <w:pPr>
        <w:pStyle w:val="BodyText"/>
        <w:spacing w:line="364" w:lineRule="auto" w:before="140"/>
        <w:ind w:right="4753"/>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联系电话：0532-68629956</w:t>
      </w:r>
    </w:p>
    <w:p>
      <w:pPr>
        <w:pStyle w:val="BodyText"/>
        <w:spacing w:line="364" w:lineRule="auto" w:before="140"/>
        <w:ind w:right="4438"/>
      </w:pPr>
      <w:r>
        <w:rPr/>
        <w:t>客户服务电话：96588（青岛）400-66-96588（全国） </w:t>
      </w:r>
      <w:hyperlink r:id="rId64">
        <w:r>
          <w:rPr/>
          <w:t>网址：http://www.qdccb.com/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泉州银行</w:t>
      </w:r>
    </w:p>
    <w:p>
      <w:pPr>
        <w:pStyle w:val="BodyText"/>
        <w:spacing w:line="364" w:lineRule="auto" w:before="139"/>
        <w:ind w:right="6013"/>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6643"/>
      </w:pPr>
      <w:r>
        <w:rPr/>
        <w:t>客户服务电话：400-88-96312 传真：0595-22578871</w:t>
      </w:r>
    </w:p>
    <w:p>
      <w:pPr>
        <w:pStyle w:val="BodyText"/>
        <w:spacing w:line="268" w:lineRule="exact"/>
      </w:pPr>
      <w:hyperlink r:id="rId65">
        <w:r>
          <w:rPr/>
          <w:t>网址：http://www.qzccbank.com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日照银行</w:t>
      </w:r>
    </w:p>
    <w:p>
      <w:pPr>
        <w:pStyle w:val="BodyText"/>
        <w:spacing w:line="364" w:lineRule="auto" w:before="140"/>
        <w:ind w:right="5803"/>
      </w:pPr>
      <w:r>
        <w:rPr>
          <w:spacing w:val="-4"/>
        </w:rPr>
        <w:t>注册地址：山东省日照市烟台路 </w:t>
      </w:r>
      <w:r>
        <w:rPr/>
        <w:t>197</w:t>
      </w:r>
      <w:r>
        <w:rPr>
          <w:spacing w:val="-35"/>
        </w:rPr>
        <w:t> 号</w:t>
      </w:r>
      <w:r>
        <w:rPr>
          <w:spacing w:val="-4"/>
        </w:rPr>
        <w:t>办公地址：山东省日照市烟台路 </w:t>
      </w:r>
      <w:r>
        <w:rPr/>
        <w:t>197</w:t>
      </w:r>
      <w:r>
        <w:rPr>
          <w:spacing w:val="-35"/>
        </w:rPr>
        <w:t> 号</w:t>
      </w:r>
    </w:p>
    <w:p>
      <w:pPr>
        <w:spacing w:after="0" w:line="364" w:lineRule="auto"/>
        <w:sectPr>
          <w:pgSz w:w="11910" w:h="16840"/>
          <w:pgMar w:header="0" w:footer="1166" w:top="1600" w:bottom="1440" w:left="1400" w:right="360"/>
        </w:sectPr>
      </w:pPr>
    </w:p>
    <w:p>
      <w:pPr>
        <w:pStyle w:val="BodyText"/>
        <w:spacing w:line="364" w:lineRule="auto" w:before="104"/>
        <w:ind w:right="7693"/>
      </w:pPr>
      <w:r>
        <w:rPr/>
        <w:t>法定代表人：王森联系人：孔颖</w:t>
      </w:r>
    </w:p>
    <w:p>
      <w:pPr>
        <w:pStyle w:val="BodyText"/>
        <w:spacing w:line="268" w:lineRule="exact"/>
      </w:pPr>
      <w:r>
        <w:rPr/>
        <w:t>联系电话：0633-8081590</w:t>
      </w:r>
    </w:p>
    <w:p>
      <w:pPr>
        <w:pStyle w:val="BodyText"/>
        <w:spacing w:line="364" w:lineRule="auto" w:before="139"/>
        <w:ind w:right="3703"/>
      </w:pPr>
      <w:r>
        <w:rPr/>
        <w:t>客户服务电话：400-68-96588（全国）、0633-96588（日照） 传真：0633-8081276</w:t>
      </w:r>
    </w:p>
    <w:p>
      <w:pPr>
        <w:pStyle w:val="BodyText"/>
        <w:spacing w:line="268" w:lineRule="exact"/>
      </w:pPr>
      <w:hyperlink r:id="rId66">
        <w:r>
          <w:rPr/>
          <w:t>网址：http://www.bankofrizhao.com.cn/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瑞安农商银行</w:t>
      </w:r>
    </w:p>
    <w:p>
      <w:pPr>
        <w:pStyle w:val="BodyText"/>
        <w:spacing w:line="364" w:lineRule="auto" w:before="139"/>
        <w:ind w:right="5383"/>
        <w:jc w:val="both"/>
      </w:pPr>
      <w:r>
        <w:rPr>
          <w:spacing w:val="-4"/>
        </w:rPr>
        <w:t>注册地址：瑞安市安阳街道万松东路 </w:t>
      </w:r>
      <w:r>
        <w:rPr/>
        <w:t>148</w:t>
      </w:r>
      <w:r>
        <w:rPr>
          <w:spacing w:val="-35"/>
        </w:rPr>
        <w:t> 号</w:t>
      </w:r>
      <w:r>
        <w:rPr>
          <w:spacing w:val="-4"/>
        </w:rPr>
        <w:t>办公地址：瑞安市安阳街道万松东路 </w:t>
      </w:r>
      <w:r>
        <w:rPr/>
        <w:t>148</w:t>
      </w:r>
      <w:r>
        <w:rPr>
          <w:spacing w:val="-35"/>
        </w:rPr>
        <w:t> 号</w:t>
      </w:r>
      <w:r>
        <w:rPr/>
        <w:t>法定代表人：王光领</w:t>
      </w:r>
    </w:p>
    <w:p>
      <w:pPr>
        <w:pStyle w:val="BodyText"/>
        <w:spacing w:line="268" w:lineRule="exact"/>
      </w:pPr>
      <w:r>
        <w:rPr/>
        <w:t>联系人：吴小娜</w:t>
      </w:r>
    </w:p>
    <w:p>
      <w:pPr>
        <w:pStyle w:val="BodyText"/>
        <w:spacing w:before="140"/>
      </w:pPr>
      <w:r>
        <w:rPr/>
        <w:t>联系电话：0577-66681245</w:t>
      </w:r>
    </w:p>
    <w:p>
      <w:pPr>
        <w:pStyle w:val="BodyText"/>
        <w:spacing w:before="139"/>
      </w:pPr>
      <w:r>
        <w:rPr/>
        <w:t>客户服务电话：4008057702</w:t>
      </w:r>
    </w:p>
    <w:p>
      <w:pPr>
        <w:pStyle w:val="ListParagraph"/>
        <w:numPr>
          <w:ilvl w:val="0"/>
          <w:numId w:val="9"/>
        </w:numPr>
        <w:tabs>
          <w:tab w:pos="1193" w:val="left" w:leader="none"/>
        </w:tabs>
        <w:spacing w:line="240" w:lineRule="auto" w:before="140" w:after="0"/>
        <w:ind w:left="1193" w:right="0" w:hanging="421"/>
        <w:jc w:val="both"/>
        <w:rPr>
          <w:sz w:val="21"/>
        </w:rPr>
      </w:pPr>
      <w:r>
        <w:rPr>
          <w:sz w:val="21"/>
        </w:rPr>
        <w:t>瑞丰银行</w:t>
      </w:r>
    </w:p>
    <w:p>
      <w:pPr>
        <w:pStyle w:val="BodyText"/>
        <w:spacing w:line="364" w:lineRule="auto" w:before="139"/>
        <w:ind w:right="5068"/>
        <w:jc w:val="both"/>
      </w:pPr>
      <w:r>
        <w:rPr>
          <w:spacing w:val="-3"/>
        </w:rPr>
        <w:t>注册地址：浙江省绍兴市柯桥区笛扬路 </w:t>
      </w:r>
      <w:r>
        <w:rPr/>
        <w:t>1363</w:t>
      </w:r>
      <w:r>
        <w:rPr>
          <w:spacing w:val="-35"/>
        </w:rPr>
        <w:t> 号</w:t>
      </w:r>
      <w:r>
        <w:rPr>
          <w:spacing w:val="-3"/>
        </w:rPr>
        <w:t>办公地址：浙江省绍兴市柯桥区笛扬路 </w:t>
      </w:r>
      <w:r>
        <w:rPr/>
        <w:t>1363</w:t>
      </w:r>
      <w:r>
        <w:rPr>
          <w:spacing w:val="-35"/>
        </w:rPr>
        <w:t> 号</w:t>
      </w:r>
      <w:r>
        <w:rPr/>
        <w:t>法定代表人：章伟东</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6643"/>
      </w:pPr>
      <w:r>
        <w:rPr/>
        <w:t>客户服务电话：400-88-96596 传真：0575-84788134</w:t>
      </w:r>
    </w:p>
    <w:p>
      <w:pPr>
        <w:pStyle w:val="BodyText"/>
        <w:spacing w:line="268" w:lineRule="exact"/>
      </w:pPr>
      <w:hyperlink r:id="rId67">
        <w:r>
          <w:rPr/>
          <w:t>网址：www.borf.cn</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3808"/>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6013"/>
      </w:pPr>
      <w:r>
        <w:rPr/>
        <w:t>开放式基金业务传真：021-50105124 </w:t>
      </w:r>
      <w:hyperlink r:id="rId68">
        <w:r>
          <w:rPr/>
          <w:t>网址：www.srcb.com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上海银行</w:t>
      </w:r>
    </w:p>
    <w:p>
      <w:pPr>
        <w:pStyle w:val="BodyText"/>
        <w:spacing w:before="139"/>
      </w:pPr>
      <w:r>
        <w:rPr/>
        <w:t>注册地址：中国（上海）自由贸易试验区银城中路 168 号</w:t>
      </w:r>
    </w:p>
    <w:p>
      <w:pPr>
        <w:spacing w:after="0"/>
        <w:sectPr>
          <w:pgSz w:w="11910" w:h="16840"/>
          <w:pgMar w:header="0" w:footer="1166" w:top="1600" w:bottom="1440" w:left="1400" w:right="360"/>
        </w:sectPr>
      </w:pPr>
    </w:p>
    <w:p>
      <w:pPr>
        <w:pStyle w:val="BodyText"/>
        <w:spacing w:line="364" w:lineRule="auto" w:before="104"/>
        <w:ind w:right="5383"/>
      </w:pPr>
      <w:r>
        <w:rPr>
          <w:spacing w:val="-4"/>
        </w:rPr>
        <w:t>办公地址：上海市浦东新区银城中路 </w:t>
      </w:r>
      <w:r>
        <w:rPr/>
        <w:t>168</w:t>
      </w:r>
      <w:r>
        <w:rPr>
          <w:spacing w:val="-35"/>
        </w:rPr>
        <w:t> 号</w:t>
      </w:r>
      <w:r>
        <w:rPr/>
        <w:t>法定代表人：金煜</w:t>
      </w:r>
    </w:p>
    <w:p>
      <w:pPr>
        <w:pStyle w:val="BodyText"/>
        <w:spacing w:line="268" w:lineRule="exact"/>
      </w:pPr>
      <w:r>
        <w:rPr/>
        <w:t>联系人：王笑</w:t>
      </w:r>
    </w:p>
    <w:p>
      <w:pPr>
        <w:pStyle w:val="BodyText"/>
        <w:spacing w:before="139"/>
      </w:pPr>
      <w:r>
        <w:rPr/>
        <w:t>联系电话：021-68475732</w:t>
      </w:r>
    </w:p>
    <w:p>
      <w:pPr>
        <w:pStyle w:val="BodyText"/>
        <w:spacing w:before="140"/>
      </w:pPr>
      <w:r>
        <w:rPr/>
        <w:t>客户服务电话：95594</w:t>
      </w:r>
    </w:p>
    <w:p>
      <w:pPr>
        <w:pStyle w:val="BodyText"/>
        <w:spacing w:before="139"/>
      </w:pPr>
      <w:hyperlink r:id="rId69">
        <w:r>
          <w:rPr/>
          <w:t>网址：http://www.bosc.cn/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顺德农村商业银行</w:t>
      </w:r>
    </w:p>
    <w:p>
      <w:pPr>
        <w:pStyle w:val="BodyText"/>
        <w:spacing w:line="364" w:lineRule="auto" w:before="139"/>
        <w:ind w:right="4123"/>
        <w:jc w:val="both"/>
      </w:pPr>
      <w:r>
        <w:rPr>
          <w:spacing w:val="-3"/>
        </w:rPr>
        <w:t>注册地址：广东佛山市顺德区大良德和居委会拥翠路 </w:t>
      </w:r>
      <w:r>
        <w:rPr/>
        <w:t>2</w:t>
      </w:r>
      <w:r>
        <w:rPr>
          <w:spacing w:val="-35"/>
        </w:rPr>
        <w:t> 号</w:t>
      </w:r>
      <w:r>
        <w:rPr>
          <w:spacing w:val="-3"/>
        </w:rPr>
        <w:t>办公地址：广东佛山市顺德区大良德和居委会拥翠路 </w:t>
      </w:r>
      <w:r>
        <w:rPr/>
        <w:t>2</w:t>
      </w:r>
      <w:r>
        <w:rPr>
          <w:spacing w:val="-35"/>
        </w:rPr>
        <w:t> 号</w:t>
      </w:r>
      <w:r>
        <w:rPr/>
        <w:t>法定代表人：姚真勇</w:t>
      </w:r>
    </w:p>
    <w:p>
      <w:pPr>
        <w:pStyle w:val="BodyText"/>
        <w:spacing w:line="364" w:lineRule="auto"/>
        <w:ind w:right="6958"/>
      </w:pPr>
      <w:r>
        <w:rPr/>
        <w:t>联系人：杨素苗、区敏欣联系电话：0757-22382524</w:t>
      </w:r>
    </w:p>
    <w:p>
      <w:pPr>
        <w:pStyle w:val="BodyText"/>
        <w:spacing w:line="364" w:lineRule="auto"/>
        <w:ind w:right="6538"/>
      </w:pPr>
      <w:r>
        <w:rPr/>
        <w:t>客户服务电话：0757-22223388 传真：0757-22388235</w:t>
      </w:r>
    </w:p>
    <w:p>
      <w:pPr>
        <w:pStyle w:val="BodyText"/>
        <w:spacing w:line="268" w:lineRule="exact"/>
      </w:pPr>
      <w:hyperlink r:id="rId70">
        <w:r>
          <w:rPr/>
          <w:t>网址：www.sdebank.com</w:t>
        </w:r>
      </w:hyperlink>
    </w:p>
    <w:p>
      <w:pPr>
        <w:pStyle w:val="ListParagraph"/>
        <w:numPr>
          <w:ilvl w:val="0"/>
          <w:numId w:val="9"/>
        </w:numPr>
        <w:tabs>
          <w:tab w:pos="1193" w:val="left" w:leader="none"/>
        </w:tabs>
        <w:spacing w:line="240" w:lineRule="auto" w:before="137" w:after="0"/>
        <w:ind w:left="1193" w:right="0" w:hanging="421"/>
        <w:jc w:val="both"/>
        <w:rPr>
          <w:sz w:val="21"/>
        </w:rPr>
      </w:pPr>
      <w:r>
        <w:rPr>
          <w:sz w:val="21"/>
        </w:rPr>
        <w:t>四川天府银行</w:t>
      </w:r>
    </w:p>
    <w:p>
      <w:pPr>
        <w:pStyle w:val="BodyText"/>
        <w:spacing w:before="140"/>
      </w:pPr>
      <w:r>
        <w:rPr/>
        <w:t>注册地址：四川省南充市涪江路 1 号</w:t>
      </w:r>
    </w:p>
    <w:p>
      <w:pPr>
        <w:pStyle w:val="BodyText"/>
        <w:spacing w:line="364" w:lineRule="auto" w:before="139"/>
        <w:ind w:right="4333"/>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40"/>
      </w:pPr>
      <w:r>
        <w:rPr/>
        <w:t>联系电话：028-67676038</w:t>
      </w:r>
    </w:p>
    <w:p>
      <w:pPr>
        <w:pStyle w:val="BodyText"/>
        <w:spacing w:line="364" w:lineRule="auto" w:before="139"/>
        <w:ind w:right="6643"/>
      </w:pPr>
      <w:r>
        <w:rPr/>
        <w:t>客户服务电话：400-16-96869 </w:t>
      </w:r>
      <w:hyperlink r:id="rId71">
        <w:r>
          <w:rPr/>
          <w:t>网址：www.tf.cn</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苏州农村商业银行</w:t>
      </w:r>
    </w:p>
    <w:p>
      <w:pPr>
        <w:pStyle w:val="BodyText"/>
        <w:spacing w:line="364" w:lineRule="auto" w:before="139"/>
        <w:ind w:right="4858"/>
        <w:jc w:val="both"/>
      </w:pPr>
      <w:r>
        <w:rPr>
          <w:spacing w:val="-3"/>
        </w:rPr>
        <w:t>注册地址：江苏省苏州市吴江区中山南路 </w:t>
      </w:r>
      <w:r>
        <w:rPr/>
        <w:t>1777</w:t>
      </w:r>
      <w:r>
        <w:rPr>
          <w:spacing w:val="-35"/>
        </w:rPr>
        <w:t> 号</w:t>
      </w:r>
      <w:r>
        <w:rPr>
          <w:spacing w:val="-3"/>
        </w:rPr>
        <w:t>办公地址：江苏省苏州市吴江区中山南路 </w:t>
      </w:r>
      <w:r>
        <w:rPr/>
        <w:t>1777</w:t>
      </w:r>
      <w:r>
        <w:rPr>
          <w:spacing w:val="-35"/>
        </w:rPr>
        <w:t> 号</w:t>
      </w:r>
      <w:r>
        <w:rPr/>
        <w:t>法定代表人：魏礼亚</w:t>
      </w:r>
    </w:p>
    <w:p>
      <w:pPr>
        <w:pStyle w:val="BodyText"/>
        <w:spacing w:line="268" w:lineRule="exact"/>
      </w:pPr>
      <w:r>
        <w:rPr/>
        <w:t>联系人：杨晨</w:t>
      </w:r>
    </w:p>
    <w:p>
      <w:pPr>
        <w:pStyle w:val="BodyText"/>
        <w:spacing w:before="140"/>
      </w:pPr>
      <w:r>
        <w:rPr/>
        <w:t>联系电话：0512-63969209</w:t>
      </w:r>
    </w:p>
    <w:p>
      <w:pPr>
        <w:pStyle w:val="BodyText"/>
        <w:spacing w:line="364" w:lineRule="auto" w:before="139"/>
        <w:ind w:right="3388"/>
      </w:pPr>
      <w:r>
        <w:rPr/>
        <w:t>客户服务电话：96068（江苏省内）、400-86-96068（江苏省外</w:t>
      </w:r>
      <w:r>
        <w:rPr>
          <w:spacing w:val="-18"/>
        </w:rPr>
        <w:t>） </w:t>
      </w:r>
      <w:r>
        <w:rPr/>
        <w:t>传真：0512-63969071</w:t>
      </w:r>
    </w:p>
    <w:p>
      <w:pPr>
        <w:pStyle w:val="BodyText"/>
        <w:spacing w:line="268" w:lineRule="exact"/>
      </w:pPr>
      <w:hyperlink r:id="rId72">
        <w:r>
          <w:rPr/>
          <w:t>网址：www.wjrcb.com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苏州银行</w:t>
      </w:r>
    </w:p>
    <w:p>
      <w:pPr>
        <w:spacing w:after="0" w:line="240" w:lineRule="auto"/>
        <w:jc w:val="both"/>
        <w:rPr>
          <w:sz w:val="21"/>
        </w:rPr>
        <w:sectPr>
          <w:pgSz w:w="11910" w:h="16840"/>
          <w:pgMar w:header="0" w:footer="1166" w:top="1600" w:bottom="1440" w:left="1400" w:right="360"/>
        </w:sectPr>
      </w:pPr>
    </w:p>
    <w:p>
      <w:pPr>
        <w:pStyle w:val="BodyText"/>
        <w:spacing w:line="364" w:lineRule="auto" w:before="104"/>
        <w:ind w:right="4963"/>
        <w:jc w:val="both"/>
      </w:pPr>
      <w:r>
        <w:rPr>
          <w:spacing w:val="-3"/>
        </w:rPr>
        <w:t>注册地址：江苏省苏州市工业园区钟园路 </w:t>
      </w:r>
      <w:r>
        <w:rPr/>
        <w:t>728</w:t>
      </w:r>
      <w:r>
        <w:rPr>
          <w:spacing w:val="-35"/>
        </w:rPr>
        <w:t> 号</w:t>
      </w:r>
      <w:r>
        <w:rPr>
          <w:spacing w:val="-3"/>
        </w:rPr>
        <w:t>办公地址：江苏省苏州市工业园区钟园路 </w:t>
      </w:r>
      <w:r>
        <w:rPr/>
        <w:t>728</w:t>
      </w:r>
      <w:r>
        <w:rPr>
          <w:spacing w:val="-35"/>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7378"/>
      </w:pPr>
      <w:r>
        <w:rPr/>
        <w:t>客户服务电话：96067 传真：0512-69868373</w:t>
      </w:r>
    </w:p>
    <w:p>
      <w:pPr>
        <w:pStyle w:val="BodyText"/>
        <w:spacing w:line="268" w:lineRule="exact"/>
      </w:pPr>
      <w:hyperlink r:id="rId73">
        <w:r>
          <w:rPr/>
          <w:t>网址：www.suzhoubank.com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天津银行</w:t>
      </w:r>
    </w:p>
    <w:p>
      <w:pPr>
        <w:pStyle w:val="BodyText"/>
        <w:spacing w:line="364" w:lineRule="auto" w:before="140"/>
        <w:ind w:right="5908"/>
        <w:jc w:val="both"/>
      </w:pPr>
      <w:r>
        <w:rPr>
          <w:spacing w:val="-4"/>
        </w:rPr>
        <w:t>注册地址：天津市河西区友谊路 </w:t>
      </w:r>
      <w:r>
        <w:rPr/>
        <w:t>15</w:t>
      </w:r>
      <w:r>
        <w:rPr>
          <w:spacing w:val="-35"/>
        </w:rPr>
        <w:t> 号</w:t>
      </w:r>
      <w:r>
        <w:rPr>
          <w:spacing w:val="-4"/>
        </w:rPr>
        <w:t>办公地址：天津市河西区友谊路 </w:t>
      </w:r>
      <w:r>
        <w:rPr/>
        <w:t>15</w:t>
      </w:r>
      <w:r>
        <w:rPr>
          <w:spacing w:val="-35"/>
        </w:rPr>
        <w:t> 号</w:t>
      </w:r>
      <w:r>
        <w:rPr/>
        <w:t>法定代表人：李宗唐</w:t>
      </w:r>
    </w:p>
    <w:p>
      <w:pPr>
        <w:pStyle w:val="BodyText"/>
        <w:spacing w:line="268" w:lineRule="exact"/>
      </w:pPr>
      <w:r>
        <w:rPr/>
        <w:t>联系人：李岩</w:t>
      </w:r>
    </w:p>
    <w:p>
      <w:pPr>
        <w:pStyle w:val="BodyText"/>
        <w:spacing w:before="139"/>
      </w:pPr>
      <w:r>
        <w:rPr/>
        <w:t>联系电话：022-28405684</w:t>
      </w:r>
    </w:p>
    <w:p>
      <w:pPr>
        <w:pStyle w:val="BodyText"/>
        <w:spacing w:line="364" w:lineRule="auto" w:before="140"/>
        <w:ind w:right="7273"/>
      </w:pPr>
      <w:r>
        <w:rPr/>
        <w:t>客户服务电话：956056 传真：022-28405631</w:t>
      </w:r>
    </w:p>
    <w:p>
      <w:pPr>
        <w:pStyle w:val="BodyText"/>
        <w:spacing w:line="268" w:lineRule="exact"/>
      </w:pPr>
      <w:hyperlink r:id="rId74">
        <w:r>
          <w:rPr/>
          <w:t>网址：www.bank-of-tianjin.com.cn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威海市商业银行</w:t>
      </w:r>
    </w:p>
    <w:p>
      <w:pPr>
        <w:pStyle w:val="BodyText"/>
        <w:spacing w:before="139"/>
      </w:pPr>
      <w:r>
        <w:rPr/>
        <w:t>注册地址：威海市宝泉路 9 号</w:t>
      </w:r>
    </w:p>
    <w:p>
      <w:pPr>
        <w:pStyle w:val="BodyText"/>
        <w:spacing w:line="364" w:lineRule="auto" w:before="140"/>
        <w:ind w:right="5803"/>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40"/>
      </w:pPr>
      <w:hyperlink r:id="rId75">
        <w:r>
          <w:rPr/>
          <w:t>网址：www.whccb.com</w:t>
        </w:r>
      </w:hyperlink>
      <w:r>
        <w:rPr/>
        <w:t>，</w:t>
      </w:r>
      <w:hyperlink r:id="rId76">
        <w:r>
          <w:rPr/>
          <w:t>www.whccb.com.cn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潍坊银行</w:t>
      </w:r>
    </w:p>
    <w:p>
      <w:pPr>
        <w:pStyle w:val="BodyText"/>
        <w:spacing w:line="364" w:lineRule="auto" w:before="140"/>
        <w:ind w:right="4858"/>
        <w:jc w:val="both"/>
      </w:pPr>
      <w:r>
        <w:rPr>
          <w:spacing w:val="-3"/>
        </w:rPr>
        <w:t>注册地址：山东省潍坊市奎文区胜利东街 </w:t>
      </w:r>
      <w:r>
        <w:rPr/>
        <w:t>5139</w:t>
      </w:r>
      <w:r>
        <w:rPr>
          <w:spacing w:val="-35"/>
        </w:rPr>
        <w:t> 号</w:t>
      </w:r>
      <w:r>
        <w:rPr>
          <w:spacing w:val="-3"/>
        </w:rPr>
        <w:t>办公地址：山东省潍坊市奎文区胜利东街 </w:t>
      </w:r>
      <w:r>
        <w:rPr/>
        <w:t>5139</w:t>
      </w:r>
      <w:r>
        <w:rPr>
          <w:spacing w:val="-35"/>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before="139"/>
      </w:pPr>
      <w:r>
        <w:rPr/>
        <w:t>客户服务电话：400-61-96588</w:t>
      </w:r>
    </w:p>
    <w:p>
      <w:pPr>
        <w:spacing w:after="0"/>
        <w:sectPr>
          <w:pgSz w:w="11910" w:h="16840"/>
          <w:pgMar w:header="0" w:footer="1166" w:top="1600" w:bottom="1440" w:left="1400" w:right="360"/>
        </w:sectPr>
      </w:pPr>
    </w:p>
    <w:p>
      <w:pPr>
        <w:pStyle w:val="BodyText"/>
        <w:spacing w:before="104"/>
      </w:pPr>
      <w:r>
        <w:rPr/>
        <w:t>传真：0536-8056061</w:t>
      </w:r>
    </w:p>
    <w:p>
      <w:pPr>
        <w:pStyle w:val="BodyText"/>
        <w:spacing w:before="139"/>
      </w:pPr>
      <w:hyperlink r:id="rId77">
        <w:r>
          <w:rPr/>
          <w:t>网址：www.wfccb.com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乌鲁木齐银行</w:t>
      </w:r>
    </w:p>
    <w:p>
      <w:pPr>
        <w:pStyle w:val="BodyText"/>
        <w:spacing w:line="364" w:lineRule="auto" w:before="139"/>
        <w:ind w:right="1708"/>
        <w:jc w:val="both"/>
      </w:pPr>
      <w:r>
        <w:rPr>
          <w:spacing w:val="-3"/>
        </w:rPr>
        <w:t>注册地址：新疆乌鲁木齐市水磨沟区会展大道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spacing w:val="-3"/>
        </w:rPr>
        <w:t>办公地址：新疆乌鲁木齐市水磨沟区会展大道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t>法定代表人：任思宇</w:t>
      </w:r>
    </w:p>
    <w:p>
      <w:pPr>
        <w:pStyle w:val="BodyText"/>
        <w:spacing w:line="268" w:lineRule="exact"/>
      </w:pPr>
      <w:r>
        <w:rPr/>
        <w:t>联系人：王小培</w:t>
      </w:r>
    </w:p>
    <w:p>
      <w:pPr>
        <w:pStyle w:val="BodyText"/>
        <w:spacing w:before="140"/>
      </w:pPr>
      <w:r>
        <w:rPr/>
        <w:t>联系电话：0991-4500319</w:t>
      </w:r>
    </w:p>
    <w:p>
      <w:pPr>
        <w:pStyle w:val="BodyText"/>
        <w:spacing w:line="364" w:lineRule="auto" w:before="139"/>
        <w:ind w:right="6853"/>
      </w:pPr>
      <w:r>
        <w:rPr/>
        <w:t>客户服务电话：0991-96518 传真：0991-8824667</w:t>
      </w:r>
    </w:p>
    <w:p>
      <w:pPr>
        <w:pStyle w:val="BodyText"/>
        <w:spacing w:line="268" w:lineRule="exact"/>
      </w:pPr>
      <w:hyperlink r:id="rId78">
        <w:r>
          <w:rPr/>
          <w:t>网址：www.uccb.com.cn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武汉农村商业银行</w:t>
      </w:r>
    </w:p>
    <w:p>
      <w:pPr>
        <w:pStyle w:val="BodyText"/>
        <w:spacing w:line="364" w:lineRule="auto" w:before="139"/>
        <w:ind w:right="4963"/>
        <w:jc w:val="both"/>
      </w:pPr>
      <w:r>
        <w:rPr>
          <w:spacing w:val="-3"/>
        </w:rPr>
        <w:t>注册地址：湖北省武汉市江岸区建设大道 </w:t>
      </w:r>
      <w:r>
        <w:rPr/>
        <w:t>618</w:t>
      </w:r>
      <w:r>
        <w:rPr>
          <w:spacing w:val="-35"/>
        </w:rPr>
        <w:t> 号</w:t>
      </w:r>
      <w:r>
        <w:rPr>
          <w:spacing w:val="-3"/>
        </w:rPr>
        <w:t>办公地址：湖北省武汉市江岸区建设大道 </w:t>
      </w:r>
      <w:r>
        <w:rPr/>
        <w:t>618</w:t>
      </w:r>
      <w:r>
        <w:rPr>
          <w:spacing w:val="-35"/>
        </w:rPr>
        <w:t> 号</w:t>
      </w:r>
      <w:r>
        <w:rPr/>
        <w:t>法定代表人：徐小建</w:t>
      </w:r>
    </w:p>
    <w:p>
      <w:pPr>
        <w:pStyle w:val="BodyText"/>
        <w:spacing w:line="268" w:lineRule="exact"/>
      </w:pPr>
      <w:r>
        <w:rPr/>
        <w:t>联系人：邹君</w:t>
      </w:r>
    </w:p>
    <w:p>
      <w:pPr>
        <w:pStyle w:val="BodyText"/>
        <w:spacing w:before="139"/>
      </w:pPr>
      <w:r>
        <w:rPr/>
        <w:t>电话：027-85497270</w:t>
      </w:r>
    </w:p>
    <w:p>
      <w:pPr>
        <w:pStyle w:val="BodyText"/>
        <w:spacing w:line="364" w:lineRule="auto" w:before="140"/>
        <w:ind w:right="7378"/>
      </w:pPr>
      <w:r>
        <w:rPr/>
        <w:t>客户服务电话</w:t>
      </w:r>
      <w:r>
        <w:rPr>
          <w:spacing w:val="-3"/>
        </w:rPr>
        <w:t>：95367 </w:t>
      </w:r>
      <w:r>
        <w:rPr/>
        <w:t>传真：027-85497270</w:t>
      </w:r>
    </w:p>
    <w:p>
      <w:pPr>
        <w:pStyle w:val="BodyText"/>
        <w:spacing w:line="268" w:lineRule="exact"/>
      </w:pPr>
      <w:hyperlink r:id="rId79">
        <w:r>
          <w:rPr/>
          <w:t>网址：http://www.whrcbank.com/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厦门银行</w:t>
      </w:r>
    </w:p>
    <w:p>
      <w:pPr>
        <w:pStyle w:val="BodyText"/>
        <w:spacing w:line="364" w:lineRule="auto" w:before="140"/>
        <w:ind w:right="4333"/>
        <w:jc w:val="both"/>
      </w:pPr>
      <w:r>
        <w:rPr>
          <w:spacing w:val="-4"/>
        </w:rPr>
        <w:t>注册地址：厦门市思明区湖滨北路 </w:t>
      </w:r>
      <w:r>
        <w:rPr/>
        <w:t>101</w:t>
      </w:r>
      <w:r>
        <w:rPr>
          <w:spacing w:val="-10"/>
        </w:rPr>
        <w:t> 号商业银行大厦</w:t>
      </w:r>
      <w:r>
        <w:rPr>
          <w:spacing w:val="-4"/>
        </w:rPr>
        <w:t>办公地址：厦门市思明区湖滨北路 </w:t>
      </w:r>
      <w:r>
        <w:rPr/>
        <w:t>101</w:t>
      </w:r>
      <w:r>
        <w:rPr>
          <w:spacing w:val="-10"/>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6643"/>
      </w:pPr>
      <w:r>
        <w:rPr/>
        <w:t>客户服务电话：400-858-8888 传真：0592-5373973</w:t>
      </w:r>
    </w:p>
    <w:p>
      <w:pPr>
        <w:pStyle w:val="BodyText"/>
        <w:spacing w:line="268" w:lineRule="exact"/>
      </w:pPr>
      <w:hyperlink r:id="rId80">
        <w:r>
          <w:rPr/>
          <w:t>网址：www.xmbankonline.com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萧山农商银行</w:t>
      </w:r>
    </w:p>
    <w:p>
      <w:pPr>
        <w:pStyle w:val="BodyText"/>
        <w:spacing w:before="140"/>
      </w:pPr>
      <w:r>
        <w:rPr>
          <w:spacing w:val="-5"/>
        </w:rPr>
        <w:t>注册地址：萧山区人民路 </w:t>
      </w:r>
      <w:r>
        <w:rPr/>
        <w:t>258</w:t>
      </w:r>
      <w:r>
        <w:rPr>
          <w:spacing w:val="-27"/>
        </w:rPr>
        <w:t> 号</w:t>
      </w:r>
    </w:p>
    <w:p>
      <w:pPr>
        <w:pStyle w:val="BodyText"/>
        <w:spacing w:line="364" w:lineRule="auto" w:before="139"/>
        <w:ind w:right="5173"/>
      </w:pPr>
      <w:r>
        <w:rPr>
          <w:spacing w:val="-3"/>
        </w:rPr>
        <w:t>办公地址：浙江省杭州市萧山区人民路 </w:t>
      </w:r>
      <w:r>
        <w:rPr/>
        <w:t>258</w:t>
      </w:r>
      <w:r>
        <w:rPr>
          <w:spacing w:val="-35"/>
        </w:rPr>
        <w:t> 号</w:t>
      </w:r>
      <w:r>
        <w:rPr/>
        <w:t>法定代表人：王云龙</w:t>
      </w:r>
    </w:p>
    <w:p>
      <w:pPr>
        <w:spacing w:after="0" w:line="364" w:lineRule="auto"/>
        <w:sectPr>
          <w:pgSz w:w="11910" w:h="16840"/>
          <w:pgMar w:header="0" w:footer="1166" w:top="1600" w:bottom="1440" w:left="1400" w:right="360"/>
        </w:sectPr>
      </w:pPr>
    </w:p>
    <w:p>
      <w:pPr>
        <w:pStyle w:val="BodyText"/>
        <w:spacing w:before="104"/>
      </w:pPr>
      <w:r>
        <w:rPr/>
        <w:t>联系人：朱光锋</w:t>
      </w:r>
    </w:p>
    <w:p>
      <w:pPr>
        <w:pStyle w:val="BodyText"/>
        <w:spacing w:before="139"/>
      </w:pPr>
      <w:r>
        <w:rPr/>
        <w:t>联系电话：0571-82739513</w:t>
      </w:r>
    </w:p>
    <w:p>
      <w:pPr>
        <w:pStyle w:val="BodyText"/>
        <w:spacing w:before="140"/>
      </w:pPr>
      <w:r>
        <w:rPr/>
        <w:t>客户服务电话：96596</w:t>
      </w:r>
    </w:p>
    <w:p>
      <w:pPr>
        <w:pStyle w:val="BodyText"/>
        <w:spacing w:before="139"/>
      </w:pPr>
      <w:hyperlink r:id="rId81">
        <w:r>
          <w:rPr/>
          <w:t>网址：http://www.zjxsbank.com/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烟台银行</w:t>
      </w:r>
    </w:p>
    <w:p>
      <w:pPr>
        <w:pStyle w:val="BodyText"/>
        <w:spacing w:line="364" w:lineRule="auto" w:before="139"/>
        <w:ind w:right="5278"/>
        <w:jc w:val="both"/>
      </w:pPr>
      <w:r>
        <w:rPr>
          <w:spacing w:val="-3"/>
        </w:rPr>
        <w:t>注册地址：山东省烟台市芝罘区海港路 </w:t>
      </w:r>
      <w:r>
        <w:rPr/>
        <w:t>25</w:t>
      </w:r>
      <w:r>
        <w:rPr>
          <w:spacing w:val="-35"/>
        </w:rPr>
        <w:t> 号</w:t>
      </w:r>
      <w:r>
        <w:rPr>
          <w:spacing w:val="-3"/>
        </w:rPr>
        <w:t>办公地址：山东省烟台市芝罘区海港路 </w:t>
      </w:r>
      <w:r>
        <w:rPr/>
        <w:t>25</w:t>
      </w:r>
      <w:r>
        <w:rPr>
          <w:spacing w:val="-35"/>
        </w:rPr>
        <w:t> 号</w:t>
      </w:r>
      <w:r>
        <w:rPr/>
        <w:t>法定代表人：吴明理</w:t>
      </w:r>
    </w:p>
    <w:p>
      <w:pPr>
        <w:pStyle w:val="BodyText"/>
        <w:spacing w:line="268" w:lineRule="exact"/>
      </w:pPr>
      <w:r>
        <w:rPr/>
        <w:t>联系人：张卓智</w:t>
      </w:r>
    </w:p>
    <w:p>
      <w:pPr>
        <w:pStyle w:val="BodyText"/>
        <w:spacing w:before="140"/>
      </w:pPr>
      <w:r>
        <w:rPr/>
        <w:t>联系电话：0535-6699671</w:t>
      </w:r>
    </w:p>
    <w:p>
      <w:pPr>
        <w:pStyle w:val="BodyText"/>
        <w:spacing w:line="364" w:lineRule="auto" w:before="139"/>
        <w:ind w:right="6643"/>
      </w:pPr>
      <w:r>
        <w:rPr/>
        <w:t>客户服务电话：4008-311-777 传真：0535-6699884</w:t>
      </w:r>
    </w:p>
    <w:p>
      <w:pPr>
        <w:pStyle w:val="BodyText"/>
        <w:spacing w:line="268" w:lineRule="exact"/>
      </w:pPr>
      <w:hyperlink r:id="rId82">
        <w:r>
          <w:rPr/>
          <w:t>网址：www.yantaibank.net</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余杭农村商业银行</w:t>
      </w:r>
    </w:p>
    <w:p>
      <w:pPr>
        <w:pStyle w:val="BodyText"/>
        <w:spacing w:line="364" w:lineRule="auto" w:before="140"/>
        <w:ind w:right="5068"/>
        <w:jc w:val="both"/>
      </w:pPr>
      <w:r>
        <w:rPr>
          <w:spacing w:val="-3"/>
        </w:rPr>
        <w:t>注册地址：杭州市余杭区南苑街道南大街 </w:t>
      </w:r>
      <w:r>
        <w:rPr/>
        <w:t>72</w:t>
      </w:r>
      <w:r>
        <w:rPr>
          <w:spacing w:val="-35"/>
        </w:rPr>
        <w:t> 号</w:t>
      </w:r>
      <w:r>
        <w:rPr>
          <w:spacing w:val="-3"/>
        </w:rPr>
        <w:t>办公地址：杭州市余杭区南苑街道南大街 </w:t>
      </w:r>
      <w:r>
        <w:rPr/>
        <w:t>72</w:t>
      </w:r>
      <w:r>
        <w:rPr>
          <w:spacing w:val="-35"/>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6118"/>
      </w:pPr>
      <w:r>
        <w:rPr/>
        <w:t>客户服务电话：96596，4008896596 </w:t>
      </w:r>
      <w:hyperlink r:id="rId83">
        <w:r>
          <w:rPr/>
          <w:t>网址：www.yhrcb.com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4543"/>
      </w:pPr>
      <w:r>
        <w:rPr>
          <w:spacing w:val="-3"/>
        </w:rPr>
        <w:t>办公地址：云南省昆明市盘龙区世博路低碳中心 </w:t>
      </w:r>
      <w:r>
        <w:rPr/>
        <w:t>A</w:t>
      </w:r>
      <w:r>
        <w:rPr>
          <w:spacing w:val="-35"/>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40"/>
        <w:ind w:right="6853"/>
      </w:pPr>
      <w:r>
        <w:rPr>
          <w:spacing w:val="-1"/>
        </w:rPr>
        <w:t>客户服务电话</w:t>
      </w:r>
      <w:r>
        <w:rPr/>
        <w:t>：0877-96522 </w:t>
      </w:r>
      <w:hyperlink r:id="rId84">
        <w:r>
          <w:rPr/>
          <w:t>网址：www.ynhtbank.com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浙江稠州商业银行</w:t>
      </w:r>
    </w:p>
    <w:p>
      <w:pPr>
        <w:pStyle w:val="BodyText"/>
        <w:spacing w:line="364" w:lineRule="auto" w:before="139"/>
        <w:ind w:right="4963"/>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spacing w:after="0" w:line="364" w:lineRule="auto"/>
        <w:sectPr>
          <w:pgSz w:w="11910" w:h="16840"/>
          <w:pgMar w:header="0" w:footer="1166" w:top="1600" w:bottom="1440" w:left="1400" w:right="360"/>
        </w:sectPr>
      </w:pPr>
    </w:p>
    <w:p>
      <w:pPr>
        <w:pStyle w:val="BodyText"/>
        <w:spacing w:before="104"/>
      </w:pPr>
      <w:r>
        <w:rPr/>
        <w:t>联系人：谢圆圆</w:t>
      </w:r>
    </w:p>
    <w:p>
      <w:pPr>
        <w:pStyle w:val="BodyText"/>
        <w:spacing w:before="139"/>
      </w:pPr>
      <w:r>
        <w:rPr/>
        <w:t>联系电话：0571-87117661/13777805250</w:t>
      </w:r>
    </w:p>
    <w:p>
      <w:pPr>
        <w:pStyle w:val="BodyText"/>
        <w:spacing w:line="364" w:lineRule="auto" w:before="140"/>
        <w:ind w:right="6853"/>
      </w:pPr>
      <w:r>
        <w:rPr/>
        <w:t>客户服务电话：0571-96527 传真：0571-87117607</w:t>
      </w:r>
    </w:p>
    <w:p>
      <w:pPr>
        <w:pStyle w:val="BodyText"/>
        <w:spacing w:line="268" w:lineRule="exact"/>
      </w:pPr>
      <w:hyperlink r:id="rId85">
        <w:r>
          <w:rPr/>
          <w:t>网址：http://www.czcb.com.cn/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浙江泰隆商业银行</w:t>
      </w:r>
    </w:p>
    <w:p>
      <w:pPr>
        <w:pStyle w:val="BodyText"/>
        <w:spacing w:line="364" w:lineRule="auto" w:before="140"/>
        <w:ind w:right="4963"/>
        <w:jc w:val="both"/>
      </w:pPr>
      <w:r>
        <w:rPr>
          <w:spacing w:val="-3"/>
        </w:rPr>
        <w:t>注册地址：浙江省台州市路桥区南官大道 </w:t>
      </w:r>
      <w:r>
        <w:rPr/>
        <w:t>188</w:t>
      </w:r>
      <w:r>
        <w:rPr>
          <w:spacing w:val="-35"/>
        </w:rPr>
        <w:t> 号</w:t>
      </w:r>
      <w:r>
        <w:rPr>
          <w:spacing w:val="-3"/>
        </w:rPr>
        <w:t>办公地址：浙江省台州市路桥区南官大道 </w:t>
      </w:r>
      <w:r>
        <w:rPr/>
        <w:t>188</w:t>
      </w:r>
      <w:r>
        <w:rPr>
          <w:spacing w:val="-35"/>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7273"/>
      </w:pPr>
      <w:r>
        <w:rPr/>
        <w:t>客户服务电话：95347 </w:t>
      </w:r>
      <w:hyperlink r:id="rId86">
        <w:r>
          <w:rPr/>
          <w:t>网址：www.zjtlcb.com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中原银行</w:t>
      </w:r>
    </w:p>
    <w:p>
      <w:pPr>
        <w:pStyle w:val="BodyText"/>
        <w:spacing w:line="364" w:lineRule="auto" w:before="139"/>
        <w:ind w:right="2968"/>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87">
        <w:r>
          <w:rPr/>
          <w:t>网址：www.zybank.com.cn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重庆农村商业银行</w:t>
      </w:r>
    </w:p>
    <w:p>
      <w:pPr>
        <w:pStyle w:val="BodyText"/>
        <w:spacing w:line="364" w:lineRule="auto" w:before="139"/>
        <w:ind w:right="5698"/>
        <w:jc w:val="both"/>
      </w:pPr>
      <w:r>
        <w:rPr>
          <w:spacing w:val="-4"/>
        </w:rPr>
        <w:t>注册地址：重庆市江北区金沙门路 </w:t>
      </w:r>
      <w:r>
        <w:rPr/>
        <w:t>36</w:t>
      </w:r>
      <w:r>
        <w:rPr>
          <w:spacing w:val="-35"/>
        </w:rPr>
        <w:t> 号</w:t>
      </w:r>
      <w:r>
        <w:rPr>
          <w:spacing w:val="-4"/>
        </w:rPr>
        <w:t>办公地址：重庆市江北区金沙门路 </w:t>
      </w:r>
      <w:r>
        <w:rPr/>
        <w:t>36</w:t>
      </w:r>
      <w:r>
        <w:rPr>
          <w:spacing w:val="-35"/>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7378"/>
      </w:pPr>
      <w:r>
        <w:rPr/>
        <w:t>客户服务电话</w:t>
      </w:r>
      <w:r>
        <w:rPr>
          <w:spacing w:val="-3"/>
        </w:rPr>
        <w:t>：95389 </w:t>
      </w:r>
      <w:r>
        <w:rPr/>
        <w:t>传真：023-61110146</w:t>
      </w:r>
    </w:p>
    <w:p>
      <w:pPr>
        <w:pStyle w:val="BodyText"/>
        <w:spacing w:line="268" w:lineRule="exact"/>
      </w:pPr>
      <w:hyperlink r:id="rId88">
        <w:r>
          <w:rPr/>
          <w:t>网址：www.cqrcb.com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珠海华润银行</w:t>
      </w:r>
    </w:p>
    <w:p>
      <w:pPr>
        <w:pStyle w:val="BodyText"/>
        <w:spacing w:before="139"/>
      </w:pPr>
      <w:r>
        <w:rPr/>
        <w:t>注册地址：广东省珠海市吉大九洲大道东 1346 号</w:t>
      </w:r>
    </w:p>
    <w:p>
      <w:pPr>
        <w:pStyle w:val="BodyText"/>
        <w:spacing w:before="139"/>
      </w:pPr>
      <w:r>
        <w:rPr/>
        <w:t>办公地址：广东省珠海市吉大九洲大道东 1346 号珠海华润银行大厦</w:t>
      </w:r>
    </w:p>
    <w:p>
      <w:pPr>
        <w:spacing w:after="0"/>
        <w:sectPr>
          <w:pgSz w:w="11910" w:h="16840"/>
          <w:pgMar w:header="0" w:footer="1166" w:top="1600" w:bottom="1440" w:left="1400" w:right="360"/>
        </w:sectPr>
      </w:pPr>
    </w:p>
    <w:p>
      <w:pPr>
        <w:pStyle w:val="BodyText"/>
        <w:spacing w:line="364" w:lineRule="auto" w:before="104"/>
        <w:ind w:right="7483"/>
      </w:pPr>
      <w:r>
        <w:rPr/>
        <w:t>法定代表人：刘晓勇联系人：李阳</w:t>
      </w:r>
    </w:p>
    <w:p>
      <w:pPr>
        <w:pStyle w:val="BodyText"/>
        <w:spacing w:line="268" w:lineRule="exact"/>
      </w:pPr>
      <w:r>
        <w:rPr/>
        <w:t>联系电话：4008800338</w:t>
      </w:r>
    </w:p>
    <w:p>
      <w:pPr>
        <w:pStyle w:val="BodyText"/>
        <w:spacing w:before="139"/>
      </w:pPr>
      <w:r>
        <w:rPr/>
        <w:t>客户服务电话：96588（广东省外请加拨 0756），400-8800-338</w:t>
      </w:r>
    </w:p>
    <w:p>
      <w:pPr>
        <w:pStyle w:val="BodyText"/>
        <w:spacing w:before="140"/>
      </w:pPr>
      <w:hyperlink r:id="rId89">
        <w:r>
          <w:rPr/>
          <w:t>网址：www.crbank.com.cn</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安信证券</w:t>
      </w:r>
    </w:p>
    <w:p>
      <w:pPr>
        <w:pStyle w:val="BodyText"/>
        <w:spacing w:line="364" w:lineRule="auto" w:before="140"/>
        <w:ind w:right="2809"/>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3388"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法定代表人：黄炎勋</w:t>
      </w:r>
    </w:p>
    <w:p>
      <w:pPr>
        <w:pStyle w:val="BodyText"/>
        <w:spacing w:line="268" w:lineRule="exact"/>
      </w:pPr>
      <w:r>
        <w:rPr/>
        <w:t>联系人：陈剑虹</w:t>
      </w:r>
    </w:p>
    <w:p>
      <w:pPr>
        <w:pStyle w:val="BodyText"/>
        <w:spacing w:before="138"/>
      </w:pPr>
      <w:r>
        <w:rPr/>
        <w:t>联系电话：0755-82825551</w:t>
      </w:r>
    </w:p>
    <w:p>
      <w:pPr>
        <w:pStyle w:val="BodyText"/>
        <w:spacing w:line="364" w:lineRule="auto" w:before="140"/>
        <w:ind w:right="7378"/>
      </w:pPr>
      <w:r>
        <w:rPr/>
        <w:t>客户服务电话：95517 传真：0755-82558355</w:t>
      </w:r>
    </w:p>
    <w:p>
      <w:pPr>
        <w:pStyle w:val="BodyText"/>
        <w:spacing w:line="268" w:lineRule="exact"/>
      </w:pPr>
      <w:hyperlink r:id="rId90">
        <w:r>
          <w:rPr/>
          <w:t>网址：www.essence.com.cn</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渤海证券</w:t>
      </w:r>
    </w:p>
    <w:p>
      <w:pPr>
        <w:pStyle w:val="BodyText"/>
        <w:spacing w:line="364" w:lineRule="auto" w:before="140"/>
        <w:ind w:right="3598"/>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7483"/>
      </w:pPr>
      <w:r>
        <w:rPr/>
        <w:t>法定代表人：安志勇联系人：王星</w:t>
      </w:r>
    </w:p>
    <w:p>
      <w:pPr>
        <w:pStyle w:val="BodyText"/>
        <w:spacing w:line="268" w:lineRule="exact"/>
      </w:pPr>
      <w:r>
        <w:rPr/>
        <w:t>联系电话：022-28451922</w:t>
      </w:r>
    </w:p>
    <w:p>
      <w:pPr>
        <w:pStyle w:val="BodyText"/>
        <w:spacing w:line="364" w:lineRule="auto" w:before="138"/>
        <w:ind w:right="6643"/>
      </w:pPr>
      <w:r>
        <w:rPr/>
        <w:t>客户服务电话：400-651-5988 传真：022-28451892</w:t>
      </w:r>
    </w:p>
    <w:p>
      <w:pPr>
        <w:pStyle w:val="BodyText"/>
        <w:spacing w:line="268" w:lineRule="exact"/>
      </w:pPr>
      <w:hyperlink r:id="rId91">
        <w:r>
          <w:rPr/>
          <w:t>网址：www.ewww.com.cn</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财达证券</w:t>
      </w:r>
    </w:p>
    <w:p>
      <w:pPr>
        <w:pStyle w:val="BodyText"/>
        <w:spacing w:before="140"/>
      </w:pPr>
      <w:r>
        <w:rPr/>
        <w:t>注册地址：河北省石家庄市桥西区自强路 35 号</w:t>
      </w:r>
    </w:p>
    <w:p>
      <w:pPr>
        <w:pStyle w:val="BodyText"/>
        <w:spacing w:line="364" w:lineRule="auto" w:before="139"/>
        <w:ind w:right="2968"/>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3598"/>
      </w:pPr>
      <w:r>
        <w:rPr/>
        <w:t>客户服务电话：95363（河北省内）；0311-95363（河北省外</w:t>
      </w:r>
      <w:r>
        <w:rPr>
          <w:spacing w:val="-18"/>
        </w:rPr>
        <w:t>） </w:t>
      </w:r>
      <w:r>
        <w:rPr/>
        <w:t>传真：0311-66006414</w:t>
      </w:r>
    </w:p>
    <w:p>
      <w:pPr>
        <w:pStyle w:val="BodyText"/>
        <w:spacing w:line="268" w:lineRule="exact"/>
      </w:pPr>
      <w:hyperlink r:id="rId92">
        <w:r>
          <w:rPr/>
          <w:t>网址：www.s10000.com</w:t>
        </w:r>
      </w:hyperlink>
    </w:p>
    <w:p>
      <w:pPr>
        <w:spacing w:after="0" w:line="268" w:lineRule="exact"/>
        <w:sectPr>
          <w:pgSz w:w="11910" w:h="16840"/>
          <w:pgMar w:header="0" w:footer="1166" w:top="1600" w:bottom="1440" w:left="1400" w:right="360"/>
        </w:sectPr>
      </w:pPr>
    </w:p>
    <w:p>
      <w:pPr>
        <w:pStyle w:val="ListParagraph"/>
        <w:numPr>
          <w:ilvl w:val="0"/>
          <w:numId w:val="9"/>
        </w:numPr>
        <w:tabs>
          <w:tab w:pos="1193" w:val="left" w:leader="none"/>
        </w:tabs>
        <w:spacing w:line="240" w:lineRule="auto" w:before="104" w:after="0"/>
        <w:ind w:left="1193" w:right="0" w:hanging="421"/>
        <w:jc w:val="both"/>
        <w:rPr>
          <w:sz w:val="21"/>
        </w:rPr>
      </w:pPr>
      <w:r>
        <w:rPr>
          <w:sz w:val="21"/>
        </w:rPr>
        <w:t>财通证券</w:t>
      </w:r>
    </w:p>
    <w:p>
      <w:pPr>
        <w:pStyle w:val="BodyText"/>
        <w:spacing w:line="364" w:lineRule="auto" w:before="139"/>
        <w:ind w:right="5593"/>
        <w:jc w:val="both"/>
      </w:pPr>
      <w:r>
        <w:rPr>
          <w:spacing w:val="-4"/>
        </w:rPr>
        <w:t>注册地址：杭州市西湖区天目山路 </w:t>
      </w:r>
      <w:r>
        <w:rPr/>
        <w:t>198</w:t>
      </w:r>
      <w:r>
        <w:rPr>
          <w:spacing w:val="-35"/>
        </w:rPr>
        <w:t> 号</w:t>
      </w:r>
      <w:r>
        <w:rPr>
          <w:spacing w:val="-4"/>
        </w:rPr>
        <w:t>办公地址：杭州市西湖区天目山路 </w:t>
      </w:r>
      <w:r>
        <w:rPr/>
        <w:t>198</w:t>
      </w:r>
      <w:r>
        <w:rPr>
          <w:spacing w:val="-35"/>
        </w:rPr>
        <w:t> 号</w:t>
      </w:r>
      <w:r>
        <w:rPr/>
        <w:t>法定代表人：陆建强</w:t>
      </w:r>
    </w:p>
    <w:p>
      <w:pPr>
        <w:pStyle w:val="BodyText"/>
        <w:spacing w:line="268" w:lineRule="exact"/>
      </w:pPr>
      <w:r>
        <w:rPr/>
        <w:t>联系人：陶志华</w:t>
      </w:r>
    </w:p>
    <w:p>
      <w:pPr>
        <w:pStyle w:val="BodyText"/>
        <w:spacing w:line="364" w:lineRule="auto" w:before="140"/>
        <w:ind w:right="6853"/>
      </w:pPr>
      <w:r>
        <w:rPr>
          <w:spacing w:val="-1"/>
        </w:rPr>
        <w:t>联系电话</w:t>
      </w:r>
      <w:r>
        <w:rPr/>
        <w:t>：0571－87789160 客户服务电话：95336</w:t>
      </w:r>
    </w:p>
    <w:p>
      <w:pPr>
        <w:pStyle w:val="BodyText"/>
        <w:spacing w:line="268" w:lineRule="exact"/>
      </w:pPr>
      <w:hyperlink r:id="rId93">
        <w:r>
          <w:rPr/>
          <w:t>网址：www.ctsec.com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财信证券</w:t>
      </w:r>
    </w:p>
    <w:p>
      <w:pPr>
        <w:pStyle w:val="BodyText"/>
        <w:spacing w:before="140"/>
      </w:pPr>
      <w:r>
        <w:rPr/>
        <w:t>注册地址：长沙市芙蓉中路二段 80 号顺天国际财富中心 26 层</w:t>
      </w:r>
    </w:p>
    <w:p>
      <w:pPr>
        <w:pStyle w:val="BodyText"/>
        <w:spacing w:line="364" w:lineRule="auto" w:before="139"/>
        <w:ind w:right="3388"/>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7378"/>
      </w:pPr>
      <w:r>
        <w:rPr/>
        <w:t>客户服务电话</w:t>
      </w:r>
      <w:r>
        <w:rPr>
          <w:spacing w:val="-3"/>
        </w:rPr>
        <w:t>：95317 </w:t>
      </w:r>
      <w:r>
        <w:rPr>
          <w:spacing w:val="-2"/>
        </w:rPr>
        <w:t>传真</w:t>
      </w:r>
      <w:r>
        <w:rPr>
          <w:spacing w:val="-1"/>
        </w:rPr>
        <w:t>：0731-84403439</w:t>
      </w:r>
    </w:p>
    <w:p>
      <w:pPr>
        <w:pStyle w:val="BodyText"/>
        <w:spacing w:line="268" w:lineRule="exact"/>
      </w:pPr>
      <w:hyperlink r:id="rId94">
        <w:r>
          <w:rPr/>
          <w:t>网址：www.cfzq.com</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长城国瑞证券</w:t>
      </w:r>
    </w:p>
    <w:p>
      <w:pPr>
        <w:pStyle w:val="BodyText"/>
        <w:spacing w:before="140"/>
      </w:pPr>
      <w:r>
        <w:rPr/>
        <w:t>注册地址：厦门市思明区莲前西路 2 号莲富大厦 17 楼</w:t>
      </w:r>
    </w:p>
    <w:p>
      <w:pPr>
        <w:pStyle w:val="BodyText"/>
        <w:spacing w:line="364" w:lineRule="auto" w:before="139"/>
        <w:ind w:right="4123"/>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6643"/>
      </w:pPr>
      <w:r>
        <w:rPr/>
        <w:t>客户服务电话</w:t>
      </w:r>
      <w:r>
        <w:rPr>
          <w:spacing w:val="-2"/>
        </w:rPr>
        <w:t>：400-0099-886 </w:t>
      </w:r>
      <w:r>
        <w:rPr/>
        <w:t>传真：0592-2079602</w:t>
      </w:r>
    </w:p>
    <w:p>
      <w:pPr>
        <w:pStyle w:val="BodyText"/>
        <w:spacing w:line="268" w:lineRule="exact"/>
      </w:pPr>
      <w:hyperlink r:id="rId95">
        <w:r>
          <w:rPr/>
          <w:t>网址：www.gwgsc.com</w:t>
        </w:r>
      </w:hyperlink>
    </w:p>
    <w:p>
      <w:pPr>
        <w:pStyle w:val="ListParagraph"/>
        <w:numPr>
          <w:ilvl w:val="0"/>
          <w:numId w:val="9"/>
        </w:numPr>
        <w:tabs>
          <w:tab w:pos="1193" w:val="left" w:leader="none"/>
        </w:tabs>
        <w:spacing w:line="240" w:lineRule="auto" w:before="140" w:after="0"/>
        <w:ind w:left="1193" w:right="0" w:hanging="421"/>
        <w:jc w:val="left"/>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40"/>
        <w:ind w:right="1708"/>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before="139"/>
      </w:pPr>
      <w:r>
        <w:rPr/>
        <w:t>客户服务电话：400-6666-888 或 95514</w:t>
      </w:r>
    </w:p>
    <w:p>
      <w:pPr>
        <w:spacing w:after="0"/>
        <w:sectPr>
          <w:pgSz w:w="11910" w:h="16840"/>
          <w:pgMar w:header="0" w:footer="1166" w:top="1600" w:bottom="1440" w:left="1400" w:right="360"/>
        </w:sectPr>
      </w:pPr>
    </w:p>
    <w:p>
      <w:pPr>
        <w:pStyle w:val="BodyText"/>
        <w:spacing w:before="104"/>
      </w:pPr>
      <w:r>
        <w:rPr/>
        <w:t>传真：0755--83515567</w:t>
      </w:r>
    </w:p>
    <w:p>
      <w:pPr>
        <w:pStyle w:val="BodyText"/>
        <w:spacing w:before="139"/>
      </w:pPr>
      <w:hyperlink r:id="rId96">
        <w:r>
          <w:rPr/>
          <w:t>网址：www.cgws.com</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长江证券</w:t>
      </w:r>
    </w:p>
    <w:p>
      <w:pPr>
        <w:pStyle w:val="BodyText"/>
        <w:spacing w:line="364" w:lineRule="auto" w:before="139"/>
        <w:ind w:right="5803"/>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97">
        <w:r>
          <w:rPr/>
          <w:t>网址：www.95579.com</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pPr>
      <w:r>
        <w:rPr/>
        <w:t>座 17 楼</w:t>
      </w:r>
    </w:p>
    <w:p>
      <w:pPr>
        <w:pStyle w:val="BodyText"/>
        <w:spacing w:line="364" w:lineRule="auto" w:before="140"/>
        <w:ind w:right="2968"/>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6853"/>
      </w:pPr>
      <w:r>
        <w:rPr/>
        <w:t>客户服务电话：028-962708 </w:t>
      </w:r>
      <w:hyperlink r:id="rId98">
        <w:r>
          <w:rPr/>
          <w:t>网址：www.cczq.com</w:t>
        </w:r>
      </w:hyperlink>
    </w:p>
    <w:p>
      <w:pPr>
        <w:pStyle w:val="ListParagraph"/>
        <w:numPr>
          <w:ilvl w:val="0"/>
          <w:numId w:val="9"/>
        </w:numPr>
        <w:tabs>
          <w:tab w:pos="1193" w:val="left" w:leader="none"/>
        </w:tabs>
        <w:spacing w:line="268" w:lineRule="exact" w:before="0" w:after="0"/>
        <w:ind w:left="1193" w:right="0" w:hanging="421"/>
        <w:jc w:val="left"/>
        <w:rPr>
          <w:sz w:val="21"/>
        </w:rPr>
      </w:pPr>
      <w:r>
        <w:rPr>
          <w:sz w:val="21"/>
        </w:rPr>
        <w:t>大通证券</w:t>
      </w:r>
    </w:p>
    <w:p>
      <w:pPr>
        <w:pStyle w:val="BodyText"/>
        <w:spacing w:before="139"/>
      </w:pPr>
      <w:r>
        <w:rPr/>
        <w:t>注册地址：辽宁省大连市沙河口区会展路129 号大连国际金融中心A 座-大连期货大厦38、</w:t>
      </w:r>
    </w:p>
    <w:p>
      <w:pPr>
        <w:pStyle w:val="BodyText"/>
        <w:spacing w:before="140"/>
      </w:pPr>
      <w:r>
        <w:rPr/>
        <w:t>39 层</w:t>
      </w:r>
    </w:p>
    <w:p>
      <w:pPr>
        <w:pStyle w:val="BodyText"/>
        <w:spacing w:before="139"/>
      </w:pPr>
      <w:r>
        <w:rPr/>
        <w:t>办公地址：辽宁省大连市沙河口区会展路129 号大连国际金融中心A 座-大连期货大厦38、</w:t>
      </w:r>
    </w:p>
    <w:p>
      <w:pPr>
        <w:pStyle w:val="BodyText"/>
        <w:spacing w:before="139"/>
      </w:pPr>
      <w:r>
        <w:rPr/>
        <w:t>39 层</w:t>
      </w:r>
    </w:p>
    <w:p>
      <w:pPr>
        <w:pStyle w:val="BodyText"/>
        <w:spacing w:line="364" w:lineRule="auto" w:before="140"/>
        <w:ind w:right="7693"/>
      </w:pPr>
      <w:r>
        <w:rPr/>
        <w:t>法定代表人：赵玺联系人：谢立军</w:t>
      </w:r>
    </w:p>
    <w:p>
      <w:pPr>
        <w:pStyle w:val="BodyText"/>
        <w:spacing w:line="268" w:lineRule="exact"/>
      </w:pPr>
      <w:r>
        <w:rPr/>
        <w:t>联系电话：0411-39991807</w:t>
      </w:r>
    </w:p>
    <w:p>
      <w:pPr>
        <w:pStyle w:val="BodyText"/>
        <w:spacing w:line="364" w:lineRule="auto" w:before="139"/>
        <w:ind w:right="6643"/>
      </w:pPr>
      <w:r>
        <w:rPr/>
        <w:t>客户服务电话：4008-169-169 传真：0411-39673214</w:t>
      </w:r>
    </w:p>
    <w:p>
      <w:pPr>
        <w:pStyle w:val="BodyText"/>
        <w:spacing w:line="268" w:lineRule="exact"/>
      </w:pPr>
      <w:hyperlink r:id="rId99">
        <w:r>
          <w:rPr/>
          <w:t>网址：www.daton.com.cn</w:t>
        </w:r>
      </w:hyperlink>
    </w:p>
    <w:p>
      <w:pPr>
        <w:pStyle w:val="ListParagraph"/>
        <w:numPr>
          <w:ilvl w:val="0"/>
          <w:numId w:val="9"/>
        </w:numPr>
        <w:tabs>
          <w:tab w:pos="1193" w:val="left" w:leader="none"/>
        </w:tabs>
        <w:spacing w:line="240" w:lineRule="auto" w:before="140" w:after="0"/>
        <w:ind w:left="1193" w:right="0" w:hanging="421"/>
        <w:jc w:val="both"/>
        <w:rPr>
          <w:sz w:val="21"/>
        </w:rPr>
      </w:pPr>
      <w:r>
        <w:rPr>
          <w:sz w:val="21"/>
        </w:rPr>
        <w:t>大同证券</w:t>
      </w:r>
    </w:p>
    <w:p>
      <w:pPr>
        <w:pStyle w:val="BodyText"/>
        <w:spacing w:before="139"/>
      </w:pPr>
      <w:r>
        <w:rPr/>
        <w:t>注册地址：山西省大同市城区迎宾街 15 号桐城中央 21 层</w:t>
      </w:r>
    </w:p>
    <w:p>
      <w:pPr>
        <w:spacing w:after="0"/>
        <w:sectPr>
          <w:pgSz w:w="11910" w:h="16840"/>
          <w:pgMar w:header="0" w:footer="1166" w:top="1600" w:bottom="1440" w:left="1400" w:right="360"/>
        </w:sectPr>
      </w:pPr>
    </w:p>
    <w:p>
      <w:pPr>
        <w:pStyle w:val="BodyText"/>
        <w:spacing w:before="104"/>
      </w:pPr>
      <w:r>
        <w:rPr/>
        <w:t>办公地址：山西省太原市小店区长治路 111 号山西世贸中心 A 座 F12、F13</w:t>
      </w:r>
    </w:p>
    <w:p>
      <w:pPr>
        <w:pStyle w:val="BodyText"/>
        <w:spacing w:line="364" w:lineRule="auto" w:before="139"/>
        <w:ind w:right="7693"/>
      </w:pPr>
      <w:r>
        <w:rPr/>
        <w:t>法定代表人：董祥联系人：薛津</w:t>
      </w:r>
    </w:p>
    <w:p>
      <w:pPr>
        <w:pStyle w:val="BodyText"/>
        <w:spacing w:line="268" w:lineRule="exact"/>
      </w:pPr>
      <w:r>
        <w:rPr/>
        <w:t>联系电话：0351-4130322</w:t>
      </w:r>
    </w:p>
    <w:p>
      <w:pPr>
        <w:pStyle w:val="BodyText"/>
        <w:spacing w:line="364" w:lineRule="auto" w:before="140"/>
        <w:ind w:right="6853"/>
      </w:pPr>
      <w:r>
        <w:rPr/>
        <w:t>客户服务电话：4007121212 传真：0351-7219891</w:t>
      </w:r>
    </w:p>
    <w:p>
      <w:pPr>
        <w:pStyle w:val="BodyText"/>
        <w:spacing w:line="268" w:lineRule="exact"/>
      </w:pPr>
      <w:hyperlink r:id="rId100">
        <w:r>
          <w:rPr/>
          <w:t>网址：www.dtsbc.com.cn</w:t>
        </w:r>
      </w:hyperlink>
    </w:p>
    <w:p>
      <w:pPr>
        <w:pStyle w:val="ListParagraph"/>
        <w:numPr>
          <w:ilvl w:val="0"/>
          <w:numId w:val="9"/>
        </w:numPr>
        <w:tabs>
          <w:tab w:pos="1193" w:val="left" w:leader="none"/>
        </w:tabs>
        <w:spacing w:line="240" w:lineRule="auto" w:before="139" w:after="0"/>
        <w:ind w:left="1193" w:right="0" w:hanging="421"/>
        <w:jc w:val="left"/>
        <w:rPr>
          <w:sz w:val="21"/>
        </w:rPr>
      </w:pPr>
      <w:r>
        <w:rPr>
          <w:sz w:val="21"/>
        </w:rPr>
        <w:t>德邦证券</w:t>
      </w:r>
    </w:p>
    <w:p>
      <w:pPr>
        <w:pStyle w:val="BodyText"/>
        <w:spacing w:line="364" w:lineRule="auto" w:before="140"/>
        <w:ind w:right="4648"/>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6643"/>
      </w:pPr>
      <w:r>
        <w:rPr/>
        <w:t>客户服务电话：400-8888-128 传真：021-68767880</w:t>
      </w:r>
    </w:p>
    <w:p>
      <w:pPr>
        <w:pStyle w:val="BodyText"/>
        <w:spacing w:line="268" w:lineRule="exact"/>
      </w:pPr>
      <w:hyperlink r:id="rId101">
        <w:r>
          <w:rPr/>
          <w:t>网址：http://www.tebon.com.cn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第一创业证券</w:t>
      </w:r>
    </w:p>
    <w:p>
      <w:pPr>
        <w:pStyle w:val="BodyText"/>
        <w:spacing w:line="364" w:lineRule="auto" w:before="139"/>
        <w:ind w:right="4228"/>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102">
        <w:r>
          <w:rPr/>
          <w:t>网址：www.firstcapital.com.cn</w:t>
        </w:r>
      </w:hyperlink>
    </w:p>
    <w:p>
      <w:pPr>
        <w:pStyle w:val="ListParagraph"/>
        <w:numPr>
          <w:ilvl w:val="0"/>
          <w:numId w:val="9"/>
        </w:numPr>
        <w:tabs>
          <w:tab w:pos="1193" w:val="left" w:leader="none"/>
        </w:tabs>
        <w:spacing w:line="240" w:lineRule="auto" w:before="139" w:after="0"/>
        <w:ind w:left="1193" w:right="0" w:hanging="421"/>
        <w:jc w:val="both"/>
        <w:rPr>
          <w:sz w:val="21"/>
        </w:rPr>
      </w:pPr>
      <w:r>
        <w:rPr>
          <w:sz w:val="21"/>
        </w:rPr>
        <w:t>东北证券</w:t>
      </w:r>
    </w:p>
    <w:p>
      <w:pPr>
        <w:pStyle w:val="BodyText"/>
        <w:spacing w:line="364" w:lineRule="auto" w:before="140"/>
        <w:ind w:right="6118"/>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7378"/>
      </w:pPr>
      <w:r>
        <w:rPr/>
        <w:t>客户服务电话：95360 传真：0431-85096795</w:t>
      </w:r>
    </w:p>
    <w:p>
      <w:pPr>
        <w:pStyle w:val="BodyText"/>
        <w:spacing w:line="268" w:lineRule="exact"/>
      </w:pPr>
      <w:hyperlink r:id="rId103">
        <w:r>
          <w:rPr/>
          <w:t>网址：www.nesc.cn</w:t>
        </w:r>
      </w:hyperlink>
    </w:p>
    <w:p>
      <w:pPr>
        <w:spacing w:after="0" w:line="268" w:lineRule="exact"/>
        <w:sectPr>
          <w:pgSz w:w="11910" w:h="16840"/>
          <w:pgMar w:header="0" w:footer="1166" w:top="1600" w:bottom="1440" w:left="1400" w:right="360"/>
        </w:sectPr>
      </w:pPr>
    </w:p>
    <w:p>
      <w:pPr>
        <w:pStyle w:val="ListParagraph"/>
        <w:numPr>
          <w:ilvl w:val="0"/>
          <w:numId w:val="9"/>
        </w:numPr>
        <w:tabs>
          <w:tab w:pos="1193" w:val="left" w:leader="none"/>
        </w:tabs>
        <w:spacing w:line="240" w:lineRule="auto" w:before="104" w:after="0"/>
        <w:ind w:left="1193" w:right="0" w:hanging="421"/>
        <w:jc w:val="both"/>
        <w:rPr>
          <w:sz w:val="21"/>
        </w:rPr>
      </w:pPr>
      <w:r>
        <w:rPr>
          <w:sz w:val="21"/>
        </w:rPr>
        <w:t>东方证券</w:t>
      </w:r>
    </w:p>
    <w:p>
      <w:pPr>
        <w:pStyle w:val="BodyText"/>
        <w:spacing w:line="364" w:lineRule="auto" w:before="139"/>
        <w:ind w:right="3124"/>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40"/>
      </w:pPr>
      <w:r>
        <w:rPr/>
        <w:t>联系电话：021-63325888</w:t>
      </w:r>
    </w:p>
    <w:p>
      <w:pPr>
        <w:pStyle w:val="BodyText"/>
        <w:spacing w:line="364" w:lineRule="auto" w:before="139"/>
        <w:ind w:right="7378"/>
      </w:pPr>
      <w:r>
        <w:rPr/>
        <w:t>客户服务电话：95503 传真：021-63326729</w:t>
      </w:r>
    </w:p>
    <w:p>
      <w:pPr>
        <w:pStyle w:val="BodyText"/>
        <w:spacing w:line="268" w:lineRule="exact"/>
      </w:pPr>
      <w:hyperlink r:id="rId104">
        <w:r>
          <w:rPr/>
          <w:t>网址：http://www.dfzq.com.cn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东莞证券</w:t>
      </w:r>
    </w:p>
    <w:p>
      <w:pPr>
        <w:pStyle w:val="BodyText"/>
        <w:spacing w:before="139"/>
      </w:pPr>
      <w:r>
        <w:rPr/>
        <w:t>注册地址：东莞市莞城区可园南路一号</w:t>
      </w:r>
    </w:p>
    <w:p>
      <w:pPr>
        <w:pStyle w:val="BodyText"/>
        <w:spacing w:line="364" w:lineRule="auto" w:before="140"/>
        <w:ind w:right="4438"/>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39"/>
        <w:ind w:right="7378"/>
      </w:pPr>
      <w:r>
        <w:rPr/>
        <w:t>客户服务电话：95328 传真：0769-22115712</w:t>
      </w:r>
    </w:p>
    <w:p>
      <w:pPr>
        <w:pStyle w:val="BodyText"/>
        <w:spacing w:line="268" w:lineRule="exact"/>
      </w:pPr>
      <w:hyperlink r:id="rId105">
        <w:r>
          <w:rPr/>
          <w:t>网址：www.dgzq.com.cn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东海证券</w:t>
      </w:r>
    </w:p>
    <w:p>
      <w:pPr>
        <w:pStyle w:val="BodyText"/>
        <w:spacing w:line="364" w:lineRule="auto" w:before="139"/>
        <w:ind w:right="4228"/>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908"/>
      </w:pPr>
      <w:r>
        <w:rPr/>
        <w:t>客户服务电话：95531、400-8888-588 传真：021-50498825</w:t>
      </w:r>
    </w:p>
    <w:p>
      <w:pPr>
        <w:pStyle w:val="BodyText"/>
        <w:spacing w:line="268" w:lineRule="exact"/>
      </w:pPr>
      <w:hyperlink r:id="rId106">
        <w:r>
          <w:rPr/>
          <w:t>网址：www.longone.com.cn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东吴证券</w:t>
      </w:r>
    </w:p>
    <w:p>
      <w:pPr>
        <w:pStyle w:val="BodyText"/>
        <w:spacing w:line="364" w:lineRule="auto" w:before="139"/>
        <w:ind w:right="6013"/>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40"/>
      </w:pPr>
      <w:r>
        <w:rPr/>
        <w:t>联系电话：0512-62938521</w:t>
      </w:r>
    </w:p>
    <w:p>
      <w:pPr>
        <w:spacing w:after="0"/>
        <w:sectPr>
          <w:pgSz w:w="11910" w:h="16840"/>
          <w:pgMar w:header="0" w:footer="1166" w:top="1600" w:bottom="1440" w:left="1400" w:right="360"/>
        </w:sectPr>
      </w:pPr>
    </w:p>
    <w:p>
      <w:pPr>
        <w:pStyle w:val="BodyText"/>
        <w:spacing w:line="364" w:lineRule="auto" w:before="104"/>
        <w:ind w:right="7378"/>
      </w:pPr>
      <w:r>
        <w:rPr/>
        <w:t>客户服务电话：95330 传真：0512-65588021</w:t>
      </w:r>
    </w:p>
    <w:p>
      <w:pPr>
        <w:pStyle w:val="BodyText"/>
        <w:spacing w:line="268" w:lineRule="exact"/>
      </w:pPr>
      <w:hyperlink r:id="rId107">
        <w:r>
          <w:rPr/>
          <w:t>网址：www.dwzq.com.cn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2653"/>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7378"/>
      </w:pPr>
      <w:r>
        <w:rPr/>
        <w:t>客户服务电话</w:t>
      </w:r>
      <w:r>
        <w:rPr>
          <w:spacing w:val="-3"/>
        </w:rPr>
        <w:t>：95309 </w:t>
      </w:r>
      <w:r>
        <w:rPr/>
        <w:t>传真：010-66555133</w:t>
      </w:r>
    </w:p>
    <w:p>
      <w:pPr>
        <w:pStyle w:val="BodyText"/>
        <w:spacing w:line="268" w:lineRule="exact"/>
      </w:pPr>
      <w:hyperlink r:id="rId108">
        <w:r>
          <w:rPr/>
          <w:t>网址：www.dxzq.net</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方正证券</w:t>
      </w:r>
    </w:p>
    <w:p>
      <w:pPr>
        <w:pStyle w:val="BodyText"/>
        <w:spacing w:before="139"/>
      </w:pPr>
      <w:r>
        <w:rPr/>
        <w:t>注册地址：湖南省长沙市天心区湘江中路二段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7693"/>
      </w:pPr>
      <w:r>
        <w:rPr/>
        <w:t>法定代表人：施华联系人：周静</w:t>
      </w:r>
    </w:p>
    <w:p>
      <w:pPr>
        <w:pStyle w:val="BodyText"/>
        <w:spacing w:line="268" w:lineRule="exact"/>
      </w:pPr>
      <w:r>
        <w:rPr/>
        <w:t>联系电话：010-59355412</w:t>
      </w:r>
    </w:p>
    <w:p>
      <w:pPr>
        <w:pStyle w:val="BodyText"/>
        <w:spacing w:line="364" w:lineRule="auto" w:before="139"/>
        <w:ind w:right="7378"/>
      </w:pPr>
      <w:r>
        <w:rPr/>
        <w:t>客户服务电话：95571 传真：010-56437030</w:t>
      </w:r>
    </w:p>
    <w:p>
      <w:pPr>
        <w:pStyle w:val="BodyText"/>
        <w:spacing w:line="268" w:lineRule="exact"/>
      </w:pPr>
      <w:hyperlink r:id="rId109">
        <w:r>
          <w:rPr/>
          <w:t>网址：www.foundersc.com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光大证券</w:t>
      </w:r>
    </w:p>
    <w:p>
      <w:pPr>
        <w:pStyle w:val="BodyText"/>
        <w:spacing w:line="364" w:lineRule="auto" w:before="139"/>
        <w:ind w:right="5698"/>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法定代表人：刘秋明</w:t>
      </w:r>
    </w:p>
    <w:p>
      <w:pPr>
        <w:pStyle w:val="BodyText"/>
        <w:spacing w:line="268" w:lineRule="exact"/>
      </w:pPr>
      <w:r>
        <w:rPr/>
        <w:t>联系人：郁疆</w:t>
      </w:r>
    </w:p>
    <w:p>
      <w:pPr>
        <w:pStyle w:val="BodyText"/>
        <w:spacing w:before="140"/>
      </w:pPr>
      <w:r>
        <w:rPr/>
        <w:t>联系电话：021-22169999</w:t>
      </w:r>
    </w:p>
    <w:p>
      <w:pPr>
        <w:pStyle w:val="BodyText"/>
        <w:spacing w:line="364" w:lineRule="auto" w:before="139"/>
        <w:ind w:right="7378"/>
      </w:pPr>
      <w:r>
        <w:rPr/>
        <w:t>客户服务电话：95525 </w:t>
      </w:r>
      <w:hyperlink r:id="rId110">
        <w:r>
          <w:rPr/>
          <w:t>网址：www.ebscn.com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广发证券</w:t>
      </w:r>
    </w:p>
    <w:p>
      <w:pPr>
        <w:pStyle w:val="BodyText"/>
        <w:spacing w:line="364" w:lineRule="auto" w:before="140"/>
        <w:ind w:right="3073"/>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268" w:lineRule="exact"/>
      </w:pPr>
      <w:r>
        <w:rPr/>
        <w:t>法定代表人：孙树明</w:t>
      </w:r>
    </w:p>
    <w:p>
      <w:pPr>
        <w:spacing w:after="0" w:line="268" w:lineRule="exact"/>
        <w:sectPr>
          <w:pgSz w:w="11910" w:h="16840"/>
          <w:pgMar w:header="0" w:footer="1166" w:top="1600" w:bottom="1440" w:left="1400" w:right="360"/>
        </w:sectPr>
      </w:pPr>
    </w:p>
    <w:p>
      <w:pPr>
        <w:pStyle w:val="BodyText"/>
        <w:spacing w:before="104"/>
      </w:pPr>
      <w:r>
        <w:rPr/>
        <w:t>联系人：黄岚</w:t>
      </w:r>
    </w:p>
    <w:p>
      <w:pPr>
        <w:pStyle w:val="BodyText"/>
        <w:spacing w:before="139"/>
      </w:pPr>
      <w:r>
        <w:rPr/>
        <w:t>客户服务电话：95575 或 02095575</w:t>
      </w:r>
    </w:p>
    <w:p>
      <w:pPr>
        <w:pStyle w:val="BodyText"/>
        <w:spacing w:before="140"/>
      </w:pPr>
      <w:hyperlink r:id="rId111">
        <w:r>
          <w:rPr/>
          <w:t>网址：www.gf.com.cn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国都证券</w:t>
      </w:r>
    </w:p>
    <w:p>
      <w:pPr>
        <w:pStyle w:val="BodyText"/>
        <w:spacing w:line="364" w:lineRule="auto" w:before="140"/>
        <w:ind w:right="3178"/>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法定代表人：翁振杰</w:t>
      </w:r>
    </w:p>
    <w:p>
      <w:pPr>
        <w:pStyle w:val="BodyText"/>
        <w:spacing w:line="268" w:lineRule="exact"/>
      </w:pPr>
      <w:r>
        <w:rPr/>
        <w:t>联系人：黄静</w:t>
      </w:r>
    </w:p>
    <w:p>
      <w:pPr>
        <w:pStyle w:val="BodyText"/>
        <w:spacing w:before="139"/>
      </w:pPr>
      <w:r>
        <w:rPr/>
        <w:t>联系电话：010-84183333</w:t>
      </w:r>
    </w:p>
    <w:p>
      <w:pPr>
        <w:pStyle w:val="BodyText"/>
        <w:spacing w:line="364" w:lineRule="auto" w:before="140"/>
        <w:ind w:right="6643"/>
      </w:pPr>
      <w:r>
        <w:rPr/>
        <w:t>客户服务电话</w:t>
      </w:r>
      <w:r>
        <w:rPr>
          <w:spacing w:val="-2"/>
        </w:rPr>
        <w:t>：400-818-8118 </w:t>
      </w:r>
      <w:r>
        <w:rPr/>
        <w:t>传真：010-84183311-3122</w:t>
      </w:r>
    </w:p>
    <w:p>
      <w:pPr>
        <w:pStyle w:val="BodyText"/>
        <w:spacing w:line="268" w:lineRule="exact"/>
      </w:pPr>
      <w:hyperlink r:id="rId112">
        <w:r>
          <w:rPr/>
          <w:t>网址：www.guodu.com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国海证券</w:t>
      </w:r>
    </w:p>
    <w:p>
      <w:pPr>
        <w:pStyle w:val="BodyText"/>
        <w:spacing w:before="139"/>
      </w:pPr>
      <w:r>
        <w:rPr/>
        <w:t>注册地址：广西桂林市辅星路 13 号</w:t>
      </w:r>
    </w:p>
    <w:p>
      <w:pPr>
        <w:pStyle w:val="BodyText"/>
        <w:spacing w:line="364" w:lineRule="auto" w:before="140"/>
        <w:ind w:right="4333"/>
      </w:pPr>
      <w:r>
        <w:rPr>
          <w:spacing w:val="-3"/>
        </w:rPr>
        <w:t>办公地址：深圳市福田区竹子林四路光大银行大厦 </w:t>
      </w:r>
      <w:r>
        <w:rPr/>
        <w:t>3</w:t>
      </w:r>
      <w:r>
        <w:rPr>
          <w:spacing w:val="-35"/>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40"/>
      </w:pPr>
      <w:r>
        <w:rPr/>
        <w:t>客户服务电话：95563 或 0771-95563</w:t>
      </w:r>
    </w:p>
    <w:p>
      <w:pPr>
        <w:pStyle w:val="BodyText"/>
        <w:spacing w:before="139"/>
      </w:pPr>
      <w:hyperlink r:id="rId113">
        <w:r>
          <w:rPr/>
          <w:t>网址：www.ghzq.com.cn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4648"/>
      </w:pPr>
      <w:r>
        <w:rPr>
          <w:spacing w:val="-4"/>
        </w:rPr>
        <w:t>办公地址：成都市青羊区东城根上街 </w:t>
      </w:r>
      <w:r>
        <w:rPr/>
        <w:t>95</w:t>
      </w:r>
      <w:r>
        <w:rPr>
          <w:spacing w:val="-13"/>
        </w:rPr>
        <w:t> 号成证大厦</w:t>
      </w:r>
      <w:r>
        <w:rPr/>
        <w:t>法定代表人：冉云</w:t>
      </w:r>
    </w:p>
    <w:p>
      <w:pPr>
        <w:pStyle w:val="BodyText"/>
        <w:spacing w:line="364" w:lineRule="auto"/>
        <w:ind w:right="7063"/>
      </w:pPr>
      <w:r>
        <w:rPr/>
        <w:t>联系人：杜晶、黎建平 联系电话</w:t>
      </w:r>
      <w:r>
        <w:rPr>
          <w:spacing w:val="-2"/>
        </w:rPr>
        <w:t>：028-86690057</w:t>
      </w:r>
    </w:p>
    <w:p>
      <w:pPr>
        <w:pStyle w:val="BodyText"/>
        <w:spacing w:line="364" w:lineRule="auto"/>
        <w:ind w:right="7378"/>
      </w:pPr>
      <w:r>
        <w:rPr/>
        <w:t>客户服务电话：95310 传真：028-86690126</w:t>
      </w:r>
    </w:p>
    <w:p>
      <w:pPr>
        <w:pStyle w:val="BodyText"/>
        <w:spacing w:line="268" w:lineRule="exact"/>
      </w:pPr>
      <w:hyperlink r:id="rId114">
        <w:r>
          <w:rPr/>
          <w:t>网址：www.gjzq.com.cn</w:t>
        </w:r>
      </w:hyperlink>
    </w:p>
    <w:p>
      <w:pPr>
        <w:pStyle w:val="ListParagraph"/>
        <w:numPr>
          <w:ilvl w:val="0"/>
          <w:numId w:val="9"/>
        </w:numPr>
        <w:tabs>
          <w:tab w:pos="1298" w:val="left" w:leader="none"/>
        </w:tabs>
        <w:spacing w:line="240" w:lineRule="auto" w:before="137" w:after="0"/>
        <w:ind w:left="1298" w:right="0" w:hanging="526"/>
        <w:jc w:val="both"/>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703"/>
      </w:pPr>
      <w:r>
        <w:rPr>
          <w:spacing w:val="-3"/>
        </w:rPr>
        <w:t>办公地址：江苏省无锡市太湖新城金融一街 </w:t>
      </w:r>
      <w:r>
        <w:rPr/>
        <w:t>8</w:t>
      </w:r>
      <w:r>
        <w:rPr>
          <w:spacing w:val="-10"/>
        </w:rPr>
        <w:t> 号国联金融大厦</w:t>
      </w:r>
      <w:r>
        <w:rPr/>
        <w:t>法定代表人：姚志勇</w:t>
      </w:r>
    </w:p>
    <w:p>
      <w:pPr>
        <w:spacing w:after="0" w:line="364" w:lineRule="auto"/>
        <w:sectPr>
          <w:pgSz w:w="11910" w:h="16840"/>
          <w:pgMar w:header="0" w:footer="1166" w:top="1600" w:bottom="1440" w:left="1400" w:right="360"/>
        </w:sectPr>
      </w:pPr>
    </w:p>
    <w:p>
      <w:pPr>
        <w:pStyle w:val="BodyText"/>
        <w:spacing w:before="104"/>
      </w:pPr>
      <w:r>
        <w:rPr/>
        <w:t>联系人：祁昊</w:t>
      </w:r>
    </w:p>
    <w:p>
      <w:pPr>
        <w:pStyle w:val="BodyText"/>
        <w:spacing w:before="139"/>
      </w:pPr>
      <w:r>
        <w:rPr/>
        <w:t>联系电话：0510-82831662</w:t>
      </w:r>
    </w:p>
    <w:p>
      <w:pPr>
        <w:pStyle w:val="BodyText"/>
        <w:spacing w:line="364" w:lineRule="auto" w:before="140"/>
        <w:ind w:right="7378"/>
      </w:pPr>
      <w:r>
        <w:rPr/>
        <w:t>客户服务电话：95570 传真：0510-82830162</w:t>
      </w:r>
    </w:p>
    <w:p>
      <w:pPr>
        <w:pStyle w:val="BodyText"/>
        <w:spacing w:line="268" w:lineRule="exact"/>
      </w:pPr>
      <w:hyperlink r:id="rId115">
        <w:r>
          <w:rPr/>
          <w:t>网址：www.glsc.com.cn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国融证券</w:t>
      </w:r>
    </w:p>
    <w:p>
      <w:pPr>
        <w:pStyle w:val="BodyText"/>
        <w:spacing w:line="364" w:lineRule="auto" w:before="140"/>
        <w:ind w:right="3598"/>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7378"/>
      </w:pPr>
      <w:r>
        <w:rPr/>
        <w:t>客户服务电话</w:t>
      </w:r>
      <w:r>
        <w:rPr>
          <w:spacing w:val="-3"/>
        </w:rPr>
        <w:t>：95385 </w:t>
      </w:r>
      <w:r>
        <w:rPr/>
        <w:t>传真：010-66412537</w:t>
      </w:r>
    </w:p>
    <w:p>
      <w:pPr>
        <w:pStyle w:val="BodyText"/>
        <w:spacing w:line="268" w:lineRule="exact"/>
      </w:pPr>
      <w:hyperlink r:id="rId116">
        <w:r>
          <w:rPr/>
          <w:t>网址：www.grzq.com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968"/>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7273"/>
      </w:pPr>
      <w:r>
        <w:rPr/>
        <w:t>客户服务电话</w:t>
      </w:r>
      <w:r>
        <w:rPr>
          <w:spacing w:val="-3"/>
        </w:rPr>
        <w:t>：956080 </w:t>
      </w:r>
      <w:r>
        <w:rPr/>
        <w:t>传真：0791-86281305</w:t>
      </w:r>
    </w:p>
    <w:p>
      <w:pPr>
        <w:pStyle w:val="BodyText"/>
        <w:spacing w:line="268" w:lineRule="exact"/>
      </w:pPr>
      <w:hyperlink r:id="rId117">
        <w:r>
          <w:rPr/>
          <w:t>网址：www.gszq.com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国泰君安证券</w:t>
      </w:r>
    </w:p>
    <w:p>
      <w:pPr>
        <w:pStyle w:val="BodyText"/>
        <w:spacing w:line="364" w:lineRule="auto" w:before="140"/>
        <w:ind w:right="4333"/>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39"/>
        <w:ind w:right="7378"/>
      </w:pPr>
      <w:r>
        <w:rPr/>
        <w:t>客户服务电话</w:t>
      </w:r>
      <w:r>
        <w:rPr>
          <w:spacing w:val="-3"/>
        </w:rPr>
        <w:t>：95521 </w:t>
      </w:r>
      <w:r>
        <w:rPr/>
        <w:t>传真：021-38670666</w:t>
      </w:r>
    </w:p>
    <w:p>
      <w:pPr>
        <w:pStyle w:val="BodyText"/>
        <w:spacing w:line="268" w:lineRule="exact"/>
      </w:pPr>
      <w:hyperlink r:id="rId118">
        <w:r>
          <w:rPr/>
          <w:t>网址：www.gtja.com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国信证券</w:t>
      </w:r>
    </w:p>
    <w:p>
      <w:pPr>
        <w:pStyle w:val="BodyText"/>
        <w:spacing w:before="139"/>
      </w:pPr>
      <w:r>
        <w:rPr/>
        <w:t>注册地址：深圳市罗湖区红岭中路 1012 号国信证券大厦十六层至二十六层</w:t>
      </w:r>
    </w:p>
    <w:p>
      <w:pPr>
        <w:spacing w:after="0"/>
        <w:sectPr>
          <w:pgSz w:w="11910" w:h="16840"/>
          <w:pgMar w:header="0" w:footer="1166" w:top="1600" w:bottom="1440" w:left="1400" w:right="360"/>
        </w:sectPr>
      </w:pPr>
    </w:p>
    <w:p>
      <w:pPr>
        <w:pStyle w:val="BodyText"/>
        <w:spacing w:line="364" w:lineRule="auto" w:before="104"/>
        <w:ind w:right="2548"/>
      </w:pP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7378"/>
      </w:pPr>
      <w:r>
        <w:rPr/>
        <w:t>客户服务电话：95536 传真：0755-82133952</w:t>
      </w:r>
    </w:p>
    <w:p>
      <w:pPr>
        <w:pStyle w:val="BodyText"/>
        <w:spacing w:line="268" w:lineRule="exact"/>
      </w:pPr>
      <w:hyperlink r:id="rId119">
        <w:r>
          <w:rPr/>
          <w:t>网址：www.guosen.com.cn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968"/>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40"/>
        <w:ind w:right="7378"/>
      </w:pPr>
      <w:r>
        <w:rPr/>
        <w:t>客户服务电话：95578 传真：0551-2272100</w:t>
      </w:r>
    </w:p>
    <w:p>
      <w:pPr>
        <w:pStyle w:val="BodyText"/>
        <w:spacing w:line="268" w:lineRule="exact"/>
      </w:pPr>
      <w:hyperlink r:id="rId120">
        <w:r>
          <w:rPr/>
          <w:t>网址：www.gyzq.com.cn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海通证券</w:t>
      </w:r>
    </w:p>
    <w:p>
      <w:pPr>
        <w:pStyle w:val="BodyText"/>
        <w:spacing w:line="364" w:lineRule="auto" w:before="139"/>
        <w:ind w:right="6433"/>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7063"/>
      </w:pPr>
      <w:r>
        <w:rPr/>
        <w:t>联系人：金芸、李笑鸣 联系电话</w:t>
      </w:r>
      <w:r>
        <w:rPr>
          <w:spacing w:val="-2"/>
        </w:rPr>
        <w:t>：021-23219000</w:t>
      </w:r>
    </w:p>
    <w:p>
      <w:pPr>
        <w:pStyle w:val="BodyText"/>
        <w:spacing w:line="364" w:lineRule="auto"/>
        <w:ind w:right="7378"/>
      </w:pPr>
      <w:r>
        <w:rPr/>
        <w:t>客户服务电话</w:t>
      </w:r>
      <w:r>
        <w:rPr>
          <w:spacing w:val="-3"/>
        </w:rPr>
        <w:t>：95553 </w:t>
      </w:r>
      <w:r>
        <w:rPr/>
        <w:t>传真：021-23219100</w:t>
      </w:r>
    </w:p>
    <w:p>
      <w:pPr>
        <w:pStyle w:val="BodyText"/>
        <w:spacing w:line="268" w:lineRule="exact"/>
      </w:pPr>
      <w:hyperlink r:id="rId121">
        <w:r>
          <w:rPr/>
          <w:t>网址：www.htsec.com</w:t>
        </w:r>
      </w:hyperlink>
    </w:p>
    <w:p>
      <w:pPr>
        <w:pStyle w:val="ListParagraph"/>
        <w:numPr>
          <w:ilvl w:val="0"/>
          <w:numId w:val="9"/>
        </w:numPr>
        <w:tabs>
          <w:tab w:pos="1298" w:val="left" w:leader="none"/>
        </w:tabs>
        <w:spacing w:line="240" w:lineRule="auto" w:before="138" w:after="0"/>
        <w:ind w:left="1298" w:right="0" w:hanging="526"/>
        <w:jc w:val="both"/>
        <w:rPr>
          <w:sz w:val="21"/>
        </w:rPr>
      </w:pPr>
      <w:r>
        <w:rPr>
          <w:sz w:val="21"/>
        </w:rPr>
        <w:t>恒泰证券</w:t>
      </w:r>
    </w:p>
    <w:p>
      <w:pPr>
        <w:pStyle w:val="BodyText"/>
        <w:spacing w:line="364" w:lineRule="auto" w:before="139"/>
        <w:ind w:right="2023"/>
        <w:jc w:val="both"/>
      </w:pPr>
      <w:r>
        <w:rPr/>
        <w:t>注册地址：内蒙古自治区呼和浩特市新城区海拉尔东街满世尚都办公商业综合楼办公地址：内蒙古自治区呼和浩特市新城区海拉尔东街满世尚都办公商业综合楼法定代表人：庞介民</w:t>
      </w:r>
    </w:p>
    <w:p>
      <w:pPr>
        <w:pStyle w:val="BodyText"/>
        <w:spacing w:line="268" w:lineRule="exact"/>
      </w:pPr>
      <w:r>
        <w:rPr/>
        <w:t>联系人：熊丽</w:t>
      </w:r>
    </w:p>
    <w:p>
      <w:pPr>
        <w:pStyle w:val="BodyText"/>
        <w:spacing w:before="139"/>
      </w:pPr>
      <w:r>
        <w:rPr/>
        <w:t>联系电话：0471-4972675</w:t>
      </w:r>
    </w:p>
    <w:p>
      <w:pPr>
        <w:pStyle w:val="BodyText"/>
        <w:spacing w:line="364" w:lineRule="auto" w:before="140"/>
        <w:ind w:right="7168"/>
      </w:pPr>
      <w:r>
        <w:rPr/>
        <w:t>客户服务电话：956088 </w:t>
      </w:r>
      <w:hyperlink r:id="rId122">
        <w:r>
          <w:rPr/>
          <w:t>网址：www.cnht.com.cn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红塔证券</w:t>
      </w:r>
    </w:p>
    <w:p>
      <w:pPr>
        <w:spacing w:after="0" w:line="268" w:lineRule="exact"/>
        <w:jc w:val="left"/>
        <w:rPr>
          <w:sz w:val="21"/>
        </w:rPr>
        <w:sectPr>
          <w:pgSz w:w="11910" w:h="16840"/>
          <w:pgMar w:header="0" w:footer="1166" w:top="1600" w:bottom="1440" w:left="1400" w:right="360"/>
        </w:sectPr>
      </w:pPr>
    </w:p>
    <w:p>
      <w:pPr>
        <w:pStyle w:val="BodyText"/>
        <w:spacing w:line="364" w:lineRule="auto" w:before="104"/>
        <w:ind w:right="5173"/>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39"/>
      </w:pPr>
      <w:r>
        <w:rPr/>
        <w:t>联系电话：0871-63582843</w:t>
      </w:r>
    </w:p>
    <w:p>
      <w:pPr>
        <w:pStyle w:val="BodyText"/>
        <w:spacing w:line="364" w:lineRule="auto" w:before="140"/>
        <w:ind w:right="7273"/>
      </w:pPr>
      <w:r>
        <w:rPr/>
        <w:t>客户服务电话：956060 传真：0871-63578827</w:t>
      </w:r>
    </w:p>
    <w:p>
      <w:pPr>
        <w:pStyle w:val="BodyText"/>
        <w:spacing w:line="268" w:lineRule="exact"/>
      </w:pPr>
      <w:hyperlink r:id="rId123">
        <w:r>
          <w:rPr/>
          <w:t>网址：http://www.hongtastock.com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华安证券</w:t>
      </w:r>
    </w:p>
    <w:p>
      <w:pPr>
        <w:pStyle w:val="BodyText"/>
        <w:spacing w:line="364" w:lineRule="auto" w:before="140"/>
        <w:ind w:right="4333"/>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7378"/>
      </w:pPr>
      <w:r>
        <w:rPr/>
        <w:t>客户服务电话</w:t>
      </w:r>
      <w:r>
        <w:rPr>
          <w:spacing w:val="-3"/>
        </w:rPr>
        <w:t>：95318 </w:t>
      </w:r>
      <w:r>
        <w:rPr>
          <w:spacing w:val="-2"/>
        </w:rPr>
        <w:t>传真</w:t>
      </w:r>
      <w:r>
        <w:rPr>
          <w:spacing w:val="-1"/>
        </w:rPr>
        <w:t>：0551-65161825</w:t>
      </w:r>
    </w:p>
    <w:p>
      <w:pPr>
        <w:pStyle w:val="BodyText"/>
        <w:spacing w:line="268" w:lineRule="exact"/>
      </w:pPr>
      <w:hyperlink r:id="rId124">
        <w:r>
          <w:rPr/>
          <w:t>网址：www.hazq.com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华宝证券</w:t>
      </w:r>
    </w:p>
    <w:p>
      <w:pPr>
        <w:pStyle w:val="BodyText"/>
        <w:spacing w:line="364" w:lineRule="auto" w:before="139"/>
        <w:ind w:right="3598"/>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40"/>
      </w:pPr>
      <w:r>
        <w:rPr/>
        <w:t>联系电话：021-20657517</w:t>
      </w:r>
    </w:p>
    <w:p>
      <w:pPr>
        <w:pStyle w:val="BodyText"/>
        <w:spacing w:line="364" w:lineRule="auto" w:before="139"/>
        <w:ind w:right="6643"/>
      </w:pPr>
      <w:r>
        <w:rPr/>
        <w:t>客户服务电话：400-820-9898 传真：021-20515593</w:t>
      </w:r>
    </w:p>
    <w:p>
      <w:pPr>
        <w:pStyle w:val="BodyText"/>
        <w:spacing w:line="268" w:lineRule="exact"/>
      </w:pPr>
      <w:hyperlink r:id="rId125">
        <w:r>
          <w:rPr/>
          <w:t>网址：www.cnhbstock.com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华福证券</w:t>
      </w:r>
    </w:p>
    <w:p>
      <w:pPr>
        <w:pStyle w:val="BodyText"/>
        <w:spacing w:line="364" w:lineRule="auto" w:before="139"/>
        <w:ind w:right="2968"/>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before="139"/>
      </w:pPr>
      <w:r>
        <w:rPr/>
        <w:t>客户服务电话：95547</w:t>
      </w:r>
    </w:p>
    <w:p>
      <w:pPr>
        <w:spacing w:after="0"/>
        <w:sectPr>
          <w:pgSz w:w="11910" w:h="16840"/>
          <w:pgMar w:header="0" w:footer="1166" w:top="1600" w:bottom="1440" w:left="1400" w:right="360"/>
        </w:sectPr>
      </w:pPr>
    </w:p>
    <w:p>
      <w:pPr>
        <w:pStyle w:val="BodyText"/>
        <w:spacing w:before="104"/>
      </w:pPr>
      <w:r>
        <w:rPr/>
        <w:t>传真：021-20655196</w:t>
      </w:r>
    </w:p>
    <w:p>
      <w:pPr>
        <w:pStyle w:val="BodyText"/>
        <w:spacing w:before="139"/>
      </w:pPr>
      <w:hyperlink r:id="rId126">
        <w:r>
          <w:rPr/>
          <w:t>网址：www.hfzq.com.cn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华林证券</w:t>
      </w:r>
    </w:p>
    <w:p>
      <w:pPr>
        <w:pStyle w:val="BodyText"/>
        <w:spacing w:line="364" w:lineRule="auto" w:before="139"/>
        <w:ind w:right="4384"/>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line="364" w:lineRule="auto" w:before="139"/>
        <w:ind w:right="6643"/>
      </w:pPr>
      <w:r>
        <w:rPr/>
        <w:t>客户服务电话</w:t>
      </w:r>
      <w:r>
        <w:rPr>
          <w:spacing w:val="-2"/>
        </w:rPr>
        <w:t>：400-188-3888 </w:t>
      </w:r>
      <w:hyperlink r:id="rId127">
        <w:r>
          <w:rPr/>
          <w:t>网址：www.chinalin.com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华龙证券</w:t>
      </w:r>
    </w:p>
    <w:p>
      <w:pPr>
        <w:pStyle w:val="BodyText"/>
        <w:spacing w:line="364" w:lineRule="auto" w:before="140"/>
        <w:ind w:right="3808"/>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7483"/>
      </w:pPr>
      <w:r>
        <w:rPr/>
        <w:t>法定代表人：陈牧原联系人：范坤</w:t>
      </w:r>
    </w:p>
    <w:p>
      <w:pPr>
        <w:pStyle w:val="BodyText"/>
        <w:spacing w:line="268" w:lineRule="exact"/>
      </w:pPr>
      <w:r>
        <w:rPr/>
        <w:t>联系电话：0931-4890208</w:t>
      </w:r>
    </w:p>
    <w:p>
      <w:pPr>
        <w:pStyle w:val="BodyText"/>
        <w:spacing w:line="364" w:lineRule="auto" w:before="138"/>
        <w:ind w:right="5908"/>
      </w:pPr>
      <w:r>
        <w:rPr/>
        <w:t>客户服务电话：95368、</w:t>
      </w:r>
      <w:r>
        <w:rPr>
          <w:spacing w:val="-2"/>
        </w:rPr>
        <w:t>400-689-8888 </w:t>
      </w:r>
      <w:r>
        <w:rPr/>
        <w:t>传真：0931-4890628</w:t>
      </w:r>
    </w:p>
    <w:p>
      <w:pPr>
        <w:pStyle w:val="BodyText"/>
        <w:spacing w:line="268" w:lineRule="exact"/>
      </w:pPr>
      <w:hyperlink r:id="rId128">
        <w:r>
          <w:rPr/>
          <w:t>网址：www.hlzq.com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华融证券</w:t>
      </w:r>
    </w:p>
    <w:p>
      <w:pPr>
        <w:pStyle w:val="BodyText"/>
        <w:spacing w:before="139"/>
      </w:pPr>
      <w:r>
        <w:rPr/>
        <w:t>注册地址：北京市西城区金融大街 8 号</w:t>
      </w:r>
    </w:p>
    <w:p>
      <w:pPr>
        <w:pStyle w:val="BodyText"/>
        <w:spacing w:line="364" w:lineRule="auto" w:before="139"/>
        <w:ind w:right="2548"/>
      </w:pPr>
      <w:r>
        <w:rPr>
          <w:spacing w:val="-3"/>
        </w:rPr>
        <w:t>办公地址：北京市朝阳区朝阳门北大街 </w:t>
      </w:r>
      <w:r>
        <w:rPr/>
        <w:t>18</w:t>
      </w:r>
      <w:r>
        <w:rPr>
          <w:spacing w:val="-13"/>
        </w:rPr>
        <w:t> 号中国人保寿险大厦 </w:t>
      </w:r>
      <w:r>
        <w:rPr/>
        <w:t>12</w:t>
      </w:r>
      <w:r>
        <w:rPr>
          <w:spacing w:val="-36"/>
        </w:rPr>
        <w:t> 至 </w:t>
      </w:r>
      <w:r>
        <w:rPr/>
        <w:t>18</w:t>
      </w:r>
      <w:r>
        <w:rPr>
          <w:spacing w:val="-34"/>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7378"/>
      </w:pPr>
      <w:r>
        <w:rPr/>
        <w:t>客户服务电话：95390 传真：010-85556088</w:t>
      </w:r>
    </w:p>
    <w:p>
      <w:pPr>
        <w:pStyle w:val="BodyText"/>
        <w:spacing w:line="268" w:lineRule="exact"/>
      </w:pPr>
      <w:hyperlink r:id="rId129">
        <w:r>
          <w:rPr/>
          <w:t>网址：www.hrsec.com.cn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4333"/>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spacing w:after="0" w:line="268" w:lineRule="exact"/>
        <w:sectPr>
          <w:pgSz w:w="11910" w:h="16840"/>
          <w:pgMar w:header="0" w:footer="1166" w:top="1600" w:bottom="1440" w:left="1400" w:right="360"/>
        </w:sectPr>
      </w:pPr>
    </w:p>
    <w:p>
      <w:pPr>
        <w:pStyle w:val="BodyText"/>
        <w:spacing w:before="104"/>
      </w:pPr>
      <w:r>
        <w:rPr/>
        <w:t>联系电话：0755-82492193</w:t>
      </w:r>
    </w:p>
    <w:p>
      <w:pPr>
        <w:pStyle w:val="BodyText"/>
        <w:spacing w:line="364" w:lineRule="auto" w:before="139"/>
        <w:ind w:right="7378"/>
      </w:pPr>
      <w:r>
        <w:rPr/>
        <w:t>客户服务电话：95597 传真：025-83387523</w:t>
      </w:r>
    </w:p>
    <w:p>
      <w:pPr>
        <w:pStyle w:val="BodyText"/>
        <w:spacing w:line="268" w:lineRule="exact"/>
      </w:pPr>
      <w:hyperlink r:id="rId130">
        <w:r>
          <w:rPr/>
          <w:t>网址：www.htsc.com.cn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703"/>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7378"/>
      </w:pPr>
      <w:r>
        <w:rPr/>
        <w:t>客户服务电话：95584 传真：028-86150040</w:t>
      </w:r>
    </w:p>
    <w:p>
      <w:pPr>
        <w:pStyle w:val="BodyText"/>
        <w:spacing w:line="268" w:lineRule="exact"/>
      </w:pPr>
      <w:hyperlink r:id="rId131">
        <w:r>
          <w:rPr/>
          <w:t>网址：www.hx168.com.cn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华鑫证券</w:t>
      </w:r>
    </w:p>
    <w:p>
      <w:pPr>
        <w:pStyle w:val="BodyText"/>
        <w:spacing w:before="139"/>
      </w:pPr>
      <w:r>
        <w:rPr/>
        <w:t>注册地址：深圳市福田区莲花街道福中社区深南大道 2008 号中国凤凰大厦 1 栋 20C-1</w:t>
      </w:r>
    </w:p>
    <w:p>
      <w:pPr>
        <w:pStyle w:val="BodyText"/>
        <w:spacing w:line="364" w:lineRule="auto" w:before="140"/>
        <w:ind w:right="5803"/>
      </w:pPr>
      <w:r>
        <w:rPr>
          <w:spacing w:val="-4"/>
        </w:rPr>
        <w:t>办公地址：上海市徐汇区宛平南路 </w:t>
      </w:r>
      <w:r>
        <w:rPr/>
        <w:t>8</w:t>
      </w:r>
      <w:r>
        <w:rPr>
          <w:spacing w:val="-35"/>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918"/>
      </w:pPr>
      <w:r>
        <w:rPr/>
        <w:t>客户服务电话：95323（全国）、400-109-9918（全国）、029-68918888（西安） 传真：021-54967293</w:t>
      </w:r>
    </w:p>
    <w:p>
      <w:pPr>
        <w:pStyle w:val="BodyText"/>
        <w:spacing w:line="268" w:lineRule="exact"/>
      </w:pPr>
      <w:hyperlink r:id="rId132">
        <w:r>
          <w:rPr/>
          <w:t>网址：www.cfsc.com.cn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华信证券</w:t>
      </w:r>
    </w:p>
    <w:p>
      <w:pPr>
        <w:pStyle w:val="BodyText"/>
        <w:spacing w:line="364" w:lineRule="auto" w:before="140"/>
        <w:ind w:right="3913"/>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7483"/>
      </w:pPr>
      <w:r>
        <w:rPr/>
        <w:t>法定代表人：陈灿辉联系人：徐璐</w:t>
      </w:r>
    </w:p>
    <w:p>
      <w:pPr>
        <w:pStyle w:val="BodyText"/>
        <w:spacing w:line="268" w:lineRule="exact"/>
      </w:pPr>
      <w:r>
        <w:rPr/>
        <w:t>联系电话：021-63898952</w:t>
      </w:r>
    </w:p>
    <w:p>
      <w:pPr>
        <w:pStyle w:val="BodyText"/>
        <w:spacing w:line="364" w:lineRule="auto" w:before="138"/>
        <w:ind w:right="6643"/>
      </w:pPr>
      <w:r>
        <w:rPr/>
        <w:t>客户服务电话：400-820-5999 传真：021-68776977 转 8952</w:t>
      </w:r>
    </w:p>
    <w:p>
      <w:pPr>
        <w:pStyle w:val="BodyText"/>
        <w:spacing w:line="268" w:lineRule="exact"/>
      </w:pPr>
      <w:hyperlink r:id="rId133">
        <w:r>
          <w:rPr/>
          <w:t>网址：www.shhxzq.com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江海证券</w:t>
      </w:r>
    </w:p>
    <w:p>
      <w:pPr>
        <w:pStyle w:val="BodyText"/>
        <w:spacing w:before="139"/>
      </w:pPr>
      <w:r>
        <w:rPr/>
        <w:t>注册地址：黑龙江省哈尔滨市香坊区赣水路 56 号</w:t>
      </w:r>
    </w:p>
    <w:p>
      <w:pPr>
        <w:spacing w:after="0"/>
        <w:sectPr>
          <w:pgSz w:w="11910" w:h="16840"/>
          <w:pgMar w:header="0" w:footer="1166" w:top="1600" w:bottom="1440" w:left="1400" w:right="360"/>
        </w:sectPr>
      </w:pPr>
    </w:p>
    <w:p>
      <w:pPr>
        <w:pStyle w:val="BodyText"/>
        <w:spacing w:line="364" w:lineRule="auto" w:before="104"/>
        <w:ind w:right="4543"/>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7273"/>
      </w:pPr>
      <w:r>
        <w:rPr/>
        <w:t>客户服务电话：956007 传真：0451-82337279</w:t>
      </w:r>
    </w:p>
    <w:p>
      <w:pPr>
        <w:pStyle w:val="BodyText"/>
        <w:spacing w:line="268" w:lineRule="exact"/>
      </w:pPr>
      <w:hyperlink r:id="rId134">
        <w:r>
          <w:rPr/>
          <w:t>网址：www.jhzq.com.cn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金元证券</w:t>
      </w:r>
    </w:p>
    <w:p>
      <w:pPr>
        <w:pStyle w:val="BodyText"/>
        <w:spacing w:before="140"/>
      </w:pPr>
      <w:r>
        <w:rPr/>
        <w:t>注册地址：海口市南宝路 36 号证券大厦 4 楼</w:t>
      </w:r>
    </w:p>
    <w:p>
      <w:pPr>
        <w:pStyle w:val="BodyText"/>
        <w:spacing w:line="364" w:lineRule="auto" w:before="139"/>
        <w:ind w:right="3913"/>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7378"/>
      </w:pPr>
      <w:r>
        <w:rPr/>
        <w:t>客户服务电话：95372 传真：0755-83025625</w:t>
      </w:r>
    </w:p>
    <w:p>
      <w:pPr>
        <w:pStyle w:val="BodyText"/>
        <w:spacing w:line="268" w:lineRule="exact"/>
      </w:pPr>
      <w:hyperlink r:id="rId135">
        <w:r>
          <w:rPr/>
          <w:t>网址：www.jyzq.cn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3808"/>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7378"/>
      </w:pPr>
      <w:r>
        <w:rPr/>
        <w:t>客户服务电话：95305 </w:t>
      </w:r>
      <w:hyperlink r:id="rId136">
        <w:r>
          <w:rPr/>
          <w:t>网址：www.jzsec.com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开源证券</w:t>
      </w:r>
    </w:p>
    <w:p>
      <w:pPr>
        <w:pStyle w:val="BodyText"/>
        <w:spacing w:line="364" w:lineRule="auto" w:before="140"/>
        <w:ind w:right="3703"/>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7378"/>
      </w:pPr>
      <w:r>
        <w:rPr/>
        <w:t>客户服务电话：95325 </w:t>
      </w:r>
      <w:hyperlink r:id="rId137">
        <w:r>
          <w:rPr/>
          <w:t>网址：www.kysec.cn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联储证券</w:t>
      </w:r>
    </w:p>
    <w:p>
      <w:pPr>
        <w:spacing w:after="0" w:line="268" w:lineRule="exact"/>
        <w:jc w:val="left"/>
        <w:rPr>
          <w:sz w:val="21"/>
        </w:rPr>
        <w:sectPr>
          <w:pgSz w:w="11910" w:h="16840"/>
          <w:pgMar w:header="0" w:footer="1166" w:top="1600" w:bottom="1440" w:left="1400" w:right="360"/>
        </w:sectPr>
      </w:pPr>
    </w:p>
    <w:p>
      <w:pPr>
        <w:pStyle w:val="BodyText"/>
        <w:spacing w:line="364" w:lineRule="auto" w:before="104"/>
        <w:ind w:right="1813"/>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7483"/>
      </w:pPr>
      <w:r>
        <w:rPr/>
        <w:t>法定代表人：吕春卫联系人：张婉婷</w:t>
      </w:r>
    </w:p>
    <w:p>
      <w:pPr>
        <w:pStyle w:val="BodyText"/>
        <w:spacing w:line="268" w:lineRule="exact"/>
      </w:pPr>
      <w:r>
        <w:rPr/>
        <w:t>联系电话：010-86499765</w:t>
      </w:r>
    </w:p>
    <w:p>
      <w:pPr>
        <w:pStyle w:val="BodyText"/>
        <w:spacing w:line="364" w:lineRule="auto" w:before="138"/>
        <w:ind w:right="6643"/>
      </w:pPr>
      <w:r>
        <w:rPr/>
        <w:t>客户服务电话：400-620-6868 </w:t>
      </w:r>
      <w:hyperlink r:id="rId138">
        <w:r>
          <w:rPr/>
          <w:t>网址：www.lczq.com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民生证券</w:t>
      </w:r>
    </w:p>
    <w:p>
      <w:pPr>
        <w:pStyle w:val="BodyText"/>
        <w:spacing w:line="364" w:lineRule="auto" w:before="140"/>
        <w:ind w:right="2494"/>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3"/>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21"/>
        </w:rPr>
        <w:t> 层 法定代表人：冯鹤年</w:t>
      </w:r>
    </w:p>
    <w:p>
      <w:pPr>
        <w:pStyle w:val="BodyText"/>
        <w:spacing w:line="268" w:lineRule="exact"/>
      </w:pPr>
      <w:r>
        <w:rPr/>
        <w:t>联系人：胡梦雅</w:t>
      </w:r>
    </w:p>
    <w:p>
      <w:pPr>
        <w:pStyle w:val="BodyText"/>
        <w:spacing w:before="139"/>
      </w:pPr>
      <w:r>
        <w:rPr/>
        <w:t>联系电话：010-85127627</w:t>
      </w:r>
    </w:p>
    <w:p>
      <w:pPr>
        <w:pStyle w:val="BodyText"/>
        <w:spacing w:line="364" w:lineRule="auto" w:before="140"/>
        <w:ind w:right="7378"/>
      </w:pPr>
      <w:r>
        <w:rPr/>
        <w:t>客户服务电话：95376 </w:t>
      </w:r>
      <w:hyperlink r:id="rId139">
        <w:r>
          <w:rPr/>
          <w:t>网址：www.mszq.com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南京证券</w:t>
      </w:r>
    </w:p>
    <w:p>
      <w:pPr>
        <w:pStyle w:val="BodyText"/>
        <w:spacing w:line="364" w:lineRule="auto" w:before="139"/>
        <w:ind w:right="6223"/>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7378"/>
      </w:pPr>
      <w:r>
        <w:rPr/>
        <w:t>客户服务电话：95386 传真：025-83369725</w:t>
      </w:r>
    </w:p>
    <w:p>
      <w:pPr>
        <w:pStyle w:val="BodyText"/>
        <w:spacing w:line="268" w:lineRule="exact"/>
      </w:pPr>
      <w:hyperlink r:id="rId140">
        <w:r>
          <w:rPr/>
          <w:t>网址：www.njzq.com.cn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平安证券</w:t>
      </w:r>
    </w:p>
    <w:p>
      <w:pPr>
        <w:pStyle w:val="BodyText"/>
        <w:spacing w:line="364" w:lineRule="auto" w:before="139"/>
        <w:ind w:right="2128"/>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7483"/>
      </w:pPr>
      <w:r>
        <w:rPr/>
        <w:t>法定代表人：何之江联系人：周驰</w:t>
      </w:r>
    </w:p>
    <w:p>
      <w:pPr>
        <w:pStyle w:val="BodyText"/>
        <w:spacing w:line="268" w:lineRule="exact"/>
      </w:pPr>
      <w:r>
        <w:rPr/>
        <w:t>联系电话：021-38643230</w:t>
      </w:r>
    </w:p>
    <w:p>
      <w:pPr>
        <w:pStyle w:val="BodyText"/>
        <w:spacing w:line="364" w:lineRule="auto" w:before="138"/>
        <w:ind w:right="7168"/>
      </w:pPr>
      <w:r>
        <w:rPr/>
        <w:t>客户服务电话：95511-8 传真：021-58991896</w:t>
      </w:r>
    </w:p>
    <w:p>
      <w:pPr>
        <w:pStyle w:val="BodyText"/>
        <w:spacing w:line="268" w:lineRule="exact"/>
      </w:pPr>
      <w:r>
        <w:rPr/>
        <w:t>网址：stock.pingan.com</w:t>
      </w:r>
    </w:p>
    <w:p>
      <w:pPr>
        <w:spacing w:after="0" w:line="268" w:lineRule="exact"/>
        <w:sectPr>
          <w:pgSz w:w="11910" w:h="16840"/>
          <w:pgMar w:header="0" w:footer="1166" w:top="1600" w:bottom="1440" w:left="1400" w:right="360"/>
        </w:sectPr>
      </w:pPr>
    </w:p>
    <w:p>
      <w:pPr>
        <w:pStyle w:val="ListParagraph"/>
        <w:numPr>
          <w:ilvl w:val="0"/>
          <w:numId w:val="9"/>
        </w:numPr>
        <w:tabs>
          <w:tab w:pos="1298" w:val="left" w:leader="none"/>
        </w:tabs>
        <w:spacing w:line="240" w:lineRule="auto" w:before="104" w:after="0"/>
        <w:ind w:left="1298" w:right="0" w:hanging="526"/>
        <w:jc w:val="both"/>
        <w:rPr>
          <w:sz w:val="21"/>
        </w:rPr>
      </w:pPr>
      <w:r>
        <w:rPr>
          <w:sz w:val="21"/>
        </w:rPr>
        <w:t>瑞银证券</w:t>
      </w:r>
    </w:p>
    <w:p>
      <w:pPr>
        <w:pStyle w:val="BodyText"/>
        <w:spacing w:line="364" w:lineRule="auto" w:before="139"/>
        <w:ind w:right="2914"/>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6643"/>
      </w:pPr>
      <w:r>
        <w:rPr/>
        <w:t>客户服务电话：400-887-8827 传真：010-58328170</w:t>
      </w:r>
    </w:p>
    <w:p>
      <w:pPr>
        <w:pStyle w:val="BodyText"/>
        <w:spacing w:line="268" w:lineRule="exact"/>
      </w:pPr>
      <w:hyperlink r:id="rId141">
        <w:r>
          <w:rPr/>
          <w:t>网址：https://www.ubs.com/ubssecurities</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山西证券</w:t>
      </w:r>
    </w:p>
    <w:p>
      <w:pPr>
        <w:pStyle w:val="BodyText"/>
        <w:spacing w:line="364" w:lineRule="auto" w:before="139"/>
        <w:ind w:right="4228"/>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39"/>
      </w:pPr>
      <w:r>
        <w:rPr/>
        <w:t>传真：0351-8686619</w:t>
      </w:r>
    </w:p>
    <w:p>
      <w:pPr>
        <w:pStyle w:val="BodyText"/>
        <w:spacing w:before="140"/>
      </w:pPr>
      <w:hyperlink r:id="rId142">
        <w:r>
          <w:rPr/>
          <w:t>网址：www.i618.com.cn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4543"/>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143">
        <w:r>
          <w:rPr/>
          <w:t>网址：https://www.shzq.com/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申万宏源西部证券</w:t>
      </w:r>
    </w:p>
    <w:p>
      <w:pPr>
        <w:pStyle w:val="BodyText"/>
        <w:spacing w:before="140"/>
      </w:pPr>
      <w:r>
        <w:rPr>
          <w:spacing w:val="-2"/>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pPr>
      <w:r>
        <w:rPr/>
        <w:t>室</w:t>
      </w:r>
    </w:p>
    <w:p>
      <w:pPr>
        <w:pStyle w:val="BodyText"/>
        <w:spacing w:before="140"/>
      </w:pPr>
      <w:r>
        <w:rPr>
          <w:spacing w:val="-2"/>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pPr>
      <w:r>
        <w:rPr/>
        <w:t>室</w:t>
      </w:r>
    </w:p>
    <w:p>
      <w:pPr>
        <w:pStyle w:val="BodyText"/>
        <w:spacing w:before="140"/>
      </w:pPr>
      <w:r>
        <w:rPr/>
        <w:t>法定代表人：李琦</w:t>
      </w:r>
    </w:p>
    <w:p>
      <w:pPr>
        <w:spacing w:after="0"/>
        <w:sectPr>
          <w:pgSz w:w="11910" w:h="16840"/>
          <w:pgMar w:header="0" w:footer="1166" w:top="1600" w:bottom="1440" w:left="1400" w:right="360"/>
        </w:sectPr>
      </w:pPr>
    </w:p>
    <w:p>
      <w:pPr>
        <w:pStyle w:val="BodyText"/>
        <w:spacing w:before="104"/>
      </w:pPr>
      <w:r>
        <w:rPr/>
        <w:t>联系人：王怀春</w:t>
      </w:r>
    </w:p>
    <w:p>
      <w:pPr>
        <w:pStyle w:val="BodyText"/>
        <w:spacing w:before="139"/>
      </w:pPr>
      <w:r>
        <w:rPr/>
        <w:t>联系电话：0991-2307105</w:t>
      </w:r>
    </w:p>
    <w:p>
      <w:pPr>
        <w:pStyle w:val="BodyText"/>
        <w:spacing w:line="364" w:lineRule="auto" w:before="140"/>
        <w:ind w:right="6643"/>
      </w:pPr>
      <w:r>
        <w:rPr/>
        <w:t>客户服务电话</w:t>
      </w:r>
      <w:r>
        <w:rPr>
          <w:spacing w:val="-2"/>
        </w:rPr>
        <w:t>：4008-000-562 </w:t>
      </w:r>
      <w:r>
        <w:rPr/>
        <w:t>传真：010-88085195</w:t>
      </w:r>
    </w:p>
    <w:p>
      <w:pPr>
        <w:pStyle w:val="BodyText"/>
        <w:spacing w:line="268" w:lineRule="exact"/>
      </w:pPr>
      <w:hyperlink r:id="rId144">
        <w:r>
          <w:rPr/>
          <w:t>网址：www.hysec.com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4018"/>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40"/>
      </w:pPr>
      <w:r>
        <w:rPr/>
        <w:t>联系电话：021-33388252</w:t>
      </w:r>
    </w:p>
    <w:p>
      <w:pPr>
        <w:pStyle w:val="BodyText"/>
        <w:spacing w:line="364" w:lineRule="auto" w:before="139"/>
        <w:ind w:right="6118"/>
      </w:pPr>
      <w:r>
        <w:rPr/>
        <w:t>客户服务电话：95523、4008895523 传真：021-33388224</w:t>
      </w:r>
    </w:p>
    <w:p>
      <w:pPr>
        <w:pStyle w:val="BodyText"/>
        <w:spacing w:line="268" w:lineRule="exact"/>
      </w:pPr>
      <w:hyperlink r:id="rId145">
        <w:r>
          <w:rPr/>
          <w:t>网址：www.swhysc.com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世纪证券</w:t>
      </w:r>
    </w:p>
    <w:p>
      <w:pPr>
        <w:pStyle w:val="BodyText"/>
        <w:spacing w:line="364" w:lineRule="auto" w:before="140"/>
        <w:ind w:right="1452"/>
      </w:pPr>
      <w:r>
        <w:rPr>
          <w:spacing w:val="-10"/>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4123"/>
      </w:pPr>
      <w:r>
        <w:rPr>
          <w:spacing w:val="-3"/>
        </w:rPr>
        <w:t>办公地址：深圳市福田区深南大道招商银行大厦 </w:t>
      </w:r>
      <w:r>
        <w:rPr/>
        <w:t>40-42</w:t>
      </w:r>
      <w:r>
        <w:rPr>
          <w:spacing w:val="-35"/>
        </w:rPr>
        <w:t> 层</w:t>
      </w:r>
      <w:r>
        <w:rPr/>
        <w:t>法定代表人：李强</w:t>
      </w:r>
    </w:p>
    <w:p>
      <w:pPr>
        <w:pStyle w:val="BodyText"/>
        <w:spacing w:line="268" w:lineRule="exact"/>
      </w:pPr>
      <w:r>
        <w:rPr/>
        <w:t>联系人：徐玲娟</w:t>
      </w:r>
    </w:p>
    <w:p>
      <w:pPr>
        <w:pStyle w:val="BodyText"/>
        <w:spacing w:before="138"/>
      </w:pPr>
      <w:r>
        <w:rPr/>
        <w:t>联系电话：0755-83199553</w:t>
      </w:r>
    </w:p>
    <w:p>
      <w:pPr>
        <w:pStyle w:val="BodyText"/>
        <w:spacing w:line="364" w:lineRule="auto" w:before="140"/>
        <w:ind w:right="6853"/>
      </w:pPr>
      <w:r>
        <w:rPr/>
        <w:t>客户服务电话：4008323000 </w:t>
      </w:r>
      <w:hyperlink r:id="rId146">
        <w:r>
          <w:rPr/>
          <w:t>网址：www.csco.com.cn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首创证券</w:t>
      </w:r>
    </w:p>
    <w:p>
      <w:pPr>
        <w:pStyle w:val="BodyText"/>
        <w:spacing w:line="364" w:lineRule="auto" w:before="139"/>
        <w:ind w:right="3913"/>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6643"/>
      </w:pPr>
      <w:r>
        <w:rPr/>
        <w:t>客户服务电话：400-620-0620 传真：010-59366055</w:t>
      </w:r>
    </w:p>
    <w:p>
      <w:pPr>
        <w:pStyle w:val="BodyText"/>
        <w:spacing w:line="268" w:lineRule="exact"/>
      </w:pPr>
      <w:hyperlink r:id="rId147">
        <w:r>
          <w:rPr/>
          <w:t>网址：http://www.sczq.com.cn/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天风证券</w:t>
      </w:r>
    </w:p>
    <w:p>
      <w:pPr>
        <w:spacing w:after="0" w:line="240" w:lineRule="auto"/>
        <w:jc w:val="left"/>
        <w:rPr>
          <w:sz w:val="21"/>
        </w:rPr>
        <w:sectPr>
          <w:pgSz w:w="11910" w:h="16840"/>
          <w:pgMar w:header="0" w:footer="1166" w:top="1600" w:bottom="1440" w:left="1400" w:right="360"/>
        </w:sectPr>
      </w:pPr>
    </w:p>
    <w:p>
      <w:pPr>
        <w:pStyle w:val="BodyText"/>
        <w:spacing w:line="364" w:lineRule="auto" w:before="104"/>
        <w:ind w:right="2863"/>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693"/>
      </w:pPr>
      <w:r>
        <w:rPr/>
        <w:t>法定代表人：余磊联系人：王雅薇</w:t>
      </w:r>
    </w:p>
    <w:p>
      <w:pPr>
        <w:pStyle w:val="BodyText"/>
        <w:spacing w:line="268" w:lineRule="exact"/>
      </w:pPr>
      <w:r>
        <w:rPr/>
        <w:t>联系电话：027-87617017</w:t>
      </w:r>
    </w:p>
    <w:p>
      <w:pPr>
        <w:pStyle w:val="BodyText"/>
        <w:spacing w:line="364" w:lineRule="auto" w:before="138"/>
        <w:ind w:right="6013"/>
      </w:pPr>
      <w:r>
        <w:rPr/>
        <w:t>客户服务电话：95391/400-800-5000 传真：027-87618863</w:t>
      </w:r>
    </w:p>
    <w:p>
      <w:pPr>
        <w:pStyle w:val="BodyText"/>
        <w:spacing w:line="268" w:lineRule="exact"/>
      </w:pPr>
      <w:hyperlink r:id="rId148">
        <w:r>
          <w:rPr/>
          <w:t>网址：http://www.tfzq.com/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3493"/>
      </w:pPr>
      <w:r>
        <w:rPr>
          <w:spacing w:val="-4"/>
        </w:rPr>
        <w:t>办公地址：广州市天河区珠江东路 </w:t>
      </w:r>
      <w:r>
        <w:rPr/>
        <w:t>13</w:t>
      </w:r>
      <w:r>
        <w:rPr>
          <w:spacing w:val="-13"/>
        </w:rPr>
        <w:t> 号高德置地广场 </w:t>
      </w:r>
      <w:r>
        <w:rPr/>
        <w:t>E</w:t>
      </w:r>
      <w:r>
        <w:rPr>
          <w:spacing w:val="-36"/>
        </w:rPr>
        <w:t> 栋 </w:t>
      </w:r>
      <w:r>
        <w:rPr/>
        <w:t>12</w:t>
      </w:r>
      <w:r>
        <w:rPr>
          <w:spacing w:val="-34"/>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7378"/>
      </w:pPr>
      <w:r>
        <w:rPr/>
        <w:t>客户服务电话</w:t>
      </w:r>
      <w:r>
        <w:rPr>
          <w:spacing w:val="-3"/>
        </w:rPr>
        <w:t>：95322 </w:t>
      </w:r>
      <w:r>
        <w:rPr/>
        <w:t>传真：020-38286588</w:t>
      </w:r>
    </w:p>
    <w:p>
      <w:pPr>
        <w:pStyle w:val="BodyText"/>
        <w:spacing w:line="268" w:lineRule="exact"/>
      </w:pPr>
      <w:hyperlink r:id="rId149">
        <w:r>
          <w:rPr/>
          <w:t>网址：www.wlzq.cn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五矿证券</w:t>
      </w:r>
    </w:p>
    <w:p>
      <w:pPr>
        <w:pStyle w:val="BodyText"/>
        <w:spacing w:line="364" w:lineRule="auto" w:before="140"/>
        <w:ind w:right="2548"/>
      </w:pPr>
      <w:r>
        <w:rPr>
          <w:spacing w:val="-4"/>
        </w:rPr>
        <w:t>注册地址：深圳市福田区金田路 </w:t>
      </w:r>
      <w:r>
        <w:rPr/>
        <w:t>4028</w:t>
      </w:r>
      <w:r>
        <w:rPr>
          <w:spacing w:val="-12"/>
        </w:rPr>
        <w:t> 号荣超经贸中心办公楼 </w:t>
      </w:r>
      <w:r>
        <w:rPr/>
        <w:t>47</w:t>
      </w:r>
      <w:r>
        <w:rPr>
          <w:spacing w:val="-36"/>
        </w:rPr>
        <w:t> 层 </w:t>
      </w:r>
      <w:r>
        <w:rPr/>
        <w:t>01</w:t>
      </w:r>
      <w:r>
        <w:rPr>
          <w:spacing w:val="-23"/>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7483"/>
      </w:pPr>
      <w:r>
        <w:rPr/>
        <w:t>法定代表人：黄海洲联系人：戴佳璐</w:t>
      </w:r>
    </w:p>
    <w:p>
      <w:pPr>
        <w:pStyle w:val="BodyText"/>
        <w:spacing w:line="268" w:lineRule="exact"/>
      </w:pPr>
      <w:r>
        <w:rPr/>
        <w:t>联系电话：0755-88311518</w:t>
      </w:r>
    </w:p>
    <w:p>
      <w:pPr>
        <w:pStyle w:val="BodyText"/>
        <w:spacing w:line="364" w:lineRule="auto" w:before="138"/>
        <w:ind w:right="6748"/>
      </w:pPr>
      <w:r>
        <w:rPr/>
        <w:t>客户服务电话：40018-40028 传真：0755-82545500</w:t>
      </w:r>
    </w:p>
    <w:p>
      <w:pPr>
        <w:pStyle w:val="BodyText"/>
        <w:spacing w:line="268" w:lineRule="exact"/>
      </w:pPr>
      <w:hyperlink r:id="rId150">
        <w:r>
          <w:rPr/>
          <w:t>网址：www.wkzq.com.cn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西部证券</w:t>
      </w:r>
    </w:p>
    <w:p>
      <w:pPr>
        <w:pStyle w:val="BodyText"/>
        <w:spacing w:line="364" w:lineRule="auto" w:before="140"/>
        <w:ind w:right="3913"/>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before="140"/>
      </w:pPr>
      <w:r>
        <w:rPr/>
        <w:t>客户服务电话：95582</w:t>
      </w:r>
    </w:p>
    <w:p>
      <w:pPr>
        <w:spacing w:after="0"/>
        <w:sectPr>
          <w:pgSz w:w="11910" w:h="16840"/>
          <w:pgMar w:header="0" w:footer="1166" w:top="1600" w:bottom="1440" w:left="1400" w:right="360"/>
        </w:sectPr>
      </w:pPr>
    </w:p>
    <w:p>
      <w:pPr>
        <w:pStyle w:val="BodyText"/>
        <w:spacing w:before="104"/>
      </w:pPr>
      <w:r>
        <w:rPr/>
        <w:t>传真：029-87211478</w:t>
      </w:r>
    </w:p>
    <w:p>
      <w:pPr>
        <w:pStyle w:val="BodyText"/>
        <w:spacing w:before="139"/>
      </w:pPr>
      <w:hyperlink r:id="rId151">
        <w:r>
          <w:rPr/>
          <w:t>网址：www.westsecu.com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753"/>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39"/>
      </w:pPr>
      <w:hyperlink r:id="rId152">
        <w:r>
          <w:rPr/>
          <w:t>网址：www.swsc.com.cn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湘财证券</w:t>
      </w:r>
    </w:p>
    <w:p>
      <w:pPr>
        <w:pStyle w:val="BodyText"/>
        <w:spacing w:line="364" w:lineRule="auto" w:before="139"/>
        <w:ind w:right="2548"/>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7378"/>
      </w:pPr>
      <w:r>
        <w:rPr/>
        <w:t>客户服务电话</w:t>
      </w:r>
      <w:r>
        <w:rPr>
          <w:spacing w:val="-3"/>
        </w:rPr>
        <w:t>：95351 </w:t>
      </w:r>
      <w:r>
        <w:rPr/>
        <w:t>传真：021-68865680</w:t>
      </w:r>
    </w:p>
    <w:p>
      <w:pPr>
        <w:pStyle w:val="BodyText"/>
        <w:spacing w:line="268" w:lineRule="exact"/>
      </w:pPr>
      <w:hyperlink r:id="rId153">
        <w:r>
          <w:rPr/>
          <w:t>网址：www.xcsc.com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新时代证券</w:t>
      </w:r>
    </w:p>
    <w:p>
      <w:pPr>
        <w:pStyle w:val="BodyText"/>
        <w:spacing w:line="364" w:lineRule="auto" w:before="139"/>
        <w:ind w:right="3649"/>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7378"/>
      </w:pPr>
      <w:r>
        <w:rPr/>
        <w:t>客户服务电话：95399 </w:t>
      </w:r>
      <w:hyperlink r:id="rId154">
        <w:r>
          <w:rPr/>
          <w:t>网址：www.xsdzq.cn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信达证券</w:t>
      </w:r>
    </w:p>
    <w:p>
      <w:pPr>
        <w:pStyle w:val="BodyText"/>
        <w:spacing w:line="364" w:lineRule="auto" w:before="139"/>
        <w:ind w:right="4753"/>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spacing w:after="0" w:line="268" w:lineRule="exact"/>
        <w:sectPr>
          <w:pgSz w:w="11910" w:h="16840"/>
          <w:pgMar w:header="0" w:footer="1166" w:top="1600" w:bottom="1440" w:left="1400" w:right="360"/>
        </w:sectPr>
      </w:pPr>
    </w:p>
    <w:p>
      <w:pPr>
        <w:pStyle w:val="BodyText"/>
        <w:spacing w:before="104"/>
      </w:pPr>
      <w:r>
        <w:rPr/>
        <w:t>联系电话：010-63081000</w:t>
      </w:r>
    </w:p>
    <w:p>
      <w:pPr>
        <w:pStyle w:val="BodyText"/>
        <w:spacing w:line="364" w:lineRule="auto" w:before="139"/>
        <w:ind w:right="7378"/>
      </w:pPr>
      <w:r>
        <w:rPr/>
        <w:t>客户服务电话：95321 传真：010-63080978</w:t>
      </w:r>
    </w:p>
    <w:p>
      <w:pPr>
        <w:pStyle w:val="BodyText"/>
        <w:spacing w:line="268" w:lineRule="exact"/>
      </w:pPr>
      <w:hyperlink r:id="rId155">
        <w:r>
          <w:rPr/>
          <w:t>网址：www.cindasc.com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兴业证券</w:t>
      </w:r>
    </w:p>
    <w:p>
      <w:pPr>
        <w:pStyle w:val="BodyText"/>
        <w:spacing w:before="139"/>
      </w:pPr>
      <w:r>
        <w:rPr/>
        <w:t>注册地址：福州市湖东路 268 号</w:t>
      </w:r>
    </w:p>
    <w:p>
      <w:pPr>
        <w:pStyle w:val="BodyText"/>
        <w:spacing w:line="364" w:lineRule="auto" w:before="140"/>
        <w:ind w:right="4123"/>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7168"/>
      </w:pPr>
      <w:r>
        <w:rPr/>
        <w:t>客户服务电话：95562 </w:t>
      </w:r>
      <w:hyperlink r:id="rId156">
        <w:r>
          <w:rPr>
            <w:spacing w:val="-1"/>
          </w:rPr>
          <w:t>网址：www.xyzq.com.cn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39"/>
        <w:ind w:right="4018"/>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40"/>
      </w:pPr>
      <w:hyperlink r:id="rId157">
        <w:r>
          <w:rPr/>
          <w:t>网址：www.chinastock.com.cn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粤开证券</w:t>
      </w:r>
    </w:p>
    <w:p>
      <w:pPr>
        <w:pStyle w:val="BodyText"/>
        <w:spacing w:line="364" w:lineRule="auto" w:before="140"/>
        <w:ind w:right="1918"/>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7483"/>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58">
        <w:r>
          <w:rPr/>
          <w:t>公司网址：http://www.ykzq.com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招商证券</w:t>
      </w:r>
    </w:p>
    <w:p>
      <w:pPr>
        <w:pStyle w:val="BodyText"/>
        <w:spacing w:line="364" w:lineRule="auto" w:before="139"/>
        <w:ind w:right="4753"/>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spacing w:after="0" w:line="268" w:lineRule="exact"/>
        <w:sectPr>
          <w:pgSz w:w="11910" w:h="16840"/>
          <w:pgMar w:header="0" w:footer="1166" w:top="1600" w:bottom="1440" w:left="1400" w:right="360"/>
        </w:sectPr>
      </w:pPr>
    </w:p>
    <w:p>
      <w:pPr>
        <w:pStyle w:val="BodyText"/>
        <w:spacing w:before="104"/>
      </w:pPr>
      <w:r>
        <w:rPr/>
        <w:t>联系电话：0755-82943666</w:t>
      </w:r>
    </w:p>
    <w:p>
      <w:pPr>
        <w:pStyle w:val="BodyText"/>
        <w:spacing w:line="364" w:lineRule="auto" w:before="139"/>
        <w:ind w:right="5908"/>
      </w:pPr>
      <w:r>
        <w:rPr/>
        <w:t>客户服务电话：95565、400-8888-111 传真：0755-82943636</w:t>
      </w:r>
    </w:p>
    <w:p>
      <w:pPr>
        <w:pStyle w:val="BodyText"/>
        <w:spacing w:line="268" w:lineRule="exact"/>
      </w:pPr>
      <w:hyperlink r:id="rId159">
        <w:r>
          <w:rPr/>
          <w:t>网址：www.newone.com.cn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40"/>
        <w:ind w:right="3493"/>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7378"/>
      </w:pPr>
      <w:r>
        <w:rPr/>
        <w:t>客户服务电话：95345 传真：0571-87901913</w:t>
      </w:r>
    </w:p>
    <w:p>
      <w:pPr>
        <w:pStyle w:val="BodyText"/>
        <w:spacing w:line="268" w:lineRule="exact"/>
      </w:pPr>
      <w:hyperlink r:id="rId160">
        <w:r>
          <w:rPr/>
          <w:t>网址：www.stocke.com.cn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中航证券</w:t>
      </w:r>
    </w:p>
    <w:p>
      <w:pPr>
        <w:pStyle w:val="BodyText"/>
        <w:spacing w:line="364" w:lineRule="auto" w:before="139"/>
        <w:ind w:right="1603"/>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4"/>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4"/>
        </w:rPr>
        <w:t> 层</w:t>
      </w:r>
      <w:r>
        <w:rPr/>
        <w:t>法定代表人：王晓峰</w:t>
      </w:r>
    </w:p>
    <w:p>
      <w:pPr>
        <w:pStyle w:val="BodyText"/>
        <w:spacing w:line="268" w:lineRule="exact"/>
      </w:pPr>
      <w:r>
        <w:rPr/>
        <w:t>联系人：王紫雯</w:t>
      </w:r>
    </w:p>
    <w:p>
      <w:pPr>
        <w:pStyle w:val="BodyText"/>
        <w:spacing w:before="140"/>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61">
        <w:r>
          <w:rPr/>
          <w:t>网址：www.avicsec.com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pPr>
      <w:r>
        <w:rPr/>
        <w:t>层 01.02.03.05.11.12.13.15.16.18.19.20.21.22.23 单元</w:t>
      </w:r>
    </w:p>
    <w:p>
      <w:pPr>
        <w:pStyle w:val="BodyText"/>
        <w:spacing w:line="364" w:lineRule="auto" w:before="139"/>
        <w:ind w:right="2809"/>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62">
        <w:r>
          <w:rPr/>
          <w:t>网址：https://www.ciccwm.com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中金公司</w:t>
      </w:r>
    </w:p>
    <w:p>
      <w:pPr>
        <w:pStyle w:val="BodyText"/>
        <w:spacing w:before="139"/>
      </w:pPr>
      <w:r>
        <w:rPr/>
        <w:t>注册地址：北京市朝阳区建国门外大街 1 号国贸大厦 2 座 27 层及 28 层</w:t>
      </w:r>
    </w:p>
    <w:p>
      <w:pPr>
        <w:spacing w:after="0"/>
        <w:sectPr>
          <w:pgSz w:w="11910" w:h="16840"/>
          <w:pgMar w:header="0" w:footer="1166" w:top="1600" w:bottom="1440" w:left="1400" w:right="360"/>
        </w:sectPr>
      </w:pPr>
    </w:p>
    <w:p>
      <w:pPr>
        <w:pStyle w:val="BodyText"/>
        <w:spacing w:line="364" w:lineRule="auto" w:before="104"/>
        <w:ind w:right="3913"/>
      </w:pPr>
      <w:r>
        <w:rPr>
          <w:spacing w:val="-3"/>
        </w:rPr>
        <w:t>办公地址：北京市朝阳区建国门外大街甲 </w:t>
      </w:r>
      <w:r>
        <w:rPr/>
        <w:t>6</w:t>
      </w:r>
      <w:r>
        <w:rPr>
          <w:spacing w:val="-36"/>
        </w:rPr>
        <w:t> 号 </w:t>
      </w:r>
      <w:r>
        <w:rPr/>
        <w:t>SK</w:t>
      </w:r>
      <w:r>
        <w:rPr>
          <w:spacing w:val="-27"/>
        </w:rPr>
        <w:t> 大厦 </w:t>
      </w:r>
      <w:r>
        <w:rPr/>
        <w:t>38</w:t>
      </w:r>
      <w:r>
        <w:rPr>
          <w:spacing w:val="-34"/>
        </w:rPr>
        <w:t> 层</w:t>
      </w:r>
      <w:r>
        <w:rPr/>
        <w:t>法定代表人：沈如军</w:t>
      </w:r>
    </w:p>
    <w:p>
      <w:pPr>
        <w:pStyle w:val="BodyText"/>
        <w:spacing w:line="268" w:lineRule="exact"/>
      </w:pPr>
      <w:r>
        <w:rPr/>
        <w:t>联系人：杨涵宇</w:t>
      </w:r>
    </w:p>
    <w:p>
      <w:pPr>
        <w:pStyle w:val="BodyText"/>
        <w:spacing w:before="139"/>
      </w:pPr>
      <w:r>
        <w:rPr/>
        <w:t>联系电话：010-65051166</w:t>
      </w:r>
    </w:p>
    <w:p>
      <w:pPr>
        <w:pStyle w:val="BodyText"/>
        <w:spacing w:line="364" w:lineRule="auto" w:before="140"/>
        <w:ind w:right="6853"/>
      </w:pPr>
      <w:r>
        <w:rPr>
          <w:spacing w:val="-1"/>
        </w:rPr>
        <w:t>客户服务电话</w:t>
      </w:r>
      <w:r>
        <w:rPr/>
        <w:t>：4009101166 </w:t>
      </w:r>
      <w:hyperlink r:id="rId163">
        <w:r>
          <w:rPr/>
          <w:t>网址：www.cicc.com.cn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中山证券</w:t>
      </w:r>
    </w:p>
    <w:p>
      <w:pPr>
        <w:pStyle w:val="BodyText"/>
        <w:spacing w:line="364" w:lineRule="auto" w:before="139"/>
        <w:ind w:right="1452"/>
      </w:pPr>
      <w:r>
        <w:rPr>
          <w:spacing w:val="-10"/>
        </w:rPr>
        <w:t>注册地址：深圳市南山区粤海街道蔚蓝海岸社区创业路 </w:t>
      </w:r>
      <w:r>
        <w:rPr/>
        <w:t>1777</w:t>
      </w:r>
      <w:r>
        <w:rPr>
          <w:spacing w:val="-13"/>
        </w:rPr>
        <w:t> 号海信南方大厦 </w:t>
      </w:r>
      <w:r>
        <w:rPr/>
        <w:t>21、22</w:t>
      </w:r>
      <w:r>
        <w:rPr>
          <w:spacing w:val="-33"/>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7483"/>
      </w:pPr>
      <w:r>
        <w:rPr/>
        <w:t>法定代表人：林炳城联系人：罗艺琳</w:t>
      </w:r>
    </w:p>
    <w:p>
      <w:pPr>
        <w:pStyle w:val="BodyText"/>
        <w:spacing w:line="364" w:lineRule="auto"/>
        <w:ind w:right="7378"/>
      </w:pPr>
      <w:r>
        <w:rPr>
          <w:spacing w:val="-1"/>
        </w:rPr>
        <w:t>电话：0755-82943755 </w:t>
      </w:r>
      <w:r>
        <w:rPr>
          <w:spacing w:val="-2"/>
        </w:rPr>
        <w:t>传真</w:t>
      </w:r>
      <w:r>
        <w:rPr>
          <w:spacing w:val="-1"/>
        </w:rPr>
        <w:t>：0755-82960582</w:t>
      </w:r>
    </w:p>
    <w:p>
      <w:pPr>
        <w:pStyle w:val="BodyText"/>
        <w:spacing w:line="364" w:lineRule="auto"/>
        <w:ind w:right="7378"/>
      </w:pPr>
      <w:r>
        <w:rPr/>
        <w:t>客户服务电话</w:t>
      </w:r>
      <w:r>
        <w:rPr>
          <w:spacing w:val="-3"/>
        </w:rPr>
        <w:t>：95329 </w:t>
      </w:r>
      <w:hyperlink r:id="rId164">
        <w:r>
          <w:rPr/>
          <w:t>网址：www.zszq.com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中泰证券</w:t>
      </w:r>
    </w:p>
    <w:p>
      <w:pPr>
        <w:pStyle w:val="BodyText"/>
        <w:spacing w:line="364" w:lineRule="auto" w:before="137"/>
        <w:ind w:right="5908"/>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7378"/>
      </w:pPr>
      <w:r>
        <w:rPr/>
        <w:t>客户服务电话：95538 传真：0531-68889095</w:t>
      </w:r>
    </w:p>
    <w:p>
      <w:pPr>
        <w:pStyle w:val="BodyText"/>
        <w:spacing w:line="268" w:lineRule="exact"/>
      </w:pPr>
      <w:hyperlink r:id="rId165">
        <w:r>
          <w:rPr/>
          <w:t>网址：www.zts.com.cn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中天证券</w:t>
      </w:r>
    </w:p>
    <w:p>
      <w:pPr>
        <w:pStyle w:val="BodyText"/>
        <w:spacing w:line="364" w:lineRule="auto" w:before="140"/>
        <w:ind w:right="5278"/>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958"/>
      </w:pPr>
      <w:r>
        <w:rPr>
          <w:spacing w:val="-1"/>
        </w:rPr>
        <w:t>客户服务电话</w:t>
      </w:r>
      <w:r>
        <w:rPr/>
        <w:t>：024-95346 传真：024-23255606</w:t>
      </w:r>
    </w:p>
    <w:p>
      <w:pPr>
        <w:pStyle w:val="BodyText"/>
        <w:spacing w:line="268" w:lineRule="exact"/>
      </w:pPr>
      <w:hyperlink r:id="rId166">
        <w:r>
          <w:rPr/>
          <w:t>网址：www.iztzq.com</w:t>
        </w:r>
      </w:hyperlink>
    </w:p>
    <w:p>
      <w:pPr>
        <w:spacing w:after="0" w:line="268" w:lineRule="exact"/>
        <w:sectPr>
          <w:pgSz w:w="11910" w:h="16840"/>
          <w:pgMar w:header="0" w:footer="1166" w:top="1600" w:bottom="1440" w:left="1400" w:right="360"/>
        </w:sectPr>
      </w:pPr>
    </w:p>
    <w:p>
      <w:pPr>
        <w:pStyle w:val="ListParagraph"/>
        <w:numPr>
          <w:ilvl w:val="0"/>
          <w:numId w:val="9"/>
        </w:numPr>
        <w:tabs>
          <w:tab w:pos="1298" w:val="left" w:leader="none"/>
        </w:tabs>
        <w:spacing w:line="240" w:lineRule="auto" w:before="104" w:after="0"/>
        <w:ind w:left="1298" w:right="0" w:hanging="526"/>
        <w:jc w:val="left"/>
        <w:rPr>
          <w:sz w:val="21"/>
        </w:rPr>
      </w:pPr>
      <w:r>
        <w:rPr>
          <w:sz w:val="21"/>
        </w:rPr>
        <w:t>中信建投证券</w:t>
      </w:r>
    </w:p>
    <w:p>
      <w:pPr>
        <w:pStyle w:val="BodyText"/>
        <w:spacing w:line="364" w:lineRule="auto" w:before="139"/>
        <w:ind w:right="5278"/>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7483"/>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67">
        <w:r>
          <w:rPr/>
          <w:t>网址：http://www.csc108.com/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中信证券</w:t>
      </w:r>
    </w:p>
    <w:p>
      <w:pPr>
        <w:pStyle w:val="BodyText"/>
        <w:spacing w:line="364" w:lineRule="auto" w:before="139"/>
        <w:ind w:right="2653"/>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7483"/>
      </w:pPr>
      <w:r>
        <w:rPr/>
        <w:t>法定代表人：张佑君联系人：王一通</w:t>
      </w:r>
    </w:p>
    <w:p>
      <w:pPr>
        <w:pStyle w:val="BodyText"/>
        <w:spacing w:line="268" w:lineRule="exact"/>
      </w:pPr>
      <w:r>
        <w:rPr/>
        <w:t>联系电话：010-60838888</w:t>
      </w:r>
    </w:p>
    <w:p>
      <w:pPr>
        <w:pStyle w:val="BodyText"/>
        <w:spacing w:line="364" w:lineRule="auto" w:before="139"/>
        <w:ind w:right="7378"/>
      </w:pPr>
      <w:r>
        <w:rPr/>
        <w:t>客户服务电话：95548 传真：010-60836029</w:t>
      </w:r>
    </w:p>
    <w:p>
      <w:pPr>
        <w:pStyle w:val="BodyText"/>
        <w:spacing w:line="268" w:lineRule="exact"/>
      </w:pPr>
      <w:hyperlink r:id="rId168">
        <w:r>
          <w:rPr/>
          <w:t>网址：www.cs.ecitic.com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中信证券华南</w:t>
      </w:r>
    </w:p>
    <w:p>
      <w:pPr>
        <w:pStyle w:val="BodyText"/>
        <w:spacing w:line="364" w:lineRule="auto" w:before="140"/>
        <w:ind w:right="2494"/>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39"/>
        <w:ind w:right="7378"/>
      </w:pPr>
      <w:r>
        <w:rPr/>
        <w:t>客户服务电话：95548 传真：020-88836984</w:t>
      </w:r>
    </w:p>
    <w:p>
      <w:pPr>
        <w:pStyle w:val="BodyText"/>
        <w:spacing w:line="268" w:lineRule="exact"/>
      </w:pPr>
      <w:hyperlink r:id="rId169">
        <w:r>
          <w:rPr/>
          <w:t>网址：www.gzs.com.cn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4018"/>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before="140"/>
      </w:pPr>
      <w:r>
        <w:rPr/>
        <w:t>客户服务电话：95548</w:t>
      </w:r>
    </w:p>
    <w:p>
      <w:pPr>
        <w:spacing w:after="0"/>
        <w:sectPr>
          <w:pgSz w:w="11910" w:h="16840"/>
          <w:pgMar w:header="0" w:footer="1166" w:top="1600" w:bottom="1440" w:left="1400" w:right="360"/>
        </w:sectPr>
      </w:pPr>
    </w:p>
    <w:p>
      <w:pPr>
        <w:pStyle w:val="BodyText"/>
        <w:spacing w:before="104"/>
      </w:pPr>
      <w:r>
        <w:rPr/>
        <w:t>传真：0532-85022605</w:t>
      </w:r>
    </w:p>
    <w:p>
      <w:pPr>
        <w:pStyle w:val="BodyText"/>
        <w:spacing w:before="139"/>
      </w:pPr>
      <w:hyperlink r:id="rId170">
        <w:r>
          <w:rPr/>
          <w:t>网址：http://sd.citics.com/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40"/>
        <w:ind w:right="3703"/>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6643"/>
      </w:pPr>
      <w:r>
        <w:rPr/>
        <w:t>客户服务电话：400-620-8888 传真：021-50372474</w:t>
      </w:r>
    </w:p>
    <w:p>
      <w:pPr>
        <w:pStyle w:val="BodyText"/>
        <w:spacing w:line="268" w:lineRule="exact"/>
      </w:pPr>
      <w:hyperlink r:id="rId171">
        <w:r>
          <w:rPr/>
          <w:t>网址：www.bocichina.com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中邮证券</w:t>
      </w:r>
    </w:p>
    <w:p>
      <w:pPr>
        <w:pStyle w:val="BodyText"/>
        <w:spacing w:line="364" w:lineRule="auto" w:before="139"/>
        <w:ind w:right="3178"/>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6"/>
        </w:rPr>
        <w:t>） </w:t>
      </w:r>
      <w:r>
        <w:rPr>
          <w:spacing w:val="-3"/>
        </w:rPr>
        <w:t>办公地址：北京市东城区珠市口东大街 </w:t>
      </w:r>
      <w:r>
        <w:rPr/>
        <w:t>17</w:t>
      </w:r>
      <w:r>
        <w:rPr>
          <w:spacing w:val="-27"/>
        </w:rPr>
        <w:t> 号</w:t>
      </w:r>
    </w:p>
    <w:p>
      <w:pPr>
        <w:pStyle w:val="BodyText"/>
        <w:spacing w:line="364" w:lineRule="auto"/>
        <w:ind w:right="7483"/>
      </w:pPr>
      <w:r>
        <w:rPr/>
        <w:t>法定代表人：丁奇文联系人：岳帅</w:t>
      </w:r>
    </w:p>
    <w:p>
      <w:pPr>
        <w:pStyle w:val="BodyText"/>
        <w:spacing w:line="268" w:lineRule="exact"/>
      </w:pPr>
      <w:r>
        <w:rPr/>
        <w:t>联系电话: 010-67017788-6068</w:t>
      </w:r>
    </w:p>
    <w:p>
      <w:pPr>
        <w:pStyle w:val="BodyText"/>
        <w:spacing w:line="364" w:lineRule="auto" w:before="139"/>
        <w:ind w:right="6643"/>
      </w:pPr>
      <w:r>
        <w:rPr/>
        <w:t>客户服务电话：4008-888-005 传真：010-67017788-9696</w:t>
      </w:r>
    </w:p>
    <w:p>
      <w:pPr>
        <w:pStyle w:val="BodyText"/>
        <w:spacing w:line="268" w:lineRule="exact"/>
      </w:pPr>
      <w:hyperlink r:id="rId172">
        <w:r>
          <w:rPr/>
          <w:t>网址：www.cnpsec.com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2443"/>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452" w:val="left" w:leader="none"/>
        </w:tabs>
        <w:spacing w:line="364" w:lineRule="auto"/>
        <w:ind w:right="6538"/>
      </w:pPr>
      <w:r>
        <w:rPr/>
        <w:t>联系人：程月艳</w:t>
        <w:tab/>
        <w:t>李盼盼 党</w:t>
      </w:r>
      <w:r>
        <w:rPr>
          <w:spacing w:val="-18"/>
        </w:rPr>
        <w:t>静</w:t>
      </w:r>
      <w:r>
        <w:rPr/>
        <w:t>联系电话：0371-69099882</w:t>
      </w:r>
    </w:p>
    <w:p>
      <w:pPr>
        <w:pStyle w:val="BodyText"/>
        <w:spacing w:line="364" w:lineRule="auto"/>
        <w:ind w:right="7378"/>
      </w:pPr>
      <w:r>
        <w:rPr/>
        <w:t>客户服务电话</w:t>
      </w:r>
      <w:r>
        <w:rPr>
          <w:spacing w:val="-3"/>
        </w:rPr>
        <w:t>：95377 </w:t>
      </w:r>
      <w:r>
        <w:rPr>
          <w:spacing w:val="-2"/>
        </w:rPr>
        <w:t>传真</w:t>
      </w:r>
      <w:r>
        <w:rPr>
          <w:spacing w:val="-1"/>
        </w:rPr>
        <w:t>：0371-65585899</w:t>
      </w:r>
    </w:p>
    <w:p>
      <w:pPr>
        <w:pStyle w:val="BodyText"/>
        <w:spacing w:line="268" w:lineRule="exact"/>
      </w:pPr>
      <w:hyperlink r:id="rId173">
        <w:r>
          <w:rPr/>
          <w:t>网址：www.ccnew.com</w:t>
        </w:r>
      </w:hyperlink>
    </w:p>
    <w:p>
      <w:pPr>
        <w:pStyle w:val="ListParagraph"/>
        <w:numPr>
          <w:ilvl w:val="0"/>
          <w:numId w:val="9"/>
        </w:numPr>
        <w:tabs>
          <w:tab w:pos="1298" w:val="left" w:leader="none"/>
        </w:tabs>
        <w:spacing w:line="240" w:lineRule="auto" w:before="137" w:after="0"/>
        <w:ind w:left="1298" w:right="0" w:hanging="526"/>
        <w:jc w:val="left"/>
        <w:rPr>
          <w:sz w:val="21"/>
        </w:rPr>
      </w:pPr>
      <w:r>
        <w:rPr>
          <w:sz w:val="21"/>
        </w:rPr>
        <w:t>度小满基金</w:t>
      </w:r>
    </w:p>
    <w:p>
      <w:pPr>
        <w:pStyle w:val="BodyText"/>
        <w:spacing w:line="364" w:lineRule="auto" w:before="140"/>
        <w:ind w:right="3178"/>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693"/>
      </w:pPr>
      <w:r>
        <w:rPr/>
        <w:t>法定代表人：葛新联系人：孙博超</w:t>
      </w:r>
    </w:p>
    <w:p>
      <w:pPr>
        <w:spacing w:after="0" w:line="364" w:lineRule="auto"/>
        <w:sectPr>
          <w:pgSz w:w="11910" w:h="16840"/>
          <w:pgMar w:header="0" w:footer="1166" w:top="1600" w:bottom="1440" w:left="1400" w:right="360"/>
        </w:sectPr>
      </w:pPr>
    </w:p>
    <w:p>
      <w:pPr>
        <w:pStyle w:val="BodyText"/>
        <w:spacing w:before="104"/>
      </w:pPr>
      <w:r>
        <w:rPr/>
        <w:t>联系电话：010-59403028</w:t>
      </w:r>
    </w:p>
    <w:p>
      <w:pPr>
        <w:pStyle w:val="BodyText"/>
        <w:spacing w:before="139"/>
      </w:pPr>
      <w:r>
        <w:rPr/>
        <w:t>客户服务电话：95055-4</w:t>
      </w:r>
    </w:p>
    <w:p>
      <w:pPr>
        <w:pStyle w:val="BodyText"/>
        <w:spacing w:before="140"/>
      </w:pPr>
      <w:hyperlink r:id="rId174">
        <w:r>
          <w:rPr/>
          <w:t>网址：www.baiyingfund.com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2653"/>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6643"/>
      </w:pPr>
      <w:r>
        <w:rPr/>
        <w:t>客户服务电话：400-820-2899 传真：021-20691861</w:t>
      </w:r>
    </w:p>
    <w:p>
      <w:pPr>
        <w:pStyle w:val="BodyText"/>
        <w:spacing w:line="268" w:lineRule="exact"/>
      </w:pPr>
      <w:hyperlink r:id="rId175">
        <w:r>
          <w:rPr/>
          <w:t>网址：www.erichfund.com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朝阳永续</w:t>
      </w:r>
    </w:p>
    <w:p>
      <w:pPr>
        <w:pStyle w:val="BodyText"/>
        <w:spacing w:before="140"/>
      </w:pPr>
      <w:r>
        <w:rPr/>
        <w:t>注册地址：浦东新区上丰路 977 号 1 幢 B 座 812 室</w:t>
      </w:r>
    </w:p>
    <w:p>
      <w:pPr>
        <w:pStyle w:val="BodyText"/>
        <w:spacing w:line="364" w:lineRule="auto" w:before="139"/>
        <w:ind w:right="4228"/>
      </w:pPr>
      <w:r>
        <w:rPr>
          <w:spacing w:val="-4"/>
        </w:rPr>
        <w:t>办公地址：上海市浦东新区碧波路 </w:t>
      </w:r>
      <w:r>
        <w:rPr/>
        <w:t>690</w:t>
      </w:r>
      <w:r>
        <w:rPr>
          <w:spacing w:val="-36"/>
        </w:rPr>
        <w:t> 号 </w:t>
      </w:r>
      <w:r>
        <w:rPr/>
        <w:t>4</w:t>
      </w:r>
      <w:r>
        <w:rPr>
          <w:spacing w:val="-36"/>
        </w:rPr>
        <w:t> 幢 </w:t>
      </w:r>
      <w:r>
        <w:rPr/>
        <w:t>201-2A</w:t>
      </w:r>
      <w:r>
        <w:rPr>
          <w:spacing w:val="-34"/>
        </w:rPr>
        <w:t> 室</w:t>
      </w:r>
      <w:r>
        <w:rPr/>
        <w:t>法定代表人：孙晓慧</w:t>
      </w:r>
    </w:p>
    <w:p>
      <w:pPr>
        <w:pStyle w:val="BodyText"/>
        <w:spacing w:line="268" w:lineRule="exact"/>
      </w:pPr>
      <w:r>
        <w:rPr/>
        <w:t>联系人：陆纪青</w:t>
      </w:r>
    </w:p>
    <w:p>
      <w:pPr>
        <w:pStyle w:val="BodyText"/>
        <w:spacing w:before="140"/>
      </w:pPr>
      <w:r>
        <w:rPr/>
        <w:t>联系电话：021-80234888-6813</w:t>
      </w:r>
    </w:p>
    <w:p>
      <w:pPr>
        <w:pStyle w:val="BodyText"/>
        <w:spacing w:line="364" w:lineRule="auto" w:before="139"/>
        <w:ind w:right="6643"/>
      </w:pPr>
      <w:r>
        <w:rPr/>
        <w:t>客户服务电话：400-699-1888 </w:t>
      </w:r>
      <w:hyperlink r:id="rId176">
        <w:r>
          <w:rPr/>
          <w:t>网址：www.998fund.com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创金启富</w:t>
      </w:r>
    </w:p>
    <w:p>
      <w:pPr>
        <w:pStyle w:val="BodyText"/>
        <w:spacing w:line="364" w:lineRule="auto" w:before="140"/>
        <w:ind w:right="4123"/>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6643"/>
      </w:pPr>
      <w:r>
        <w:rPr/>
        <w:t>客户服务电话：400-6262-818 传真：010-63583991</w:t>
      </w:r>
    </w:p>
    <w:p>
      <w:pPr>
        <w:pStyle w:val="BodyText"/>
        <w:spacing w:line="268" w:lineRule="exact"/>
      </w:pPr>
      <w:hyperlink r:id="rId177">
        <w:r>
          <w:rPr/>
          <w:t>网址：www.5irich.com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3808"/>
      </w:pPr>
      <w:r>
        <w:rPr>
          <w:spacing w:val="-4"/>
        </w:rPr>
        <w:t>办公地址：上海市浦东新区峨山路 </w:t>
      </w:r>
      <w:r>
        <w:rPr/>
        <w:t>505</w:t>
      </w:r>
      <w:r>
        <w:rPr>
          <w:spacing w:val="-13"/>
        </w:rPr>
        <w:t> 号东方纯一大厦 </w:t>
      </w:r>
      <w:r>
        <w:rPr/>
        <w:t>15</w:t>
      </w:r>
      <w:r>
        <w:rPr>
          <w:spacing w:val="-35"/>
        </w:rPr>
        <w:t> 楼</w:t>
      </w:r>
      <w:r>
        <w:rPr/>
        <w:t>法定代表人：陈达伟</w:t>
      </w:r>
    </w:p>
    <w:p>
      <w:pPr>
        <w:spacing w:after="0" w:line="364" w:lineRule="auto"/>
        <w:sectPr>
          <w:pgSz w:w="11910" w:h="16840"/>
          <w:pgMar w:header="0" w:footer="1166" w:top="1600" w:bottom="1440" w:left="1400" w:right="360"/>
        </w:sectPr>
      </w:pPr>
    </w:p>
    <w:p>
      <w:pPr>
        <w:pStyle w:val="BodyText"/>
        <w:spacing w:before="104"/>
      </w:pPr>
      <w:r>
        <w:rPr/>
        <w:t>联系人：孟召社</w:t>
      </w:r>
    </w:p>
    <w:p>
      <w:pPr>
        <w:pStyle w:val="BodyText"/>
        <w:spacing w:before="139"/>
      </w:pPr>
      <w:r>
        <w:rPr/>
        <w:t>联系电话：021-20324176</w:t>
      </w:r>
    </w:p>
    <w:p>
      <w:pPr>
        <w:pStyle w:val="BodyText"/>
        <w:spacing w:line="364" w:lineRule="auto" w:before="140"/>
        <w:ind w:right="6643"/>
      </w:pPr>
      <w:r>
        <w:rPr/>
        <w:t>客户服务电话：400-995-9220 传真：021-20324199</w:t>
      </w:r>
    </w:p>
    <w:p>
      <w:pPr>
        <w:pStyle w:val="BodyText"/>
        <w:spacing w:line="268" w:lineRule="exact"/>
      </w:pPr>
      <w:hyperlink r:id="rId178">
        <w:r>
          <w:rPr/>
          <w:t>网址：www.dtfunds.com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大智慧基金</w:t>
      </w:r>
    </w:p>
    <w:p>
      <w:pPr>
        <w:pStyle w:val="BodyText"/>
        <w:spacing w:line="364" w:lineRule="auto" w:before="140"/>
        <w:ind w:right="2548"/>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6643"/>
      </w:pPr>
      <w:r>
        <w:rPr/>
        <w:t>客户服务电话：021-20292031 传真：021-20219923</w:t>
      </w:r>
    </w:p>
    <w:p>
      <w:pPr>
        <w:pStyle w:val="BodyText"/>
        <w:spacing w:line="268" w:lineRule="exact"/>
      </w:pPr>
      <w:hyperlink r:id="rId179">
        <w:r>
          <w:rPr/>
          <w:t>网址：https://www.wg.com.cn/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3178"/>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6433"/>
      </w:pPr>
      <w:r>
        <w:rPr/>
        <w:t>客户服务电话：400-159-9288 </w:t>
      </w:r>
      <w:r>
        <w:rPr>
          <w:spacing w:val="-1"/>
        </w:rPr>
        <w:t>网址：https://danjuanapp.com</w:t>
      </w:r>
    </w:p>
    <w:p>
      <w:pPr>
        <w:pStyle w:val="ListParagraph"/>
        <w:numPr>
          <w:ilvl w:val="0"/>
          <w:numId w:val="9"/>
        </w:numPr>
        <w:tabs>
          <w:tab w:pos="1298" w:val="left" w:leader="none"/>
        </w:tabs>
        <w:spacing w:line="268" w:lineRule="exact" w:before="0" w:after="0"/>
        <w:ind w:left="1298" w:right="0" w:hanging="526"/>
        <w:jc w:val="left"/>
        <w:rPr>
          <w:sz w:val="21"/>
        </w:rPr>
      </w:pPr>
      <w:r>
        <w:rPr>
          <w:sz w:val="21"/>
        </w:rPr>
        <w:t>鼎信汇金</w:t>
      </w:r>
    </w:p>
    <w:p>
      <w:pPr>
        <w:pStyle w:val="BodyText"/>
        <w:spacing w:line="364" w:lineRule="auto" w:before="139"/>
        <w:ind w:right="4753"/>
        <w:jc w:val="both"/>
      </w:pPr>
      <w:r>
        <w:rPr>
          <w:spacing w:val="-4"/>
        </w:rPr>
        <w:t>注册地址：北京市海淀区太月园 </w:t>
      </w:r>
      <w:r>
        <w:rPr/>
        <w:t>3</w:t>
      </w:r>
      <w:r>
        <w:rPr>
          <w:spacing w:val="-27"/>
        </w:rPr>
        <w:t> 号楼 </w:t>
      </w:r>
      <w:r>
        <w:rPr/>
        <w:t>5</w:t>
      </w:r>
      <w:r>
        <w:rPr>
          <w:spacing w:val="-36"/>
        </w:rPr>
        <w:t> 层 </w:t>
      </w:r>
      <w:r>
        <w:rPr/>
        <w:t>521</w:t>
      </w:r>
      <w:r>
        <w:rPr>
          <w:spacing w:val="-34"/>
        </w:rPr>
        <w:t> 室</w:t>
      </w:r>
      <w:r>
        <w:rPr>
          <w:spacing w:val="-4"/>
        </w:rPr>
        <w:t>办公地址：北京市海淀区太月园 </w:t>
      </w:r>
      <w:r>
        <w:rPr/>
        <w:t>3</w:t>
      </w:r>
      <w:r>
        <w:rPr>
          <w:spacing w:val="-27"/>
        </w:rPr>
        <w:t> 号楼 </w:t>
      </w:r>
      <w:r>
        <w:rPr/>
        <w:t>5</w:t>
      </w:r>
      <w:r>
        <w:rPr>
          <w:spacing w:val="-36"/>
        </w:rPr>
        <w:t> 层 </w:t>
      </w:r>
      <w:r>
        <w:rPr/>
        <w:t>521</w:t>
      </w:r>
      <w:r>
        <w:rPr>
          <w:spacing w:val="-34"/>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6643"/>
      </w:pPr>
      <w:r>
        <w:rPr/>
        <w:t>客户服务电话：400-158-5050 传真：010-82086110</w:t>
      </w:r>
    </w:p>
    <w:p>
      <w:pPr>
        <w:pStyle w:val="BodyText"/>
        <w:spacing w:line="268" w:lineRule="exact"/>
      </w:pPr>
      <w:hyperlink r:id="rId180">
        <w:r>
          <w:rPr/>
          <w:t>网址：www.9ifund.com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东证期货</w:t>
      </w:r>
    </w:p>
    <w:p>
      <w:pPr>
        <w:pStyle w:val="BodyText"/>
        <w:spacing w:before="139"/>
      </w:pPr>
      <w:r>
        <w:rPr/>
        <w:t>注册地址：中国（上海）自由贸易试验区浦电路 500 号上海期货大厦 14 层</w:t>
      </w:r>
    </w:p>
    <w:p>
      <w:pPr>
        <w:spacing w:after="0"/>
        <w:sectPr>
          <w:pgSz w:w="11910" w:h="16840"/>
          <w:pgMar w:header="0" w:footer="1166" w:top="1600" w:bottom="1440" w:left="1400" w:right="360"/>
        </w:sectPr>
      </w:pPr>
    </w:p>
    <w:p>
      <w:pPr>
        <w:pStyle w:val="BodyText"/>
        <w:spacing w:line="364" w:lineRule="auto" w:before="104"/>
        <w:ind w:right="4438"/>
      </w:pPr>
      <w:r>
        <w:rPr>
          <w:spacing w:val="-4"/>
        </w:rPr>
        <w:t>办公地址：上海市黄浦区中山南路 </w:t>
      </w:r>
      <w:r>
        <w:rPr/>
        <w:t>318</w:t>
      </w:r>
      <w:r>
        <w:rPr>
          <w:spacing w:val="-36"/>
        </w:rPr>
        <w:t> 号 </w:t>
      </w:r>
      <w:r>
        <w:rPr/>
        <w:t>2</w:t>
      </w:r>
      <w:r>
        <w:rPr>
          <w:spacing w:val="-27"/>
        </w:rPr>
        <w:t> 号楼 </w:t>
      </w:r>
      <w:r>
        <w:rPr/>
        <w:t>22</w:t>
      </w:r>
      <w:r>
        <w:rPr>
          <w:spacing w:val="-34"/>
        </w:rPr>
        <w:t> 楼</w:t>
      </w:r>
      <w:r>
        <w:rPr/>
        <w:t>法定代表人：卢大印</w:t>
      </w:r>
    </w:p>
    <w:p>
      <w:pPr>
        <w:pStyle w:val="BodyText"/>
        <w:spacing w:line="268" w:lineRule="exact"/>
      </w:pPr>
      <w:r>
        <w:rPr/>
        <w:t>联系人：张敏圆</w:t>
      </w:r>
    </w:p>
    <w:p>
      <w:pPr>
        <w:pStyle w:val="BodyText"/>
        <w:spacing w:before="139"/>
      </w:pPr>
      <w:r>
        <w:rPr/>
        <w:t>联系电话：021-63325888-4259</w:t>
      </w:r>
    </w:p>
    <w:p>
      <w:pPr>
        <w:pStyle w:val="BodyText"/>
        <w:spacing w:line="364" w:lineRule="auto" w:before="140"/>
        <w:ind w:right="6853"/>
      </w:pPr>
      <w:r>
        <w:rPr/>
        <w:t>客户服务电话：4008859999 传真：021-63326752</w:t>
      </w:r>
    </w:p>
    <w:p>
      <w:pPr>
        <w:pStyle w:val="BodyText"/>
        <w:spacing w:line="268" w:lineRule="exact"/>
      </w:pPr>
      <w:hyperlink r:id="rId181">
        <w:r>
          <w:rPr/>
          <w:t>网址：www.dzqh.com.cn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泛华普益</w:t>
      </w:r>
    </w:p>
    <w:p>
      <w:pPr>
        <w:pStyle w:val="BodyText"/>
        <w:spacing w:before="140"/>
      </w:pPr>
      <w:r>
        <w:rPr/>
        <w:t>注册地址：四川省成都市成华区建设路 9 号高地中心 1101 室</w:t>
      </w:r>
    </w:p>
    <w:p>
      <w:pPr>
        <w:pStyle w:val="BodyText"/>
        <w:spacing w:line="364" w:lineRule="auto" w:before="139"/>
        <w:ind w:right="1708"/>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6643"/>
      </w:pPr>
      <w:r>
        <w:rPr/>
        <w:t>客户服务电话</w:t>
      </w:r>
      <w:r>
        <w:rPr>
          <w:spacing w:val="-2"/>
        </w:rPr>
        <w:t>：400-080-3388 </w:t>
      </w:r>
      <w:hyperlink r:id="rId182">
        <w:r>
          <w:rPr/>
          <w:t>网址：www.puyifund.com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富济基金</w:t>
      </w:r>
    </w:p>
    <w:p>
      <w:pPr>
        <w:pStyle w:val="BodyText"/>
        <w:spacing w:line="364" w:lineRule="auto" w:before="139"/>
        <w:ind w:right="2128"/>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6538"/>
      </w:pPr>
      <w:r>
        <w:rPr/>
        <w:t>客户服务电话：0755-83999907 传真：0755-83999926</w:t>
      </w:r>
    </w:p>
    <w:p>
      <w:pPr>
        <w:pStyle w:val="BodyText"/>
        <w:spacing w:line="268" w:lineRule="exact"/>
      </w:pPr>
      <w:hyperlink r:id="rId183">
        <w:r>
          <w:rPr/>
          <w:t>网址：www.fujifund.cn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海银基金</w:t>
      </w:r>
    </w:p>
    <w:p>
      <w:pPr>
        <w:pStyle w:val="BodyText"/>
        <w:spacing w:line="364" w:lineRule="auto" w:before="139"/>
        <w:ind w:right="3703"/>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6643"/>
      </w:pPr>
      <w:r>
        <w:rPr/>
        <w:t>客户服务电话：400-808-1016 传真：021-80133413</w:t>
      </w:r>
    </w:p>
    <w:p>
      <w:pPr>
        <w:pStyle w:val="BodyText"/>
        <w:spacing w:line="268" w:lineRule="exact"/>
      </w:pPr>
      <w:hyperlink r:id="rId184">
        <w:r>
          <w:rPr/>
          <w:t>网址：www.fundhaiyin.com</w:t>
        </w:r>
      </w:hyperlink>
    </w:p>
    <w:p>
      <w:pPr>
        <w:spacing w:after="0" w:line="268" w:lineRule="exact"/>
        <w:sectPr>
          <w:pgSz w:w="11910" w:h="16840"/>
          <w:pgMar w:header="0" w:footer="1166" w:top="1600" w:bottom="1440" w:left="1400" w:right="360"/>
        </w:sectPr>
      </w:pPr>
    </w:p>
    <w:p>
      <w:pPr>
        <w:pStyle w:val="ListParagraph"/>
        <w:numPr>
          <w:ilvl w:val="0"/>
          <w:numId w:val="9"/>
        </w:numPr>
        <w:tabs>
          <w:tab w:pos="1298" w:val="left" w:leader="none"/>
        </w:tabs>
        <w:spacing w:line="240" w:lineRule="auto" w:before="104" w:after="0"/>
        <w:ind w:left="1298" w:right="0" w:hanging="526"/>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40"/>
        <w:ind w:right="3283"/>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line="364" w:lineRule="auto" w:before="140"/>
        <w:ind w:right="6643"/>
      </w:pPr>
      <w:r>
        <w:rPr/>
        <w:t>客户服务电话：400-700-9665 传真：021-68596919</w:t>
      </w:r>
    </w:p>
    <w:p>
      <w:pPr>
        <w:pStyle w:val="BodyText"/>
        <w:spacing w:line="268" w:lineRule="exact"/>
      </w:pPr>
      <w:hyperlink r:id="rId185">
        <w:r>
          <w:rPr/>
          <w:t>网址：www.ehowbuy.com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4333"/>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6643"/>
      </w:pPr>
      <w:r>
        <w:rPr/>
        <w:t>客户服务电话：400-920-0022 传真：010-65884788</w:t>
      </w:r>
    </w:p>
    <w:p>
      <w:pPr>
        <w:pStyle w:val="BodyText"/>
        <w:spacing w:line="268" w:lineRule="exact"/>
      </w:pPr>
      <w:hyperlink r:id="rId186">
        <w:r>
          <w:rPr/>
          <w:t>网址：http://licaike.hexun.com/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2653"/>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643"/>
      </w:pPr>
      <w:r>
        <w:rPr/>
        <w:t>客户服务电话</w:t>
      </w:r>
      <w:r>
        <w:rPr>
          <w:spacing w:val="-2"/>
        </w:rPr>
        <w:t>：400-8980-618 </w:t>
      </w:r>
      <w:r>
        <w:rPr/>
        <w:t>传真：010-59313586</w:t>
      </w:r>
    </w:p>
    <w:p>
      <w:pPr>
        <w:pStyle w:val="BodyText"/>
        <w:spacing w:line="268" w:lineRule="exact"/>
      </w:pPr>
      <w:hyperlink r:id="rId187">
        <w:r>
          <w:rPr/>
          <w:t>网址：www.chtwm.com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39"/>
        <w:ind w:right="4018"/>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spacing w:after="0"/>
        <w:sectPr>
          <w:pgSz w:w="11910" w:h="16840"/>
          <w:pgMar w:header="0" w:footer="1166" w:top="1600" w:bottom="1440" w:left="1400" w:right="360"/>
        </w:sectPr>
      </w:pPr>
    </w:p>
    <w:p>
      <w:pPr>
        <w:pStyle w:val="BodyText"/>
        <w:spacing w:line="364" w:lineRule="auto" w:before="104"/>
        <w:ind w:right="6643"/>
      </w:pPr>
      <w:r>
        <w:rPr/>
        <w:t>客户服务电话：400-828-1288 </w:t>
      </w:r>
      <w:hyperlink r:id="rId188">
        <w:r>
          <w:rPr/>
          <w:t>网址：www.ftol.com.cn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虹点基金</w:t>
      </w:r>
    </w:p>
    <w:p>
      <w:pPr>
        <w:pStyle w:val="BodyText"/>
        <w:spacing w:line="364" w:lineRule="auto" w:before="139"/>
        <w:ind w:right="4228"/>
        <w:jc w:val="both"/>
      </w:pPr>
      <w:r>
        <w:rPr>
          <w:spacing w:val="-4"/>
        </w:rPr>
        <w:t>注册地址：北京市朝阳区东三环北路 </w:t>
      </w:r>
      <w:r>
        <w:rPr/>
        <w:t>17</w:t>
      </w:r>
      <w:r>
        <w:rPr>
          <w:spacing w:val="-36"/>
        </w:rPr>
        <w:t> 号 </w:t>
      </w:r>
      <w:r>
        <w:rPr/>
        <w:t>10</w:t>
      </w:r>
      <w:r>
        <w:rPr>
          <w:spacing w:val="-36"/>
        </w:rPr>
        <w:t> 层 </w:t>
      </w:r>
      <w:r>
        <w:rPr/>
        <w:t>1015</w:t>
      </w:r>
      <w:r>
        <w:rPr>
          <w:spacing w:val="-34"/>
        </w:rPr>
        <w:t> 室</w:t>
      </w:r>
      <w:r>
        <w:rPr>
          <w:spacing w:val="-4"/>
        </w:rPr>
        <w:t>办公地址：北京市朝阳区东三环北路 </w:t>
      </w:r>
      <w:r>
        <w:rPr/>
        <w:t>17</w:t>
      </w:r>
      <w:r>
        <w:rPr>
          <w:spacing w:val="-36"/>
        </w:rPr>
        <w:t> 号 </w:t>
      </w:r>
      <w:r>
        <w:rPr/>
        <w:t>10</w:t>
      </w:r>
      <w:r>
        <w:rPr>
          <w:spacing w:val="-36"/>
        </w:rPr>
        <w:t> 层 </w:t>
      </w:r>
      <w:r>
        <w:rPr/>
        <w:t>1015</w:t>
      </w:r>
      <w:r>
        <w:rPr>
          <w:spacing w:val="-34"/>
        </w:rPr>
        <w:t> 室</w:t>
      </w:r>
      <w:r>
        <w:rPr/>
        <w:t>法定代表人：何静</w:t>
      </w:r>
    </w:p>
    <w:p>
      <w:pPr>
        <w:pStyle w:val="BodyText"/>
        <w:spacing w:line="268" w:lineRule="exact"/>
      </w:pPr>
      <w:r>
        <w:rPr/>
        <w:t>联系人：王重阳</w:t>
      </w:r>
    </w:p>
    <w:p>
      <w:pPr>
        <w:pStyle w:val="BodyText"/>
        <w:spacing w:before="140"/>
      </w:pPr>
      <w:r>
        <w:rPr/>
        <w:t>联系电话：010-65951887</w:t>
      </w:r>
    </w:p>
    <w:p>
      <w:pPr>
        <w:pStyle w:val="BodyText"/>
        <w:spacing w:line="364" w:lineRule="auto" w:before="139"/>
        <w:ind w:right="6643"/>
      </w:pPr>
      <w:r>
        <w:rPr/>
        <w:t>客户服务电话：400-618-0707 </w:t>
      </w:r>
      <w:hyperlink r:id="rId189">
        <w:r>
          <w:rPr/>
          <w:t>网址：www.hongdianfund.com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华瑞保险销售</w:t>
      </w:r>
    </w:p>
    <w:p>
      <w:pPr>
        <w:pStyle w:val="BodyText"/>
        <w:spacing w:line="364" w:lineRule="auto" w:before="140"/>
        <w:ind w:right="1708"/>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693"/>
      </w:pPr>
      <w:r>
        <w:rPr/>
        <w:t>法定代表人：路昊联系人：茆勇强</w:t>
      </w:r>
    </w:p>
    <w:p>
      <w:pPr>
        <w:pStyle w:val="BodyText"/>
        <w:spacing w:line="268" w:lineRule="exact"/>
      </w:pPr>
      <w:r>
        <w:rPr/>
        <w:t>联系电话：021-68595698</w:t>
      </w:r>
    </w:p>
    <w:p>
      <w:pPr>
        <w:pStyle w:val="BodyText"/>
        <w:spacing w:line="364" w:lineRule="auto" w:before="138"/>
        <w:ind w:right="7273"/>
      </w:pPr>
      <w:r>
        <w:rPr/>
        <w:t>客户服务电话：952303 传真：021-68595766</w:t>
      </w:r>
    </w:p>
    <w:p>
      <w:pPr>
        <w:pStyle w:val="BodyText"/>
        <w:spacing w:line="268" w:lineRule="exact"/>
      </w:pPr>
      <w:hyperlink r:id="rId190">
        <w:r>
          <w:rPr/>
          <w:t>网址：www.huaruisales.com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华夏财富</w:t>
      </w:r>
    </w:p>
    <w:p>
      <w:pPr>
        <w:pStyle w:val="BodyText"/>
        <w:spacing w:line="364" w:lineRule="auto" w:before="139"/>
        <w:ind w:right="4018"/>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pStyle w:val="BodyText"/>
        <w:spacing w:line="268" w:lineRule="exact"/>
      </w:pPr>
      <w:r>
        <w:rPr/>
        <w:t>联系人：张静怡</w:t>
      </w:r>
    </w:p>
    <w:p>
      <w:pPr>
        <w:pStyle w:val="BodyText"/>
        <w:spacing w:before="140"/>
      </w:pPr>
      <w:r>
        <w:rPr/>
        <w:t>联系电话：010-88066326</w:t>
      </w:r>
    </w:p>
    <w:p>
      <w:pPr>
        <w:pStyle w:val="BodyText"/>
        <w:spacing w:line="364" w:lineRule="auto" w:before="139"/>
        <w:ind w:right="6643"/>
      </w:pPr>
      <w:r>
        <w:rPr/>
        <w:t>客户服务电话：400-817-5666 传真：010-63136184</w:t>
      </w:r>
    </w:p>
    <w:p>
      <w:pPr>
        <w:pStyle w:val="BodyText"/>
        <w:spacing w:line="268" w:lineRule="exact"/>
      </w:pPr>
      <w:hyperlink r:id="rId191">
        <w:r>
          <w:rPr/>
          <w:t>网址：www.amcfortune.com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徽商期货</w:t>
      </w:r>
    </w:p>
    <w:p>
      <w:pPr>
        <w:pStyle w:val="BodyText"/>
        <w:spacing w:line="364" w:lineRule="auto" w:before="140"/>
        <w:ind w:right="3124"/>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693"/>
      </w:pPr>
      <w:r>
        <w:rPr/>
        <w:t>法人代表：吴国华联系人：申倩倩</w:t>
      </w:r>
    </w:p>
    <w:p>
      <w:pPr>
        <w:spacing w:after="0" w:line="364" w:lineRule="auto"/>
        <w:sectPr>
          <w:pgSz w:w="11910" w:h="16840"/>
          <w:pgMar w:header="0" w:footer="1166" w:top="1600" w:bottom="1440" w:left="1400" w:right="360"/>
        </w:sectPr>
      </w:pPr>
    </w:p>
    <w:p>
      <w:pPr>
        <w:pStyle w:val="BodyText"/>
        <w:spacing w:before="104"/>
      </w:pPr>
      <w:r>
        <w:rPr/>
        <w:t>联系电话：0551-62865215</w:t>
      </w:r>
    </w:p>
    <w:p>
      <w:pPr>
        <w:pStyle w:val="BodyText"/>
        <w:spacing w:line="364" w:lineRule="auto" w:before="139"/>
        <w:ind w:right="6643"/>
      </w:pPr>
      <w:r>
        <w:rPr/>
        <w:t>客户服务电话：400-887-8707 </w:t>
      </w:r>
      <w:hyperlink r:id="rId192">
        <w:r>
          <w:rPr/>
          <w:t>网址：www.hsqh.net</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7483"/>
      </w:pPr>
      <w:r>
        <w:rPr/>
        <w:t>法定代表人：王伟刚联系人：王骁骁</w:t>
      </w:r>
    </w:p>
    <w:p>
      <w:pPr>
        <w:pStyle w:val="BodyText"/>
        <w:spacing w:line="268" w:lineRule="exact"/>
      </w:pPr>
      <w:r>
        <w:rPr/>
        <w:t>联系电话：010-56251471</w:t>
      </w:r>
    </w:p>
    <w:p>
      <w:pPr>
        <w:pStyle w:val="BodyText"/>
        <w:spacing w:line="364" w:lineRule="auto" w:before="139"/>
        <w:ind w:right="6643"/>
      </w:pPr>
      <w:r>
        <w:rPr/>
        <w:t>客户服务电话</w:t>
      </w:r>
      <w:r>
        <w:rPr>
          <w:spacing w:val="-2"/>
        </w:rPr>
        <w:t>：400-619-9059 </w:t>
      </w:r>
      <w:hyperlink r:id="rId193">
        <w:r>
          <w:rPr/>
          <w:t>网址：www.hcfunds.com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汇付基金</w:t>
      </w:r>
    </w:p>
    <w:p>
      <w:pPr>
        <w:pStyle w:val="BodyText"/>
        <w:spacing w:before="140"/>
      </w:pPr>
      <w:r>
        <w:rPr/>
        <w:t>注册地址：上海市黄浦区黄河路 333 号 201 室 A 区 056 单元</w:t>
      </w:r>
    </w:p>
    <w:p>
      <w:pPr>
        <w:pStyle w:val="BodyText"/>
        <w:spacing w:line="364" w:lineRule="auto" w:before="139"/>
        <w:ind w:right="1603"/>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6643"/>
      </w:pPr>
      <w:r>
        <w:rPr/>
        <w:t>客户服务电话：021-34013999 传真：021-33323837</w:t>
      </w:r>
    </w:p>
    <w:p>
      <w:pPr>
        <w:pStyle w:val="BodyText"/>
        <w:spacing w:line="268" w:lineRule="exact"/>
      </w:pPr>
      <w:hyperlink r:id="rId194">
        <w:r>
          <w:rPr/>
          <w:t>网址：www.hotjijin.com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2548"/>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392" w:val="left" w:leader="none"/>
        </w:tabs>
        <w:spacing w:line="364" w:lineRule="auto" w:before="139"/>
        <w:ind w:right="2233"/>
      </w:pPr>
      <w:r>
        <w:rPr/>
        <w:t>客户服务电话：400-673-7010（济安财富官网）</w:t>
        <w:tab/>
        <w:t>400-071-6766（腾讯财经</w:t>
      </w:r>
      <w:r>
        <w:rPr>
          <w:spacing w:val="-18"/>
        </w:rPr>
        <w:t>） </w:t>
      </w:r>
      <w:r>
        <w:rPr/>
        <w:t>传真：010-65330699</w:t>
      </w:r>
    </w:p>
    <w:p>
      <w:pPr>
        <w:pStyle w:val="BodyText"/>
        <w:spacing w:line="268" w:lineRule="exact"/>
      </w:pPr>
      <w:hyperlink r:id="rId195">
        <w:r>
          <w:rPr/>
          <w:t>网址：www.jianfortune.com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加和基金</w:t>
      </w:r>
    </w:p>
    <w:p>
      <w:pPr>
        <w:pStyle w:val="BodyText"/>
        <w:spacing w:line="364" w:lineRule="auto" w:before="139"/>
        <w:ind w:right="3388"/>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spacing w:after="0" w:line="364" w:lineRule="auto"/>
        <w:jc w:val="both"/>
        <w:sectPr>
          <w:pgSz w:w="11910" w:h="16840"/>
          <w:pgMar w:header="0" w:footer="1166" w:top="1600" w:bottom="1440" w:left="1400" w:right="360"/>
        </w:sectPr>
      </w:pPr>
    </w:p>
    <w:p>
      <w:pPr>
        <w:pStyle w:val="BodyText"/>
        <w:spacing w:before="104"/>
      </w:pPr>
      <w:r>
        <w:rPr/>
        <w:t>联系人：王梓骄</w:t>
      </w:r>
    </w:p>
    <w:p>
      <w:pPr>
        <w:pStyle w:val="BodyText"/>
        <w:spacing w:before="139"/>
      </w:pPr>
      <w:r>
        <w:rPr/>
        <w:t>联系电话：010-80456756</w:t>
      </w:r>
    </w:p>
    <w:p>
      <w:pPr>
        <w:pStyle w:val="BodyText"/>
        <w:spacing w:line="364" w:lineRule="auto" w:before="140"/>
        <w:ind w:right="6643"/>
      </w:pPr>
      <w:r>
        <w:rPr/>
        <w:t>客户服务电话：400-803-1188 传真：010-80456278</w:t>
      </w:r>
    </w:p>
    <w:p>
      <w:pPr>
        <w:pStyle w:val="BodyText"/>
        <w:spacing w:line="268" w:lineRule="exact"/>
      </w:pPr>
      <w:hyperlink r:id="rId196">
        <w:r>
          <w:rPr/>
          <w:t>网址：www.bzfunds.com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嘉实财富</w:t>
      </w:r>
    </w:p>
    <w:p>
      <w:pPr>
        <w:pStyle w:val="BodyText"/>
        <w:spacing w:line="364" w:lineRule="auto" w:before="140"/>
        <w:ind w:right="1504"/>
      </w:pPr>
      <w:r>
        <w:rPr>
          <w:spacing w:val="-2"/>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4228"/>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6643"/>
      </w:pPr>
      <w:r>
        <w:rPr/>
        <w:t>客户服务电话：400-021-8850 传真：010-85712195</w:t>
      </w:r>
    </w:p>
    <w:p>
      <w:pPr>
        <w:pStyle w:val="BodyText"/>
        <w:spacing w:line="268" w:lineRule="exact"/>
      </w:pPr>
      <w:hyperlink r:id="rId197">
        <w:r>
          <w:rPr/>
          <w:t>网址：www.harvestwm.cn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金百临</w:t>
      </w:r>
    </w:p>
    <w:p>
      <w:pPr>
        <w:pStyle w:val="BodyText"/>
        <w:spacing w:before="140"/>
      </w:pPr>
      <w:r>
        <w:rPr/>
        <w:t>注册地址：无锡市滨湖区锦溪路 99 号</w:t>
      </w:r>
    </w:p>
    <w:p>
      <w:pPr>
        <w:pStyle w:val="BodyText"/>
        <w:spacing w:line="364" w:lineRule="auto" w:before="139"/>
        <w:ind w:right="4333"/>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40"/>
        <w:ind w:right="6643"/>
      </w:pPr>
      <w:r>
        <w:rPr/>
        <w:t>客户服务电话：0510-9688988 </w:t>
      </w:r>
      <w:hyperlink r:id="rId198">
        <w:r>
          <w:rPr/>
          <w:t>网址：www.jsjbl.com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金观诚</w:t>
      </w:r>
    </w:p>
    <w:p>
      <w:pPr>
        <w:pStyle w:val="BodyText"/>
        <w:spacing w:line="364" w:lineRule="auto" w:before="139"/>
        <w:ind w:right="2389"/>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3"/>
        </w:rPr>
        <w:t> 室</w:t>
      </w:r>
      <w:r>
        <w:rPr>
          <w:spacing w:val="-4"/>
        </w:rPr>
        <w:t>办公地址：杭州拱墅区登云路 </w:t>
      </w:r>
      <w:r>
        <w:rPr/>
        <w:t>55</w:t>
      </w:r>
      <w:r>
        <w:rPr>
          <w:spacing w:val="-10"/>
        </w:rPr>
        <w:t> 号金诚集团</w:t>
      </w:r>
      <w:r>
        <w:rPr/>
        <w:t>（锦昌大厦）</w:t>
      </w:r>
    </w:p>
    <w:p>
      <w:pPr>
        <w:pStyle w:val="BodyText"/>
        <w:spacing w:line="364" w:lineRule="auto"/>
        <w:ind w:right="7483"/>
      </w:pPr>
      <w:r>
        <w:rPr/>
        <w:t>法定代表人：蒋雪琦联系人：来舒岚</w:t>
      </w:r>
    </w:p>
    <w:p>
      <w:pPr>
        <w:pStyle w:val="BodyText"/>
        <w:spacing w:line="268" w:lineRule="exact"/>
      </w:pPr>
      <w:r>
        <w:rPr/>
        <w:t>联系电话：0571-88337888</w:t>
      </w:r>
    </w:p>
    <w:p>
      <w:pPr>
        <w:pStyle w:val="BodyText"/>
        <w:spacing w:line="364" w:lineRule="auto" w:before="139"/>
        <w:ind w:right="6853"/>
      </w:pPr>
      <w:r>
        <w:rPr/>
        <w:t>客户服务电话：4000680058 传真：0571-88337666</w:t>
      </w:r>
    </w:p>
    <w:p>
      <w:pPr>
        <w:pStyle w:val="BodyText"/>
        <w:spacing w:line="268" w:lineRule="exact"/>
      </w:pPr>
      <w:hyperlink r:id="rId199">
        <w:r>
          <w:rPr/>
          <w:t>网址：http://www.jincheng-fund.com/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金海九州</w:t>
      </w:r>
    </w:p>
    <w:p>
      <w:pPr>
        <w:spacing w:after="0" w:line="240" w:lineRule="auto"/>
        <w:jc w:val="left"/>
        <w:rPr>
          <w:sz w:val="21"/>
        </w:rPr>
        <w:sectPr>
          <w:pgSz w:w="11910" w:h="16840"/>
          <w:pgMar w:header="0" w:footer="1166" w:top="1600" w:bottom="1440" w:left="1400" w:right="360"/>
        </w:sectPr>
      </w:pPr>
    </w:p>
    <w:p>
      <w:pPr>
        <w:pStyle w:val="BodyText"/>
        <w:spacing w:line="364" w:lineRule="auto" w:before="104"/>
        <w:ind w:right="1452"/>
      </w:pPr>
      <w:r>
        <w:rPr>
          <w:spacing w:val="-11"/>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648"/>
      </w:pPr>
      <w:r>
        <w:rPr>
          <w:spacing w:val="-3"/>
        </w:rPr>
        <w:t>办公地址：深圳市福田区富德生命保险大厦 </w:t>
      </w:r>
      <w:r>
        <w:rPr/>
        <w:t>1106</w:t>
      </w:r>
      <w:r>
        <w:rPr>
          <w:spacing w:val="-35"/>
        </w:rPr>
        <w:t> 室</w:t>
      </w:r>
      <w:r>
        <w:rPr/>
        <w:t>法定代表人：彭维熙</w:t>
      </w:r>
    </w:p>
    <w:p>
      <w:pPr>
        <w:pStyle w:val="BodyText"/>
        <w:spacing w:line="268" w:lineRule="exact"/>
      </w:pPr>
      <w:r>
        <w:rPr/>
        <w:t>联系人：彭维熙</w:t>
      </w:r>
    </w:p>
    <w:p>
      <w:pPr>
        <w:pStyle w:val="BodyText"/>
        <w:spacing w:before="138"/>
      </w:pPr>
      <w:r>
        <w:rPr/>
        <w:t>联系电话：0755-81994266</w:t>
      </w:r>
    </w:p>
    <w:p>
      <w:pPr>
        <w:pStyle w:val="BodyText"/>
        <w:spacing w:line="364" w:lineRule="auto" w:before="140"/>
        <w:ind w:right="6853"/>
      </w:pPr>
      <w:r>
        <w:rPr/>
        <w:t>客户服务电话：4000993333 传真：0755-84333886</w:t>
      </w:r>
    </w:p>
    <w:p>
      <w:pPr>
        <w:pStyle w:val="BodyText"/>
        <w:spacing w:line="268" w:lineRule="exact"/>
      </w:pPr>
      <w:hyperlink r:id="rId200">
        <w:r>
          <w:rPr/>
          <w:t>网址：www.jhjzfund.com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3493"/>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6643"/>
      </w:pPr>
      <w:r>
        <w:rPr/>
        <w:t>客户服务电话</w:t>
      </w:r>
      <w:r>
        <w:rPr>
          <w:spacing w:val="-2"/>
        </w:rPr>
        <w:t>：400-102-1813 </w:t>
      </w:r>
      <w:r>
        <w:rPr/>
        <w:t>传真：021-68682297</w:t>
      </w:r>
    </w:p>
    <w:p>
      <w:pPr>
        <w:pStyle w:val="BodyText"/>
        <w:spacing w:line="268" w:lineRule="exact"/>
      </w:pPr>
      <w:hyperlink r:id="rId201">
        <w:r>
          <w:rPr/>
          <w:t>网址：www.jfcta.com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凯石财富</w:t>
      </w:r>
    </w:p>
    <w:p>
      <w:pPr>
        <w:pStyle w:val="BodyText"/>
        <w:spacing w:line="364" w:lineRule="auto" w:before="139"/>
        <w:ind w:right="4543"/>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6643"/>
      </w:pPr>
      <w:r>
        <w:rPr/>
        <w:t>客户服务电话：4006-433-389 传真：021-63333390</w:t>
      </w:r>
    </w:p>
    <w:p>
      <w:pPr>
        <w:pStyle w:val="BodyText"/>
        <w:spacing w:line="268" w:lineRule="exact"/>
      </w:pPr>
      <w:hyperlink r:id="rId202">
        <w:r>
          <w:rPr/>
          <w:t>网址：www.vstonewealth.com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2023"/>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spacing w:after="0"/>
        <w:sectPr>
          <w:pgSz w:w="11910" w:h="16840"/>
          <w:pgMar w:header="0" w:footer="1166" w:top="1600" w:bottom="1440" w:left="1400" w:right="360"/>
        </w:sectPr>
      </w:pPr>
    </w:p>
    <w:p>
      <w:pPr>
        <w:pStyle w:val="BodyText"/>
        <w:spacing w:before="104"/>
      </w:pPr>
      <w:r>
        <w:rPr/>
        <w:t>客户服务电话：95118</w:t>
      </w:r>
    </w:p>
    <w:p>
      <w:pPr>
        <w:pStyle w:val="BodyText"/>
        <w:spacing w:before="139"/>
      </w:pPr>
      <w:hyperlink r:id="rId203">
        <w:r>
          <w:rPr/>
          <w:t>网址：http://fund.jd.com/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3283"/>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7273"/>
      </w:pPr>
      <w:r>
        <w:rPr/>
        <w:t>客户服务电话：95733 传真：86-21-61101630</w:t>
      </w:r>
    </w:p>
    <w:p>
      <w:pPr>
        <w:pStyle w:val="BodyText"/>
        <w:spacing w:line="268" w:lineRule="exact"/>
      </w:pPr>
      <w:hyperlink r:id="rId204">
        <w:r>
          <w:rPr/>
          <w:t>网址：www.leadfund.com.cn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联泰基金</w:t>
      </w:r>
    </w:p>
    <w:p>
      <w:pPr>
        <w:pStyle w:val="BodyText"/>
        <w:spacing w:line="364" w:lineRule="auto" w:before="139"/>
        <w:ind w:right="3073"/>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7483"/>
      </w:pPr>
      <w:r>
        <w:rPr/>
        <w:t>法定代表人：尹彬彬联系人：陈东</w:t>
      </w:r>
    </w:p>
    <w:p>
      <w:pPr>
        <w:pStyle w:val="BodyText"/>
        <w:spacing w:line="268" w:lineRule="exact"/>
      </w:pPr>
      <w:r>
        <w:rPr/>
        <w:t>联系电话：021-52822063</w:t>
      </w:r>
    </w:p>
    <w:p>
      <w:pPr>
        <w:pStyle w:val="BodyText"/>
        <w:spacing w:line="364" w:lineRule="auto" w:before="139"/>
        <w:ind w:right="6643"/>
      </w:pPr>
      <w:r>
        <w:rPr/>
        <w:t>客户服务电话：400-118-1188 传真：021-52975270</w:t>
      </w:r>
    </w:p>
    <w:p>
      <w:pPr>
        <w:pStyle w:val="BodyText"/>
        <w:spacing w:line="268" w:lineRule="exact"/>
      </w:pPr>
      <w:hyperlink r:id="rId205">
        <w:r>
          <w:rPr/>
          <w:t>网址：www.66zichan.com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陆基金</w:t>
      </w:r>
    </w:p>
    <w:p>
      <w:pPr>
        <w:pStyle w:val="BodyText"/>
        <w:spacing w:line="364" w:lineRule="auto" w:before="140"/>
        <w:ind w:right="2548"/>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6853"/>
      </w:pPr>
      <w:r>
        <w:rPr/>
        <w:t>客户服务电话：4008219031 传真：021-22066653</w:t>
      </w:r>
    </w:p>
    <w:p>
      <w:pPr>
        <w:pStyle w:val="BodyText"/>
        <w:spacing w:line="268" w:lineRule="exact"/>
      </w:pPr>
      <w:hyperlink r:id="rId206">
        <w:r>
          <w:rPr/>
          <w:t>网址：www.lufunds.com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蚂蚁基金</w:t>
      </w:r>
    </w:p>
    <w:p>
      <w:pPr>
        <w:pStyle w:val="BodyText"/>
        <w:spacing w:line="364" w:lineRule="auto" w:before="140"/>
        <w:ind w:right="2653"/>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268" w:lineRule="exact"/>
      </w:pPr>
      <w:r>
        <w:rPr/>
        <w:t>法定代表人：祖国明</w:t>
      </w:r>
    </w:p>
    <w:p>
      <w:pPr>
        <w:spacing w:after="0" w:line="268" w:lineRule="exact"/>
        <w:sectPr>
          <w:pgSz w:w="11910" w:h="16840"/>
          <w:pgMar w:header="0" w:footer="1166" w:top="1600" w:bottom="1440" w:left="1400" w:right="360"/>
        </w:sectPr>
      </w:pPr>
    </w:p>
    <w:p>
      <w:pPr>
        <w:pStyle w:val="BodyText"/>
        <w:spacing w:before="104"/>
      </w:pPr>
      <w:r>
        <w:rPr/>
        <w:t>联系人：韩爱彬</w:t>
      </w:r>
    </w:p>
    <w:p>
      <w:pPr>
        <w:pStyle w:val="BodyText"/>
        <w:spacing w:before="139"/>
      </w:pPr>
      <w:r>
        <w:rPr/>
        <w:t>联系电话：0571-26888888</w:t>
      </w:r>
    </w:p>
    <w:p>
      <w:pPr>
        <w:pStyle w:val="BodyText"/>
        <w:spacing w:line="364" w:lineRule="auto" w:before="140"/>
        <w:ind w:right="6433"/>
      </w:pPr>
      <w:r>
        <w:rPr/>
        <w:t>客户服务电话：4000-766-123 </w:t>
      </w:r>
      <w:hyperlink r:id="rId207">
        <w:r>
          <w:rPr>
            <w:spacing w:val="-1"/>
          </w:rPr>
          <w:t>网址：http://www.fund123.cn/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民商基金</w:t>
      </w:r>
    </w:p>
    <w:p>
      <w:pPr>
        <w:pStyle w:val="BodyText"/>
        <w:spacing w:line="364" w:lineRule="auto" w:before="139"/>
        <w:ind w:right="3334"/>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7483"/>
      </w:pPr>
      <w:r>
        <w:rPr/>
        <w:t>法定代表人：贲惠琴联系人：林志枫</w:t>
      </w:r>
    </w:p>
    <w:p>
      <w:pPr>
        <w:pStyle w:val="BodyText"/>
        <w:spacing w:line="268" w:lineRule="exact"/>
      </w:pPr>
      <w:r>
        <w:rPr/>
        <w:t>联系电话：021-50206003</w:t>
      </w:r>
    </w:p>
    <w:p>
      <w:pPr>
        <w:pStyle w:val="BodyText"/>
        <w:spacing w:line="364" w:lineRule="auto" w:before="139"/>
        <w:ind w:right="6643"/>
      </w:pPr>
      <w:r>
        <w:rPr/>
        <w:t>客户服务电话：021-50206003 传真：021-50206001</w:t>
      </w:r>
    </w:p>
    <w:p>
      <w:pPr>
        <w:pStyle w:val="BodyText"/>
        <w:spacing w:line="268" w:lineRule="exact"/>
      </w:pPr>
      <w:hyperlink r:id="rId208">
        <w:r>
          <w:rPr/>
          <w:t>网址：http://www.msftec.com/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诺亚正行</w:t>
      </w:r>
    </w:p>
    <w:p>
      <w:pPr>
        <w:pStyle w:val="BodyText"/>
        <w:spacing w:line="364" w:lineRule="auto" w:before="140"/>
        <w:ind w:right="4438"/>
      </w:pPr>
      <w:r>
        <w:rPr>
          <w:spacing w:val="-4"/>
        </w:rPr>
        <w:t>注册地址：上海市虹口区飞虹路 </w:t>
      </w:r>
      <w:r>
        <w:rPr/>
        <w:t>360</w:t>
      </w:r>
      <w:r>
        <w:rPr>
          <w:spacing w:val="-35"/>
        </w:rPr>
        <w:t> 弄 </w:t>
      </w:r>
      <w:r>
        <w:rPr/>
        <w:t>9</w:t>
      </w:r>
      <w:r>
        <w:rPr>
          <w:spacing w:val="-35"/>
        </w:rPr>
        <w:t> 号 </w:t>
      </w:r>
      <w:r>
        <w:rPr/>
        <w:t>3724</w:t>
      </w:r>
      <w:r>
        <w:rPr>
          <w:spacing w:val="-18"/>
        </w:rPr>
        <w:t> 室办</w:t>
      </w:r>
      <w:r>
        <w:rPr>
          <w:spacing w:val="-21"/>
        </w:rPr>
        <w:t>公地址：上海市杨浦区长阳路 </w:t>
      </w:r>
      <w:r>
        <w:rPr/>
        <w:t>1687</w:t>
      </w:r>
      <w:r>
        <w:rPr>
          <w:spacing w:val="-19"/>
        </w:rPr>
        <w:t> 号长阳谷 </w:t>
      </w:r>
      <w:r>
        <w:rPr/>
        <w:t>2</w:t>
      </w:r>
      <w:r>
        <w:rPr>
          <w:spacing w:val="-18"/>
        </w:rPr>
        <w:t> 号楼法定代表人：汪静波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6643"/>
      </w:pPr>
      <w:r>
        <w:rPr/>
        <w:t>客户服务电话：400-821-5399 传真：021-38509777</w:t>
      </w:r>
    </w:p>
    <w:p>
      <w:pPr>
        <w:pStyle w:val="BodyText"/>
        <w:spacing w:line="268" w:lineRule="exact"/>
      </w:pPr>
      <w:hyperlink r:id="rId209">
        <w:r>
          <w:rPr/>
          <w:t>网址：www.noah-fund.com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浦领基金</w:t>
      </w:r>
    </w:p>
    <w:p>
      <w:pPr>
        <w:pStyle w:val="BodyText"/>
        <w:spacing w:line="364" w:lineRule="auto" w:before="139"/>
        <w:ind w:right="3598"/>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7483"/>
      </w:pPr>
      <w:r>
        <w:rPr/>
        <w:t>法定代表人：聂婉君联系人：李艳</w:t>
      </w:r>
    </w:p>
    <w:p>
      <w:pPr>
        <w:pStyle w:val="BodyText"/>
        <w:spacing w:line="268" w:lineRule="exact"/>
      </w:pPr>
      <w:r>
        <w:rPr/>
        <w:t>联系电话：010-59497361</w:t>
      </w:r>
    </w:p>
    <w:p>
      <w:pPr>
        <w:pStyle w:val="BodyText"/>
        <w:spacing w:line="364" w:lineRule="auto" w:before="139"/>
        <w:ind w:right="6643"/>
      </w:pPr>
      <w:r>
        <w:rPr/>
        <w:t>客户服务电话：400-012-5899 传真：010-64788016</w:t>
      </w:r>
    </w:p>
    <w:p>
      <w:pPr>
        <w:pStyle w:val="BodyText"/>
        <w:spacing w:line="268" w:lineRule="exact"/>
      </w:pPr>
      <w:hyperlink r:id="rId210">
        <w:r>
          <w:rPr/>
          <w:t>网址：www.zscffund.com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钱景基金</w:t>
      </w:r>
    </w:p>
    <w:p>
      <w:pPr>
        <w:pStyle w:val="BodyText"/>
        <w:spacing w:before="140"/>
      </w:pPr>
      <w:r>
        <w:rPr/>
        <w:t>注册地址：北京市海淀区中关村东路 18 号 1 号楼 11 层 B-1108</w:t>
      </w:r>
    </w:p>
    <w:p>
      <w:pPr>
        <w:spacing w:after="0"/>
        <w:sectPr>
          <w:pgSz w:w="11910" w:h="16840"/>
          <w:pgMar w:header="0" w:footer="1166" w:top="1600" w:bottom="1440" w:left="1400" w:right="360"/>
        </w:sectPr>
      </w:pPr>
    </w:p>
    <w:p>
      <w:pPr>
        <w:pStyle w:val="BodyText"/>
        <w:spacing w:before="104"/>
      </w:pPr>
      <w:r>
        <w:rPr/>
        <w:t>办公地址：北京市海淀区中关村东路 18 号财智国际大厦 B-1108</w:t>
      </w:r>
    </w:p>
    <w:p>
      <w:pPr>
        <w:pStyle w:val="BodyText"/>
        <w:spacing w:line="364" w:lineRule="auto" w:before="139"/>
        <w:ind w:right="7483"/>
      </w:pPr>
      <w:r>
        <w:rPr/>
        <w:t>法定代表人：王利刚联系人：白皓</w:t>
      </w:r>
    </w:p>
    <w:p>
      <w:pPr>
        <w:pStyle w:val="BodyText"/>
        <w:spacing w:line="268" w:lineRule="exact"/>
      </w:pPr>
      <w:r>
        <w:rPr/>
        <w:t>联系电话：010-59422766</w:t>
      </w:r>
    </w:p>
    <w:p>
      <w:pPr>
        <w:pStyle w:val="BodyText"/>
        <w:spacing w:line="364" w:lineRule="auto" w:before="140"/>
        <w:ind w:right="6643"/>
      </w:pPr>
      <w:r>
        <w:rPr/>
        <w:t>客户服务电话：400-893-6885 传真：010-62565181</w:t>
      </w:r>
    </w:p>
    <w:p>
      <w:pPr>
        <w:pStyle w:val="BodyText"/>
        <w:spacing w:line="268" w:lineRule="exact"/>
      </w:pPr>
      <w:hyperlink r:id="rId211">
        <w:r>
          <w:rPr/>
          <w:t>网址：www.qianjing.com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3598"/>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6643"/>
      </w:pPr>
      <w:r>
        <w:rPr/>
        <w:t>客户服务电话：400-166-1188 传真：010-83363010</w:t>
      </w:r>
    </w:p>
    <w:p>
      <w:pPr>
        <w:pStyle w:val="BodyText"/>
        <w:spacing w:line="268" w:lineRule="exact"/>
      </w:pPr>
      <w:hyperlink r:id="rId212">
        <w:r>
          <w:rPr/>
          <w:t>网址：http://8.jrj.com.cn</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3808"/>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6643"/>
      </w:pPr>
      <w:r>
        <w:rPr/>
        <w:t>客户服务电话：010-58170761 传真：010-58170800</w:t>
      </w:r>
    </w:p>
    <w:p>
      <w:pPr>
        <w:pStyle w:val="BodyText"/>
        <w:spacing w:line="268" w:lineRule="exact"/>
      </w:pPr>
      <w:hyperlink r:id="rId213">
        <w:r>
          <w:rPr/>
          <w:t>网址：www.shengshiview.com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苏宁基金</w:t>
      </w:r>
    </w:p>
    <w:p>
      <w:pPr>
        <w:pStyle w:val="BodyText"/>
        <w:spacing w:line="364" w:lineRule="auto" w:before="139"/>
        <w:ind w:right="5593"/>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pStyle w:val="BodyText"/>
        <w:spacing w:line="268" w:lineRule="exact"/>
      </w:pPr>
      <w:r>
        <w:rPr/>
        <w:t>联系人：冯鹏鹏</w:t>
      </w:r>
    </w:p>
    <w:p>
      <w:pPr>
        <w:pStyle w:val="BodyText"/>
        <w:spacing w:before="140"/>
      </w:pPr>
      <w:r>
        <w:rPr/>
        <w:t>联系电话：025-66996699-882796</w:t>
      </w:r>
    </w:p>
    <w:p>
      <w:pPr>
        <w:pStyle w:val="BodyText"/>
        <w:spacing w:line="364" w:lineRule="auto" w:before="139"/>
        <w:ind w:right="7168"/>
      </w:pPr>
      <w:r>
        <w:rPr/>
        <w:t>客户服务电话：95177 </w:t>
      </w:r>
      <w:hyperlink r:id="rId214">
        <w:r>
          <w:rPr>
            <w:spacing w:val="-1"/>
          </w:rPr>
          <w:t>网址：www.snjijin.com</w:t>
        </w:r>
      </w:hyperlink>
    </w:p>
    <w:p>
      <w:pPr>
        <w:spacing w:after="0" w:line="364" w:lineRule="auto"/>
        <w:sectPr>
          <w:pgSz w:w="11910" w:h="16840"/>
          <w:pgMar w:header="0" w:footer="1166" w:top="1600" w:bottom="1440" w:left="1400" w:right="360"/>
        </w:sectPr>
      </w:pPr>
    </w:p>
    <w:p>
      <w:pPr>
        <w:pStyle w:val="ListParagraph"/>
        <w:numPr>
          <w:ilvl w:val="0"/>
          <w:numId w:val="9"/>
        </w:numPr>
        <w:tabs>
          <w:tab w:pos="1298" w:val="left" w:leader="none"/>
        </w:tabs>
        <w:spacing w:line="240" w:lineRule="auto" w:before="104" w:after="0"/>
        <w:ind w:left="1298" w:right="0" w:hanging="526"/>
        <w:jc w:val="left"/>
        <w:rPr>
          <w:sz w:val="21"/>
        </w:rPr>
      </w:pPr>
      <w:r>
        <w:rPr>
          <w:sz w:val="21"/>
        </w:rPr>
        <w:t>腾安基金</w:t>
      </w:r>
    </w:p>
    <w:p>
      <w:pPr>
        <w:pStyle w:val="BodyText"/>
        <w:spacing w:line="364" w:lineRule="auto" w:before="139"/>
        <w:ind w:right="1452"/>
      </w:pPr>
      <w:r>
        <w:rPr>
          <w:spacing w:val="-11"/>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913"/>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5539"/>
      </w:pPr>
      <w:r>
        <w:rPr/>
        <w:t>客户服务电话：95017（</w:t>
      </w:r>
      <w:r>
        <w:rPr>
          <w:spacing w:val="-11"/>
        </w:rPr>
        <w:t>拨通后转 </w:t>
      </w:r>
      <w:r>
        <w:rPr/>
        <w:t>1</w:t>
      </w:r>
      <w:r>
        <w:rPr>
          <w:spacing w:val="-36"/>
        </w:rPr>
        <w:t> 转 </w:t>
      </w:r>
      <w:r>
        <w:rPr>
          <w:spacing w:val="-8"/>
        </w:rPr>
        <w:t>8） </w:t>
      </w:r>
      <w:hyperlink r:id="rId215">
        <w:r>
          <w:rPr/>
          <w:t>公司网址：https://www.txfund.com/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4438"/>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7378"/>
      </w:pPr>
      <w:r>
        <w:rPr/>
        <w:t>客户服务电话：95021 传真：021-64385308</w:t>
      </w:r>
    </w:p>
    <w:p>
      <w:pPr>
        <w:pStyle w:val="BodyText"/>
        <w:spacing w:line="268" w:lineRule="exact"/>
      </w:pPr>
      <w:hyperlink r:id="rId216">
        <w:r>
          <w:rPr/>
          <w:t>网址：www.1234567.com.cn</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4018"/>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7063"/>
      </w:pPr>
      <w:r>
        <w:rPr/>
        <w:t>联系人：杨涛、庄洁茹 联系电话</w:t>
      </w:r>
      <w:r>
        <w:rPr>
          <w:spacing w:val="-2"/>
        </w:rPr>
        <w:t>：021-60810586</w:t>
      </w:r>
    </w:p>
    <w:p>
      <w:pPr>
        <w:pStyle w:val="BodyText"/>
        <w:spacing w:line="364" w:lineRule="auto"/>
        <w:ind w:right="6643"/>
      </w:pPr>
      <w:r>
        <w:rPr/>
        <w:t>客户服务电话：400-101-9301 传真：021-60810695</w:t>
      </w:r>
    </w:p>
    <w:p>
      <w:pPr>
        <w:pStyle w:val="BodyText"/>
        <w:spacing w:line="268" w:lineRule="exact"/>
      </w:pPr>
      <w:hyperlink r:id="rId217">
        <w:r>
          <w:rPr/>
          <w:t>网址：www.tonghuafund.com</w:t>
        </w:r>
      </w:hyperlink>
    </w:p>
    <w:p>
      <w:pPr>
        <w:pStyle w:val="ListParagraph"/>
        <w:numPr>
          <w:ilvl w:val="0"/>
          <w:numId w:val="9"/>
        </w:numPr>
        <w:tabs>
          <w:tab w:pos="1298" w:val="left" w:leader="none"/>
        </w:tabs>
        <w:spacing w:line="240" w:lineRule="auto" w:before="138" w:after="0"/>
        <w:ind w:left="1298" w:right="0" w:hanging="526"/>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3598"/>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before="139"/>
      </w:pPr>
      <w:r>
        <w:rPr/>
        <w:t>客户服务电话：952555</w:t>
      </w:r>
    </w:p>
    <w:p>
      <w:pPr>
        <w:spacing w:after="0"/>
        <w:sectPr>
          <w:pgSz w:w="11910" w:h="16840"/>
          <w:pgMar w:header="0" w:footer="1166" w:top="1600" w:bottom="1440" w:left="1400" w:right="360"/>
        </w:sectPr>
      </w:pPr>
    </w:p>
    <w:p>
      <w:pPr>
        <w:pStyle w:val="BodyText"/>
        <w:spacing w:before="104"/>
      </w:pPr>
      <w:r>
        <w:rPr/>
        <w:t>传真：0571-86800423</w:t>
      </w:r>
    </w:p>
    <w:p>
      <w:pPr>
        <w:pStyle w:val="BodyText"/>
        <w:spacing w:before="139"/>
      </w:pPr>
      <w:hyperlink r:id="rId218">
        <w:r>
          <w:rPr/>
          <w:t>网址：www.5ifund.com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途牛基金</w:t>
      </w:r>
    </w:p>
    <w:p>
      <w:pPr>
        <w:pStyle w:val="BodyText"/>
        <w:spacing w:line="364" w:lineRule="auto" w:before="139"/>
        <w:ind w:right="4648"/>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5"/>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40"/>
      </w:pPr>
      <w:hyperlink r:id="rId219">
        <w:r>
          <w:rPr/>
          <w:t>网址：http://jr.tuniu.com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918"/>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40"/>
        <w:ind w:right="6643"/>
      </w:pPr>
      <w:r>
        <w:rPr/>
        <w:t>客户服务电话：021-50810673 </w:t>
      </w:r>
      <w:hyperlink r:id="rId220">
        <w:r>
          <w:rPr/>
          <w:t>网址：www.wacaijijin.com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万得基金</w:t>
      </w:r>
    </w:p>
    <w:p>
      <w:pPr>
        <w:pStyle w:val="BodyText"/>
        <w:spacing w:line="364" w:lineRule="auto" w:before="139"/>
        <w:ind w:right="3493"/>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693"/>
      </w:pPr>
      <w:r>
        <w:rPr/>
        <w:t>法定代表人：黄祎联系人：徐亚丹</w:t>
      </w:r>
    </w:p>
    <w:p>
      <w:pPr>
        <w:pStyle w:val="BodyText"/>
        <w:spacing w:line="268" w:lineRule="exact"/>
      </w:pPr>
      <w:r>
        <w:rPr/>
        <w:t>联系电话：021-50712782</w:t>
      </w:r>
    </w:p>
    <w:p>
      <w:pPr>
        <w:pStyle w:val="BodyText"/>
        <w:spacing w:line="364" w:lineRule="auto" w:before="139"/>
        <w:ind w:right="6643"/>
      </w:pPr>
      <w:r>
        <w:rPr/>
        <w:t>客户服务电话：400-799-1888 </w:t>
      </w:r>
      <w:hyperlink r:id="rId221">
        <w:r>
          <w:rPr/>
          <w:t>网址：www.520fund.com.cn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万家财富</w:t>
      </w:r>
    </w:p>
    <w:p>
      <w:pPr>
        <w:pStyle w:val="BodyText"/>
        <w:spacing w:line="364" w:lineRule="auto" w:before="139"/>
        <w:ind w:right="1603"/>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693"/>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spacing w:after="0"/>
        <w:sectPr>
          <w:pgSz w:w="11910" w:h="16840"/>
          <w:pgMar w:header="0" w:footer="1166" w:top="1600" w:bottom="1440" w:left="1400" w:right="360"/>
        </w:sectPr>
      </w:pPr>
    </w:p>
    <w:p>
      <w:pPr>
        <w:pStyle w:val="BodyText"/>
        <w:spacing w:before="104"/>
      </w:pPr>
      <w:hyperlink r:id="rId222">
        <w:r>
          <w:rPr/>
          <w:t>网址：http://www.wanjiawealth.com/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新浪仓石</w:t>
      </w:r>
    </w:p>
    <w:p>
      <w:pPr>
        <w:pStyle w:val="BodyText"/>
        <w:spacing w:line="364" w:lineRule="auto" w:before="140"/>
        <w:ind w:right="1452"/>
      </w:pPr>
      <w:r>
        <w:rPr/>
        <w:t>注册地址：北京市海淀区东北旺西路中关村软件园二期（西扩）N-1、N-2</w:t>
      </w:r>
      <w:r>
        <w:rPr>
          <w:spacing w:val="-3"/>
        </w:rPr>
        <w:t> 地块新浪总</w:t>
      </w:r>
      <w:r>
        <w:rPr>
          <w:spacing w:val="-13"/>
        </w:rPr>
        <w:t>部科研楼 </w:t>
      </w:r>
      <w:r>
        <w:rPr/>
        <w:t>5</w:t>
      </w:r>
      <w:r>
        <w:rPr>
          <w:spacing w:val="-36"/>
        </w:rPr>
        <w:t> 层 </w:t>
      </w:r>
      <w:r>
        <w:rPr/>
        <w:t>518</w:t>
      </w:r>
      <w:r>
        <w:rPr>
          <w:spacing w:val="-27"/>
        </w:rPr>
        <w:t> 室</w:t>
      </w:r>
    </w:p>
    <w:p>
      <w:pPr>
        <w:pStyle w:val="BodyText"/>
        <w:spacing w:line="364" w:lineRule="auto"/>
        <w:ind w:right="2968"/>
      </w:pPr>
      <w:r>
        <w:rPr>
          <w:spacing w:val="-4"/>
        </w:rPr>
        <w:t>办公地址：北京市海淀区西北旺东路 </w:t>
      </w:r>
      <w:r>
        <w:rPr/>
        <w:t>10</w:t>
      </w:r>
      <w:r>
        <w:rPr>
          <w:spacing w:val="-19"/>
        </w:rPr>
        <w:t> 号院东区 </w:t>
      </w:r>
      <w:r>
        <w:rPr/>
        <w:t>3</w:t>
      </w:r>
      <w:r>
        <w:rPr>
          <w:spacing w:val="-15"/>
        </w:rPr>
        <w:t> 号楼为明大厦 </w:t>
      </w:r>
      <w:r>
        <w:rPr/>
        <w:t>C</w:t>
      </w:r>
      <w:r>
        <w:rPr>
          <w:spacing w:val="-34"/>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line="364" w:lineRule="auto" w:before="140"/>
        <w:ind w:right="6643"/>
      </w:pPr>
      <w:r>
        <w:rPr/>
        <w:t>客户服务电话：010-62675369 传真：010-62676582</w:t>
      </w:r>
    </w:p>
    <w:p>
      <w:pPr>
        <w:pStyle w:val="BodyText"/>
        <w:spacing w:line="268" w:lineRule="exact"/>
      </w:pPr>
      <w:hyperlink r:id="rId223">
        <w:r>
          <w:rPr/>
          <w:t>网址：www.xincai.com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鑫鼎盛</w:t>
      </w:r>
    </w:p>
    <w:p>
      <w:pPr>
        <w:pStyle w:val="BodyText"/>
        <w:spacing w:line="364" w:lineRule="auto" w:before="140"/>
        <w:ind w:right="3073"/>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6643"/>
      </w:pPr>
      <w:r>
        <w:rPr/>
        <w:t>客户服务电话：400-6533-789 </w:t>
      </w:r>
      <w:hyperlink r:id="rId224">
        <w:r>
          <w:rPr/>
          <w:t>网址：www.xds.com.cn</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阳光人寿保险</w:t>
      </w:r>
    </w:p>
    <w:p>
      <w:pPr>
        <w:pStyle w:val="BodyText"/>
        <w:spacing w:before="139"/>
      </w:pPr>
      <w:r>
        <w:rPr/>
        <w:t>注册地址：海南省三亚市迎宾路 360-1 号三亚阳光金融广场 16 层</w:t>
      </w:r>
    </w:p>
    <w:p>
      <w:pPr>
        <w:pStyle w:val="BodyText"/>
        <w:spacing w:line="364" w:lineRule="auto" w:before="139"/>
        <w:ind w:right="2653"/>
      </w:pPr>
      <w:r>
        <w:rPr>
          <w:spacing w:val="-3"/>
        </w:rPr>
        <w:t>办公地址：北京市朝阳区朝阳门外大街乙 </w:t>
      </w:r>
      <w:r>
        <w:rPr/>
        <w:t>12</w:t>
      </w:r>
      <w:r>
        <w:rPr>
          <w:spacing w:val="-27"/>
        </w:rPr>
        <w:t> 号院 </w:t>
      </w:r>
      <w:r>
        <w:rPr/>
        <w:t>1</w:t>
      </w:r>
      <w:r>
        <w:rPr>
          <w:spacing w:val="-13"/>
        </w:rPr>
        <w:t> 号昆泰国际大厦 </w:t>
      </w:r>
      <w:r>
        <w:rPr/>
        <w:t>12</w:t>
      </w:r>
      <w:r>
        <w:rPr>
          <w:spacing w:val="-34"/>
        </w:rPr>
        <w:t> 层</w:t>
      </w:r>
      <w:r>
        <w:rPr/>
        <w:t>法定代表人：李科</w:t>
      </w:r>
    </w:p>
    <w:p>
      <w:pPr>
        <w:pStyle w:val="BodyText"/>
        <w:spacing w:line="268" w:lineRule="exact"/>
      </w:pPr>
      <w:r>
        <w:rPr/>
        <w:t>联系人：王超</w:t>
      </w:r>
    </w:p>
    <w:p>
      <w:pPr>
        <w:pStyle w:val="BodyText"/>
        <w:spacing w:before="140"/>
      </w:pPr>
      <w:r>
        <w:rPr/>
        <w:t>联系电话：010-85632771</w:t>
      </w:r>
    </w:p>
    <w:p>
      <w:pPr>
        <w:pStyle w:val="BodyText"/>
        <w:spacing w:line="364" w:lineRule="auto" w:before="139"/>
        <w:ind w:right="7378"/>
      </w:pPr>
      <w:r>
        <w:rPr/>
        <w:t>客户服务电话：95510 传真：010-85632773</w:t>
      </w:r>
    </w:p>
    <w:p>
      <w:pPr>
        <w:pStyle w:val="BodyText"/>
        <w:spacing w:line="268" w:lineRule="exact"/>
      </w:pPr>
      <w:hyperlink r:id="rId225">
        <w:r>
          <w:rPr/>
          <w:t>网址：http://fund.sinosig.com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3178"/>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spacing w:after="0" w:line="268" w:lineRule="exact"/>
        <w:sectPr>
          <w:pgSz w:w="11910" w:h="16840"/>
          <w:pgMar w:header="0" w:footer="1166" w:top="1600" w:bottom="1440" w:left="1400" w:right="360"/>
        </w:sectPr>
      </w:pPr>
    </w:p>
    <w:p>
      <w:pPr>
        <w:pStyle w:val="BodyText"/>
        <w:spacing w:before="104"/>
      </w:pPr>
      <w:r>
        <w:rPr/>
        <w:t>联系电话：010-88312877</w:t>
      </w:r>
    </w:p>
    <w:p>
      <w:pPr>
        <w:pStyle w:val="BodyText"/>
        <w:spacing w:line="364" w:lineRule="auto" w:before="139"/>
        <w:ind w:right="6643"/>
      </w:pPr>
      <w:r>
        <w:rPr/>
        <w:t>客户服务电话：400-001-1566 传真：010-88312099</w:t>
      </w:r>
    </w:p>
    <w:p>
      <w:pPr>
        <w:pStyle w:val="BodyText"/>
        <w:spacing w:line="268" w:lineRule="exact"/>
      </w:pPr>
      <w:hyperlink r:id="rId226">
        <w:r>
          <w:rPr/>
          <w:t>网址：www.yilucaifu.com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宜投基金销售</w:t>
      </w:r>
    </w:p>
    <w:p>
      <w:pPr>
        <w:pStyle w:val="BodyText"/>
        <w:spacing w:line="364" w:lineRule="auto" w:before="139"/>
        <w:ind w:right="1452"/>
      </w:pPr>
      <w:r>
        <w:rPr>
          <w:spacing w:val="-11"/>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858"/>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6643"/>
      </w:pPr>
      <w:r>
        <w:rPr/>
        <w:t>客户服务电话：4008-955-811 </w:t>
      </w:r>
      <w:hyperlink r:id="rId227">
        <w:r>
          <w:rPr/>
          <w:t>网址：www.yitfund.com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宜信普泽</w:t>
      </w:r>
    </w:p>
    <w:p>
      <w:pPr>
        <w:pStyle w:val="BodyText"/>
        <w:spacing w:line="364" w:lineRule="auto" w:before="140"/>
        <w:ind w:right="4489"/>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39"/>
      </w:pPr>
      <w:r>
        <w:rPr/>
        <w:t>联系电话：010-52413385</w:t>
      </w:r>
    </w:p>
    <w:p>
      <w:pPr>
        <w:pStyle w:val="BodyText"/>
        <w:spacing w:line="364" w:lineRule="auto" w:before="140"/>
        <w:ind w:right="6643"/>
      </w:pPr>
      <w:r>
        <w:rPr/>
        <w:t>客户服务电话：400-6099-200 传真：010-85800047</w:t>
      </w:r>
    </w:p>
    <w:p>
      <w:pPr>
        <w:pStyle w:val="BodyText"/>
        <w:spacing w:line="268" w:lineRule="exact"/>
      </w:pPr>
      <w:hyperlink r:id="rId228">
        <w:r>
          <w:rPr/>
          <w:t>网址：www.yixinfund.com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奕丰金融</w:t>
      </w:r>
    </w:p>
    <w:p>
      <w:pPr>
        <w:pStyle w:val="BodyText"/>
        <w:spacing w:line="364" w:lineRule="auto" w:before="139"/>
        <w:ind w:right="1452"/>
      </w:pPr>
      <w:r>
        <w:rPr>
          <w:spacing w:val="-11"/>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283"/>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6643"/>
      </w:pPr>
      <w:r>
        <w:rPr/>
        <w:t>客户服务电话：400-684-0500 传真：0755-21674453</w:t>
      </w:r>
    </w:p>
    <w:p>
      <w:pPr>
        <w:pStyle w:val="BodyText"/>
        <w:spacing w:line="268" w:lineRule="exact"/>
      </w:pPr>
      <w:hyperlink r:id="rId229">
        <w:r>
          <w:rPr/>
          <w:t>网址：www.ifastps.com.cn</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盈米基金</w:t>
      </w:r>
    </w:p>
    <w:p>
      <w:pPr>
        <w:spacing w:after="0" w:line="240" w:lineRule="auto"/>
        <w:jc w:val="left"/>
        <w:rPr>
          <w:sz w:val="21"/>
        </w:rPr>
        <w:sectPr>
          <w:pgSz w:w="11910" w:h="16840"/>
          <w:pgMar w:header="0" w:footer="1166" w:top="1600" w:bottom="1440" w:left="1400" w:right="360"/>
        </w:sectPr>
      </w:pPr>
    </w:p>
    <w:p>
      <w:pPr>
        <w:pStyle w:val="BodyText"/>
        <w:spacing w:before="104"/>
      </w:pPr>
      <w:r>
        <w:rPr/>
        <w:t>注册地址：珠海市横琴新区宝华路 6 号 105 室-3491（集中办公区）</w:t>
      </w:r>
    </w:p>
    <w:p>
      <w:pPr>
        <w:pStyle w:val="BodyText"/>
        <w:spacing w:line="364" w:lineRule="auto" w:before="139"/>
        <w:ind w:right="2443"/>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6643"/>
      </w:pPr>
      <w:r>
        <w:rPr/>
        <w:t>客户服务电话</w:t>
      </w:r>
      <w:r>
        <w:rPr>
          <w:spacing w:val="-2"/>
        </w:rPr>
        <w:t>：020-89629066 </w:t>
      </w:r>
      <w:r>
        <w:rPr/>
        <w:t>传真：020-89629011</w:t>
      </w:r>
    </w:p>
    <w:p>
      <w:pPr>
        <w:pStyle w:val="BodyText"/>
        <w:spacing w:line="268" w:lineRule="exact"/>
      </w:pPr>
      <w:hyperlink r:id="rId230">
        <w:r>
          <w:rPr/>
          <w:t>网址：www.yingmi.cn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40"/>
      </w:pPr>
      <w:r>
        <w:rPr/>
        <w:t>103-1、103-2 办公区</w:t>
      </w:r>
    </w:p>
    <w:p>
      <w:pPr>
        <w:pStyle w:val="BodyText"/>
        <w:spacing w:line="364" w:lineRule="auto" w:before="139"/>
        <w:ind w:right="4858"/>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6643"/>
      </w:pPr>
      <w:r>
        <w:rPr/>
        <w:t>客户服务电话：400-820-1515 传真：021-20539999</w:t>
      </w:r>
    </w:p>
    <w:p>
      <w:pPr>
        <w:pStyle w:val="BodyText"/>
        <w:spacing w:line="268" w:lineRule="exact"/>
      </w:pPr>
      <w:hyperlink r:id="rId231">
        <w:r>
          <w:rPr/>
          <w:t>网址：http://www.zhengtongfunds.com/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3598"/>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6643"/>
      </w:pPr>
      <w:r>
        <w:rPr/>
        <w:t>客户服务电话</w:t>
      </w:r>
      <w:r>
        <w:rPr>
          <w:spacing w:val="-2"/>
        </w:rPr>
        <w:t>：400-001-8811 </w:t>
      </w:r>
      <w:r>
        <w:rPr/>
        <w:t>传真：010-67000988-6000</w:t>
      </w:r>
    </w:p>
    <w:p>
      <w:pPr>
        <w:pStyle w:val="BodyText"/>
        <w:spacing w:line="268" w:lineRule="exact"/>
      </w:pPr>
      <w:hyperlink r:id="rId232">
        <w:r>
          <w:rPr/>
          <w:t>网址：www.zcvc.com.cn</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展恒基金</w:t>
      </w:r>
    </w:p>
    <w:p>
      <w:pPr>
        <w:pStyle w:val="BodyText"/>
        <w:spacing w:line="364" w:lineRule="auto" w:before="139"/>
        <w:ind w:right="4174"/>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spacing w:after="0"/>
        <w:sectPr>
          <w:pgSz w:w="11910" w:h="16840"/>
          <w:pgMar w:header="0" w:footer="1166" w:top="1600" w:bottom="1440" w:left="1400" w:right="360"/>
        </w:sectPr>
      </w:pPr>
    </w:p>
    <w:p>
      <w:pPr>
        <w:pStyle w:val="BodyText"/>
        <w:spacing w:line="364" w:lineRule="auto" w:before="104"/>
        <w:ind w:right="6643"/>
      </w:pPr>
      <w:r>
        <w:rPr/>
        <w:t>客户服务电话：400-818-8000 传真：0351-4110714</w:t>
      </w:r>
    </w:p>
    <w:p>
      <w:pPr>
        <w:pStyle w:val="BodyText"/>
        <w:spacing w:line="268" w:lineRule="exact"/>
      </w:pPr>
      <w:hyperlink r:id="rId233">
        <w:r>
          <w:rPr/>
          <w:t>网址：www.myfund.com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1708"/>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3"/>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7378"/>
      </w:pPr>
      <w:r>
        <w:rPr/>
        <w:t>客户服务电话：95162 传真：010-59539806</w:t>
      </w:r>
    </w:p>
    <w:p>
      <w:pPr>
        <w:pStyle w:val="BodyText"/>
        <w:spacing w:line="268" w:lineRule="exact"/>
      </w:pPr>
      <w:hyperlink r:id="rId234">
        <w:r>
          <w:rPr/>
          <w:t>网址：http://www.cifco.net/</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中期时代基金</w:t>
      </w:r>
    </w:p>
    <w:p>
      <w:pPr>
        <w:pStyle w:val="BodyText"/>
        <w:spacing w:line="364" w:lineRule="auto" w:before="139"/>
        <w:ind w:right="3388"/>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7483"/>
      </w:pPr>
      <w:r>
        <w:rPr/>
        <w:t>法定代表人：田宏莉联系人：尹庆</w:t>
      </w:r>
    </w:p>
    <w:p>
      <w:pPr>
        <w:pStyle w:val="BodyText"/>
        <w:spacing w:line="268" w:lineRule="exact"/>
      </w:pPr>
      <w:r>
        <w:rPr/>
        <w:t>联系电话：010-65807865</w:t>
      </w:r>
    </w:p>
    <w:p>
      <w:pPr>
        <w:pStyle w:val="BodyText"/>
        <w:spacing w:line="364" w:lineRule="auto" w:before="139"/>
        <w:ind w:right="7378"/>
      </w:pPr>
      <w:r>
        <w:rPr/>
        <w:t>客户服务电话</w:t>
      </w:r>
      <w:r>
        <w:rPr>
          <w:spacing w:val="-3"/>
        </w:rPr>
        <w:t>：95162 </w:t>
      </w:r>
      <w:r>
        <w:rPr/>
        <w:t>传真：010-65807864</w:t>
      </w:r>
    </w:p>
    <w:p>
      <w:pPr>
        <w:pStyle w:val="BodyText"/>
        <w:spacing w:line="268" w:lineRule="exact"/>
      </w:pPr>
      <w:hyperlink r:id="rId235">
        <w:r>
          <w:rPr/>
          <w:t>网址：www.jrtoo.com</w:t>
        </w:r>
      </w:hyperlink>
    </w:p>
    <w:p>
      <w:pPr>
        <w:pStyle w:val="ListParagraph"/>
        <w:numPr>
          <w:ilvl w:val="0"/>
          <w:numId w:val="9"/>
        </w:numPr>
        <w:tabs>
          <w:tab w:pos="1298" w:val="left" w:leader="none"/>
        </w:tabs>
        <w:spacing w:line="240" w:lineRule="auto" w:before="139" w:after="0"/>
        <w:ind w:left="1298" w:right="0" w:hanging="526"/>
        <w:jc w:val="left"/>
        <w:rPr>
          <w:sz w:val="21"/>
        </w:rPr>
      </w:pPr>
      <w:r>
        <w:rPr>
          <w:sz w:val="21"/>
        </w:rPr>
        <w:t>中信建投期货</w:t>
      </w:r>
    </w:p>
    <w:p>
      <w:pPr>
        <w:pStyle w:val="BodyText"/>
        <w:spacing w:line="364" w:lineRule="auto" w:before="139"/>
        <w:ind w:right="1452"/>
      </w:pPr>
      <w:r>
        <w:rPr/>
        <w:t>注册地址：重庆市渝中区中山三路 107 号上站大楼平街 11-B，名义层 11-A，8-B4， 9-B、C</w:t>
      </w:r>
    </w:p>
    <w:p>
      <w:pPr>
        <w:pStyle w:val="BodyText"/>
        <w:spacing w:line="364" w:lineRule="auto"/>
        <w:ind w:right="4228"/>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39"/>
        <w:ind w:right="6643"/>
      </w:pPr>
      <w:r>
        <w:rPr/>
        <w:t>客户服务电话：400-8877-780 传真：023-86769629</w:t>
      </w:r>
    </w:p>
    <w:p>
      <w:pPr>
        <w:pStyle w:val="BodyText"/>
        <w:spacing w:line="268" w:lineRule="exact"/>
      </w:pPr>
      <w:hyperlink r:id="rId236">
        <w:r>
          <w:rPr/>
          <w:t>网址：www.cfc108.com</w:t>
        </w:r>
      </w:hyperlink>
    </w:p>
    <w:p>
      <w:pPr>
        <w:pStyle w:val="ListParagraph"/>
        <w:numPr>
          <w:ilvl w:val="0"/>
          <w:numId w:val="9"/>
        </w:numPr>
        <w:tabs>
          <w:tab w:pos="1298" w:val="left" w:leader="none"/>
        </w:tabs>
        <w:spacing w:line="240" w:lineRule="auto" w:before="140" w:after="0"/>
        <w:ind w:left="1298" w:right="0" w:hanging="526"/>
        <w:jc w:val="left"/>
        <w:rPr>
          <w:sz w:val="21"/>
        </w:rPr>
      </w:pPr>
      <w:r>
        <w:rPr>
          <w:sz w:val="21"/>
        </w:rPr>
        <w:t>中信期货</w:t>
      </w:r>
    </w:p>
    <w:p>
      <w:pPr>
        <w:spacing w:after="0" w:line="240" w:lineRule="auto"/>
        <w:jc w:val="left"/>
        <w:rPr>
          <w:sz w:val="21"/>
        </w:rPr>
        <w:sectPr>
          <w:pgSz w:w="11910" w:h="16840"/>
          <w:pgMar w:header="0" w:footer="1166" w:top="1600" w:bottom="1440" w:left="1400" w:right="360"/>
        </w:sectPr>
      </w:pPr>
    </w:p>
    <w:p>
      <w:pPr>
        <w:pStyle w:val="BodyText"/>
        <w:spacing w:before="104"/>
      </w:pPr>
      <w:r>
        <w:rPr>
          <w:spacing w:val="-14"/>
        </w:rPr>
        <w:t>注册地址：广东省深圳市福田区中心三路 </w:t>
      </w:r>
      <w:r>
        <w:rPr/>
        <w:t>8</w:t>
      </w:r>
      <w:r>
        <w:rPr>
          <w:spacing w:val="-21"/>
        </w:rPr>
        <w:t> 号卓越时代广场</w:t>
      </w:r>
      <w:r>
        <w:rPr/>
        <w:t>（二期</w:t>
      </w:r>
      <w:r>
        <w:rPr>
          <w:spacing w:val="-105"/>
        </w:rPr>
        <w:t>）</w:t>
      </w:r>
      <w:r>
        <w:rPr>
          <w:spacing w:val="-18"/>
        </w:rPr>
        <w:t>北座 </w:t>
      </w:r>
      <w:r>
        <w:rPr/>
        <w:t>13</w:t>
      </w:r>
      <w:r>
        <w:rPr>
          <w:spacing w:val="-37"/>
        </w:rPr>
        <w:t> 层 </w:t>
      </w:r>
      <w:r>
        <w:rPr/>
        <w:t>1301-1305</w:t>
      </w:r>
    </w:p>
    <w:p>
      <w:pPr>
        <w:pStyle w:val="BodyText"/>
        <w:spacing w:before="139"/>
      </w:pPr>
      <w:r>
        <w:rPr/>
        <w:t>室、14 层</w:t>
      </w:r>
    </w:p>
    <w:p>
      <w:pPr>
        <w:pStyle w:val="BodyText"/>
        <w:spacing w:before="140"/>
      </w:pPr>
      <w:r>
        <w:rPr/>
        <w:t>办公地址：深圳市福田区中心三路 8 号卓越时代广场（二期）北座 13 层 1301-1305 室、</w:t>
      </w:r>
    </w:p>
    <w:p>
      <w:pPr>
        <w:pStyle w:val="BodyText"/>
        <w:spacing w:before="139"/>
      </w:pPr>
      <w:r>
        <w:rPr/>
        <w:t>14 层</w:t>
      </w:r>
    </w:p>
    <w:p>
      <w:pPr>
        <w:pStyle w:val="BodyText"/>
        <w:spacing w:line="364" w:lineRule="auto" w:before="140"/>
        <w:ind w:right="7693"/>
      </w:pPr>
      <w:r>
        <w:rPr/>
        <w:t>法定代表人：张皓联系人：刘宏莹</w:t>
      </w:r>
    </w:p>
    <w:p>
      <w:pPr>
        <w:pStyle w:val="BodyText"/>
        <w:spacing w:line="268" w:lineRule="exact"/>
      </w:pPr>
      <w:r>
        <w:rPr/>
        <w:t>联系电话：010-6083 3754</w:t>
      </w:r>
    </w:p>
    <w:p>
      <w:pPr>
        <w:pStyle w:val="BodyText"/>
        <w:spacing w:line="364" w:lineRule="auto" w:before="139"/>
        <w:ind w:right="6643"/>
      </w:pPr>
      <w:r>
        <w:rPr/>
        <w:t>客户服务电话：400-990-8826 传真：021-60819988</w:t>
      </w:r>
    </w:p>
    <w:p>
      <w:pPr>
        <w:pStyle w:val="BodyText"/>
        <w:spacing w:line="268" w:lineRule="exact"/>
      </w:pPr>
      <w:hyperlink r:id="rId237">
        <w:r>
          <w:rPr/>
          <w:t>网址：www.citicsf.com</w:t>
        </w:r>
      </w:hyperlink>
    </w:p>
    <w:p>
      <w:pPr>
        <w:pStyle w:val="ListParagraph"/>
        <w:numPr>
          <w:ilvl w:val="0"/>
          <w:numId w:val="9"/>
        </w:numPr>
        <w:tabs>
          <w:tab w:pos="1298" w:val="left" w:leader="none"/>
        </w:tabs>
        <w:spacing w:line="240" w:lineRule="auto" w:before="140" w:after="0"/>
        <w:ind w:left="1298" w:right="0" w:hanging="526"/>
        <w:jc w:val="both"/>
        <w:rPr>
          <w:sz w:val="21"/>
        </w:rPr>
      </w:pPr>
      <w:r>
        <w:rPr>
          <w:sz w:val="21"/>
        </w:rPr>
        <w:t>中正达广</w:t>
      </w:r>
    </w:p>
    <w:p>
      <w:pPr>
        <w:pStyle w:val="BodyText"/>
        <w:spacing w:line="364" w:lineRule="auto" w:before="139"/>
        <w:ind w:right="4858"/>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line="364" w:lineRule="auto" w:before="140"/>
        <w:ind w:right="6643"/>
      </w:pPr>
      <w:r>
        <w:rPr/>
        <w:t>客户服务电话</w:t>
      </w:r>
      <w:r>
        <w:rPr>
          <w:spacing w:val="-2"/>
        </w:rPr>
        <w:t>：400-6767-523 </w:t>
      </w:r>
      <w:r>
        <w:rPr/>
        <w:t>传真：021-33768132-802</w:t>
      </w:r>
    </w:p>
    <w:p>
      <w:pPr>
        <w:pStyle w:val="BodyText"/>
        <w:spacing w:line="268" w:lineRule="exact"/>
      </w:pPr>
      <w:hyperlink r:id="rId238">
        <w:r>
          <w:rPr/>
          <w:t>网址：www.zhongzhengfund.com</w:t>
        </w:r>
      </w:hyperlink>
    </w:p>
    <w:p>
      <w:pPr>
        <w:pStyle w:val="ListParagraph"/>
        <w:numPr>
          <w:ilvl w:val="0"/>
          <w:numId w:val="9"/>
        </w:numPr>
        <w:tabs>
          <w:tab w:pos="1298" w:val="left" w:leader="none"/>
        </w:tabs>
        <w:spacing w:line="240" w:lineRule="auto" w:before="139" w:after="0"/>
        <w:ind w:left="1298" w:right="0" w:hanging="526"/>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3073"/>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6643"/>
      </w:pPr>
      <w:r>
        <w:rPr/>
        <w:t>客户服务电话：4008-909-998 </w:t>
      </w:r>
      <w:hyperlink r:id="rId239">
        <w:r>
          <w:rPr/>
          <w:t>网址：www.jnlc.com</w:t>
        </w:r>
      </w:hyperlink>
    </w:p>
    <w:p>
      <w:pPr>
        <w:pStyle w:val="ListParagraph"/>
        <w:numPr>
          <w:ilvl w:val="0"/>
          <w:numId w:val="9"/>
        </w:numPr>
        <w:tabs>
          <w:tab w:pos="1298" w:val="left" w:leader="none"/>
        </w:tabs>
        <w:spacing w:line="268" w:lineRule="exact" w:before="0" w:after="0"/>
        <w:ind w:left="1298" w:right="0" w:hanging="526"/>
        <w:jc w:val="left"/>
        <w:rPr>
          <w:sz w:val="21"/>
        </w:rPr>
      </w:pPr>
      <w:r>
        <w:rPr>
          <w:sz w:val="21"/>
        </w:rPr>
        <w:t>众禄基金</w:t>
      </w:r>
    </w:p>
    <w:p>
      <w:pPr>
        <w:pStyle w:val="BodyText"/>
        <w:spacing w:line="364" w:lineRule="auto" w:before="140"/>
        <w:ind w:right="1708"/>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693"/>
      </w:pPr>
      <w:r>
        <w:rPr/>
        <w:t>法定代表人：薛峰联系人：龚江江</w:t>
      </w:r>
    </w:p>
    <w:p>
      <w:pPr>
        <w:pStyle w:val="BodyText"/>
        <w:spacing w:line="268" w:lineRule="exact"/>
      </w:pPr>
      <w:r>
        <w:rPr/>
        <w:t>联系电话：0755-33227950</w:t>
      </w:r>
    </w:p>
    <w:p>
      <w:pPr>
        <w:spacing w:after="0" w:line="268" w:lineRule="exact"/>
        <w:sectPr>
          <w:pgSz w:w="11910" w:h="16840"/>
          <w:pgMar w:header="0" w:footer="1166" w:top="1600" w:bottom="1440" w:left="1400" w:right="360"/>
        </w:sectPr>
      </w:pPr>
    </w:p>
    <w:p>
      <w:pPr>
        <w:pStyle w:val="BodyText"/>
        <w:spacing w:line="364" w:lineRule="auto" w:before="104"/>
        <w:ind w:right="6643"/>
      </w:pPr>
      <w:r>
        <w:rPr/>
        <w:t>客户服务电话：4006-788-887 传真：0755-33227951</w:t>
      </w:r>
    </w:p>
    <w:p>
      <w:pPr>
        <w:pStyle w:val="BodyText"/>
        <w:tabs>
          <w:tab w:pos="3187" w:val="left" w:leader="none"/>
        </w:tabs>
        <w:spacing w:line="268" w:lineRule="exact"/>
      </w:pPr>
      <w:hyperlink r:id="rId240">
        <w:r>
          <w:rPr/>
          <w:t>网址：www.zlfund.cn</w:t>
        </w:r>
      </w:hyperlink>
      <w:r>
        <w:rPr/>
        <w:tab/>
      </w:r>
      <w:hyperlink r:id="rId241">
        <w:r>
          <w:rPr/>
          <w:t>www.jjmmw.com</w:t>
        </w:r>
      </w:hyperlink>
    </w:p>
    <w:p>
      <w:pPr>
        <w:pStyle w:val="BodyText"/>
        <w:spacing w:before="139"/>
      </w:pPr>
      <w:r>
        <w:rPr/>
        <w:t>（2）C 类基金份额</w:t>
      </w:r>
    </w:p>
    <w:p>
      <w:pPr>
        <w:pStyle w:val="ListParagraph"/>
        <w:numPr>
          <w:ilvl w:val="0"/>
          <w:numId w:val="10"/>
        </w:numPr>
        <w:tabs>
          <w:tab w:pos="1088" w:val="left" w:leader="none"/>
        </w:tabs>
        <w:spacing w:line="240" w:lineRule="auto" w:before="140" w:after="0"/>
        <w:ind w:left="1088" w:right="0" w:hanging="316"/>
        <w:jc w:val="both"/>
        <w:rPr>
          <w:sz w:val="21"/>
        </w:rPr>
      </w:pPr>
      <w:r>
        <w:rPr>
          <w:sz w:val="21"/>
        </w:rPr>
        <w:t>招商银行</w:t>
      </w:r>
    </w:p>
    <w:p>
      <w:pPr>
        <w:pStyle w:val="BodyText"/>
        <w:spacing w:line="364" w:lineRule="auto" w:before="139"/>
        <w:ind w:right="4228"/>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5">
        <w:r>
          <w:rPr/>
          <w:t>网址：www.cmbchina.com</w:t>
        </w:r>
      </w:hyperlink>
    </w:p>
    <w:p>
      <w:pPr>
        <w:pStyle w:val="ListParagraph"/>
        <w:numPr>
          <w:ilvl w:val="0"/>
          <w:numId w:val="10"/>
        </w:numPr>
        <w:tabs>
          <w:tab w:pos="1088" w:val="left" w:leader="none"/>
        </w:tabs>
        <w:spacing w:line="240" w:lineRule="auto" w:before="140" w:after="0"/>
        <w:ind w:left="1088" w:right="0" w:hanging="316"/>
        <w:jc w:val="both"/>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39"/>
        <w:ind w:right="3493"/>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40"/>
        <w:ind w:right="6748"/>
      </w:pPr>
      <w:r>
        <w:rPr/>
        <w:t>客户服务电话</w:t>
      </w:r>
      <w:r>
        <w:rPr>
          <w:spacing w:val="-2"/>
        </w:rPr>
        <w:t>：0769-961122 </w:t>
      </w:r>
      <w:hyperlink r:id="rId28">
        <w:r>
          <w:rPr/>
          <w:t>网址：www.drcbank.com</w:t>
        </w:r>
      </w:hyperlink>
    </w:p>
    <w:p>
      <w:pPr>
        <w:pStyle w:val="ListParagraph"/>
        <w:numPr>
          <w:ilvl w:val="0"/>
          <w:numId w:val="10"/>
        </w:numPr>
        <w:tabs>
          <w:tab w:pos="1088" w:val="left" w:leader="none"/>
        </w:tabs>
        <w:spacing w:line="268" w:lineRule="exact" w:before="0" w:after="0"/>
        <w:ind w:left="1088" w:right="0" w:hanging="316"/>
        <w:jc w:val="left"/>
        <w:rPr>
          <w:sz w:val="21"/>
        </w:rPr>
      </w:pPr>
      <w:r>
        <w:rPr>
          <w:sz w:val="21"/>
        </w:rPr>
        <w:t>晋商银行</w:t>
      </w:r>
    </w:p>
    <w:p>
      <w:pPr>
        <w:pStyle w:val="BodyText"/>
        <w:spacing w:line="364" w:lineRule="auto" w:before="139"/>
        <w:ind w:right="5278"/>
        <w:jc w:val="both"/>
      </w:pPr>
      <w:r>
        <w:rPr>
          <w:spacing w:val="-3"/>
        </w:rPr>
        <w:t>注册地址：山西省太原市小店区长风街 </w:t>
      </w:r>
      <w:r>
        <w:rPr/>
        <w:t>59</w:t>
      </w:r>
      <w:r>
        <w:rPr>
          <w:spacing w:val="-35"/>
        </w:rPr>
        <w:t> 号</w:t>
      </w:r>
      <w:r>
        <w:rPr>
          <w:spacing w:val="-3"/>
        </w:rPr>
        <w:t>办公地址：山西省太原市小店区长风街 </w:t>
      </w:r>
      <w:r>
        <w:rPr/>
        <w:t>59</w:t>
      </w:r>
      <w:r>
        <w:rPr>
          <w:spacing w:val="-35"/>
        </w:rPr>
        <w:t> 号</w:t>
      </w:r>
      <w:r>
        <w:rPr/>
        <w:t>法定代表人：阎俊生</w:t>
      </w:r>
    </w:p>
    <w:p>
      <w:pPr>
        <w:pStyle w:val="BodyText"/>
        <w:spacing w:line="268" w:lineRule="exact"/>
      </w:pPr>
      <w:r>
        <w:rPr/>
        <w:t>联系人：董嘉文</w:t>
      </w:r>
    </w:p>
    <w:p>
      <w:pPr>
        <w:pStyle w:val="BodyText"/>
        <w:spacing w:before="140"/>
      </w:pPr>
      <w:r>
        <w:rPr/>
        <w:t>联系电话：0351-6819579</w:t>
      </w:r>
    </w:p>
    <w:p>
      <w:pPr>
        <w:pStyle w:val="BodyText"/>
        <w:spacing w:line="364" w:lineRule="auto" w:before="139"/>
        <w:ind w:right="6958"/>
      </w:pPr>
      <w:r>
        <w:rPr/>
        <w:t>客户服务电话：9510-5588 传真：0351-6819926</w:t>
      </w:r>
    </w:p>
    <w:p>
      <w:pPr>
        <w:pStyle w:val="BodyText"/>
        <w:spacing w:line="268" w:lineRule="exact"/>
      </w:pPr>
      <w:hyperlink r:id="rId48">
        <w:r>
          <w:rPr/>
          <w:t>网址：www.jshbank.com</w:t>
        </w:r>
      </w:hyperlink>
    </w:p>
    <w:p>
      <w:pPr>
        <w:pStyle w:val="ListParagraph"/>
        <w:numPr>
          <w:ilvl w:val="0"/>
          <w:numId w:val="10"/>
        </w:numPr>
        <w:tabs>
          <w:tab w:pos="1088" w:val="left" w:leader="none"/>
        </w:tabs>
        <w:spacing w:line="240" w:lineRule="auto" w:before="140" w:after="0"/>
        <w:ind w:left="1088" w:right="0" w:hanging="316"/>
        <w:jc w:val="both"/>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4543"/>
      </w:pPr>
      <w:r>
        <w:rPr>
          <w:spacing w:val="-3"/>
        </w:rPr>
        <w:t>办公地址：云南省昆明市盘龙区世博路低碳中心 </w:t>
      </w:r>
      <w:r>
        <w:rPr/>
        <w:t>A</w:t>
      </w:r>
      <w:r>
        <w:rPr>
          <w:spacing w:val="-35"/>
        </w:rPr>
        <w:t> 座</w:t>
      </w:r>
      <w:r>
        <w:rPr/>
        <w:t>法定代表人：李光林</w:t>
      </w:r>
    </w:p>
    <w:p>
      <w:pPr>
        <w:pStyle w:val="BodyText"/>
        <w:spacing w:line="268" w:lineRule="exact"/>
      </w:pPr>
      <w:r>
        <w:rPr/>
        <w:t>联系人：马杰</w:t>
      </w:r>
    </w:p>
    <w:p>
      <w:pPr>
        <w:pStyle w:val="BodyText"/>
        <w:spacing w:before="139"/>
      </w:pPr>
      <w:r>
        <w:rPr/>
        <w:t>联系电话：0871-65236624</w:t>
      </w:r>
    </w:p>
    <w:p>
      <w:pPr>
        <w:spacing w:after="0"/>
        <w:sectPr>
          <w:pgSz w:w="11910" w:h="16840"/>
          <w:pgMar w:header="0" w:footer="1166" w:top="1600" w:bottom="1440" w:left="1400" w:right="360"/>
        </w:sectPr>
      </w:pPr>
    </w:p>
    <w:p>
      <w:pPr>
        <w:pStyle w:val="BodyText"/>
        <w:spacing w:line="364" w:lineRule="auto" w:before="104"/>
        <w:ind w:right="6853"/>
      </w:pPr>
      <w:r>
        <w:rPr>
          <w:spacing w:val="-1"/>
        </w:rPr>
        <w:t>客户服务电话</w:t>
      </w:r>
      <w:r>
        <w:rPr/>
        <w:t>：0877-96522 </w:t>
      </w:r>
      <w:hyperlink r:id="rId84">
        <w:r>
          <w:rPr/>
          <w:t>网址：www.ynhtbank.com</w:t>
        </w:r>
      </w:hyperlink>
    </w:p>
    <w:p>
      <w:pPr>
        <w:pStyle w:val="ListParagraph"/>
        <w:numPr>
          <w:ilvl w:val="0"/>
          <w:numId w:val="10"/>
        </w:numPr>
        <w:tabs>
          <w:tab w:pos="1088" w:val="left" w:leader="none"/>
        </w:tabs>
        <w:spacing w:line="268" w:lineRule="exact" w:before="0" w:after="0"/>
        <w:ind w:left="1088" w:right="0" w:hanging="316"/>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968"/>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40"/>
        <w:ind w:right="3598"/>
      </w:pPr>
      <w:r>
        <w:rPr/>
        <w:t>客户服务电话：95363（河北省内）；0311-95363（河北省外</w:t>
      </w:r>
      <w:r>
        <w:rPr>
          <w:spacing w:val="-18"/>
        </w:rPr>
        <w:t>） </w:t>
      </w:r>
      <w:r>
        <w:rPr/>
        <w:t>传真：0311-66006414</w:t>
      </w:r>
    </w:p>
    <w:p>
      <w:pPr>
        <w:pStyle w:val="BodyText"/>
        <w:spacing w:line="268" w:lineRule="exact"/>
      </w:pPr>
      <w:hyperlink r:id="rId92">
        <w:r>
          <w:rPr/>
          <w:t>网址：www.s10000.com</w:t>
        </w:r>
      </w:hyperlink>
    </w:p>
    <w:p>
      <w:pPr>
        <w:pStyle w:val="ListParagraph"/>
        <w:numPr>
          <w:ilvl w:val="0"/>
          <w:numId w:val="10"/>
        </w:numPr>
        <w:tabs>
          <w:tab w:pos="1088" w:val="left" w:leader="none"/>
        </w:tabs>
        <w:spacing w:line="240" w:lineRule="auto" w:before="139" w:after="0"/>
        <w:ind w:left="1088" w:right="0" w:hanging="316"/>
        <w:jc w:val="both"/>
        <w:rPr>
          <w:sz w:val="21"/>
        </w:rPr>
      </w:pPr>
      <w:r>
        <w:rPr>
          <w:sz w:val="21"/>
        </w:rPr>
        <w:t>长江证券</w:t>
      </w:r>
    </w:p>
    <w:p>
      <w:pPr>
        <w:pStyle w:val="BodyText"/>
        <w:spacing w:line="364" w:lineRule="auto" w:before="140"/>
        <w:ind w:right="5803"/>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97">
        <w:r>
          <w:rPr/>
          <w:t>网址：www.95579.com</w:t>
        </w:r>
      </w:hyperlink>
    </w:p>
    <w:p>
      <w:pPr>
        <w:pStyle w:val="ListParagraph"/>
        <w:numPr>
          <w:ilvl w:val="0"/>
          <w:numId w:val="10"/>
        </w:numPr>
        <w:tabs>
          <w:tab w:pos="1088" w:val="left" w:leader="none"/>
        </w:tabs>
        <w:spacing w:line="240" w:lineRule="auto" w:before="140" w:after="0"/>
        <w:ind w:left="1088" w:right="0" w:hanging="316"/>
        <w:jc w:val="left"/>
        <w:rPr>
          <w:sz w:val="21"/>
        </w:rPr>
      </w:pPr>
      <w:r>
        <w:rPr>
          <w:sz w:val="21"/>
        </w:rPr>
        <w:t>德邦证券</w:t>
      </w:r>
    </w:p>
    <w:p>
      <w:pPr>
        <w:pStyle w:val="BodyText"/>
        <w:spacing w:line="364" w:lineRule="auto" w:before="139"/>
        <w:ind w:right="4648"/>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6643"/>
      </w:pPr>
      <w:r>
        <w:rPr/>
        <w:t>客户服务电话：400-8888-128 传真：021-68767880</w:t>
      </w:r>
    </w:p>
    <w:p>
      <w:pPr>
        <w:pStyle w:val="BodyText"/>
        <w:spacing w:line="268" w:lineRule="exact"/>
      </w:pPr>
      <w:hyperlink r:id="rId101">
        <w:r>
          <w:rPr/>
          <w:t>网址：http://www.tebon.com.cn</w:t>
        </w:r>
      </w:hyperlink>
    </w:p>
    <w:p>
      <w:pPr>
        <w:pStyle w:val="ListParagraph"/>
        <w:numPr>
          <w:ilvl w:val="0"/>
          <w:numId w:val="10"/>
        </w:numPr>
        <w:tabs>
          <w:tab w:pos="1088" w:val="left" w:leader="none"/>
        </w:tabs>
        <w:spacing w:line="240" w:lineRule="auto" w:before="140" w:after="0"/>
        <w:ind w:left="1088" w:right="0" w:hanging="316"/>
        <w:jc w:val="both"/>
        <w:rPr>
          <w:sz w:val="21"/>
        </w:rPr>
      </w:pPr>
      <w:r>
        <w:rPr>
          <w:sz w:val="21"/>
        </w:rPr>
        <w:t>东北证券</w:t>
      </w:r>
    </w:p>
    <w:p>
      <w:pPr>
        <w:pStyle w:val="BodyText"/>
        <w:spacing w:line="364" w:lineRule="auto" w:before="139"/>
        <w:ind w:right="6118"/>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spacing w:after="0" w:line="364" w:lineRule="auto"/>
        <w:jc w:val="both"/>
        <w:sectPr>
          <w:pgSz w:w="11910" w:h="16840"/>
          <w:pgMar w:header="0" w:footer="1166" w:top="1600" w:bottom="1440" w:left="1400" w:right="360"/>
        </w:sectPr>
      </w:pPr>
    </w:p>
    <w:p>
      <w:pPr>
        <w:pStyle w:val="BodyText"/>
        <w:spacing w:before="104"/>
      </w:pPr>
      <w:r>
        <w:rPr/>
        <w:t>联系人：安岩岩</w:t>
      </w:r>
    </w:p>
    <w:p>
      <w:pPr>
        <w:pStyle w:val="BodyText"/>
        <w:spacing w:before="139"/>
      </w:pPr>
      <w:r>
        <w:rPr/>
        <w:t>联系电话：0431-85096517</w:t>
      </w:r>
    </w:p>
    <w:p>
      <w:pPr>
        <w:pStyle w:val="BodyText"/>
        <w:spacing w:line="364" w:lineRule="auto" w:before="140"/>
        <w:ind w:right="7378"/>
      </w:pPr>
      <w:r>
        <w:rPr/>
        <w:t>客户服务电话：95360 传真：0431-85096795</w:t>
      </w:r>
    </w:p>
    <w:p>
      <w:pPr>
        <w:pStyle w:val="BodyText"/>
        <w:spacing w:line="268" w:lineRule="exact"/>
      </w:pPr>
      <w:hyperlink r:id="rId103">
        <w:r>
          <w:rPr/>
          <w:t>网址：www.nesc.cn</w:t>
        </w:r>
      </w:hyperlink>
    </w:p>
    <w:p>
      <w:pPr>
        <w:pStyle w:val="ListParagraph"/>
        <w:numPr>
          <w:ilvl w:val="0"/>
          <w:numId w:val="10"/>
        </w:numPr>
        <w:tabs>
          <w:tab w:pos="1088" w:val="left" w:leader="none"/>
        </w:tabs>
        <w:spacing w:line="240" w:lineRule="auto" w:before="139" w:after="0"/>
        <w:ind w:left="1088" w:right="0" w:hanging="316"/>
        <w:jc w:val="both"/>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703"/>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7378"/>
      </w:pPr>
      <w:r>
        <w:rPr/>
        <w:t>客户服务电话：95570 传真：0510-82830162</w:t>
      </w:r>
    </w:p>
    <w:p>
      <w:pPr>
        <w:pStyle w:val="BodyText"/>
        <w:spacing w:line="268" w:lineRule="exact"/>
      </w:pPr>
      <w:hyperlink r:id="rId115">
        <w:r>
          <w:rPr/>
          <w:t>网址：www.glsc.com.cn</w:t>
        </w:r>
      </w:hyperlink>
    </w:p>
    <w:p>
      <w:pPr>
        <w:pStyle w:val="ListParagraph"/>
        <w:numPr>
          <w:ilvl w:val="0"/>
          <w:numId w:val="10"/>
        </w:numPr>
        <w:tabs>
          <w:tab w:pos="1193" w:val="left" w:leader="none"/>
        </w:tabs>
        <w:spacing w:line="240" w:lineRule="auto" w:before="139" w:after="0"/>
        <w:ind w:left="1193" w:right="0" w:hanging="421"/>
        <w:jc w:val="both"/>
        <w:rPr>
          <w:sz w:val="21"/>
        </w:rPr>
      </w:pPr>
      <w:r>
        <w:rPr>
          <w:sz w:val="21"/>
        </w:rPr>
        <w:t>海通证券</w:t>
      </w:r>
    </w:p>
    <w:p>
      <w:pPr>
        <w:pStyle w:val="BodyText"/>
        <w:spacing w:line="364" w:lineRule="auto" w:before="140"/>
        <w:ind w:right="6433"/>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7063"/>
      </w:pPr>
      <w:r>
        <w:rPr/>
        <w:t>联系人：金芸、李笑鸣 联系电话</w:t>
      </w:r>
      <w:r>
        <w:rPr>
          <w:spacing w:val="-2"/>
        </w:rPr>
        <w:t>：021-23219000</w:t>
      </w:r>
    </w:p>
    <w:p>
      <w:pPr>
        <w:pStyle w:val="BodyText"/>
        <w:spacing w:line="364" w:lineRule="auto"/>
        <w:ind w:right="7378"/>
      </w:pPr>
      <w:r>
        <w:rPr/>
        <w:t>客户服务电话</w:t>
      </w:r>
      <w:r>
        <w:rPr>
          <w:spacing w:val="-3"/>
        </w:rPr>
        <w:t>：95553 </w:t>
      </w:r>
      <w:r>
        <w:rPr/>
        <w:t>传真：021-23219100</w:t>
      </w:r>
    </w:p>
    <w:p>
      <w:pPr>
        <w:pStyle w:val="BodyText"/>
        <w:spacing w:line="268" w:lineRule="exact"/>
      </w:pPr>
      <w:hyperlink r:id="rId121">
        <w:r>
          <w:rPr/>
          <w:t>网址：www.htsec.com</w:t>
        </w:r>
      </w:hyperlink>
    </w:p>
    <w:p>
      <w:pPr>
        <w:pStyle w:val="ListParagraph"/>
        <w:numPr>
          <w:ilvl w:val="0"/>
          <w:numId w:val="10"/>
        </w:numPr>
        <w:tabs>
          <w:tab w:pos="1193" w:val="left" w:leader="none"/>
        </w:tabs>
        <w:spacing w:line="240" w:lineRule="auto" w:before="137" w:after="0"/>
        <w:ind w:left="1193" w:right="0" w:hanging="421"/>
        <w:jc w:val="both"/>
        <w:rPr>
          <w:sz w:val="21"/>
        </w:rPr>
      </w:pPr>
      <w:r>
        <w:rPr>
          <w:sz w:val="21"/>
        </w:rPr>
        <w:t>华鑫证券</w:t>
      </w:r>
    </w:p>
    <w:p>
      <w:pPr>
        <w:pStyle w:val="BodyText"/>
        <w:spacing w:before="139"/>
      </w:pPr>
      <w:r>
        <w:rPr/>
        <w:t>注册地址：深圳市福田区莲花街道福中社区深南大道 2008 号中国凤凰大厦 1 栋 20C-1</w:t>
      </w:r>
    </w:p>
    <w:p>
      <w:pPr>
        <w:pStyle w:val="BodyText"/>
        <w:spacing w:line="364" w:lineRule="auto" w:before="140"/>
        <w:ind w:right="5803"/>
      </w:pPr>
      <w:r>
        <w:rPr>
          <w:spacing w:val="-4"/>
        </w:rPr>
        <w:t>办公地址：上海市徐汇区宛平南路 </w:t>
      </w:r>
      <w:r>
        <w:rPr/>
        <w:t>8</w:t>
      </w:r>
      <w:r>
        <w:rPr>
          <w:spacing w:val="-35"/>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918"/>
      </w:pPr>
      <w:r>
        <w:rPr/>
        <w:t>客户服务电话：95323（全国）、400-109-9918（全国）、029-68918888（西安） 传真：021-54967293</w:t>
      </w:r>
    </w:p>
    <w:p>
      <w:pPr>
        <w:pStyle w:val="BodyText"/>
        <w:spacing w:line="268" w:lineRule="exact"/>
      </w:pPr>
      <w:hyperlink r:id="rId132">
        <w:r>
          <w:rPr/>
          <w:t>网址：www.cfsc.com.cn</w:t>
        </w:r>
      </w:hyperlink>
    </w:p>
    <w:p>
      <w:pPr>
        <w:pStyle w:val="ListParagraph"/>
        <w:numPr>
          <w:ilvl w:val="0"/>
          <w:numId w:val="10"/>
        </w:numPr>
        <w:tabs>
          <w:tab w:pos="1193" w:val="left" w:leader="none"/>
        </w:tabs>
        <w:spacing w:line="240" w:lineRule="auto" w:before="139" w:after="0"/>
        <w:ind w:left="1193" w:right="0" w:hanging="421"/>
        <w:jc w:val="both"/>
        <w:rPr>
          <w:sz w:val="21"/>
        </w:rPr>
      </w:pPr>
      <w:r>
        <w:rPr>
          <w:sz w:val="21"/>
        </w:rPr>
        <w:t>南京证券</w:t>
      </w:r>
    </w:p>
    <w:p>
      <w:pPr>
        <w:spacing w:after="0" w:line="240" w:lineRule="auto"/>
        <w:jc w:val="both"/>
        <w:rPr>
          <w:sz w:val="21"/>
        </w:rPr>
        <w:sectPr>
          <w:pgSz w:w="11910" w:h="16840"/>
          <w:pgMar w:header="0" w:footer="1166" w:top="1600" w:bottom="1440" w:left="1400" w:right="360"/>
        </w:sectPr>
      </w:pPr>
    </w:p>
    <w:p>
      <w:pPr>
        <w:pStyle w:val="BodyText"/>
        <w:spacing w:line="364" w:lineRule="auto" w:before="104"/>
        <w:ind w:right="6223"/>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7378"/>
      </w:pPr>
      <w:r>
        <w:rPr/>
        <w:t>客户服务电话：95386 传真：025-83369725</w:t>
      </w:r>
    </w:p>
    <w:p>
      <w:pPr>
        <w:pStyle w:val="BodyText"/>
        <w:spacing w:line="268" w:lineRule="exact"/>
      </w:pPr>
      <w:hyperlink r:id="rId140">
        <w:r>
          <w:rPr/>
          <w:t>网址：www.njzq.com.cn</w:t>
        </w:r>
      </w:hyperlink>
    </w:p>
    <w:p>
      <w:pPr>
        <w:pStyle w:val="ListParagraph"/>
        <w:numPr>
          <w:ilvl w:val="0"/>
          <w:numId w:val="10"/>
        </w:numPr>
        <w:tabs>
          <w:tab w:pos="1193" w:val="left" w:leader="none"/>
        </w:tabs>
        <w:spacing w:line="240" w:lineRule="auto" w:before="139" w:after="0"/>
        <w:ind w:left="1193" w:right="0" w:hanging="421"/>
        <w:jc w:val="left"/>
        <w:rPr>
          <w:sz w:val="21"/>
        </w:rPr>
      </w:pPr>
      <w:r>
        <w:rPr>
          <w:sz w:val="21"/>
        </w:rPr>
        <w:t>平安证券</w:t>
      </w:r>
    </w:p>
    <w:p>
      <w:pPr>
        <w:pStyle w:val="BodyText"/>
        <w:spacing w:line="364" w:lineRule="auto" w:before="140"/>
        <w:ind w:right="2128"/>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7483"/>
      </w:pPr>
      <w:r>
        <w:rPr/>
        <w:t>法定代表人：何之江联系人：周驰</w:t>
      </w:r>
    </w:p>
    <w:p>
      <w:pPr>
        <w:pStyle w:val="BodyText"/>
        <w:spacing w:line="268" w:lineRule="exact"/>
      </w:pPr>
      <w:r>
        <w:rPr/>
        <w:t>联系电话：021-38643230</w:t>
      </w:r>
    </w:p>
    <w:p>
      <w:pPr>
        <w:pStyle w:val="BodyText"/>
        <w:spacing w:line="364" w:lineRule="auto" w:before="138"/>
        <w:ind w:right="7168"/>
      </w:pPr>
      <w:r>
        <w:rPr/>
        <w:t>客户服务电话：95511-8 传真：021-58991896</w:t>
      </w:r>
    </w:p>
    <w:p>
      <w:pPr>
        <w:pStyle w:val="BodyText"/>
        <w:spacing w:line="268" w:lineRule="exact"/>
      </w:pPr>
      <w:r>
        <w:rPr/>
        <w:t>网址：stock.pingan.com</w:t>
      </w:r>
    </w:p>
    <w:p>
      <w:pPr>
        <w:pStyle w:val="ListParagraph"/>
        <w:numPr>
          <w:ilvl w:val="0"/>
          <w:numId w:val="10"/>
        </w:numPr>
        <w:tabs>
          <w:tab w:pos="1193" w:val="left" w:leader="none"/>
        </w:tabs>
        <w:spacing w:line="240" w:lineRule="auto" w:before="140" w:after="0"/>
        <w:ind w:left="1193" w:right="0" w:hanging="421"/>
        <w:jc w:val="left"/>
        <w:rPr>
          <w:sz w:val="21"/>
        </w:rPr>
      </w:pPr>
      <w:r>
        <w:rPr>
          <w:sz w:val="21"/>
        </w:rPr>
        <w:t>申万宏源西部证券</w:t>
      </w:r>
    </w:p>
    <w:p>
      <w:pPr>
        <w:pStyle w:val="BodyText"/>
        <w:spacing w:before="139"/>
      </w:pPr>
      <w:r>
        <w:rPr>
          <w:spacing w:val="-2"/>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pPr>
      <w:r>
        <w:rPr/>
        <w:t>室</w:t>
      </w:r>
    </w:p>
    <w:p>
      <w:pPr>
        <w:pStyle w:val="BodyText"/>
        <w:spacing w:before="139"/>
      </w:pPr>
      <w:r>
        <w:rPr>
          <w:spacing w:val="-2"/>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pPr>
      <w:r>
        <w:rPr/>
        <w:t>室</w:t>
      </w:r>
    </w:p>
    <w:p>
      <w:pPr>
        <w:pStyle w:val="BodyText"/>
        <w:spacing w:line="364" w:lineRule="auto" w:before="140"/>
        <w:ind w:right="7693"/>
      </w:pPr>
      <w:r>
        <w:rPr/>
        <w:t>法定代表人：李琦联系人：王怀春</w:t>
      </w:r>
    </w:p>
    <w:p>
      <w:pPr>
        <w:pStyle w:val="BodyText"/>
        <w:spacing w:line="268" w:lineRule="exact"/>
      </w:pPr>
      <w:r>
        <w:rPr/>
        <w:t>联系电话：0991-2307105</w:t>
      </w:r>
    </w:p>
    <w:p>
      <w:pPr>
        <w:pStyle w:val="BodyText"/>
        <w:spacing w:line="364" w:lineRule="auto" w:before="139"/>
        <w:ind w:right="6643"/>
      </w:pPr>
      <w:r>
        <w:rPr/>
        <w:t>客户服务电话</w:t>
      </w:r>
      <w:r>
        <w:rPr>
          <w:spacing w:val="-2"/>
        </w:rPr>
        <w:t>：4008-000-562 </w:t>
      </w:r>
      <w:r>
        <w:rPr/>
        <w:t>传真：010-88085195</w:t>
      </w:r>
    </w:p>
    <w:p>
      <w:pPr>
        <w:pStyle w:val="BodyText"/>
        <w:spacing w:line="268" w:lineRule="exact"/>
      </w:pPr>
      <w:hyperlink r:id="rId144">
        <w:r>
          <w:rPr/>
          <w:t>网址：www.hysec.com</w:t>
        </w:r>
      </w:hyperlink>
    </w:p>
    <w:p>
      <w:pPr>
        <w:pStyle w:val="ListParagraph"/>
        <w:numPr>
          <w:ilvl w:val="0"/>
          <w:numId w:val="10"/>
        </w:numPr>
        <w:tabs>
          <w:tab w:pos="1193" w:val="left" w:leader="none"/>
        </w:tabs>
        <w:spacing w:line="240" w:lineRule="auto" w:before="140" w:after="0"/>
        <w:ind w:left="1193" w:right="0" w:hanging="421"/>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4018"/>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spacing w:after="0" w:line="268" w:lineRule="exact"/>
        <w:sectPr>
          <w:pgSz w:w="11910" w:h="16840"/>
          <w:pgMar w:header="0" w:footer="1166" w:top="1600" w:bottom="1440" w:left="1400" w:right="360"/>
        </w:sectPr>
      </w:pPr>
    </w:p>
    <w:p>
      <w:pPr>
        <w:pStyle w:val="BodyText"/>
        <w:spacing w:before="104"/>
      </w:pPr>
      <w:r>
        <w:rPr/>
        <w:t>联系电话：021-33388252</w:t>
      </w:r>
    </w:p>
    <w:p>
      <w:pPr>
        <w:pStyle w:val="BodyText"/>
        <w:spacing w:line="364" w:lineRule="auto" w:before="139"/>
        <w:ind w:right="6118"/>
      </w:pPr>
      <w:r>
        <w:rPr/>
        <w:t>客户服务电话：95523、4008895523 传真：021-33388224</w:t>
      </w:r>
    </w:p>
    <w:p>
      <w:pPr>
        <w:pStyle w:val="BodyText"/>
        <w:spacing w:line="268" w:lineRule="exact"/>
      </w:pPr>
      <w:hyperlink r:id="rId145">
        <w:r>
          <w:rPr/>
          <w:t>网址：www.swhysc.com</w:t>
        </w:r>
      </w:hyperlink>
    </w:p>
    <w:p>
      <w:pPr>
        <w:pStyle w:val="ListParagraph"/>
        <w:numPr>
          <w:ilvl w:val="0"/>
          <w:numId w:val="10"/>
        </w:numPr>
        <w:tabs>
          <w:tab w:pos="1193" w:val="left" w:leader="none"/>
        </w:tabs>
        <w:spacing w:line="240" w:lineRule="auto" w:before="140" w:after="0"/>
        <w:ind w:left="1193" w:right="0" w:hanging="421"/>
        <w:jc w:val="both"/>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4018"/>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57">
        <w:r>
          <w:rPr/>
          <w:t>网址：www.chinastock.com.cn</w:t>
        </w:r>
      </w:hyperlink>
    </w:p>
    <w:p>
      <w:pPr>
        <w:pStyle w:val="ListParagraph"/>
        <w:numPr>
          <w:ilvl w:val="0"/>
          <w:numId w:val="10"/>
        </w:numPr>
        <w:tabs>
          <w:tab w:pos="1193" w:val="left" w:leader="none"/>
        </w:tabs>
        <w:spacing w:line="240" w:lineRule="auto" w:before="139" w:after="0"/>
        <w:ind w:left="1193" w:right="0" w:hanging="421"/>
        <w:jc w:val="both"/>
        <w:rPr>
          <w:sz w:val="21"/>
        </w:rPr>
      </w:pPr>
      <w:r>
        <w:rPr>
          <w:sz w:val="21"/>
        </w:rPr>
        <w:t>招商证券</w:t>
      </w:r>
    </w:p>
    <w:p>
      <w:pPr>
        <w:pStyle w:val="BodyText"/>
        <w:spacing w:line="364" w:lineRule="auto" w:before="140"/>
        <w:ind w:right="4753"/>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5908"/>
      </w:pPr>
      <w:r>
        <w:rPr/>
        <w:t>客户服务电话：95565、400-8888-111 传真：0755-82943636</w:t>
      </w:r>
    </w:p>
    <w:p>
      <w:pPr>
        <w:pStyle w:val="BodyText"/>
        <w:spacing w:line="268" w:lineRule="exact"/>
      </w:pPr>
      <w:hyperlink r:id="rId159">
        <w:r>
          <w:rPr/>
          <w:t>网址：www.newone.com.cn</w:t>
        </w:r>
      </w:hyperlink>
    </w:p>
    <w:p>
      <w:pPr>
        <w:pStyle w:val="ListParagraph"/>
        <w:numPr>
          <w:ilvl w:val="0"/>
          <w:numId w:val="10"/>
        </w:numPr>
        <w:tabs>
          <w:tab w:pos="1193" w:val="left" w:leader="none"/>
        </w:tabs>
        <w:spacing w:line="240" w:lineRule="auto" w:before="139" w:after="0"/>
        <w:ind w:left="1193" w:right="0" w:hanging="421"/>
        <w:jc w:val="both"/>
        <w:rPr>
          <w:sz w:val="21"/>
        </w:rPr>
      </w:pPr>
      <w:r>
        <w:rPr>
          <w:sz w:val="21"/>
        </w:rPr>
        <w:t>中泰证券</w:t>
      </w:r>
    </w:p>
    <w:p>
      <w:pPr>
        <w:pStyle w:val="BodyText"/>
        <w:spacing w:line="364" w:lineRule="auto" w:before="140"/>
        <w:ind w:right="5908"/>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7378"/>
      </w:pPr>
      <w:r>
        <w:rPr/>
        <w:t>客户服务电话：95538 传真：0531-68889095</w:t>
      </w:r>
    </w:p>
    <w:p>
      <w:pPr>
        <w:pStyle w:val="BodyText"/>
        <w:spacing w:line="268" w:lineRule="exact"/>
      </w:pPr>
      <w:hyperlink r:id="rId165">
        <w:r>
          <w:rPr/>
          <w:t>网址：www.zts.com.cn</w:t>
        </w:r>
      </w:hyperlink>
    </w:p>
    <w:p>
      <w:pPr>
        <w:pStyle w:val="ListParagraph"/>
        <w:numPr>
          <w:ilvl w:val="0"/>
          <w:numId w:val="10"/>
        </w:numPr>
        <w:tabs>
          <w:tab w:pos="1193" w:val="left" w:leader="none"/>
        </w:tabs>
        <w:spacing w:line="240" w:lineRule="auto" w:before="139" w:after="0"/>
        <w:ind w:left="1193" w:right="0" w:hanging="421"/>
        <w:jc w:val="left"/>
        <w:rPr>
          <w:sz w:val="21"/>
        </w:rPr>
      </w:pPr>
      <w:r>
        <w:rPr>
          <w:sz w:val="21"/>
        </w:rPr>
        <w:t>中信建投证券</w:t>
      </w:r>
    </w:p>
    <w:p>
      <w:pPr>
        <w:pStyle w:val="BodyText"/>
        <w:spacing w:line="364" w:lineRule="auto" w:before="139"/>
        <w:ind w:right="5278"/>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spacing w:after="0" w:line="364" w:lineRule="auto"/>
        <w:sectPr>
          <w:pgSz w:w="11910" w:h="16840"/>
          <w:pgMar w:header="0" w:footer="1166" w:top="1600" w:bottom="1440" w:left="1400" w:right="360"/>
        </w:sectPr>
      </w:pPr>
    </w:p>
    <w:p>
      <w:pPr>
        <w:pStyle w:val="BodyText"/>
        <w:spacing w:line="364" w:lineRule="auto" w:before="104"/>
        <w:ind w:right="7483"/>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40"/>
      </w:pPr>
      <w:hyperlink r:id="rId167">
        <w:r>
          <w:rPr/>
          <w:t>网址：http://www.csc108.com/</w:t>
        </w:r>
      </w:hyperlink>
    </w:p>
    <w:p>
      <w:pPr>
        <w:pStyle w:val="ListParagraph"/>
        <w:numPr>
          <w:ilvl w:val="0"/>
          <w:numId w:val="10"/>
        </w:numPr>
        <w:tabs>
          <w:tab w:pos="1193" w:val="left" w:leader="none"/>
        </w:tabs>
        <w:spacing w:line="240" w:lineRule="auto" w:before="139" w:after="0"/>
        <w:ind w:left="1193" w:right="0" w:hanging="421"/>
        <w:jc w:val="left"/>
        <w:rPr>
          <w:sz w:val="21"/>
        </w:rPr>
      </w:pPr>
      <w:r>
        <w:rPr>
          <w:sz w:val="21"/>
        </w:rPr>
        <w:t>中信证券</w:t>
      </w:r>
    </w:p>
    <w:p>
      <w:pPr>
        <w:pStyle w:val="BodyText"/>
        <w:spacing w:line="364" w:lineRule="auto" w:before="140"/>
        <w:ind w:right="2653"/>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7483"/>
      </w:pPr>
      <w:r>
        <w:rPr/>
        <w:t>法定代表人：张佑君联系人：王一通</w:t>
      </w:r>
    </w:p>
    <w:p>
      <w:pPr>
        <w:pStyle w:val="BodyText"/>
        <w:spacing w:line="268" w:lineRule="exact"/>
      </w:pPr>
      <w:r>
        <w:rPr/>
        <w:t>联系电话：010-60838888</w:t>
      </w:r>
    </w:p>
    <w:p>
      <w:pPr>
        <w:pStyle w:val="BodyText"/>
        <w:spacing w:line="364" w:lineRule="auto" w:before="138"/>
        <w:ind w:right="7378"/>
      </w:pPr>
      <w:r>
        <w:rPr/>
        <w:t>客户服务电话：95548 传真：010-60836029</w:t>
      </w:r>
    </w:p>
    <w:p>
      <w:pPr>
        <w:pStyle w:val="BodyText"/>
        <w:spacing w:line="268" w:lineRule="exact"/>
      </w:pPr>
      <w:hyperlink r:id="rId168">
        <w:r>
          <w:rPr/>
          <w:t>网址：www.cs.ecitic.com</w:t>
        </w:r>
      </w:hyperlink>
    </w:p>
    <w:p>
      <w:pPr>
        <w:pStyle w:val="ListParagraph"/>
        <w:numPr>
          <w:ilvl w:val="0"/>
          <w:numId w:val="10"/>
        </w:numPr>
        <w:tabs>
          <w:tab w:pos="1193" w:val="left" w:leader="none"/>
        </w:tabs>
        <w:spacing w:line="240" w:lineRule="auto" w:before="140" w:after="0"/>
        <w:ind w:left="1193" w:right="0" w:hanging="421"/>
        <w:jc w:val="both"/>
        <w:rPr>
          <w:sz w:val="21"/>
        </w:rPr>
      </w:pPr>
      <w:r>
        <w:rPr>
          <w:sz w:val="21"/>
        </w:rPr>
        <w:t>中信证券华南</w:t>
      </w:r>
    </w:p>
    <w:p>
      <w:pPr>
        <w:pStyle w:val="BodyText"/>
        <w:spacing w:line="364" w:lineRule="auto" w:before="139"/>
        <w:ind w:right="2494"/>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pStyle w:val="BodyText"/>
        <w:spacing w:line="364" w:lineRule="auto" w:before="139"/>
        <w:ind w:right="7378"/>
      </w:pPr>
      <w:r>
        <w:rPr/>
        <w:t>客户服务电话：95548 传真：020-88836984</w:t>
      </w:r>
    </w:p>
    <w:p>
      <w:pPr>
        <w:pStyle w:val="BodyText"/>
        <w:spacing w:line="268" w:lineRule="exact"/>
      </w:pPr>
      <w:hyperlink r:id="rId169">
        <w:r>
          <w:rPr/>
          <w:t>网址：www.gzs.com.cn</w:t>
        </w:r>
      </w:hyperlink>
    </w:p>
    <w:p>
      <w:pPr>
        <w:pStyle w:val="ListParagraph"/>
        <w:numPr>
          <w:ilvl w:val="0"/>
          <w:numId w:val="10"/>
        </w:numPr>
        <w:tabs>
          <w:tab w:pos="1193" w:val="left" w:leader="none"/>
        </w:tabs>
        <w:spacing w:line="240" w:lineRule="auto" w:before="139" w:after="0"/>
        <w:ind w:left="1193" w:right="0" w:hanging="421"/>
        <w:jc w:val="both"/>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4018"/>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7378"/>
      </w:pPr>
      <w:r>
        <w:rPr/>
        <w:t>客户服务电话：95548 传真：0532-85022605</w:t>
      </w:r>
    </w:p>
    <w:p>
      <w:pPr>
        <w:pStyle w:val="BodyText"/>
        <w:spacing w:line="268" w:lineRule="exact"/>
      </w:pPr>
      <w:hyperlink r:id="rId170">
        <w:r>
          <w:rPr/>
          <w:t>网址：http://sd.citics.com/</w:t>
        </w:r>
      </w:hyperlink>
    </w:p>
    <w:p>
      <w:pPr>
        <w:pStyle w:val="ListParagraph"/>
        <w:numPr>
          <w:ilvl w:val="0"/>
          <w:numId w:val="10"/>
        </w:numPr>
        <w:tabs>
          <w:tab w:pos="1193" w:val="left" w:leader="none"/>
        </w:tabs>
        <w:spacing w:line="240" w:lineRule="auto" w:before="140" w:after="0"/>
        <w:ind w:left="1193" w:right="0" w:hanging="421"/>
        <w:jc w:val="both"/>
        <w:rPr>
          <w:sz w:val="21"/>
        </w:rPr>
      </w:pPr>
      <w:r>
        <w:rPr>
          <w:sz w:val="21"/>
        </w:rPr>
        <w:t>大智慧基金</w:t>
      </w:r>
    </w:p>
    <w:p>
      <w:pPr>
        <w:spacing w:after="0" w:line="240" w:lineRule="auto"/>
        <w:jc w:val="both"/>
        <w:rPr>
          <w:sz w:val="21"/>
        </w:rPr>
        <w:sectPr>
          <w:pgSz w:w="11910" w:h="16840"/>
          <w:pgMar w:header="0" w:footer="1166" w:top="1600" w:bottom="1440" w:left="1400" w:right="360"/>
        </w:sectPr>
      </w:pPr>
    </w:p>
    <w:p>
      <w:pPr>
        <w:pStyle w:val="BodyText"/>
        <w:spacing w:line="364" w:lineRule="auto" w:before="104"/>
        <w:ind w:right="2548"/>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6643"/>
      </w:pPr>
      <w:r>
        <w:rPr/>
        <w:t>客户服务电话：021-20292031 传真：021-20219923</w:t>
      </w:r>
    </w:p>
    <w:p>
      <w:pPr>
        <w:pStyle w:val="BodyText"/>
        <w:spacing w:line="268" w:lineRule="exact"/>
      </w:pPr>
      <w:hyperlink r:id="rId179">
        <w:r>
          <w:rPr/>
          <w:t>网址：https://www.wg.com.cn/</w:t>
        </w:r>
      </w:hyperlink>
    </w:p>
    <w:p>
      <w:pPr>
        <w:pStyle w:val="ListParagraph"/>
        <w:numPr>
          <w:ilvl w:val="0"/>
          <w:numId w:val="10"/>
        </w:numPr>
        <w:tabs>
          <w:tab w:pos="1193" w:val="left" w:leader="none"/>
        </w:tabs>
        <w:spacing w:line="240" w:lineRule="auto" w:before="139" w:after="0"/>
        <w:ind w:left="1193" w:right="0" w:hanging="421"/>
        <w:jc w:val="left"/>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3178"/>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line="364" w:lineRule="auto" w:before="139"/>
        <w:ind w:right="6433"/>
      </w:pPr>
      <w:r>
        <w:rPr/>
        <w:t>客户服务电话：400-159-9288 </w:t>
      </w:r>
      <w:r>
        <w:rPr>
          <w:spacing w:val="-1"/>
        </w:rPr>
        <w:t>网址：https://danjuanapp.com</w:t>
      </w:r>
    </w:p>
    <w:p>
      <w:pPr>
        <w:pStyle w:val="ListParagraph"/>
        <w:numPr>
          <w:ilvl w:val="0"/>
          <w:numId w:val="10"/>
        </w:numPr>
        <w:tabs>
          <w:tab w:pos="1193" w:val="left" w:leader="none"/>
        </w:tabs>
        <w:spacing w:line="268" w:lineRule="exact" w:before="0" w:after="0"/>
        <w:ind w:left="1193" w:right="0" w:hanging="421"/>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40"/>
        <w:ind w:right="3283"/>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line="364" w:lineRule="auto" w:before="140"/>
        <w:ind w:right="6643"/>
      </w:pPr>
      <w:r>
        <w:rPr/>
        <w:t>客户服务电话：400-700-9665 传真：021-68596919</w:t>
      </w:r>
    </w:p>
    <w:p>
      <w:pPr>
        <w:pStyle w:val="BodyText"/>
        <w:spacing w:line="268" w:lineRule="exact"/>
      </w:pPr>
      <w:hyperlink r:id="rId185">
        <w:r>
          <w:rPr/>
          <w:t>网址：www.ehowbuy.com</w:t>
        </w:r>
      </w:hyperlink>
    </w:p>
    <w:p>
      <w:pPr>
        <w:pStyle w:val="ListParagraph"/>
        <w:numPr>
          <w:ilvl w:val="0"/>
          <w:numId w:val="10"/>
        </w:numPr>
        <w:tabs>
          <w:tab w:pos="1193" w:val="left" w:leader="none"/>
        </w:tabs>
        <w:spacing w:line="240" w:lineRule="auto" w:before="139" w:after="0"/>
        <w:ind w:left="1193" w:right="0" w:hanging="421"/>
        <w:jc w:val="left"/>
        <w:rPr>
          <w:sz w:val="21"/>
        </w:rPr>
      </w:pPr>
      <w:r>
        <w:rPr>
          <w:sz w:val="21"/>
        </w:rPr>
        <w:t>华瑞保险销售</w:t>
      </w:r>
    </w:p>
    <w:p>
      <w:pPr>
        <w:pStyle w:val="BodyText"/>
        <w:spacing w:line="364" w:lineRule="auto" w:before="140"/>
        <w:ind w:right="1708"/>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693"/>
      </w:pPr>
      <w:r>
        <w:rPr/>
        <w:t>法定代表人：路昊联系人：茆勇强</w:t>
      </w:r>
    </w:p>
    <w:p>
      <w:pPr>
        <w:pStyle w:val="BodyText"/>
        <w:spacing w:line="268" w:lineRule="exact"/>
      </w:pPr>
      <w:r>
        <w:rPr/>
        <w:t>联系电话：021-68595698</w:t>
      </w:r>
    </w:p>
    <w:p>
      <w:pPr>
        <w:pStyle w:val="BodyText"/>
        <w:spacing w:line="364" w:lineRule="auto" w:before="138"/>
        <w:ind w:right="7273"/>
      </w:pPr>
      <w:r>
        <w:rPr/>
        <w:t>客户服务电话：952303 传真：021-68595766</w:t>
      </w:r>
    </w:p>
    <w:p>
      <w:pPr>
        <w:spacing w:after="0" w:line="364" w:lineRule="auto"/>
        <w:sectPr>
          <w:pgSz w:w="11910" w:h="16840"/>
          <w:pgMar w:header="0" w:footer="1166" w:top="1600" w:bottom="1440" w:left="1400" w:right="360"/>
        </w:sectPr>
      </w:pPr>
    </w:p>
    <w:p>
      <w:pPr>
        <w:pStyle w:val="BodyText"/>
        <w:spacing w:before="104"/>
      </w:pPr>
      <w:hyperlink r:id="rId190">
        <w:r>
          <w:rPr/>
          <w:t>网址：www.huaruisales.com</w:t>
        </w:r>
      </w:hyperlink>
    </w:p>
    <w:p>
      <w:pPr>
        <w:pStyle w:val="ListParagraph"/>
        <w:numPr>
          <w:ilvl w:val="0"/>
          <w:numId w:val="10"/>
        </w:numPr>
        <w:tabs>
          <w:tab w:pos="1193" w:val="left" w:leader="none"/>
        </w:tabs>
        <w:spacing w:line="240" w:lineRule="auto" w:before="139" w:after="0"/>
        <w:ind w:left="1193" w:right="0" w:hanging="421"/>
        <w:jc w:val="both"/>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7483"/>
      </w:pPr>
      <w:r>
        <w:rPr/>
        <w:t>法定代表人：王伟刚联系人：王骁骁</w:t>
      </w:r>
    </w:p>
    <w:p>
      <w:pPr>
        <w:pStyle w:val="BodyText"/>
        <w:spacing w:line="268" w:lineRule="exact"/>
      </w:pPr>
      <w:r>
        <w:rPr/>
        <w:t>联系电话：010-56251471</w:t>
      </w:r>
    </w:p>
    <w:p>
      <w:pPr>
        <w:pStyle w:val="BodyText"/>
        <w:spacing w:line="364" w:lineRule="auto" w:before="139"/>
        <w:ind w:right="6643"/>
      </w:pPr>
      <w:r>
        <w:rPr/>
        <w:t>客户服务电话</w:t>
      </w:r>
      <w:r>
        <w:rPr>
          <w:spacing w:val="-2"/>
        </w:rPr>
        <w:t>：400-619-9059 </w:t>
      </w:r>
      <w:hyperlink r:id="rId193">
        <w:r>
          <w:rPr/>
          <w:t>网址：www.hcfunds.com</w:t>
        </w:r>
      </w:hyperlink>
    </w:p>
    <w:p>
      <w:pPr>
        <w:pStyle w:val="ListParagraph"/>
        <w:numPr>
          <w:ilvl w:val="0"/>
          <w:numId w:val="10"/>
        </w:numPr>
        <w:tabs>
          <w:tab w:pos="1193" w:val="left" w:leader="none"/>
        </w:tabs>
        <w:spacing w:line="268" w:lineRule="exact" w:before="0" w:after="0"/>
        <w:ind w:left="1193" w:right="0" w:hanging="421"/>
        <w:jc w:val="left"/>
        <w:rPr>
          <w:sz w:val="21"/>
        </w:rPr>
      </w:pPr>
      <w:r>
        <w:rPr>
          <w:sz w:val="21"/>
        </w:rPr>
        <w:t>金海九州</w:t>
      </w:r>
    </w:p>
    <w:p>
      <w:pPr>
        <w:pStyle w:val="BodyText"/>
        <w:spacing w:line="364" w:lineRule="auto" w:before="140"/>
        <w:ind w:right="1452"/>
      </w:pPr>
      <w:r>
        <w:rPr>
          <w:spacing w:val="-11"/>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648"/>
      </w:pPr>
      <w:r>
        <w:rPr>
          <w:spacing w:val="-3"/>
        </w:rPr>
        <w:t>办公地址：深圳市福田区富德生命保险大厦 </w:t>
      </w:r>
      <w:r>
        <w:rPr/>
        <w:t>1106</w:t>
      </w:r>
      <w:r>
        <w:rPr>
          <w:spacing w:val="-35"/>
        </w:rPr>
        <w:t> 室</w:t>
      </w:r>
      <w:r>
        <w:rPr/>
        <w:t>法定代表人：彭维熙</w:t>
      </w:r>
    </w:p>
    <w:p>
      <w:pPr>
        <w:pStyle w:val="BodyText"/>
        <w:spacing w:line="268" w:lineRule="exact"/>
      </w:pPr>
      <w:r>
        <w:rPr/>
        <w:t>联系人：彭维熙</w:t>
      </w:r>
    </w:p>
    <w:p>
      <w:pPr>
        <w:pStyle w:val="BodyText"/>
        <w:spacing w:before="138"/>
      </w:pPr>
      <w:r>
        <w:rPr/>
        <w:t>联系电话：0755-81994266</w:t>
      </w:r>
    </w:p>
    <w:p>
      <w:pPr>
        <w:pStyle w:val="BodyText"/>
        <w:spacing w:line="364" w:lineRule="auto" w:before="140"/>
        <w:ind w:right="6853"/>
      </w:pPr>
      <w:r>
        <w:rPr/>
        <w:t>客户服务电话：4000993333 传真：0755-84333886</w:t>
      </w:r>
    </w:p>
    <w:p>
      <w:pPr>
        <w:pStyle w:val="BodyText"/>
        <w:spacing w:line="268" w:lineRule="exact"/>
      </w:pPr>
      <w:hyperlink r:id="rId200">
        <w:r>
          <w:rPr/>
          <w:t>网址：www.jhjzfund.com</w:t>
        </w:r>
      </w:hyperlink>
    </w:p>
    <w:p>
      <w:pPr>
        <w:pStyle w:val="ListParagraph"/>
        <w:numPr>
          <w:ilvl w:val="0"/>
          <w:numId w:val="10"/>
        </w:numPr>
        <w:tabs>
          <w:tab w:pos="1193" w:val="left" w:leader="none"/>
        </w:tabs>
        <w:spacing w:line="240" w:lineRule="auto" w:before="139" w:after="0"/>
        <w:ind w:left="1193" w:right="0" w:hanging="421"/>
        <w:jc w:val="both"/>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2023"/>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203">
        <w:r>
          <w:rPr/>
          <w:t>网址：http://fund.jd.com/</w:t>
        </w:r>
      </w:hyperlink>
    </w:p>
    <w:p>
      <w:pPr>
        <w:pStyle w:val="ListParagraph"/>
        <w:numPr>
          <w:ilvl w:val="0"/>
          <w:numId w:val="10"/>
        </w:numPr>
        <w:tabs>
          <w:tab w:pos="1193" w:val="left" w:leader="none"/>
        </w:tabs>
        <w:spacing w:line="240" w:lineRule="auto" w:before="140" w:after="0"/>
        <w:ind w:left="1193" w:right="0" w:hanging="421"/>
        <w:jc w:val="both"/>
        <w:rPr>
          <w:sz w:val="21"/>
        </w:rPr>
      </w:pPr>
      <w:r>
        <w:rPr>
          <w:sz w:val="21"/>
        </w:rPr>
        <w:t>陆基金</w:t>
      </w:r>
    </w:p>
    <w:p>
      <w:pPr>
        <w:pStyle w:val="BodyText"/>
        <w:spacing w:line="364" w:lineRule="auto" w:before="139"/>
        <w:ind w:right="2548"/>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39"/>
      </w:pPr>
      <w:r>
        <w:rPr/>
        <w:t>联系电话：021-20665952</w:t>
      </w:r>
    </w:p>
    <w:p>
      <w:pPr>
        <w:spacing w:after="0"/>
        <w:sectPr>
          <w:pgSz w:w="11910" w:h="16840"/>
          <w:pgMar w:header="0" w:footer="1166" w:top="1600" w:bottom="1440" w:left="1400" w:right="360"/>
        </w:sectPr>
      </w:pPr>
    </w:p>
    <w:p>
      <w:pPr>
        <w:pStyle w:val="BodyText"/>
        <w:spacing w:line="364" w:lineRule="auto" w:before="104"/>
        <w:ind w:right="6853"/>
      </w:pPr>
      <w:r>
        <w:rPr/>
        <w:t>客户服务电话：4008219031 传真：021-22066653</w:t>
      </w:r>
    </w:p>
    <w:p>
      <w:pPr>
        <w:pStyle w:val="BodyText"/>
        <w:spacing w:line="268" w:lineRule="exact"/>
      </w:pPr>
      <w:hyperlink r:id="rId206">
        <w:r>
          <w:rPr/>
          <w:t>网址：www.lufunds.com</w:t>
        </w:r>
      </w:hyperlink>
    </w:p>
    <w:p>
      <w:pPr>
        <w:pStyle w:val="ListParagraph"/>
        <w:numPr>
          <w:ilvl w:val="0"/>
          <w:numId w:val="10"/>
        </w:numPr>
        <w:tabs>
          <w:tab w:pos="1193" w:val="left" w:leader="none"/>
        </w:tabs>
        <w:spacing w:line="240" w:lineRule="auto" w:before="139" w:after="0"/>
        <w:ind w:left="1193" w:right="0" w:hanging="421"/>
        <w:jc w:val="left"/>
        <w:rPr>
          <w:sz w:val="21"/>
        </w:rPr>
      </w:pPr>
      <w:r>
        <w:rPr>
          <w:sz w:val="21"/>
        </w:rPr>
        <w:t>蚂蚁基金</w:t>
      </w:r>
    </w:p>
    <w:p>
      <w:pPr>
        <w:pStyle w:val="BodyText"/>
        <w:spacing w:line="364" w:lineRule="auto" w:before="140"/>
        <w:ind w:right="2653"/>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7483"/>
      </w:pPr>
      <w:r>
        <w:rPr/>
        <w:t>法定代表人：祖国明联系人：韩爱彬</w:t>
      </w:r>
    </w:p>
    <w:p>
      <w:pPr>
        <w:pStyle w:val="BodyText"/>
        <w:spacing w:line="268" w:lineRule="exact"/>
      </w:pPr>
      <w:r>
        <w:rPr/>
        <w:t>联系电话：0571-26888888</w:t>
      </w:r>
    </w:p>
    <w:p>
      <w:pPr>
        <w:pStyle w:val="BodyText"/>
        <w:spacing w:line="364" w:lineRule="auto" w:before="138"/>
        <w:ind w:right="6433"/>
      </w:pPr>
      <w:r>
        <w:rPr/>
        <w:t>客户服务电话：4000-766-123 </w:t>
      </w:r>
      <w:hyperlink r:id="rId207">
        <w:r>
          <w:rPr>
            <w:spacing w:val="-1"/>
          </w:rPr>
          <w:t>网址：http://www.fund123.cn/</w:t>
        </w:r>
      </w:hyperlink>
    </w:p>
    <w:p>
      <w:pPr>
        <w:pStyle w:val="ListParagraph"/>
        <w:numPr>
          <w:ilvl w:val="0"/>
          <w:numId w:val="10"/>
        </w:numPr>
        <w:tabs>
          <w:tab w:pos="1193" w:val="left" w:leader="none"/>
        </w:tabs>
        <w:spacing w:line="268" w:lineRule="exact" w:before="0" w:after="0"/>
        <w:ind w:left="1193" w:right="0" w:hanging="421"/>
        <w:jc w:val="left"/>
        <w:rPr>
          <w:sz w:val="21"/>
        </w:rPr>
      </w:pPr>
      <w:r>
        <w:rPr>
          <w:sz w:val="21"/>
        </w:rPr>
        <w:t>苏宁基金</w:t>
      </w:r>
    </w:p>
    <w:p>
      <w:pPr>
        <w:pStyle w:val="BodyText"/>
        <w:spacing w:line="364" w:lineRule="auto" w:before="140"/>
        <w:ind w:right="5593"/>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7168"/>
      </w:pPr>
      <w:r>
        <w:rPr/>
        <w:t>客户服务电话：95177 </w:t>
      </w:r>
      <w:hyperlink r:id="rId214">
        <w:r>
          <w:rPr>
            <w:spacing w:val="-1"/>
          </w:rPr>
          <w:t>网址：www.snjijin.com</w:t>
        </w:r>
      </w:hyperlink>
    </w:p>
    <w:p>
      <w:pPr>
        <w:pStyle w:val="ListParagraph"/>
        <w:numPr>
          <w:ilvl w:val="0"/>
          <w:numId w:val="10"/>
        </w:numPr>
        <w:tabs>
          <w:tab w:pos="1193" w:val="left" w:leader="none"/>
        </w:tabs>
        <w:spacing w:line="268" w:lineRule="exact" w:before="0" w:after="0"/>
        <w:ind w:left="1193" w:right="0" w:hanging="421"/>
        <w:jc w:val="left"/>
        <w:rPr>
          <w:sz w:val="21"/>
        </w:rPr>
      </w:pPr>
      <w:r>
        <w:rPr>
          <w:sz w:val="21"/>
        </w:rPr>
        <w:t>腾安基金</w:t>
      </w:r>
    </w:p>
    <w:p>
      <w:pPr>
        <w:pStyle w:val="BodyText"/>
        <w:spacing w:line="364" w:lineRule="auto" w:before="139"/>
        <w:ind w:right="1452"/>
      </w:pPr>
      <w:r>
        <w:rPr>
          <w:spacing w:val="-11"/>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913"/>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5539"/>
      </w:pPr>
      <w:r>
        <w:rPr/>
        <w:t>客户服务电话：95017（</w:t>
      </w:r>
      <w:r>
        <w:rPr>
          <w:spacing w:val="-11"/>
        </w:rPr>
        <w:t>拨通后转 </w:t>
      </w:r>
      <w:r>
        <w:rPr/>
        <w:t>1</w:t>
      </w:r>
      <w:r>
        <w:rPr>
          <w:spacing w:val="-36"/>
        </w:rPr>
        <w:t> 转 </w:t>
      </w:r>
      <w:r>
        <w:rPr>
          <w:spacing w:val="-8"/>
        </w:rPr>
        <w:t>8） </w:t>
      </w:r>
      <w:hyperlink r:id="rId215">
        <w:r>
          <w:rPr/>
          <w:t>公司网址：https://www.txfund.com/</w:t>
        </w:r>
      </w:hyperlink>
    </w:p>
    <w:p>
      <w:pPr>
        <w:pStyle w:val="ListParagraph"/>
        <w:numPr>
          <w:ilvl w:val="0"/>
          <w:numId w:val="10"/>
        </w:numPr>
        <w:tabs>
          <w:tab w:pos="1193" w:val="left" w:leader="none"/>
        </w:tabs>
        <w:spacing w:line="268" w:lineRule="exact" w:before="0" w:after="0"/>
        <w:ind w:left="1193" w:right="0" w:hanging="421"/>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39"/>
        <w:ind w:right="4438"/>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spacing w:after="0"/>
        <w:sectPr>
          <w:pgSz w:w="11910" w:h="16840"/>
          <w:pgMar w:header="0" w:footer="1166" w:top="1600" w:bottom="1440" w:left="1400" w:right="360"/>
        </w:sectPr>
      </w:pPr>
    </w:p>
    <w:p>
      <w:pPr>
        <w:pStyle w:val="BodyText"/>
        <w:spacing w:line="364" w:lineRule="auto" w:before="104"/>
        <w:ind w:right="7378"/>
      </w:pPr>
      <w:r>
        <w:rPr/>
        <w:t>客户服务电话：95021 传真：021-64385308</w:t>
      </w:r>
    </w:p>
    <w:p>
      <w:pPr>
        <w:pStyle w:val="BodyText"/>
        <w:spacing w:line="268" w:lineRule="exact"/>
      </w:pPr>
      <w:hyperlink r:id="rId216">
        <w:r>
          <w:rPr/>
          <w:t>网址：www.1234567.com.cn</w:t>
        </w:r>
      </w:hyperlink>
    </w:p>
    <w:p>
      <w:pPr>
        <w:pStyle w:val="ListParagraph"/>
        <w:numPr>
          <w:ilvl w:val="0"/>
          <w:numId w:val="10"/>
        </w:numPr>
        <w:tabs>
          <w:tab w:pos="1193" w:val="left" w:leader="none"/>
        </w:tabs>
        <w:spacing w:line="240" w:lineRule="auto" w:before="139" w:after="0"/>
        <w:ind w:left="1193" w:right="0" w:hanging="421"/>
        <w:jc w:val="left"/>
        <w:rPr>
          <w:sz w:val="21"/>
        </w:rPr>
      </w:pPr>
      <w:r>
        <w:rPr>
          <w:sz w:val="21"/>
        </w:rPr>
        <w:t>同花顺</w:t>
      </w:r>
    </w:p>
    <w:p>
      <w:pPr>
        <w:pStyle w:val="BodyText"/>
        <w:spacing w:before="140"/>
      </w:pPr>
      <w:r>
        <w:rPr/>
        <w:t>注册地址：浙江省杭州市文二西路 1 号 903 室</w:t>
      </w:r>
    </w:p>
    <w:p>
      <w:pPr>
        <w:pStyle w:val="BodyText"/>
        <w:spacing w:line="364" w:lineRule="auto" w:before="139"/>
        <w:ind w:right="3598"/>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7273"/>
      </w:pPr>
      <w:r>
        <w:rPr/>
        <w:t>客户服务电话</w:t>
      </w:r>
      <w:r>
        <w:rPr>
          <w:spacing w:val="-3"/>
        </w:rPr>
        <w:t>：952555 </w:t>
      </w:r>
      <w:r>
        <w:rPr/>
        <w:t>传真：0571-86800423</w:t>
      </w:r>
    </w:p>
    <w:p>
      <w:pPr>
        <w:pStyle w:val="BodyText"/>
        <w:spacing w:line="268" w:lineRule="exact"/>
      </w:pPr>
      <w:hyperlink r:id="rId218">
        <w:r>
          <w:rPr/>
          <w:t>网址：www.5ifund.com</w:t>
        </w:r>
      </w:hyperlink>
    </w:p>
    <w:p>
      <w:pPr>
        <w:pStyle w:val="ListParagraph"/>
        <w:numPr>
          <w:ilvl w:val="0"/>
          <w:numId w:val="10"/>
        </w:numPr>
        <w:tabs>
          <w:tab w:pos="1193" w:val="left" w:leader="none"/>
        </w:tabs>
        <w:spacing w:line="240" w:lineRule="auto" w:before="140" w:after="0"/>
        <w:ind w:left="1193" w:right="0" w:hanging="421"/>
        <w:jc w:val="left"/>
        <w:rPr>
          <w:sz w:val="21"/>
        </w:rPr>
      </w:pPr>
      <w:r>
        <w:rPr>
          <w:sz w:val="21"/>
        </w:rPr>
        <w:t>盈米基金</w:t>
      </w:r>
    </w:p>
    <w:p>
      <w:pPr>
        <w:pStyle w:val="BodyText"/>
        <w:spacing w:before="139"/>
      </w:pPr>
      <w:r>
        <w:rPr/>
        <w:t>注册地址：珠海市横琴新区宝华路 6 号 105 室-3491（集中办公区）</w:t>
      </w:r>
    </w:p>
    <w:p>
      <w:pPr>
        <w:pStyle w:val="BodyText"/>
        <w:spacing w:line="364" w:lineRule="auto" w:before="139"/>
        <w:ind w:right="2443"/>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6643"/>
      </w:pPr>
      <w:r>
        <w:rPr/>
        <w:t>客户服务电话</w:t>
      </w:r>
      <w:r>
        <w:rPr>
          <w:spacing w:val="-2"/>
        </w:rPr>
        <w:t>：020-89629066 </w:t>
      </w:r>
      <w:r>
        <w:rPr/>
        <w:t>传真：020-89629011</w:t>
      </w:r>
    </w:p>
    <w:p>
      <w:pPr>
        <w:pStyle w:val="BodyText"/>
        <w:spacing w:line="268" w:lineRule="exact"/>
      </w:pPr>
      <w:hyperlink r:id="rId230">
        <w:r>
          <w:rPr/>
          <w:t>网址：www.yingmi.cn</w:t>
        </w:r>
      </w:hyperlink>
    </w:p>
    <w:p>
      <w:pPr>
        <w:pStyle w:val="ListParagraph"/>
        <w:numPr>
          <w:ilvl w:val="0"/>
          <w:numId w:val="10"/>
        </w:numPr>
        <w:tabs>
          <w:tab w:pos="1193" w:val="left" w:leader="none"/>
        </w:tabs>
        <w:spacing w:line="240" w:lineRule="auto" w:before="140" w:after="0"/>
        <w:ind w:left="1193" w:right="0" w:hanging="421"/>
        <w:jc w:val="left"/>
        <w:rPr>
          <w:sz w:val="21"/>
        </w:rPr>
      </w:pPr>
      <w:r>
        <w:rPr>
          <w:sz w:val="21"/>
        </w:rPr>
        <w:t>中信期货</w:t>
      </w:r>
    </w:p>
    <w:p>
      <w:pPr>
        <w:pStyle w:val="BodyText"/>
        <w:spacing w:before="139"/>
      </w:pPr>
      <w:r>
        <w:rPr>
          <w:spacing w:val="-14"/>
        </w:rPr>
        <w:t>注册地址：广东省深圳市福田区中心三路 </w:t>
      </w:r>
      <w:r>
        <w:rPr/>
        <w:t>8</w:t>
      </w:r>
      <w:r>
        <w:rPr>
          <w:spacing w:val="-21"/>
        </w:rPr>
        <w:t> 号卓越时代广场</w:t>
      </w:r>
      <w:r>
        <w:rPr/>
        <w:t>（二期</w:t>
      </w:r>
      <w:r>
        <w:rPr>
          <w:spacing w:val="-105"/>
        </w:rPr>
        <w:t>）</w:t>
      </w:r>
      <w:r>
        <w:rPr>
          <w:spacing w:val="-18"/>
        </w:rPr>
        <w:t>北座 </w:t>
      </w:r>
      <w:r>
        <w:rPr/>
        <w:t>13</w:t>
      </w:r>
      <w:r>
        <w:rPr>
          <w:spacing w:val="-37"/>
        </w:rPr>
        <w:t> 层 </w:t>
      </w:r>
      <w:r>
        <w:rPr/>
        <w:t>1301-1305</w:t>
      </w:r>
    </w:p>
    <w:p>
      <w:pPr>
        <w:pStyle w:val="BodyText"/>
        <w:spacing w:before="140"/>
      </w:pPr>
      <w:r>
        <w:rPr/>
        <w:t>室、14 层</w:t>
      </w:r>
    </w:p>
    <w:p>
      <w:pPr>
        <w:pStyle w:val="BodyText"/>
        <w:spacing w:before="139"/>
      </w:pPr>
      <w:r>
        <w:rPr/>
        <w:t>办公地址：深圳市福田区中心三路 8 号卓越时代广场（二期）北座 13 层 1301-1305 室、</w:t>
      </w:r>
    </w:p>
    <w:p>
      <w:pPr>
        <w:pStyle w:val="BodyText"/>
        <w:spacing w:before="140"/>
      </w:pPr>
      <w:r>
        <w:rPr/>
        <w:t>14 层</w:t>
      </w:r>
    </w:p>
    <w:p>
      <w:pPr>
        <w:pStyle w:val="BodyText"/>
        <w:spacing w:line="364" w:lineRule="auto" w:before="139"/>
        <w:ind w:right="7693"/>
      </w:pPr>
      <w:r>
        <w:rPr/>
        <w:t>法定代表人：张皓联系人：刘宏莹</w:t>
      </w:r>
    </w:p>
    <w:p>
      <w:pPr>
        <w:pStyle w:val="BodyText"/>
        <w:spacing w:line="268" w:lineRule="exact"/>
      </w:pPr>
      <w:r>
        <w:rPr/>
        <w:t>联系电话：010-6083 3754</w:t>
      </w:r>
    </w:p>
    <w:p>
      <w:pPr>
        <w:pStyle w:val="BodyText"/>
        <w:spacing w:line="364" w:lineRule="auto" w:before="139"/>
        <w:ind w:right="6643"/>
      </w:pPr>
      <w:r>
        <w:rPr/>
        <w:t>客户服务电话：400-990-8826 传真：021-60819988</w:t>
      </w:r>
    </w:p>
    <w:p>
      <w:pPr>
        <w:pStyle w:val="BodyText"/>
        <w:spacing w:line="268" w:lineRule="exact"/>
      </w:pPr>
      <w:hyperlink r:id="rId237">
        <w:r>
          <w:rPr/>
          <w:t>网址：www.citicsf.com</w:t>
        </w:r>
      </w:hyperlink>
    </w:p>
    <w:p>
      <w:pPr>
        <w:spacing w:after="0" w:line="268" w:lineRule="exact"/>
        <w:sectPr>
          <w:pgSz w:w="11910" w:h="16840"/>
          <w:pgMar w:header="0" w:footer="1166" w:top="1600" w:bottom="1440" w:left="1400" w:right="360"/>
        </w:sectPr>
      </w:pPr>
    </w:p>
    <w:p>
      <w:pPr>
        <w:pStyle w:val="Heading3"/>
        <w:spacing w:before="105"/>
      </w:pPr>
      <w:bookmarkStart w:name="_bookmark11" w:id="12"/>
      <w:bookmarkEnd w:id="12"/>
      <w:r>
        <w:rPr/>
      </w:r>
      <w:r>
        <w:rPr/>
        <w:t>（二）基金注册登记机构</w:t>
      </w:r>
    </w:p>
    <w:p>
      <w:pPr>
        <w:pStyle w:val="BodyText"/>
        <w:spacing w:before="185"/>
      </w:pPr>
      <w:r>
        <w:rPr/>
        <w:t>名称：易方达基金管理有限公司</w:t>
      </w:r>
    </w:p>
    <w:p>
      <w:pPr>
        <w:pStyle w:val="BodyText"/>
        <w:spacing w:line="364" w:lineRule="auto" w:before="139"/>
        <w:ind w:right="2443"/>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40-43F</w:t>
      </w:r>
    </w:p>
    <w:p>
      <w:pPr>
        <w:pStyle w:val="BodyText"/>
        <w:spacing w:line="364" w:lineRule="auto"/>
        <w:ind w:right="7483"/>
      </w:pPr>
      <w:r>
        <w:rPr/>
        <w:t>法定代表人：刘晓艳电 话 ：4008818088 传真：020-38799249</w:t>
      </w:r>
    </w:p>
    <w:p>
      <w:pPr>
        <w:pStyle w:val="BodyText"/>
        <w:spacing w:line="268" w:lineRule="exact"/>
      </w:pPr>
      <w:r>
        <w:rPr/>
        <w:t>联系人：余贤高</w:t>
      </w:r>
    </w:p>
    <w:p>
      <w:pPr>
        <w:pStyle w:val="Heading3"/>
        <w:spacing w:before="140"/>
      </w:pPr>
      <w:bookmarkStart w:name="_bookmark12" w:id="13"/>
      <w:bookmarkEnd w:id="13"/>
      <w:r>
        <w:rPr/>
      </w:r>
      <w:r>
        <w:rPr/>
        <w:t>（三）律师事务所和经办律师</w:t>
      </w:r>
    </w:p>
    <w:p>
      <w:pPr>
        <w:pStyle w:val="BodyText"/>
        <w:spacing w:before="185"/>
      </w:pPr>
      <w:r>
        <w:rPr/>
        <w:t>名称：北京市天元律师事务所</w:t>
      </w:r>
    </w:p>
    <w:p>
      <w:pPr>
        <w:pStyle w:val="BodyText"/>
        <w:spacing w:line="364" w:lineRule="auto" w:before="139"/>
        <w:ind w:right="4123"/>
      </w:pPr>
      <w:r>
        <w:rPr>
          <w:spacing w:val="-4"/>
        </w:rPr>
        <w:t>住所：北京市西城区丰盛胡同 </w:t>
      </w:r>
      <w:r>
        <w:rPr/>
        <w:t>28</w:t>
      </w:r>
      <w:r>
        <w:rPr>
          <w:spacing w:val="-13"/>
        </w:rPr>
        <w:t> 号太平洋保险大厦 </w:t>
      </w:r>
      <w:r>
        <w:rPr/>
        <w:t>10</w:t>
      </w:r>
      <w:r>
        <w:rPr>
          <w:spacing w:val="-35"/>
        </w:rPr>
        <w:t> 层</w:t>
      </w:r>
      <w:r>
        <w:rPr/>
        <w:t>负责人：王立华</w:t>
      </w:r>
    </w:p>
    <w:p>
      <w:pPr>
        <w:pStyle w:val="BodyText"/>
        <w:spacing w:line="364" w:lineRule="auto"/>
        <w:ind w:right="6748"/>
      </w:pPr>
      <w:r>
        <w:rPr/>
        <w:t>联系电话：（010）88092188 传真：（010）88092150</w:t>
      </w:r>
    </w:p>
    <w:p>
      <w:pPr>
        <w:pStyle w:val="BodyText"/>
        <w:spacing w:line="268" w:lineRule="exact"/>
      </w:pPr>
      <w:r>
        <w:rPr/>
        <w:t>联系人：王立华</w:t>
      </w:r>
    </w:p>
    <w:p>
      <w:pPr>
        <w:pStyle w:val="BodyText"/>
        <w:spacing w:before="139"/>
      </w:pPr>
      <w:r>
        <w:rPr/>
        <w:t>经办律师：陈华、宋娟娟</w:t>
      </w:r>
    </w:p>
    <w:p>
      <w:pPr>
        <w:pStyle w:val="Heading3"/>
        <w:spacing w:before="140"/>
      </w:pPr>
      <w:bookmarkStart w:name="_bookmark13" w:id="14"/>
      <w:bookmarkEnd w:id="14"/>
      <w:r>
        <w:rPr/>
      </w:r>
      <w:r>
        <w:rPr/>
        <w:t>（四）会计师事务所和经办注册会计师</w:t>
      </w:r>
    </w:p>
    <w:p>
      <w:pPr>
        <w:pStyle w:val="BodyText"/>
        <w:spacing w:line="364" w:lineRule="auto" w:before="185"/>
        <w:ind w:right="3703"/>
      </w:pPr>
      <w:r>
        <w:rPr/>
        <w:t>会计师事务所：普华永道中天会计师事务所（特殊普通合伙</w:t>
      </w:r>
      <w:r>
        <w:rPr>
          <w:spacing w:val="-18"/>
        </w:rPr>
        <w:t>） </w:t>
      </w:r>
      <w:r>
        <w:rPr>
          <w:spacing w:val="-6"/>
        </w:rPr>
        <w:t>住所：上海市湖滨路 </w:t>
      </w:r>
      <w:r>
        <w:rPr/>
        <w:t>202</w:t>
      </w:r>
      <w:r>
        <w:rPr>
          <w:spacing w:val="-13"/>
        </w:rPr>
        <w:t> 号普华永道中心 </w:t>
      </w:r>
      <w:r>
        <w:rPr/>
        <w:t>11</w:t>
      </w:r>
      <w:r>
        <w:rPr>
          <w:spacing w:val="-27"/>
        </w:rPr>
        <w:t> 楼</w:t>
      </w:r>
    </w:p>
    <w:p>
      <w:pPr>
        <w:pStyle w:val="BodyText"/>
        <w:spacing w:line="364" w:lineRule="auto"/>
        <w:ind w:right="4648"/>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7168"/>
      </w:pPr>
      <w:r>
        <w:rPr/>
        <w:t>电话：（021）23238888 传真：（021）23238800</w:t>
      </w:r>
    </w:p>
    <w:p>
      <w:pPr>
        <w:pStyle w:val="BodyText"/>
        <w:spacing w:line="364" w:lineRule="auto"/>
        <w:ind w:right="6643"/>
      </w:pPr>
      <w:r>
        <w:rPr/>
        <w:t>经办注册会计师：陈熹、周祎联系人：周祎</w:t>
      </w:r>
    </w:p>
    <w:p>
      <w:pPr>
        <w:spacing w:after="0" w:line="364" w:lineRule="auto"/>
        <w:sectPr>
          <w:pgSz w:w="11910" w:h="16840"/>
          <w:pgMar w:header="0" w:footer="1166" w:top="1600" w:bottom="1440" w:left="1400" w:right="360"/>
        </w:sectPr>
      </w:pPr>
    </w:p>
    <w:p>
      <w:pPr>
        <w:pStyle w:val="Heading1"/>
        <w:ind w:left="3107"/>
      </w:pPr>
      <w:bookmarkStart w:name="_bookmark14" w:id="15"/>
      <w:bookmarkEnd w:id="15"/>
      <w:r>
        <w:rPr>
          <w:b w:val="0"/>
        </w:rPr>
      </w:r>
      <w:r>
        <w:rPr/>
        <w:t>六、基金的历史沿革</w:t>
      </w:r>
    </w:p>
    <w:p>
      <w:pPr>
        <w:pStyle w:val="BodyText"/>
        <w:spacing w:line="364" w:lineRule="auto" w:before="138"/>
        <w:ind w:left="413" w:right="1452" w:firstLine="420"/>
        <w:jc w:val="both"/>
      </w:pPr>
      <w:r>
        <w:rPr>
          <w:spacing w:val="-7"/>
        </w:rPr>
        <w:t>易方达沪深 </w:t>
      </w:r>
      <w:r>
        <w:rPr/>
        <w:t>300</w:t>
      </w:r>
      <w:r>
        <w:rPr>
          <w:spacing w:val="-8"/>
        </w:rPr>
        <w:t> 交易型开放式指数发起式证券投资基金联接基金由易方达沪深 </w:t>
      </w:r>
      <w:r>
        <w:rPr/>
        <w:t>300</w:t>
      </w:r>
      <w:r>
        <w:rPr>
          <w:spacing w:val="-19"/>
        </w:rPr>
        <w:t> 指数证券投资基金通过基金合同修订变更而来。</w:t>
      </w:r>
    </w:p>
    <w:p>
      <w:pPr>
        <w:pStyle w:val="BodyText"/>
        <w:spacing w:line="364" w:lineRule="auto"/>
        <w:ind w:left="413" w:right="1452" w:firstLine="420"/>
        <w:jc w:val="both"/>
      </w:pPr>
      <w:r>
        <w:rPr>
          <w:spacing w:val="-7"/>
        </w:rPr>
        <w:t>易方达沪深 </w:t>
      </w:r>
      <w:r>
        <w:rPr/>
        <w:t>300</w:t>
      </w:r>
      <w:r>
        <w:rPr>
          <w:spacing w:val="-8"/>
        </w:rPr>
        <w:t> 指数证券投资基金经中国证监会《关于同意易方达沪深 </w:t>
      </w:r>
      <w:r>
        <w:rPr/>
        <w:t>300</w:t>
      </w:r>
      <w:r>
        <w:rPr>
          <w:spacing w:val="-8"/>
        </w:rPr>
        <w:t> 指数证券</w:t>
      </w:r>
      <w:r>
        <w:rPr>
          <w:spacing w:val="-18"/>
        </w:rPr>
        <w:t>投资基金募集的批复》</w:t>
      </w:r>
      <w:r>
        <w:rPr/>
        <w:t>（证监基金字〔2009〕646</w:t>
      </w:r>
      <w:r>
        <w:rPr>
          <w:spacing w:val="-17"/>
        </w:rPr>
        <w:t> 号</w:t>
      </w:r>
      <w:r>
        <w:rPr/>
        <w:t>）批准募集，基金管理人为易方达基金管理有限公司，基金托管人为中国建设银行股份有限公司。</w:t>
      </w:r>
    </w:p>
    <w:p>
      <w:pPr>
        <w:pStyle w:val="BodyText"/>
        <w:spacing w:line="364" w:lineRule="auto"/>
        <w:ind w:left="413" w:right="1451" w:firstLine="420"/>
        <w:jc w:val="both"/>
      </w:pPr>
      <w:r>
        <w:rPr>
          <w:spacing w:val="-8"/>
        </w:rPr>
        <w:t>易方达沪深 </w:t>
      </w:r>
      <w:r>
        <w:rPr/>
        <w:t>300</w:t>
      </w:r>
      <w:r>
        <w:rPr>
          <w:spacing w:val="-11"/>
        </w:rPr>
        <w:t> 指数证券投资基金自 </w:t>
      </w:r>
      <w:r>
        <w:rPr/>
        <w:t>2009</w:t>
      </w:r>
      <w:r>
        <w:rPr>
          <w:spacing w:val="-32"/>
        </w:rPr>
        <w:t> 年 </w:t>
      </w:r>
      <w:r>
        <w:rPr/>
        <w:t>7</w:t>
      </w:r>
      <w:r>
        <w:rPr>
          <w:spacing w:val="-32"/>
        </w:rPr>
        <w:t> 月 </w:t>
      </w:r>
      <w:r>
        <w:rPr/>
        <w:t>28</w:t>
      </w:r>
      <w:r>
        <w:rPr>
          <w:spacing w:val="-24"/>
        </w:rPr>
        <w:t> 日至 </w:t>
      </w:r>
      <w:r>
        <w:rPr/>
        <w:t>2009</w:t>
      </w:r>
      <w:r>
        <w:rPr>
          <w:spacing w:val="-32"/>
        </w:rPr>
        <w:t> 年 </w:t>
      </w:r>
      <w:r>
        <w:rPr/>
        <w:t>8</w:t>
      </w:r>
      <w:r>
        <w:rPr>
          <w:spacing w:val="-32"/>
        </w:rPr>
        <w:t> 月 </w:t>
      </w:r>
      <w:r>
        <w:rPr/>
        <w:t>21</w:t>
      </w:r>
      <w:r>
        <w:rPr>
          <w:spacing w:val="-9"/>
        </w:rPr>
        <w:t> 日进行公开</w:t>
      </w:r>
      <w:r>
        <w:rPr>
          <w:spacing w:val="-10"/>
        </w:rPr>
        <w:t>募集，募集结束后基金管理人向中国证监会办理备案手续。经中国证监会书面确认，《易方</w:t>
      </w:r>
      <w:r>
        <w:rPr>
          <w:spacing w:val="-14"/>
        </w:rPr>
        <w:t>达沪深 </w:t>
      </w:r>
      <w:r>
        <w:rPr/>
        <w:t>300</w:t>
      </w:r>
      <w:r>
        <w:rPr>
          <w:spacing w:val="-11"/>
        </w:rPr>
        <w:t> 指数证券投资基金基金合同》于 </w:t>
      </w:r>
      <w:r>
        <w:rPr/>
        <w:t>2009</w:t>
      </w:r>
      <w:r>
        <w:rPr>
          <w:spacing w:val="-36"/>
        </w:rPr>
        <w:t> 年 </w:t>
      </w:r>
      <w:r>
        <w:rPr/>
        <w:t>8</w:t>
      </w:r>
      <w:r>
        <w:rPr>
          <w:spacing w:val="-36"/>
        </w:rPr>
        <w:t> 月 </w:t>
      </w:r>
      <w:r>
        <w:rPr/>
        <w:t>26</w:t>
      </w:r>
      <w:r>
        <w:rPr>
          <w:spacing w:val="-12"/>
        </w:rPr>
        <w:t> 日生效。</w:t>
      </w:r>
    </w:p>
    <w:p>
      <w:pPr>
        <w:pStyle w:val="BodyText"/>
        <w:spacing w:line="268" w:lineRule="exact"/>
        <w:ind w:left="833"/>
        <w:jc w:val="both"/>
      </w:pPr>
      <w:r>
        <w:rPr>
          <w:spacing w:val="-24"/>
        </w:rPr>
        <w:t>自 </w:t>
      </w:r>
      <w:r>
        <w:rPr/>
        <w:t>2013</w:t>
      </w:r>
      <w:r>
        <w:rPr>
          <w:spacing w:val="-32"/>
        </w:rPr>
        <w:t> 年 </w:t>
      </w:r>
      <w:r>
        <w:rPr/>
        <w:t>7</w:t>
      </w:r>
      <w:r>
        <w:rPr>
          <w:spacing w:val="-32"/>
        </w:rPr>
        <w:t> 月 </w:t>
      </w:r>
      <w:r>
        <w:rPr/>
        <w:t>5</w:t>
      </w:r>
      <w:r>
        <w:rPr>
          <w:spacing w:val="-24"/>
        </w:rPr>
        <w:t> 日至 </w:t>
      </w:r>
      <w:r>
        <w:rPr/>
        <w:t>2013</w:t>
      </w:r>
      <w:r>
        <w:rPr>
          <w:spacing w:val="-32"/>
        </w:rPr>
        <w:t> 年 </w:t>
      </w:r>
      <w:r>
        <w:rPr/>
        <w:t>8</w:t>
      </w:r>
      <w:r>
        <w:rPr>
          <w:spacing w:val="-32"/>
        </w:rPr>
        <w:t> 月 </w:t>
      </w:r>
      <w:r>
        <w:rPr/>
        <w:t>8</w:t>
      </w:r>
      <w:r>
        <w:rPr>
          <w:spacing w:val="-13"/>
        </w:rPr>
        <w:t> 日易方达沪深 </w:t>
      </w:r>
      <w:r>
        <w:rPr/>
        <w:t>300</w:t>
      </w:r>
      <w:r>
        <w:rPr>
          <w:spacing w:val="-7"/>
        </w:rPr>
        <w:t> 指数证券投资基金以通讯方式</w:t>
      </w:r>
    </w:p>
    <w:p>
      <w:pPr>
        <w:pStyle w:val="BodyText"/>
        <w:spacing w:line="364" w:lineRule="auto" w:before="137"/>
        <w:ind w:left="413" w:right="1451"/>
        <w:jc w:val="both"/>
      </w:pPr>
      <w:r>
        <w:rPr>
          <w:spacing w:val="-1"/>
        </w:rPr>
        <w:t>召开基金份额持有人大会，会议审议通过了《关于易方达沪深 </w:t>
      </w:r>
      <w:r>
        <w:rPr/>
        <w:t>300</w:t>
      </w:r>
      <w:r>
        <w:rPr>
          <w:spacing w:val="-5"/>
        </w:rPr>
        <w:t> 指数证券投资基金变更</w:t>
      </w:r>
      <w:r>
        <w:rPr>
          <w:spacing w:val="-15"/>
        </w:rPr>
        <w:t>投资范围及其他相关事项的议案》，同意易方达沪深 </w:t>
      </w:r>
      <w:r>
        <w:rPr/>
        <w:t>300</w:t>
      </w:r>
      <w:r>
        <w:rPr>
          <w:spacing w:val="-9"/>
        </w:rPr>
        <w:t> 指数证券投资基金变更投资范围及</w:t>
      </w:r>
      <w:r>
        <w:rPr>
          <w:spacing w:val="-3"/>
        </w:rPr>
        <w:t>其他相关事项，将易方达沪深 </w:t>
      </w:r>
      <w:r>
        <w:rPr/>
        <w:t>300</w:t>
      </w:r>
      <w:r>
        <w:rPr>
          <w:spacing w:val="-8"/>
        </w:rPr>
        <w:t> 指数证券投资基金变更为易方达沪深 </w:t>
      </w:r>
      <w:r>
        <w:rPr/>
        <w:t>300</w:t>
      </w:r>
      <w:r>
        <w:rPr>
          <w:spacing w:val="-6"/>
        </w:rPr>
        <w:t> 交易型开放式</w:t>
      </w:r>
      <w:r>
        <w:rPr>
          <w:spacing w:val="-7"/>
        </w:rPr>
        <w:t>指数发起式证券投资基金联接基金，允许本基金投资易方达沪深 </w:t>
      </w:r>
      <w:r>
        <w:rPr/>
        <w:t>300ETF、股指期货、参与融资融券及办理转融通业务，并基于上述投资范围的变更，按照相关法律法规及中国证监会的有关规定对本基金的名称、投资和估值、基金的费用、基金份额持有人大会及其他部</w:t>
      </w:r>
      <w:r>
        <w:rPr>
          <w:spacing w:val="-12"/>
        </w:rPr>
        <w:t>分条款进行相应修改。上述基金份额持有人大会决定事项已经中国证监会于 </w:t>
      </w:r>
      <w:r>
        <w:rPr/>
        <w:t>2013</w:t>
      </w:r>
      <w:r>
        <w:rPr>
          <w:spacing w:val="-38"/>
        </w:rPr>
        <w:t> 年 </w:t>
      </w:r>
      <w:r>
        <w:rPr/>
        <w:t>9</w:t>
      </w:r>
      <w:r>
        <w:rPr>
          <w:spacing w:val="-38"/>
        </w:rPr>
        <w:t> 月 </w:t>
      </w:r>
      <w:r>
        <w:rPr/>
        <w:t>17 </w:t>
      </w:r>
      <w:r>
        <w:rPr>
          <w:spacing w:val="-15"/>
        </w:rPr>
        <w:t>日备案生效，自该日起，《易方达沪深 </w:t>
      </w:r>
      <w:r>
        <w:rPr/>
        <w:t>300</w:t>
      </w:r>
      <w:r>
        <w:rPr>
          <w:spacing w:val="-9"/>
        </w:rPr>
        <w:t> 交易型开放式指数发起式证券投资基金联接基金</w:t>
      </w:r>
      <w:r>
        <w:rPr>
          <w:spacing w:val="-15"/>
        </w:rPr>
        <w:t>基金合同》生效，并取代原《易方达沪深 </w:t>
      </w:r>
      <w:r>
        <w:rPr/>
        <w:t>300</w:t>
      </w:r>
      <w:r>
        <w:rPr>
          <w:spacing w:val="-18"/>
        </w:rPr>
        <w:t> 指数证券投资基金基金合同》，易方达沪深 </w:t>
      </w:r>
      <w:r>
        <w:rPr>
          <w:spacing w:val="-4"/>
        </w:rPr>
        <w:t>300</w:t>
      </w:r>
    </w:p>
    <w:p>
      <w:pPr>
        <w:pStyle w:val="BodyText"/>
        <w:spacing w:line="265" w:lineRule="exact"/>
        <w:ind w:left="413"/>
        <w:jc w:val="both"/>
      </w:pPr>
      <w:r>
        <w:rPr>
          <w:spacing w:val="-1"/>
        </w:rPr>
        <w:t>指数证券投资基金正式变更为易方达沪深 </w:t>
      </w:r>
      <w:r>
        <w:rPr/>
        <w:t>300</w:t>
      </w:r>
      <w:r>
        <w:rPr>
          <w:spacing w:val="-4"/>
        </w:rPr>
        <w:t> 交易型开放式指数发起式证券投资基金联接</w:t>
      </w:r>
    </w:p>
    <w:p>
      <w:pPr>
        <w:pStyle w:val="BodyText"/>
        <w:spacing w:line="364" w:lineRule="auto" w:before="140"/>
        <w:ind w:left="413" w:right="1452"/>
        <w:jc w:val="both"/>
      </w:pPr>
      <w:r>
        <w:rPr>
          <w:spacing w:val="-2"/>
        </w:rPr>
        <w:t>基金，本基金当事人将按照《易方达沪深 </w:t>
      </w:r>
      <w:r>
        <w:rPr/>
        <w:t>300</w:t>
      </w:r>
      <w:r>
        <w:rPr>
          <w:spacing w:val="-5"/>
        </w:rPr>
        <w:t> 交易型开放式指数发起式证券投资基金联接基金基金合同》享有权利并承担义务。</w:t>
      </w:r>
    </w:p>
    <w:p>
      <w:pPr>
        <w:spacing w:after="0" w:line="364" w:lineRule="auto"/>
        <w:jc w:val="both"/>
        <w:sectPr>
          <w:pgSz w:w="11910" w:h="16840"/>
          <w:pgMar w:header="0" w:footer="1166" w:top="1600" w:bottom="1440" w:left="1400" w:right="360"/>
        </w:sectPr>
      </w:pPr>
    </w:p>
    <w:p>
      <w:pPr>
        <w:pStyle w:val="Heading1"/>
        <w:ind w:right="1039"/>
        <w:jc w:val="center"/>
      </w:pPr>
      <w:bookmarkStart w:name="_bookmark15" w:id="16"/>
      <w:bookmarkEnd w:id="16"/>
      <w:r>
        <w:rPr>
          <w:b w:val="0"/>
        </w:rPr>
      </w:r>
      <w:r>
        <w:rPr/>
        <w:t>七、基金的存续</w:t>
      </w:r>
    </w:p>
    <w:p>
      <w:pPr>
        <w:pStyle w:val="Heading3"/>
        <w:spacing w:before="139"/>
      </w:pPr>
      <w:bookmarkStart w:name="_bookmark16" w:id="17"/>
      <w:bookmarkEnd w:id="17"/>
      <w:r>
        <w:rPr/>
      </w:r>
      <w:r>
        <w:rPr/>
        <w:t>（一）基金存续期内的基金份额持有人数量和资产规模</w:t>
      </w:r>
    </w:p>
    <w:p>
      <w:pPr>
        <w:pStyle w:val="BodyText"/>
        <w:spacing w:line="364" w:lineRule="auto" w:before="185"/>
        <w:ind w:left="413" w:right="1452" w:firstLine="420"/>
        <w:jc w:val="both"/>
      </w:pPr>
      <w:r>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pPr>
        <w:pStyle w:val="BodyText"/>
        <w:spacing w:line="267" w:lineRule="exact"/>
        <w:ind w:left="833"/>
      </w:pPr>
      <w:r>
        <w:rPr/>
        <w:t>法律法规另有规定时，从其规定。</w:t>
      </w:r>
    </w:p>
    <w:p>
      <w:pPr>
        <w:spacing w:after="0" w:line="267" w:lineRule="exact"/>
        <w:sectPr>
          <w:pgSz w:w="11910" w:h="16840"/>
          <w:pgMar w:header="0" w:footer="1166" w:top="1600" w:bottom="1440" w:left="1400" w:right="360"/>
        </w:sectPr>
      </w:pPr>
    </w:p>
    <w:p>
      <w:pPr>
        <w:pStyle w:val="Heading1"/>
        <w:ind w:left="2625"/>
      </w:pPr>
      <w:bookmarkStart w:name="_bookmark17" w:id="18"/>
      <w:bookmarkEnd w:id="18"/>
      <w:r>
        <w:rPr>
          <w:b w:val="0"/>
        </w:rPr>
      </w:r>
      <w:r>
        <w:rPr/>
        <w:t>八、基金份额的申购、赎回</w:t>
      </w:r>
    </w:p>
    <w:p>
      <w:pPr>
        <w:pStyle w:val="BodyText"/>
        <w:spacing w:line="364" w:lineRule="auto" w:before="138"/>
        <w:ind w:left="413" w:right="1242" w:firstLine="420"/>
      </w:pPr>
      <w:r>
        <w:rPr/>
        <w:t>本基金根据所收取费用的差异，将基金份额分为不同的类别。在投资人申购基金时收 </w:t>
      </w:r>
      <w:r>
        <w:rPr>
          <w:spacing w:val="4"/>
        </w:rPr>
        <w:t>取申购费用，并不再从本类别基金资产中计提销售服务费的基金份额，称为</w:t>
      </w:r>
      <w:r>
        <w:rPr>
          <w:spacing w:val="9"/>
        </w:rPr>
        <w:t>A</w:t>
      </w:r>
      <w:r>
        <w:rPr>
          <w:spacing w:val="3"/>
        </w:rPr>
        <w:t>类基金份额； </w:t>
      </w:r>
      <w:r>
        <w:rPr>
          <w:spacing w:val="4"/>
        </w:rPr>
        <w:t>从本类别基金资产中计提销售服务费，并不收取申购费用的基金份额，称为</w:t>
      </w:r>
      <w:r>
        <w:rPr>
          <w:spacing w:val="9"/>
        </w:rPr>
        <w:t>C</w:t>
      </w:r>
      <w:r>
        <w:rPr>
          <w:spacing w:val="3"/>
        </w:rPr>
        <w:t>类基金份额。本基金两类基金份额分别设置代码，分别公布基金份额净值和基金份额累计净值。</w:t>
      </w:r>
    </w:p>
    <w:p>
      <w:pPr>
        <w:pStyle w:val="BodyText"/>
        <w:spacing w:line="364" w:lineRule="auto"/>
        <w:ind w:left="413" w:right="1452" w:firstLine="420"/>
      </w:pPr>
      <w:r>
        <w:rPr/>
        <w:t>投资人在申购基金份额时可自行选择基金份额类别。本基金不同基金份额类别之间不得互相转换。</w:t>
      </w:r>
    </w:p>
    <w:p>
      <w:pPr>
        <w:pStyle w:val="Heading3"/>
      </w:pPr>
      <w:bookmarkStart w:name="_bookmark18" w:id="19"/>
      <w:bookmarkEnd w:id="19"/>
      <w:r>
        <w:rPr/>
      </w:r>
      <w:r>
        <w:rPr/>
        <w:t>（一）基金投资者范围</w:t>
      </w:r>
    </w:p>
    <w:p>
      <w:pPr>
        <w:pStyle w:val="BodyText"/>
        <w:spacing w:line="364" w:lineRule="auto" w:before="183"/>
        <w:ind w:left="413" w:right="1452" w:firstLine="420"/>
      </w:pPr>
      <w:r>
        <w:rPr/>
        <w:t>符合法律法规规定的可投资于证券投资基金的个人投资者、机构投资者、合格境外机构投资者以及中国证监会允许购买证券投资基金的其他投资者。</w:t>
      </w:r>
    </w:p>
    <w:p>
      <w:pPr>
        <w:pStyle w:val="Heading3"/>
      </w:pPr>
      <w:bookmarkStart w:name="_bookmark19" w:id="20"/>
      <w:bookmarkEnd w:id="20"/>
      <w:r>
        <w:rPr/>
      </w:r>
      <w:r>
        <w:rPr/>
        <w:t>（二）申购、赎回的场所</w:t>
      </w:r>
    </w:p>
    <w:p>
      <w:pPr>
        <w:pStyle w:val="BodyText"/>
        <w:spacing w:before="185"/>
        <w:ind w:left="833"/>
      </w:pPr>
      <w:r>
        <w:rPr/>
        <w:t>1、本公司直销机构；</w:t>
      </w:r>
    </w:p>
    <w:p>
      <w:pPr>
        <w:pStyle w:val="BodyText"/>
        <w:spacing w:before="140"/>
        <w:ind w:left="833"/>
      </w:pPr>
      <w:r>
        <w:rPr/>
        <w:t>2、各非直销销售机构开办开放式基金业务的营业网点。</w:t>
      </w:r>
    </w:p>
    <w:p>
      <w:pPr>
        <w:pStyle w:val="BodyText"/>
        <w:spacing w:before="139"/>
        <w:ind w:left="833"/>
      </w:pPr>
      <w:r>
        <w:rPr/>
        <w:t>基金管理人可根据情况变更基金的销售机构，并在基金管理人网站公示。</w:t>
      </w:r>
    </w:p>
    <w:p>
      <w:pPr>
        <w:pStyle w:val="BodyText"/>
        <w:spacing w:line="364" w:lineRule="auto" w:before="139"/>
        <w:ind w:left="413" w:right="1452" w:firstLine="420"/>
      </w:pPr>
      <w:r>
        <w:rPr/>
        <w:t>投资者还可通过基金管理人或者指定的基金销售机构以电话或互联网等其他电子交易方式进行申购、赎回，具体以各销售机构的规定为准。</w:t>
      </w:r>
    </w:p>
    <w:p>
      <w:pPr>
        <w:pStyle w:val="Heading3"/>
        <w:spacing w:before="1"/>
      </w:pPr>
      <w:bookmarkStart w:name="_bookmark20" w:id="21"/>
      <w:bookmarkEnd w:id="21"/>
      <w:r>
        <w:rPr/>
      </w:r>
      <w:r>
        <w:rPr/>
        <w:t>（三）申购、赎回的时间</w:t>
      </w:r>
    </w:p>
    <w:p>
      <w:pPr>
        <w:pStyle w:val="BodyText"/>
        <w:spacing w:line="364" w:lineRule="auto" w:before="184"/>
        <w:ind w:left="413" w:right="1452" w:firstLine="525"/>
      </w:pPr>
      <w:r>
        <w:rPr/>
        <w:t>本基金A类基金份额已于2009年9月18日开始办理日常申购和赎回业务，本基金C类基金份额已于2019年4月25日开始办理日常申购和赎回业务。</w:t>
      </w:r>
    </w:p>
    <w:p>
      <w:pPr>
        <w:pStyle w:val="BodyText"/>
        <w:spacing w:line="364" w:lineRule="auto"/>
        <w:ind w:left="413" w:right="1451" w:firstLine="525"/>
        <w:jc w:val="both"/>
      </w:pPr>
      <w:r>
        <w:rPr>
          <w:spacing w:val="-1"/>
        </w:rPr>
        <w:t>上海证券交易所和深圳证券交易所同时开放交易的工作日为本基金的开放日</w:t>
      </w:r>
      <w:r>
        <w:rPr/>
        <w:t>（</w:t>
      </w:r>
      <w:r>
        <w:rPr>
          <w:spacing w:val="-6"/>
        </w:rPr>
        <w:t>基金管</w:t>
      </w:r>
      <w:r>
        <w:rPr>
          <w:spacing w:val="-1"/>
        </w:rPr>
        <w:t>理人根据法律法规或基金合同的规定公告暂停申购、赎回时除外</w:t>
      </w:r>
      <w:r>
        <w:rPr>
          <w:spacing w:val="-105"/>
        </w:rPr>
        <w:t>）</w:t>
      </w:r>
      <w:r>
        <w:rPr>
          <w:spacing w:val="-5"/>
        </w:rPr>
        <w:t>。开放日的具体业务办理</w:t>
      </w:r>
      <w:r>
        <w:rPr/>
        <w:t>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指定媒介公告。</w:t>
      </w:r>
    </w:p>
    <w:p>
      <w:pPr>
        <w:pStyle w:val="BodyText"/>
        <w:spacing w:line="364" w:lineRule="auto"/>
        <w:ind w:left="413" w:right="1452" w:firstLine="480"/>
        <w:jc w:val="both"/>
      </w:pPr>
      <w:r>
        <w:rPr/>
        <w:t>投资者在基金合同约定之外的日期和时间提出申购、赎回或者转换申请且注册登记机构确认接受的，其基金份额申购、赎回价格为下次办理该类别基金份额申购、赎回时间所在开放日的价格。</w:t>
      </w:r>
    </w:p>
    <w:p>
      <w:pPr>
        <w:pStyle w:val="Heading3"/>
        <w:spacing w:line="358" w:lineRule="exact"/>
      </w:pPr>
      <w:bookmarkStart w:name="_bookmark21" w:id="22"/>
      <w:bookmarkEnd w:id="22"/>
      <w:r>
        <w:rPr/>
      </w:r>
      <w:r>
        <w:rPr/>
        <w:t>（四）申购、赎回的原则</w:t>
      </w:r>
    </w:p>
    <w:p>
      <w:pPr>
        <w:pStyle w:val="BodyText"/>
        <w:spacing w:line="364" w:lineRule="auto" w:before="181"/>
        <w:ind w:left="413" w:right="1451" w:firstLine="525"/>
      </w:pPr>
      <w:r>
        <w:rPr/>
        <w:t>1</w:t>
      </w:r>
      <w:r>
        <w:rPr>
          <w:spacing w:val="-13"/>
        </w:rPr>
        <w:t>、“未知价”原则，即本基金的申购与赎回价格以受理申请当日收市后计算的各类基</w:t>
      </w:r>
      <w:r>
        <w:rPr/>
        <w:t>金份额净值为基准进行计算，其中C类基金份额首笔申购当日的申购价格为当日A类基金份</w:t>
      </w:r>
    </w:p>
    <w:p>
      <w:pPr>
        <w:spacing w:after="0" w:line="364" w:lineRule="auto"/>
        <w:sectPr>
          <w:pgSz w:w="11910" w:h="16840"/>
          <w:pgMar w:header="0" w:footer="1166" w:top="1600" w:bottom="1440" w:left="1400" w:right="360"/>
        </w:sectPr>
      </w:pPr>
    </w:p>
    <w:p>
      <w:pPr>
        <w:pStyle w:val="BodyText"/>
        <w:spacing w:before="104"/>
        <w:ind w:left="413"/>
      </w:pPr>
      <w:r>
        <w:rPr/>
        <w:t>额的基金份额净值；</w:t>
      </w:r>
    </w:p>
    <w:p>
      <w:pPr>
        <w:pStyle w:val="BodyText"/>
        <w:spacing w:before="139"/>
        <w:ind w:left="938"/>
      </w:pPr>
      <w:r>
        <w:rPr/>
        <w:t>2、本基金采用金额申购、份额赎回原则，即申购以金额申请，赎回以份额申请；</w:t>
      </w:r>
    </w:p>
    <w:p>
      <w:pPr>
        <w:pStyle w:val="BodyText"/>
        <w:spacing w:line="364" w:lineRule="auto" w:before="140"/>
        <w:ind w:left="413" w:right="1452" w:firstLine="525"/>
        <w:jc w:val="both"/>
      </w:pPr>
      <w:r>
        <w:rPr/>
        <w:t>3、基金份额持有人赎回时，除指定赎回外，基金管理人按先进先出的原则，对该持有人账户在该销售机构托管的基金份额进行处理，即先确认的基金份额先赎回，后确认的基金份额后赎回，以确定所适用的赎回费率；</w:t>
      </w:r>
    </w:p>
    <w:p>
      <w:pPr>
        <w:pStyle w:val="BodyText"/>
        <w:spacing w:line="364" w:lineRule="auto"/>
        <w:ind w:left="413" w:right="1452" w:firstLine="525"/>
      </w:pPr>
      <w:r>
        <w:rPr/>
        <w:t>4、当日的申购、赎回申请可以在当日交易结束时间前撤销，在当日的交易时间结束后不得撤销；</w:t>
      </w:r>
    </w:p>
    <w:p>
      <w:pPr>
        <w:pStyle w:val="BodyText"/>
        <w:spacing w:line="364" w:lineRule="auto"/>
        <w:ind w:left="413" w:right="1452" w:firstLine="525"/>
        <w:jc w:val="both"/>
      </w:pPr>
      <w:r>
        <w:rPr/>
        <w:t>5、基金管理人可根据基金运作的实际情况并在不影响基金份额持有人实质利益的前提下调整上述原则。基金管理人必须在新规则开始实施前按照《信息披露办法》的有关规定在至少一家指定媒介及基金管理人网站公告。</w:t>
      </w:r>
    </w:p>
    <w:p>
      <w:pPr>
        <w:pStyle w:val="Heading3"/>
        <w:spacing w:line="358" w:lineRule="exact"/>
      </w:pPr>
      <w:bookmarkStart w:name="_bookmark22" w:id="23"/>
      <w:bookmarkEnd w:id="23"/>
      <w:r>
        <w:rPr/>
      </w:r>
      <w:r>
        <w:rPr/>
        <w:t>（五）申购、赎回的程序</w:t>
      </w:r>
    </w:p>
    <w:p>
      <w:pPr>
        <w:pStyle w:val="BodyText"/>
        <w:spacing w:before="182"/>
        <w:ind w:left="833"/>
      </w:pPr>
      <w:r>
        <w:rPr/>
        <w:t>1、申购、赎回的申请方式</w:t>
      </w:r>
    </w:p>
    <w:p>
      <w:pPr>
        <w:pStyle w:val="BodyText"/>
        <w:spacing w:line="364" w:lineRule="auto" w:before="140"/>
        <w:ind w:left="413" w:right="1452" w:firstLine="420"/>
      </w:pPr>
      <w:r>
        <w:rPr/>
        <w:t>基金投资者必须根据基金管理人和基金销售机构规定的手续，在开放日的业务办理时间提出申购、赎回的申请。</w:t>
      </w:r>
    </w:p>
    <w:p>
      <w:pPr>
        <w:pStyle w:val="BodyText"/>
        <w:spacing w:line="364" w:lineRule="auto"/>
        <w:ind w:left="413" w:right="1347" w:firstLine="420"/>
      </w:pPr>
      <w:r>
        <w:rPr/>
        <w:t>投资者在提交申购申请时，须按销售机构规定的方式备足申购资金；提交赎回申请时, 帐户中必须有足够的基金份额余额，否则所提交的申购、赎回的申请无效而不予成交。</w:t>
      </w:r>
    </w:p>
    <w:p>
      <w:pPr>
        <w:pStyle w:val="BodyText"/>
        <w:spacing w:line="268" w:lineRule="exact"/>
        <w:ind w:left="833"/>
      </w:pPr>
      <w:r>
        <w:rPr/>
        <w:t>2、申购、赎回申请的确认</w:t>
      </w:r>
    </w:p>
    <w:p>
      <w:pPr>
        <w:pStyle w:val="BodyText"/>
        <w:spacing w:line="364" w:lineRule="auto" w:before="138"/>
        <w:ind w:left="413" w:right="1451" w:firstLine="420"/>
        <w:jc w:val="both"/>
      </w:pPr>
      <w:r>
        <w:rPr/>
        <w:t>T</w:t>
      </w:r>
      <w:r>
        <w:rPr>
          <w:spacing w:val="-15"/>
        </w:rPr>
        <w:t> 日规定时间受理的申请，正常情况下，基金注册登记机构在 </w:t>
      </w:r>
      <w:r>
        <w:rPr/>
        <w:t>T+1</w:t>
      </w:r>
      <w:r>
        <w:rPr>
          <w:spacing w:val="-9"/>
        </w:rPr>
        <w:t> 日内为投资者对该交</w:t>
      </w:r>
      <w:r>
        <w:rPr>
          <w:spacing w:val="-6"/>
        </w:rPr>
        <w:t>易的有效性进行确认，在 </w:t>
      </w:r>
      <w:r>
        <w:rPr/>
        <w:t>T＋2</w:t>
      </w:r>
      <w:r>
        <w:rPr>
          <w:spacing w:val="-20"/>
        </w:rPr>
        <w:t> 日后</w:t>
      </w:r>
      <w:r>
        <w:rPr/>
        <w:t>（包括该日</w:t>
      </w:r>
      <w:r>
        <w:rPr>
          <w:spacing w:val="-6"/>
        </w:rPr>
        <w:t>）</w:t>
      </w:r>
      <w:r>
        <w:rPr>
          <w:spacing w:val="-1"/>
        </w:rPr>
        <w:t>投资者应向销售机构或以销售机构规定的</w:t>
      </w:r>
      <w:r>
        <w:rPr/>
        <w:t>其他方式查询申购与赎回申请的确认情况。</w:t>
      </w:r>
    </w:p>
    <w:p>
      <w:pPr>
        <w:pStyle w:val="BodyText"/>
        <w:spacing w:line="364" w:lineRule="auto"/>
        <w:ind w:left="413" w:right="1452" w:firstLine="420"/>
      </w:pPr>
      <w:r>
        <w:rPr/>
        <w:t>基金销售机构对申购、赎回申请的受理并不代表申请一定成功，而仅代表销售机构确实接收到申请。申购、赎回的确认以注册登记机构或基金管理人的确认结果为准。</w:t>
      </w:r>
    </w:p>
    <w:p>
      <w:pPr>
        <w:pStyle w:val="BodyText"/>
        <w:spacing w:line="268" w:lineRule="exact"/>
        <w:ind w:left="833"/>
      </w:pPr>
      <w:r>
        <w:rPr/>
        <w:t>3、申购和赎回的款项支付</w:t>
      </w:r>
    </w:p>
    <w:p>
      <w:pPr>
        <w:pStyle w:val="BodyText"/>
        <w:spacing w:line="364" w:lineRule="auto" w:before="138"/>
        <w:ind w:left="413" w:right="1452" w:firstLine="420"/>
      </w:pPr>
      <w:r>
        <w:rPr/>
        <w:t>申购采用全额缴款方式，若申购资金在规定时间内未全额到账则申购不成功，若申购不成功或无效，申购款项本金将退回投资者账户。</w:t>
      </w:r>
    </w:p>
    <w:p>
      <w:pPr>
        <w:pStyle w:val="BodyText"/>
        <w:spacing w:line="364" w:lineRule="auto"/>
        <w:ind w:left="413" w:right="1451" w:firstLine="420"/>
        <w:jc w:val="both"/>
      </w:pPr>
      <w:r>
        <w:rPr>
          <w:spacing w:val="-6"/>
        </w:rPr>
        <w:t>投资者 </w:t>
      </w:r>
      <w:r>
        <w:rPr/>
        <w:t>T</w:t>
      </w:r>
      <w:r>
        <w:rPr>
          <w:spacing w:val="-5"/>
        </w:rPr>
        <w:t> 日赎回申请成功后，基金管理人将通过基金注册登记机构及相关基金销售机</w:t>
      </w:r>
      <w:r>
        <w:rPr>
          <w:spacing w:val="-21"/>
        </w:rPr>
        <w:t>构在 </w:t>
      </w:r>
      <w:r>
        <w:rPr/>
        <w:t>T＋7</w:t>
      </w:r>
      <w:r>
        <w:rPr>
          <w:spacing w:val="-29"/>
        </w:rPr>
        <w:t> 日</w:t>
      </w:r>
      <w:r>
        <w:rPr/>
        <w:t>（包括该日</w:t>
      </w:r>
      <w:r>
        <w:rPr>
          <w:spacing w:val="-4"/>
        </w:rPr>
        <w:t>）</w:t>
      </w:r>
      <w:r>
        <w:rPr>
          <w:spacing w:val="-3"/>
        </w:rPr>
        <w:t>内支付赎回款项。在发生巨额赎回的情形时，款项的支付办法参</w:t>
      </w:r>
      <w:r>
        <w:rPr/>
        <w:t>照基金合同的有关条款处理。</w:t>
      </w:r>
    </w:p>
    <w:p>
      <w:pPr>
        <w:pStyle w:val="Heading3"/>
        <w:spacing w:line="358" w:lineRule="exact"/>
      </w:pPr>
      <w:bookmarkStart w:name="_bookmark23" w:id="24"/>
      <w:bookmarkEnd w:id="24"/>
      <w:r>
        <w:rPr/>
      </w:r>
      <w:r>
        <w:rPr/>
        <w:t>（六）申购、赎回的数额限制</w:t>
      </w:r>
    </w:p>
    <w:p>
      <w:pPr>
        <w:pStyle w:val="BodyText"/>
        <w:spacing w:before="184"/>
        <w:ind w:left="833"/>
      </w:pPr>
      <w:r>
        <w:rPr/>
        <w:t>1、申购基金的金额限制</w:t>
      </w:r>
    </w:p>
    <w:p>
      <w:pPr>
        <w:pStyle w:val="BodyText"/>
        <w:spacing w:before="140"/>
        <w:ind w:left="833"/>
      </w:pPr>
      <w:r>
        <w:rPr>
          <w:spacing w:val="-1"/>
        </w:rPr>
        <w:t>投资者通过非直销销售机构或本公司网上交易系统首次申购的单笔最低金额为 </w:t>
      </w:r>
      <w:r>
        <w:rPr/>
        <w:t>1</w:t>
      </w:r>
      <w:r>
        <w:rPr>
          <w:spacing w:val="-6"/>
        </w:rPr>
        <w:t> 元人</w:t>
      </w:r>
    </w:p>
    <w:p>
      <w:pPr>
        <w:pStyle w:val="BodyText"/>
        <w:spacing w:before="139"/>
        <w:ind w:left="413"/>
      </w:pPr>
      <w:r>
        <w:rPr>
          <w:spacing w:val="-1"/>
        </w:rPr>
        <w:t>民币，追加申购单笔最低金额为 </w:t>
      </w:r>
      <w:r>
        <w:rPr/>
        <w:t>1</w:t>
      </w:r>
      <w:r>
        <w:rPr>
          <w:spacing w:val="-4"/>
        </w:rPr>
        <w:t> 元人民币；通过本公司直销中心首次申购的单笔最低金</w:t>
      </w:r>
    </w:p>
    <w:p>
      <w:pPr>
        <w:spacing w:after="0"/>
        <w:sectPr>
          <w:pgSz w:w="11910" w:h="16840"/>
          <w:pgMar w:header="0" w:footer="1166" w:top="1600" w:bottom="1440" w:left="1400" w:right="360"/>
        </w:sectPr>
      </w:pPr>
    </w:p>
    <w:p>
      <w:pPr>
        <w:pStyle w:val="BodyText"/>
        <w:spacing w:line="364" w:lineRule="auto" w:before="104"/>
        <w:ind w:left="413" w:right="1451"/>
        <w:jc w:val="both"/>
      </w:pPr>
      <w:r>
        <w:rPr>
          <w:spacing w:val="-18"/>
        </w:rPr>
        <w:t>额为 </w:t>
      </w:r>
      <w:r>
        <w:rPr/>
        <w:t>50000</w:t>
      </w:r>
      <w:r>
        <w:rPr>
          <w:spacing w:val="-12"/>
        </w:rPr>
        <w:t> 元人民币，追加申购单笔最低金额为 </w:t>
      </w:r>
      <w:r>
        <w:rPr/>
        <w:t>1000</w:t>
      </w:r>
      <w:r>
        <w:rPr>
          <w:spacing w:val="-10"/>
        </w:rPr>
        <w:t> 元人民币。在符合法律法规规定的前</w:t>
      </w:r>
      <w:r>
        <w:rPr/>
        <w:t>提下，各销售机构对最低申购限额及交易级差有其他规定的，需同时遵循该销售机构的相</w:t>
      </w:r>
      <w:r>
        <w:rPr>
          <w:spacing w:val="-27"/>
        </w:rPr>
        <w:t>关规定。</w:t>
      </w:r>
      <w:r>
        <w:rPr/>
        <w:t>（以上金额均含申购费）</w:t>
      </w:r>
    </w:p>
    <w:p>
      <w:pPr>
        <w:pStyle w:val="BodyText"/>
        <w:spacing w:line="364" w:lineRule="auto"/>
        <w:ind w:left="413" w:right="1452" w:firstLine="420"/>
      </w:pPr>
      <w:r>
        <w:rPr/>
        <w:t>投资者将当期分配的基金收益转购基金份额或采用定期定额投资计划时，不受最低申购金额的限制。</w:t>
      </w:r>
    </w:p>
    <w:p>
      <w:pPr>
        <w:pStyle w:val="BodyText"/>
        <w:spacing w:line="364" w:lineRule="auto"/>
        <w:ind w:left="413" w:right="1452" w:firstLine="420"/>
        <w:jc w:val="both"/>
      </w:pPr>
      <w:r>
        <w:rPr/>
        <w:t>投资者可多次申购，对单个投资者累计持有份额不设上限限制。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国证监会另有规定的除外。</w:t>
      </w:r>
    </w:p>
    <w:p>
      <w:pPr>
        <w:pStyle w:val="BodyText"/>
        <w:spacing w:line="267" w:lineRule="exact"/>
        <w:ind w:left="833"/>
      </w:pPr>
      <w:r>
        <w:rPr/>
        <w:t>2、赎回的份额限制</w:t>
      </w:r>
    </w:p>
    <w:p>
      <w:pPr>
        <w:pStyle w:val="BodyText"/>
        <w:spacing w:line="364" w:lineRule="auto" w:before="137"/>
        <w:ind w:left="413" w:right="1242" w:firstLine="420"/>
      </w:pPr>
      <w:r>
        <w:rPr>
          <w:spacing w:val="-7"/>
        </w:rPr>
        <w:t>投资者可将其全部或部分基金份额赎回。每类基金份额单笔赎回或转换不得少于</w:t>
      </w:r>
      <w:r>
        <w:rPr/>
        <w:t>1</w:t>
      </w:r>
      <w:r>
        <w:rPr>
          <w:spacing w:val="-3"/>
        </w:rPr>
        <w:t>份(如 该账户在该销售机构托管的该类基金份额余额不足1</w:t>
      </w:r>
      <w:r>
        <w:rPr>
          <w:spacing w:val="-5"/>
        </w:rPr>
        <w:t>份，则必须一次性赎回或转出该类基金 份额全部份额)；若某笔赎回将导致投资者在该销售机构托管的该类基金份额余额不足1份 时，基金管理人有权将投资者在该销售机构托管的该类基金份额剩余份额一次性全部赎回。在符合法律法规规定的前提下，各销售机构对赎回份额限制有其他规定的，需同时遵循该 销售机构的相关规定。</w:t>
      </w:r>
    </w:p>
    <w:p>
      <w:pPr>
        <w:pStyle w:val="BodyText"/>
        <w:spacing w:line="364" w:lineRule="auto"/>
        <w:ind w:left="413" w:right="1451" w:firstLine="420"/>
        <w:jc w:val="both"/>
      </w:pPr>
      <w:r>
        <w:rPr/>
        <w:t>3</w:t>
      </w:r>
      <w:r>
        <w:rPr>
          <w:spacing w:val="-5"/>
        </w:rPr>
        <w:t>、基金管理人可根据市场情况制定或调整上述申购、赎回的程序及有关限制，或者新</w:t>
      </w:r>
      <w:r>
        <w:rPr/>
        <w:t>增基金规模控制措施。但应按照《信息披露办法》或其他相关规定在调整前至少在一家指定媒介及基金管理人网站公告。</w:t>
      </w:r>
    </w:p>
    <w:p>
      <w:pPr>
        <w:pStyle w:val="Heading3"/>
        <w:spacing w:line="358" w:lineRule="exact"/>
      </w:pPr>
      <w:bookmarkStart w:name="_bookmark24" w:id="25"/>
      <w:bookmarkEnd w:id="25"/>
      <w:r>
        <w:rPr/>
      </w:r>
      <w:r>
        <w:rPr/>
        <w:t>（七）申购、赎回的费率</w:t>
      </w:r>
    </w:p>
    <w:p>
      <w:pPr>
        <w:pStyle w:val="BodyText"/>
        <w:spacing w:before="182"/>
        <w:ind w:left="833"/>
      </w:pPr>
      <w:r>
        <w:rPr/>
        <w:t>1、A类基金份额</w:t>
      </w:r>
    </w:p>
    <w:p>
      <w:pPr>
        <w:pStyle w:val="BodyText"/>
        <w:spacing w:line="364" w:lineRule="auto" w:before="139"/>
        <w:ind w:left="413" w:right="1407" w:firstLine="420"/>
      </w:pPr>
      <w:r>
        <w:rPr/>
        <w:t>对于A类基金份额，本基金对通过本公司直销中心申购的特定投资群体与除此之外的其他投资者实施差别的申购费率。</w:t>
      </w:r>
    </w:p>
    <w:p>
      <w:pPr>
        <w:pStyle w:val="BodyText"/>
        <w:spacing w:line="364" w:lineRule="auto"/>
        <w:ind w:left="413" w:right="1451" w:firstLine="420"/>
      </w:pPr>
      <w:r>
        <w:rPr/>
        <w:t>特定投资群体指全国社会保障基金、依法设立的基本养老保险基金、依法制定的企业年金计划筹集的资金及其投资运营收益形成的企业补充养老保险基金（包括企业年金单一计划以及集合计划</w:t>
      </w:r>
      <w:r>
        <w:rPr>
          <w:spacing w:val="-105"/>
        </w:rPr>
        <w:t>）</w:t>
      </w:r>
      <w:r>
        <w:rPr>
          <w:spacing w:val="-5"/>
        </w:rPr>
        <w:t>，以及可以投资基金的其他社会保险基金。如将来出现可以投资基金的</w:t>
      </w:r>
      <w:r>
        <w:rPr/>
        <w:t>住房公积金、享受税收优惠的个人养老账户、经养老基金监管部门认可的新的养老基金类型，基金管理人可将其纳入特定投资群体范围。</w:t>
      </w:r>
    </w:p>
    <w:p>
      <w:pPr>
        <w:pStyle w:val="BodyText"/>
        <w:spacing w:line="267" w:lineRule="exact"/>
        <w:ind w:left="833"/>
      </w:pPr>
      <w:r>
        <w:rPr/>
        <w:t>通过基金管理人的直销中心申购本基金A类基金份额的特定投资群体申购费率为：</w:t>
      </w:r>
    </w:p>
    <w:p>
      <w:pPr>
        <w:pStyle w:val="BodyText"/>
        <w:spacing w:before="7" w:after="1"/>
        <w:ind w:left="0"/>
        <w:rPr>
          <w:sz w:val="10"/>
        </w:rPr>
      </w:pPr>
    </w:p>
    <w:tbl>
      <w:tblPr>
        <w:tblW w:w="0" w:type="auto"/>
        <w:jc w:val="left"/>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3"/>
        <w:gridCol w:w="3360"/>
      </w:tblGrid>
      <w:tr>
        <w:trPr>
          <w:trHeight w:val="408" w:hRule="atLeast"/>
        </w:trPr>
        <w:tc>
          <w:tcPr>
            <w:tcW w:w="3573" w:type="dxa"/>
          </w:tcPr>
          <w:p>
            <w:pPr>
              <w:pStyle w:val="TableParagraph"/>
              <w:spacing w:line="320" w:lineRule="exact"/>
              <w:ind w:left="108"/>
              <w:rPr>
                <w:rFonts w:ascii="Microsoft JhengHei" w:eastAsia="Microsoft JhengHei" w:hint="eastAsia"/>
                <w:b/>
                <w:sz w:val="21"/>
              </w:rPr>
            </w:pPr>
            <w:r>
              <w:rPr>
                <w:rFonts w:ascii="Microsoft JhengHei" w:eastAsia="Microsoft JhengHei" w:hint="eastAsia"/>
                <w:b/>
                <w:sz w:val="21"/>
              </w:rPr>
              <w:t>申购金额 </w:t>
            </w:r>
            <w:r>
              <w:rPr>
                <w:sz w:val="21"/>
              </w:rPr>
              <w:t>M（元</w:t>
            </w:r>
            <w:r>
              <w:rPr>
                <w:spacing w:val="-105"/>
                <w:sz w:val="21"/>
              </w:rPr>
              <w:t>）</w:t>
            </w:r>
            <w:r>
              <w:rPr>
                <w:rFonts w:ascii="Microsoft JhengHei" w:eastAsia="Microsoft JhengHei" w:hint="eastAsia"/>
                <w:b/>
                <w:sz w:val="21"/>
              </w:rPr>
              <w:t>（含申购费）</w:t>
            </w:r>
          </w:p>
        </w:tc>
        <w:tc>
          <w:tcPr>
            <w:tcW w:w="3360" w:type="dxa"/>
          </w:tcPr>
          <w:p>
            <w:pPr>
              <w:pStyle w:val="TableParagraph"/>
              <w:spacing w:line="320" w:lineRule="exact"/>
              <w:ind w:left="1468"/>
              <w:rPr>
                <w:rFonts w:ascii="Microsoft JhengHei" w:eastAsia="Microsoft JhengHei" w:hint="eastAsia"/>
                <w:b/>
                <w:sz w:val="21"/>
              </w:rPr>
            </w:pPr>
            <w:r>
              <w:rPr>
                <w:rFonts w:ascii="Microsoft JhengHei" w:eastAsia="Microsoft JhengHei" w:hint="eastAsia"/>
                <w:b/>
                <w:sz w:val="21"/>
              </w:rPr>
              <w:t>申购费率</w:t>
            </w:r>
          </w:p>
        </w:tc>
      </w:tr>
      <w:tr>
        <w:trPr>
          <w:trHeight w:val="408" w:hRule="atLeast"/>
        </w:trPr>
        <w:tc>
          <w:tcPr>
            <w:tcW w:w="3573" w:type="dxa"/>
          </w:tcPr>
          <w:p>
            <w:pPr>
              <w:pStyle w:val="TableParagraph"/>
              <w:spacing w:before="3"/>
              <w:ind w:left="527"/>
              <w:rPr>
                <w:sz w:val="21"/>
              </w:rPr>
            </w:pPr>
            <w:r>
              <w:rPr>
                <w:sz w:val="21"/>
              </w:rPr>
              <w:t>M＜100 万</w:t>
            </w:r>
          </w:p>
        </w:tc>
        <w:tc>
          <w:tcPr>
            <w:tcW w:w="3360" w:type="dxa"/>
          </w:tcPr>
          <w:p>
            <w:pPr>
              <w:pStyle w:val="TableParagraph"/>
              <w:spacing w:before="3"/>
              <w:ind w:left="1134" w:right="1125"/>
              <w:jc w:val="center"/>
              <w:rPr>
                <w:sz w:val="21"/>
              </w:rPr>
            </w:pPr>
            <w:r>
              <w:rPr>
                <w:sz w:val="21"/>
              </w:rPr>
              <w:t>0.12%</w:t>
            </w:r>
          </w:p>
        </w:tc>
      </w:tr>
    </w:tbl>
    <w:p>
      <w:pPr>
        <w:spacing w:after="0"/>
        <w:jc w:val="center"/>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3"/>
        <w:gridCol w:w="3360"/>
      </w:tblGrid>
      <w:tr>
        <w:trPr>
          <w:trHeight w:val="408" w:hRule="atLeast"/>
        </w:trPr>
        <w:tc>
          <w:tcPr>
            <w:tcW w:w="3573" w:type="dxa"/>
          </w:tcPr>
          <w:p>
            <w:pPr>
              <w:pStyle w:val="TableParagraph"/>
              <w:spacing w:before="3"/>
              <w:ind w:left="527"/>
              <w:rPr>
                <w:sz w:val="21"/>
              </w:rPr>
            </w:pPr>
            <w:r>
              <w:rPr>
                <w:sz w:val="21"/>
              </w:rPr>
              <w:t>100 万≤M＜500 万</w:t>
            </w:r>
          </w:p>
        </w:tc>
        <w:tc>
          <w:tcPr>
            <w:tcW w:w="3360" w:type="dxa"/>
          </w:tcPr>
          <w:p>
            <w:pPr>
              <w:pStyle w:val="TableParagraph"/>
              <w:spacing w:before="3"/>
              <w:ind w:left="1134" w:right="1125"/>
              <w:jc w:val="center"/>
              <w:rPr>
                <w:sz w:val="21"/>
              </w:rPr>
            </w:pPr>
            <w:r>
              <w:rPr>
                <w:sz w:val="21"/>
              </w:rPr>
              <w:t>0.08%</w:t>
            </w:r>
          </w:p>
        </w:tc>
      </w:tr>
      <w:tr>
        <w:trPr>
          <w:trHeight w:val="408" w:hRule="atLeast"/>
        </w:trPr>
        <w:tc>
          <w:tcPr>
            <w:tcW w:w="3573" w:type="dxa"/>
          </w:tcPr>
          <w:p>
            <w:pPr>
              <w:pStyle w:val="TableParagraph"/>
              <w:spacing w:before="3"/>
              <w:ind w:left="527"/>
              <w:rPr>
                <w:sz w:val="21"/>
              </w:rPr>
            </w:pPr>
            <w:r>
              <w:rPr>
                <w:sz w:val="21"/>
              </w:rPr>
              <w:t>500 万≤M＜1000 万</w:t>
            </w:r>
          </w:p>
        </w:tc>
        <w:tc>
          <w:tcPr>
            <w:tcW w:w="3360" w:type="dxa"/>
          </w:tcPr>
          <w:p>
            <w:pPr>
              <w:pStyle w:val="TableParagraph"/>
              <w:spacing w:before="3"/>
              <w:ind w:left="1134" w:right="1125"/>
              <w:jc w:val="center"/>
              <w:rPr>
                <w:sz w:val="21"/>
              </w:rPr>
            </w:pPr>
            <w:r>
              <w:rPr>
                <w:sz w:val="21"/>
              </w:rPr>
              <w:t>0.02%</w:t>
            </w:r>
          </w:p>
        </w:tc>
      </w:tr>
      <w:tr>
        <w:trPr>
          <w:trHeight w:val="408" w:hRule="atLeast"/>
        </w:trPr>
        <w:tc>
          <w:tcPr>
            <w:tcW w:w="3573" w:type="dxa"/>
          </w:tcPr>
          <w:p>
            <w:pPr>
              <w:pStyle w:val="TableParagraph"/>
              <w:spacing w:before="3"/>
              <w:ind w:left="527"/>
              <w:rPr>
                <w:sz w:val="21"/>
              </w:rPr>
            </w:pPr>
            <w:r>
              <w:rPr>
                <w:sz w:val="21"/>
              </w:rPr>
              <w:t>M≥1000 万</w:t>
            </w:r>
          </w:p>
        </w:tc>
        <w:tc>
          <w:tcPr>
            <w:tcW w:w="3360" w:type="dxa"/>
          </w:tcPr>
          <w:p>
            <w:pPr>
              <w:pStyle w:val="TableParagraph"/>
              <w:spacing w:before="3"/>
              <w:ind w:left="1134" w:right="1125"/>
              <w:jc w:val="center"/>
              <w:rPr>
                <w:sz w:val="21"/>
              </w:rPr>
            </w:pPr>
            <w:r>
              <w:rPr>
                <w:sz w:val="21"/>
              </w:rPr>
              <w:t>1000 元/笔</w:t>
            </w:r>
          </w:p>
        </w:tc>
      </w:tr>
    </w:tbl>
    <w:p>
      <w:pPr>
        <w:pStyle w:val="BodyText"/>
        <w:spacing w:before="3"/>
        <w:ind w:left="833"/>
      </w:pPr>
      <w:r>
        <w:rPr/>
        <w:t>其他投资者申购本基金A类基金份额的申购费率为：</w:t>
      </w:r>
    </w:p>
    <w:p>
      <w:pPr>
        <w:pStyle w:val="BodyText"/>
        <w:spacing w:before="8"/>
        <w:ind w:left="0"/>
        <w:rPr>
          <w:sz w:val="10"/>
        </w:rPr>
      </w:pPr>
    </w:p>
    <w:tbl>
      <w:tblPr>
        <w:tblW w:w="0" w:type="auto"/>
        <w:jc w:val="left"/>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3"/>
        <w:gridCol w:w="3360"/>
      </w:tblGrid>
      <w:tr>
        <w:trPr>
          <w:trHeight w:val="408" w:hRule="atLeast"/>
        </w:trPr>
        <w:tc>
          <w:tcPr>
            <w:tcW w:w="3573" w:type="dxa"/>
          </w:tcPr>
          <w:p>
            <w:pPr>
              <w:pStyle w:val="TableParagraph"/>
              <w:spacing w:line="320" w:lineRule="exact"/>
              <w:ind w:left="108"/>
              <w:rPr>
                <w:rFonts w:ascii="Microsoft JhengHei" w:eastAsia="Microsoft JhengHei" w:hint="eastAsia"/>
                <w:b/>
                <w:sz w:val="21"/>
              </w:rPr>
            </w:pPr>
            <w:r>
              <w:rPr>
                <w:rFonts w:ascii="Microsoft JhengHei" w:eastAsia="Microsoft JhengHei" w:hint="eastAsia"/>
                <w:b/>
                <w:sz w:val="21"/>
              </w:rPr>
              <w:t>申购金额 </w:t>
            </w:r>
            <w:r>
              <w:rPr>
                <w:sz w:val="21"/>
              </w:rPr>
              <w:t>M（元</w:t>
            </w:r>
            <w:r>
              <w:rPr>
                <w:spacing w:val="-105"/>
                <w:sz w:val="21"/>
              </w:rPr>
              <w:t>）</w:t>
            </w:r>
            <w:r>
              <w:rPr>
                <w:rFonts w:ascii="Microsoft JhengHei" w:eastAsia="Microsoft JhengHei" w:hint="eastAsia"/>
                <w:b/>
                <w:sz w:val="21"/>
              </w:rPr>
              <w:t>（含申购费）</w:t>
            </w:r>
          </w:p>
        </w:tc>
        <w:tc>
          <w:tcPr>
            <w:tcW w:w="3360" w:type="dxa"/>
          </w:tcPr>
          <w:p>
            <w:pPr>
              <w:pStyle w:val="TableParagraph"/>
              <w:spacing w:line="320" w:lineRule="exact"/>
              <w:ind w:left="1468"/>
              <w:rPr>
                <w:rFonts w:ascii="Microsoft JhengHei" w:eastAsia="Microsoft JhengHei" w:hint="eastAsia"/>
                <w:b/>
                <w:sz w:val="21"/>
              </w:rPr>
            </w:pPr>
            <w:r>
              <w:rPr>
                <w:rFonts w:ascii="Microsoft JhengHei" w:eastAsia="Microsoft JhengHei" w:hint="eastAsia"/>
                <w:b/>
                <w:sz w:val="21"/>
              </w:rPr>
              <w:t>申购费率</w:t>
            </w:r>
          </w:p>
        </w:tc>
      </w:tr>
      <w:tr>
        <w:trPr>
          <w:trHeight w:val="408" w:hRule="atLeast"/>
        </w:trPr>
        <w:tc>
          <w:tcPr>
            <w:tcW w:w="3573" w:type="dxa"/>
          </w:tcPr>
          <w:p>
            <w:pPr>
              <w:pStyle w:val="TableParagraph"/>
              <w:spacing w:before="3"/>
              <w:ind w:left="527"/>
              <w:rPr>
                <w:sz w:val="21"/>
              </w:rPr>
            </w:pPr>
            <w:r>
              <w:rPr>
                <w:sz w:val="21"/>
              </w:rPr>
              <w:t>M＜100 万</w:t>
            </w:r>
          </w:p>
        </w:tc>
        <w:tc>
          <w:tcPr>
            <w:tcW w:w="3360" w:type="dxa"/>
          </w:tcPr>
          <w:p>
            <w:pPr>
              <w:pStyle w:val="TableParagraph"/>
              <w:spacing w:before="3"/>
              <w:ind w:left="1134" w:right="1125"/>
              <w:jc w:val="center"/>
              <w:rPr>
                <w:sz w:val="21"/>
              </w:rPr>
            </w:pPr>
            <w:r>
              <w:rPr>
                <w:sz w:val="21"/>
              </w:rPr>
              <w:t>1.2%</w:t>
            </w:r>
          </w:p>
        </w:tc>
      </w:tr>
      <w:tr>
        <w:trPr>
          <w:trHeight w:val="408" w:hRule="atLeast"/>
        </w:trPr>
        <w:tc>
          <w:tcPr>
            <w:tcW w:w="3573" w:type="dxa"/>
          </w:tcPr>
          <w:p>
            <w:pPr>
              <w:pStyle w:val="TableParagraph"/>
              <w:spacing w:before="3"/>
              <w:ind w:left="527"/>
              <w:rPr>
                <w:sz w:val="21"/>
              </w:rPr>
            </w:pPr>
            <w:r>
              <w:rPr>
                <w:sz w:val="21"/>
              </w:rPr>
              <w:t>100 万≤M＜500 万</w:t>
            </w:r>
          </w:p>
        </w:tc>
        <w:tc>
          <w:tcPr>
            <w:tcW w:w="3360" w:type="dxa"/>
          </w:tcPr>
          <w:p>
            <w:pPr>
              <w:pStyle w:val="TableParagraph"/>
              <w:spacing w:before="3"/>
              <w:ind w:left="1134" w:right="1125"/>
              <w:jc w:val="center"/>
              <w:rPr>
                <w:sz w:val="21"/>
              </w:rPr>
            </w:pPr>
            <w:r>
              <w:rPr>
                <w:sz w:val="21"/>
              </w:rPr>
              <w:t>0.8%</w:t>
            </w:r>
          </w:p>
        </w:tc>
      </w:tr>
      <w:tr>
        <w:trPr>
          <w:trHeight w:val="408" w:hRule="atLeast"/>
        </w:trPr>
        <w:tc>
          <w:tcPr>
            <w:tcW w:w="3573" w:type="dxa"/>
          </w:tcPr>
          <w:p>
            <w:pPr>
              <w:pStyle w:val="TableParagraph"/>
              <w:spacing w:before="3"/>
              <w:ind w:left="527"/>
              <w:rPr>
                <w:sz w:val="21"/>
              </w:rPr>
            </w:pPr>
            <w:r>
              <w:rPr>
                <w:sz w:val="21"/>
              </w:rPr>
              <w:t>500 万≤M＜1000 万</w:t>
            </w:r>
          </w:p>
        </w:tc>
        <w:tc>
          <w:tcPr>
            <w:tcW w:w="3360" w:type="dxa"/>
          </w:tcPr>
          <w:p>
            <w:pPr>
              <w:pStyle w:val="TableParagraph"/>
              <w:spacing w:before="3"/>
              <w:ind w:left="1134" w:right="1125"/>
              <w:jc w:val="center"/>
              <w:rPr>
                <w:sz w:val="21"/>
              </w:rPr>
            </w:pPr>
            <w:r>
              <w:rPr>
                <w:sz w:val="21"/>
              </w:rPr>
              <w:t>0.2%</w:t>
            </w:r>
          </w:p>
        </w:tc>
      </w:tr>
      <w:tr>
        <w:trPr>
          <w:trHeight w:val="408" w:hRule="atLeast"/>
        </w:trPr>
        <w:tc>
          <w:tcPr>
            <w:tcW w:w="3573" w:type="dxa"/>
          </w:tcPr>
          <w:p>
            <w:pPr>
              <w:pStyle w:val="TableParagraph"/>
              <w:spacing w:before="3"/>
              <w:ind w:left="527"/>
              <w:rPr>
                <w:sz w:val="21"/>
              </w:rPr>
            </w:pPr>
            <w:r>
              <w:rPr>
                <w:sz w:val="21"/>
              </w:rPr>
              <w:t>M≥1000 万</w:t>
            </w:r>
          </w:p>
        </w:tc>
        <w:tc>
          <w:tcPr>
            <w:tcW w:w="3360" w:type="dxa"/>
          </w:tcPr>
          <w:p>
            <w:pPr>
              <w:pStyle w:val="TableParagraph"/>
              <w:spacing w:before="3"/>
              <w:ind w:left="1134" w:right="1125"/>
              <w:jc w:val="center"/>
              <w:rPr>
                <w:sz w:val="21"/>
              </w:rPr>
            </w:pPr>
            <w:r>
              <w:rPr>
                <w:sz w:val="21"/>
              </w:rPr>
              <w:t>1000 元/笔</w:t>
            </w:r>
          </w:p>
        </w:tc>
      </w:tr>
    </w:tbl>
    <w:p>
      <w:pPr>
        <w:pStyle w:val="BodyText"/>
        <w:spacing w:before="3"/>
        <w:ind w:left="833"/>
      </w:pPr>
      <w:r>
        <w:rPr/>
        <w:t>本基金 A 类基金份额的赎回费率为：</w:t>
      </w:r>
    </w:p>
    <w:p>
      <w:pPr>
        <w:pStyle w:val="BodyText"/>
        <w:spacing w:before="8"/>
        <w:ind w:left="0"/>
        <w:rPr>
          <w:sz w:val="10"/>
        </w:rPr>
      </w:pPr>
    </w:p>
    <w:tbl>
      <w:tblPr>
        <w:tblW w:w="0" w:type="auto"/>
        <w:jc w:val="left"/>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3390"/>
      </w:tblGrid>
      <w:tr>
        <w:trPr>
          <w:trHeight w:val="408" w:hRule="atLeast"/>
        </w:trPr>
        <w:tc>
          <w:tcPr>
            <w:tcW w:w="3543" w:type="dxa"/>
          </w:tcPr>
          <w:p>
            <w:pPr>
              <w:pStyle w:val="TableParagraph"/>
              <w:spacing w:line="320" w:lineRule="exact"/>
              <w:ind w:left="1015" w:right="1007"/>
              <w:jc w:val="center"/>
              <w:rPr>
                <w:rFonts w:ascii="Microsoft JhengHei" w:eastAsia="Microsoft JhengHei" w:hint="eastAsia"/>
                <w:b/>
                <w:sz w:val="21"/>
              </w:rPr>
            </w:pPr>
            <w:r>
              <w:rPr>
                <w:rFonts w:ascii="Microsoft JhengHei" w:eastAsia="Microsoft JhengHei" w:hint="eastAsia"/>
                <w:b/>
                <w:sz w:val="21"/>
              </w:rPr>
              <w:t>持有时间（天）</w:t>
            </w:r>
          </w:p>
        </w:tc>
        <w:tc>
          <w:tcPr>
            <w:tcW w:w="3390" w:type="dxa"/>
          </w:tcPr>
          <w:p>
            <w:pPr>
              <w:pStyle w:val="TableParagraph"/>
              <w:spacing w:line="320" w:lineRule="exact"/>
              <w:ind w:left="1254" w:right="1245"/>
              <w:jc w:val="center"/>
              <w:rPr>
                <w:rFonts w:ascii="Microsoft JhengHei" w:eastAsia="Microsoft JhengHei" w:hint="eastAsia"/>
                <w:b/>
                <w:sz w:val="21"/>
              </w:rPr>
            </w:pPr>
            <w:r>
              <w:rPr>
                <w:rFonts w:ascii="Microsoft JhengHei" w:eastAsia="Microsoft JhengHei" w:hint="eastAsia"/>
                <w:b/>
                <w:sz w:val="21"/>
              </w:rPr>
              <w:t>赎回费率</w:t>
            </w:r>
          </w:p>
        </w:tc>
      </w:tr>
      <w:tr>
        <w:trPr>
          <w:trHeight w:val="408" w:hRule="atLeast"/>
        </w:trPr>
        <w:tc>
          <w:tcPr>
            <w:tcW w:w="3543" w:type="dxa"/>
          </w:tcPr>
          <w:p>
            <w:pPr>
              <w:pStyle w:val="TableParagraph"/>
              <w:spacing w:before="3"/>
              <w:ind w:left="1015" w:right="1005"/>
              <w:jc w:val="center"/>
              <w:rPr>
                <w:sz w:val="21"/>
              </w:rPr>
            </w:pPr>
            <w:r>
              <w:rPr>
                <w:sz w:val="21"/>
              </w:rPr>
              <w:t>0-6</w:t>
            </w:r>
          </w:p>
        </w:tc>
        <w:tc>
          <w:tcPr>
            <w:tcW w:w="3390" w:type="dxa"/>
          </w:tcPr>
          <w:p>
            <w:pPr>
              <w:pStyle w:val="TableParagraph"/>
              <w:spacing w:before="3"/>
              <w:ind w:left="1254" w:right="1245"/>
              <w:jc w:val="center"/>
              <w:rPr>
                <w:sz w:val="21"/>
              </w:rPr>
            </w:pPr>
            <w:r>
              <w:rPr>
                <w:sz w:val="21"/>
              </w:rPr>
              <w:t>1.5%</w:t>
            </w:r>
          </w:p>
        </w:tc>
      </w:tr>
      <w:tr>
        <w:trPr>
          <w:trHeight w:val="408" w:hRule="atLeast"/>
        </w:trPr>
        <w:tc>
          <w:tcPr>
            <w:tcW w:w="3543" w:type="dxa"/>
          </w:tcPr>
          <w:p>
            <w:pPr>
              <w:pStyle w:val="TableParagraph"/>
              <w:spacing w:before="3"/>
              <w:ind w:left="1015" w:right="1005"/>
              <w:jc w:val="center"/>
              <w:rPr>
                <w:sz w:val="21"/>
              </w:rPr>
            </w:pPr>
            <w:r>
              <w:rPr>
                <w:sz w:val="21"/>
              </w:rPr>
              <w:t>7-364</w:t>
            </w:r>
          </w:p>
        </w:tc>
        <w:tc>
          <w:tcPr>
            <w:tcW w:w="3390" w:type="dxa"/>
          </w:tcPr>
          <w:p>
            <w:pPr>
              <w:pStyle w:val="TableParagraph"/>
              <w:spacing w:before="3"/>
              <w:ind w:left="1254" w:right="1245"/>
              <w:jc w:val="center"/>
              <w:rPr>
                <w:sz w:val="21"/>
              </w:rPr>
            </w:pPr>
            <w:r>
              <w:rPr>
                <w:sz w:val="21"/>
              </w:rPr>
              <w:t>0.5%</w:t>
            </w:r>
          </w:p>
        </w:tc>
      </w:tr>
      <w:tr>
        <w:trPr>
          <w:trHeight w:val="408" w:hRule="atLeast"/>
        </w:trPr>
        <w:tc>
          <w:tcPr>
            <w:tcW w:w="3543" w:type="dxa"/>
          </w:tcPr>
          <w:p>
            <w:pPr>
              <w:pStyle w:val="TableParagraph"/>
              <w:spacing w:before="3"/>
              <w:ind w:left="1015" w:right="1005"/>
              <w:jc w:val="center"/>
              <w:rPr>
                <w:sz w:val="21"/>
              </w:rPr>
            </w:pPr>
            <w:r>
              <w:rPr>
                <w:sz w:val="21"/>
              </w:rPr>
              <w:t>365-729</w:t>
            </w:r>
          </w:p>
        </w:tc>
        <w:tc>
          <w:tcPr>
            <w:tcW w:w="3390" w:type="dxa"/>
          </w:tcPr>
          <w:p>
            <w:pPr>
              <w:pStyle w:val="TableParagraph"/>
              <w:spacing w:before="3"/>
              <w:ind w:left="1254" w:right="1245"/>
              <w:jc w:val="center"/>
              <w:rPr>
                <w:sz w:val="21"/>
              </w:rPr>
            </w:pPr>
            <w:r>
              <w:rPr>
                <w:sz w:val="21"/>
              </w:rPr>
              <w:t>0.25%</w:t>
            </w:r>
          </w:p>
        </w:tc>
      </w:tr>
      <w:tr>
        <w:trPr>
          <w:trHeight w:val="408" w:hRule="atLeast"/>
        </w:trPr>
        <w:tc>
          <w:tcPr>
            <w:tcW w:w="3543" w:type="dxa"/>
          </w:tcPr>
          <w:p>
            <w:pPr>
              <w:pStyle w:val="TableParagraph"/>
              <w:spacing w:before="3"/>
              <w:ind w:left="1015" w:right="1006"/>
              <w:jc w:val="center"/>
              <w:rPr>
                <w:sz w:val="21"/>
              </w:rPr>
            </w:pPr>
            <w:r>
              <w:rPr>
                <w:sz w:val="21"/>
              </w:rPr>
              <w:t>730 及以上</w:t>
            </w:r>
          </w:p>
        </w:tc>
        <w:tc>
          <w:tcPr>
            <w:tcW w:w="3390" w:type="dxa"/>
          </w:tcPr>
          <w:p>
            <w:pPr>
              <w:pStyle w:val="TableParagraph"/>
              <w:spacing w:before="3"/>
              <w:ind w:left="1254" w:right="1245"/>
              <w:jc w:val="center"/>
              <w:rPr>
                <w:sz w:val="21"/>
              </w:rPr>
            </w:pPr>
            <w:r>
              <w:rPr>
                <w:sz w:val="21"/>
              </w:rPr>
              <w:t>0%</w:t>
            </w:r>
          </w:p>
        </w:tc>
      </w:tr>
    </w:tbl>
    <w:p>
      <w:pPr>
        <w:pStyle w:val="BodyText"/>
        <w:spacing w:line="364" w:lineRule="auto" w:before="3"/>
        <w:ind w:left="413" w:right="1452" w:firstLine="420"/>
      </w:pPr>
      <w:r>
        <w:rPr/>
        <w:t>在申购费按金额分档的情况下，如果投资者多次申购，申购费适用单笔申购金额所对应的费率。</w:t>
      </w:r>
    </w:p>
    <w:p>
      <w:pPr>
        <w:pStyle w:val="BodyText"/>
        <w:spacing w:line="268" w:lineRule="exact"/>
        <w:ind w:left="833"/>
      </w:pPr>
      <w:r>
        <w:rPr/>
        <w:t>2、C 类基金份额</w:t>
      </w:r>
    </w:p>
    <w:p>
      <w:pPr>
        <w:pStyle w:val="BodyText"/>
        <w:spacing w:before="139"/>
        <w:ind w:left="833"/>
      </w:pPr>
      <w:r>
        <w:rPr/>
        <w:t>C 类基金份额不收取申购费。</w:t>
      </w:r>
    </w:p>
    <w:p>
      <w:pPr>
        <w:pStyle w:val="BodyText"/>
        <w:spacing w:before="1"/>
        <w:ind w:left="0"/>
        <w:rPr>
          <w:sz w:val="16"/>
        </w:rPr>
      </w:pPr>
    </w:p>
    <w:p>
      <w:pPr>
        <w:pStyle w:val="BodyText"/>
        <w:ind w:left="833"/>
      </w:pPr>
      <w:r>
        <w:rPr/>
        <w:t>本基金 C 类基金份额的赎回费率见下表：</w:t>
      </w:r>
    </w:p>
    <w:p>
      <w:pPr>
        <w:pStyle w:val="BodyText"/>
        <w:spacing w:before="3"/>
        <w:ind w:left="0"/>
        <w:rPr>
          <w:sz w:val="5"/>
        </w:rPr>
      </w:pPr>
    </w:p>
    <w:tbl>
      <w:tblPr>
        <w:tblW w:w="0" w:type="auto"/>
        <w:jc w:val="left"/>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67" w:hRule="atLeast"/>
        </w:trPr>
        <w:tc>
          <w:tcPr>
            <w:tcW w:w="3870" w:type="dxa"/>
          </w:tcPr>
          <w:p>
            <w:pPr>
              <w:pStyle w:val="TableParagraph"/>
              <w:spacing w:before="101"/>
              <w:ind w:left="1180" w:right="1170"/>
              <w:jc w:val="center"/>
              <w:rPr>
                <w:sz w:val="21"/>
              </w:rPr>
            </w:pPr>
            <w:r>
              <w:rPr>
                <w:sz w:val="21"/>
              </w:rPr>
              <w:t>持有时间（天）</w:t>
            </w:r>
          </w:p>
        </w:tc>
        <w:tc>
          <w:tcPr>
            <w:tcW w:w="3798" w:type="dxa"/>
          </w:tcPr>
          <w:p>
            <w:pPr>
              <w:pStyle w:val="TableParagraph"/>
              <w:spacing w:before="101"/>
              <w:ind w:left="1459" w:right="1449"/>
              <w:jc w:val="center"/>
              <w:rPr>
                <w:sz w:val="21"/>
              </w:rPr>
            </w:pPr>
            <w:r>
              <w:rPr>
                <w:sz w:val="21"/>
              </w:rPr>
              <w:t>赎回费率</w:t>
            </w:r>
          </w:p>
        </w:tc>
      </w:tr>
      <w:tr>
        <w:trPr>
          <w:trHeight w:val="467" w:hRule="atLeast"/>
        </w:trPr>
        <w:tc>
          <w:tcPr>
            <w:tcW w:w="3870" w:type="dxa"/>
          </w:tcPr>
          <w:p>
            <w:pPr>
              <w:pStyle w:val="TableParagraph"/>
              <w:spacing w:before="101"/>
              <w:ind w:left="1179" w:right="1170"/>
              <w:jc w:val="center"/>
              <w:rPr>
                <w:sz w:val="21"/>
              </w:rPr>
            </w:pPr>
            <w:r>
              <w:rPr>
                <w:sz w:val="21"/>
              </w:rPr>
              <w:t>0-6</w:t>
            </w:r>
          </w:p>
        </w:tc>
        <w:tc>
          <w:tcPr>
            <w:tcW w:w="3798" w:type="dxa"/>
          </w:tcPr>
          <w:p>
            <w:pPr>
              <w:pStyle w:val="TableParagraph"/>
              <w:spacing w:before="101"/>
              <w:ind w:left="1459" w:right="1449"/>
              <w:jc w:val="center"/>
              <w:rPr>
                <w:sz w:val="21"/>
              </w:rPr>
            </w:pPr>
            <w:r>
              <w:rPr>
                <w:sz w:val="21"/>
              </w:rPr>
              <w:t>1.5%</w:t>
            </w:r>
          </w:p>
        </w:tc>
      </w:tr>
      <w:tr>
        <w:trPr>
          <w:trHeight w:val="467" w:hRule="atLeast"/>
        </w:trPr>
        <w:tc>
          <w:tcPr>
            <w:tcW w:w="3870" w:type="dxa"/>
          </w:tcPr>
          <w:p>
            <w:pPr>
              <w:pStyle w:val="TableParagraph"/>
              <w:spacing w:before="101"/>
              <w:ind w:left="1179" w:right="1170"/>
              <w:jc w:val="center"/>
              <w:rPr>
                <w:sz w:val="21"/>
              </w:rPr>
            </w:pPr>
            <w:r>
              <w:rPr>
                <w:sz w:val="21"/>
              </w:rPr>
              <w:t>7 及以上</w:t>
            </w:r>
          </w:p>
        </w:tc>
        <w:tc>
          <w:tcPr>
            <w:tcW w:w="3798" w:type="dxa"/>
          </w:tcPr>
          <w:p>
            <w:pPr>
              <w:pStyle w:val="TableParagraph"/>
              <w:spacing w:before="101"/>
              <w:ind w:left="1459" w:right="1449"/>
              <w:jc w:val="center"/>
              <w:rPr>
                <w:sz w:val="21"/>
              </w:rPr>
            </w:pPr>
            <w:r>
              <w:rPr>
                <w:sz w:val="21"/>
              </w:rPr>
              <w:t>0%</w:t>
            </w:r>
          </w:p>
        </w:tc>
      </w:tr>
    </w:tbl>
    <w:p>
      <w:pPr>
        <w:pStyle w:val="BodyText"/>
        <w:spacing w:line="364" w:lineRule="auto" w:before="3"/>
        <w:ind w:left="413" w:right="1451" w:firstLine="437"/>
        <w:jc w:val="both"/>
      </w:pPr>
      <w:r>
        <w:rPr/>
        <w:t>基金管理人可以在基金合同规定的范围内调整申购费率和赎回费率，调整后的申购费率和赎回费率在《更新的招募说明书》中列示。上述费率如发生变更，基金管理人还应按照《信息披露办法》或其他相关规定于新的费率实施前在至少一家指定媒介及基金管理人网站公告。</w:t>
      </w:r>
    </w:p>
    <w:p>
      <w:pPr>
        <w:pStyle w:val="BodyText"/>
        <w:spacing w:line="364" w:lineRule="auto"/>
        <w:ind w:left="413" w:right="1452" w:firstLine="435"/>
        <w:jc w:val="both"/>
      </w:pPr>
      <w:r>
        <w:rPr/>
        <w:t>基金管理人可以在不违反法律法规规定及基金合同约定的情况下根据市场情况制定基金促销计划，针对基金投资者定期和不定期地开展基金促销活动。在基金促销活动期间， 基金管理人可以适当调低基金销售费率，或针对特定渠道、特定投资群体开展有差别的费率优惠活动。</w:t>
      </w:r>
    </w:p>
    <w:p>
      <w:pPr>
        <w:spacing w:after="0" w:line="364" w:lineRule="auto"/>
        <w:jc w:val="both"/>
        <w:sectPr>
          <w:pgSz w:w="11910" w:h="16840"/>
          <w:pgMar w:header="0" w:footer="1166" w:top="1600" w:bottom="1440" w:left="1400" w:right="360"/>
        </w:sectPr>
      </w:pPr>
    </w:p>
    <w:p>
      <w:pPr>
        <w:pStyle w:val="Heading3"/>
        <w:spacing w:before="105"/>
      </w:pPr>
      <w:bookmarkStart w:name="_bookmark25" w:id="26"/>
      <w:bookmarkEnd w:id="26"/>
      <w:r>
        <w:rPr/>
      </w:r>
      <w:r>
        <w:rPr/>
        <w:t>（八）申购份额、赎回金额的计算方式</w:t>
      </w:r>
    </w:p>
    <w:p>
      <w:pPr>
        <w:pStyle w:val="BodyText"/>
        <w:spacing w:before="185"/>
        <w:ind w:left="838"/>
      </w:pPr>
      <w:r>
        <w:rPr/>
        <w:t>1、申购份额的计算</w:t>
      </w:r>
    </w:p>
    <w:p>
      <w:pPr>
        <w:pStyle w:val="BodyText"/>
        <w:spacing w:before="139"/>
        <w:ind w:left="893"/>
      </w:pPr>
      <w:r>
        <w:rPr/>
        <w:t>（1）A</w:t>
      </w:r>
      <w:r>
        <w:rPr>
          <w:spacing w:val="-10"/>
        </w:rPr>
        <w:t> 类基金份额</w:t>
      </w:r>
    </w:p>
    <w:p>
      <w:pPr>
        <w:pStyle w:val="BodyText"/>
        <w:spacing w:line="364" w:lineRule="auto" w:before="140"/>
        <w:ind w:left="893" w:right="2952"/>
      </w:pPr>
      <w:r>
        <w:rPr>
          <w:spacing w:val="-14"/>
        </w:rPr>
        <w:t>本基金 </w:t>
      </w:r>
      <w:r>
        <w:rPr/>
        <w:t>A</w:t>
      </w:r>
      <w:r>
        <w:rPr>
          <w:spacing w:val="-9"/>
        </w:rPr>
        <w:t> 类基金份额的申购金额包括申购费用和净申购金额，其中： </w:t>
      </w:r>
      <w:r>
        <w:rPr/>
        <w:t>净申购金额=申购金额/（1+申购费率）</w:t>
      </w:r>
    </w:p>
    <w:p>
      <w:pPr>
        <w:pStyle w:val="BodyText"/>
        <w:spacing w:line="268" w:lineRule="exact"/>
        <w:ind w:left="893"/>
      </w:pPr>
      <w:r>
        <w:rPr/>
        <w:t>申购费用=申购金额-净申购金额</w:t>
      </w:r>
    </w:p>
    <w:p>
      <w:pPr>
        <w:pStyle w:val="BodyText"/>
        <w:spacing w:before="139"/>
        <w:ind w:left="893"/>
      </w:pPr>
      <w:r>
        <w:rPr/>
        <w:t>申购份数=净申购金额÷T 日该类份额的基金份额净值</w:t>
      </w:r>
    </w:p>
    <w:p>
      <w:pPr>
        <w:pStyle w:val="BodyText"/>
        <w:spacing w:line="364" w:lineRule="auto" w:before="140"/>
        <w:ind w:left="893" w:right="1797"/>
      </w:pPr>
      <w:r>
        <w:rPr>
          <w:spacing w:val="-18"/>
        </w:rPr>
        <w:t>对于 </w:t>
      </w:r>
      <w:r>
        <w:rPr/>
        <w:t>1000</w:t>
      </w:r>
      <w:r>
        <w:rPr>
          <w:spacing w:val="-18"/>
        </w:rPr>
        <w:t> 万元</w:t>
      </w:r>
      <w:r>
        <w:rPr/>
        <w:t>（含）</w:t>
      </w:r>
      <w:r>
        <w:rPr>
          <w:spacing w:val="-1"/>
        </w:rPr>
        <w:t>以上的申购，净申购金额=申购金额-绝对数额的申购费金额</w:t>
      </w:r>
      <w:r>
        <w:rPr/>
        <w:t>举例说明：</w:t>
      </w:r>
    </w:p>
    <w:p>
      <w:pPr>
        <w:pStyle w:val="BodyText"/>
        <w:spacing w:line="268" w:lineRule="exact"/>
        <w:ind w:left="893"/>
      </w:pPr>
      <w:r>
        <w:rPr/>
        <w:t>某投资者（特定投资群体）通过基金管理人的直销中心申购本基金 A 类基金份额：</w:t>
      </w:r>
    </w:p>
    <w:p>
      <w:pPr>
        <w:pStyle w:val="BodyText"/>
        <w:spacing w:before="10"/>
        <w:ind w:left="0"/>
        <w:rPr>
          <w:sz w:val="11"/>
        </w:rPr>
      </w:pPr>
    </w:p>
    <w:tbl>
      <w:tblPr>
        <w:tblW w:w="0" w:type="auto"/>
        <w:jc w:val="left"/>
        <w:tblInd w:w="138"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134"/>
        <w:gridCol w:w="1418"/>
        <w:gridCol w:w="1660"/>
        <w:gridCol w:w="1660"/>
        <w:gridCol w:w="1422"/>
      </w:tblGrid>
      <w:tr>
        <w:trPr>
          <w:trHeight w:val="423" w:hRule="atLeast"/>
        </w:trPr>
        <w:tc>
          <w:tcPr>
            <w:tcW w:w="1581" w:type="dxa"/>
            <w:tcBorders>
              <w:bottom w:val="thinThickMediumGap" w:sz="6" w:space="0" w:color="808080"/>
              <w:right w:val="thinThickMediumGap" w:sz="6" w:space="0" w:color="808080"/>
            </w:tcBorders>
          </w:tcPr>
          <w:p>
            <w:pPr>
              <w:pStyle w:val="TableParagraph"/>
              <w:spacing w:line="328" w:lineRule="exact"/>
              <w:ind w:left="80" w:right="51"/>
              <w:jc w:val="center"/>
              <w:rPr>
                <w:rFonts w:ascii="Microsoft JhengHei" w:eastAsia="Microsoft JhengHei" w:hint="eastAsia"/>
                <w:b/>
                <w:sz w:val="21"/>
              </w:rPr>
            </w:pPr>
            <w:r>
              <w:rPr>
                <w:rFonts w:ascii="Microsoft JhengHei" w:eastAsia="Microsoft JhengHei" w:hint="eastAsia"/>
                <w:b/>
                <w:sz w:val="21"/>
              </w:rPr>
              <w:t>申购金额</w:t>
            </w:r>
          </w:p>
        </w:tc>
        <w:tc>
          <w:tcPr>
            <w:tcW w:w="1134" w:type="dxa"/>
            <w:tcBorders>
              <w:bottom w:val="thinThickMediumGap" w:sz="6" w:space="0" w:color="808080"/>
              <w:right w:val="thinThickMediumGap" w:sz="6" w:space="0" w:color="808080"/>
            </w:tcBorders>
          </w:tcPr>
          <w:p>
            <w:pPr>
              <w:pStyle w:val="TableParagraph"/>
              <w:spacing w:line="328" w:lineRule="exact"/>
              <w:ind w:left="119" w:right="90"/>
              <w:jc w:val="center"/>
              <w:rPr>
                <w:rFonts w:ascii="Microsoft JhengHei" w:eastAsia="Microsoft JhengHei" w:hint="eastAsia"/>
                <w:b/>
                <w:sz w:val="21"/>
              </w:rPr>
            </w:pPr>
            <w:r>
              <w:rPr>
                <w:rFonts w:ascii="Microsoft JhengHei" w:eastAsia="Microsoft JhengHei" w:hint="eastAsia"/>
                <w:b/>
                <w:sz w:val="21"/>
              </w:rPr>
              <w:t>申购费率</w:t>
            </w:r>
          </w:p>
        </w:tc>
        <w:tc>
          <w:tcPr>
            <w:tcW w:w="1418" w:type="dxa"/>
            <w:tcBorders>
              <w:bottom w:val="thinThickMediumGap" w:sz="6" w:space="0" w:color="808080"/>
              <w:right w:val="thinThickMediumGap" w:sz="6" w:space="0" w:color="808080"/>
            </w:tcBorders>
          </w:tcPr>
          <w:p>
            <w:pPr>
              <w:pStyle w:val="TableParagraph"/>
              <w:spacing w:line="328" w:lineRule="exact"/>
              <w:ind w:left="50" w:right="21"/>
              <w:jc w:val="center"/>
              <w:rPr>
                <w:rFonts w:ascii="Microsoft JhengHei" w:eastAsia="Microsoft JhengHei" w:hint="eastAsia"/>
                <w:b/>
                <w:sz w:val="21"/>
              </w:rPr>
            </w:pPr>
            <w:r>
              <w:rPr>
                <w:rFonts w:ascii="Microsoft JhengHei" w:eastAsia="Microsoft JhengHei" w:hint="eastAsia"/>
                <w:b/>
                <w:sz w:val="21"/>
              </w:rPr>
              <w:t>净申购金额</w:t>
            </w:r>
          </w:p>
        </w:tc>
        <w:tc>
          <w:tcPr>
            <w:tcW w:w="1660" w:type="dxa"/>
            <w:tcBorders>
              <w:bottom w:val="thinThickMediumGap" w:sz="6" w:space="0" w:color="808080"/>
              <w:right w:val="thinThickMediumGap" w:sz="6" w:space="0" w:color="808080"/>
            </w:tcBorders>
          </w:tcPr>
          <w:p>
            <w:pPr>
              <w:pStyle w:val="TableParagraph"/>
              <w:spacing w:line="328" w:lineRule="exact"/>
              <w:ind w:left="400"/>
              <w:rPr>
                <w:rFonts w:ascii="Microsoft JhengHei" w:eastAsia="Microsoft JhengHei" w:hint="eastAsia"/>
                <w:b/>
                <w:sz w:val="21"/>
              </w:rPr>
            </w:pPr>
            <w:r>
              <w:rPr>
                <w:rFonts w:ascii="Microsoft JhengHei" w:eastAsia="Microsoft JhengHei" w:hint="eastAsia"/>
                <w:b/>
                <w:sz w:val="21"/>
              </w:rPr>
              <w:t>申购费用</w:t>
            </w:r>
          </w:p>
        </w:tc>
        <w:tc>
          <w:tcPr>
            <w:tcW w:w="1660" w:type="dxa"/>
            <w:tcBorders>
              <w:bottom w:val="thinThickMediumGap" w:sz="6" w:space="0" w:color="808080"/>
              <w:right w:val="thinThickMediumGap" w:sz="6" w:space="0" w:color="808080"/>
            </w:tcBorders>
          </w:tcPr>
          <w:p>
            <w:pPr>
              <w:pStyle w:val="TableParagraph"/>
              <w:spacing w:line="328" w:lineRule="exact"/>
              <w:ind w:right="158"/>
              <w:jc w:val="right"/>
              <w:rPr>
                <w:rFonts w:ascii="Microsoft JhengHei" w:eastAsia="Microsoft JhengHei" w:hint="eastAsia"/>
                <w:b/>
                <w:sz w:val="21"/>
              </w:rPr>
            </w:pPr>
            <w:r>
              <w:rPr>
                <w:rFonts w:ascii="Microsoft JhengHei" w:eastAsia="Microsoft JhengHei" w:hint="eastAsia"/>
                <w:b/>
                <w:sz w:val="21"/>
              </w:rPr>
              <w:t>基金份额净值</w:t>
            </w:r>
          </w:p>
        </w:tc>
        <w:tc>
          <w:tcPr>
            <w:tcW w:w="1422" w:type="dxa"/>
            <w:tcBorders>
              <w:bottom w:val="thinThickMediumGap" w:sz="6" w:space="0" w:color="808080"/>
              <w:right w:val="thinThickMediumGap" w:sz="6" w:space="0" w:color="808080"/>
            </w:tcBorders>
          </w:tcPr>
          <w:p>
            <w:pPr>
              <w:pStyle w:val="TableParagraph"/>
              <w:spacing w:line="328" w:lineRule="exact"/>
              <w:ind w:left="52" w:right="23"/>
              <w:jc w:val="center"/>
              <w:rPr>
                <w:rFonts w:ascii="Microsoft JhengHei" w:eastAsia="Microsoft JhengHei" w:hint="eastAsia"/>
                <w:b/>
                <w:sz w:val="21"/>
              </w:rPr>
            </w:pPr>
            <w:r>
              <w:rPr>
                <w:rFonts w:ascii="Microsoft JhengHei" w:eastAsia="Microsoft JhengHei" w:hint="eastAsia"/>
                <w:b/>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50,000 元</w:t>
            </w:r>
          </w:p>
        </w:tc>
        <w:tc>
          <w:tcPr>
            <w:tcW w:w="1134" w:type="dxa"/>
            <w:tcBorders>
              <w:bottom w:val="thinThickMediumGap" w:sz="6" w:space="0" w:color="808080"/>
              <w:right w:val="thinThickMediumGap" w:sz="6" w:space="0" w:color="808080"/>
            </w:tcBorders>
          </w:tcPr>
          <w:p>
            <w:pPr>
              <w:pStyle w:val="TableParagraph"/>
              <w:spacing w:before="10"/>
              <w:ind w:left="119" w:right="62"/>
              <w:jc w:val="center"/>
              <w:rPr>
                <w:sz w:val="21"/>
              </w:rPr>
            </w:pPr>
            <w:r>
              <w:rPr>
                <w:sz w:val="21"/>
              </w:rPr>
              <w:t>0.12%</w:t>
            </w:r>
          </w:p>
        </w:tc>
        <w:tc>
          <w:tcPr>
            <w:tcW w:w="1418" w:type="dxa"/>
            <w:tcBorders>
              <w:bottom w:val="thinThickMediumGap" w:sz="6" w:space="0" w:color="808080"/>
              <w:right w:val="thinThickMediumGap" w:sz="6" w:space="0" w:color="808080"/>
            </w:tcBorders>
          </w:tcPr>
          <w:p>
            <w:pPr>
              <w:pStyle w:val="TableParagraph"/>
              <w:spacing w:before="10"/>
              <w:ind w:left="51" w:right="21"/>
              <w:jc w:val="center"/>
              <w:rPr>
                <w:sz w:val="21"/>
              </w:rPr>
            </w:pPr>
            <w:r>
              <w:rPr>
                <w:sz w:val="21"/>
              </w:rPr>
              <w:t>49,940.07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59.93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3" w:right="23"/>
              <w:jc w:val="center"/>
              <w:rPr>
                <w:sz w:val="21"/>
              </w:rPr>
            </w:pPr>
            <w:r>
              <w:rPr>
                <w:sz w:val="21"/>
              </w:rPr>
              <w:t>49,940.07 份</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10,000,000 元</w:t>
            </w:r>
          </w:p>
        </w:tc>
        <w:tc>
          <w:tcPr>
            <w:tcW w:w="1134" w:type="dxa"/>
            <w:tcBorders>
              <w:bottom w:val="thinThickMediumGap" w:sz="6" w:space="0" w:color="808080"/>
              <w:right w:val="thinThickMediumGap" w:sz="6" w:space="0" w:color="808080"/>
            </w:tcBorders>
          </w:tcPr>
          <w:p>
            <w:pPr>
              <w:pStyle w:val="TableParagraph"/>
              <w:spacing w:before="10"/>
              <w:ind w:left="119" w:right="90"/>
              <w:jc w:val="center"/>
              <w:rPr>
                <w:sz w:val="21"/>
              </w:rPr>
            </w:pPr>
            <w:r>
              <w:rPr>
                <w:sz w:val="21"/>
              </w:rPr>
              <w:t>1000 元</w:t>
            </w:r>
          </w:p>
        </w:tc>
        <w:tc>
          <w:tcPr>
            <w:tcW w:w="1418" w:type="dxa"/>
            <w:tcBorders>
              <w:bottom w:val="thinThickMediumGap" w:sz="6" w:space="0" w:color="808080"/>
              <w:right w:val="thinThickMediumGap" w:sz="6" w:space="0" w:color="808080"/>
            </w:tcBorders>
          </w:tcPr>
          <w:p>
            <w:pPr>
              <w:pStyle w:val="TableParagraph"/>
              <w:spacing w:before="10"/>
              <w:ind w:left="51" w:right="21"/>
              <w:jc w:val="center"/>
              <w:rPr>
                <w:sz w:val="21"/>
              </w:rPr>
            </w:pPr>
            <w:r>
              <w:rPr>
                <w:sz w:val="21"/>
              </w:rPr>
              <w:t>9,999,000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3" w:right="23"/>
              <w:jc w:val="center"/>
              <w:rPr>
                <w:sz w:val="21"/>
              </w:rPr>
            </w:pPr>
            <w:r>
              <w:rPr>
                <w:sz w:val="21"/>
              </w:rPr>
              <w:t>9,999,000 份</w:t>
            </w:r>
          </w:p>
        </w:tc>
      </w:tr>
    </w:tbl>
    <w:p>
      <w:pPr>
        <w:pStyle w:val="BodyText"/>
        <w:spacing w:before="18"/>
        <w:ind w:left="893"/>
      </w:pPr>
      <w:r>
        <w:rPr/>
        <w:t>某投资者（非特定投资群体）申购本基金 A 类基金份额：</w:t>
      </w:r>
    </w:p>
    <w:p>
      <w:pPr>
        <w:pStyle w:val="BodyText"/>
        <w:spacing w:before="10"/>
        <w:ind w:left="0"/>
        <w:rPr>
          <w:sz w:val="11"/>
        </w:rPr>
      </w:pPr>
    </w:p>
    <w:tbl>
      <w:tblPr>
        <w:tblW w:w="0" w:type="auto"/>
        <w:jc w:val="left"/>
        <w:tblInd w:w="138"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134"/>
        <w:gridCol w:w="1418"/>
        <w:gridCol w:w="1660"/>
        <w:gridCol w:w="1660"/>
        <w:gridCol w:w="1422"/>
      </w:tblGrid>
      <w:tr>
        <w:trPr>
          <w:trHeight w:val="423" w:hRule="atLeast"/>
        </w:trPr>
        <w:tc>
          <w:tcPr>
            <w:tcW w:w="1581" w:type="dxa"/>
            <w:tcBorders>
              <w:bottom w:val="thinThickMediumGap" w:sz="6" w:space="0" w:color="808080"/>
              <w:right w:val="thinThickMediumGap" w:sz="6" w:space="0" w:color="808080"/>
            </w:tcBorders>
          </w:tcPr>
          <w:p>
            <w:pPr>
              <w:pStyle w:val="TableParagraph"/>
              <w:spacing w:line="328" w:lineRule="exact"/>
              <w:ind w:left="80" w:right="51"/>
              <w:jc w:val="center"/>
              <w:rPr>
                <w:rFonts w:ascii="Microsoft JhengHei" w:eastAsia="Microsoft JhengHei" w:hint="eastAsia"/>
                <w:b/>
                <w:sz w:val="21"/>
              </w:rPr>
            </w:pPr>
            <w:r>
              <w:rPr>
                <w:rFonts w:ascii="Microsoft JhengHei" w:eastAsia="Microsoft JhengHei" w:hint="eastAsia"/>
                <w:b/>
                <w:sz w:val="21"/>
              </w:rPr>
              <w:t>申购金额</w:t>
            </w:r>
          </w:p>
        </w:tc>
        <w:tc>
          <w:tcPr>
            <w:tcW w:w="1134" w:type="dxa"/>
            <w:tcBorders>
              <w:bottom w:val="thinThickMediumGap" w:sz="6" w:space="0" w:color="808080"/>
              <w:right w:val="thinThickMediumGap" w:sz="6" w:space="0" w:color="808080"/>
            </w:tcBorders>
          </w:tcPr>
          <w:p>
            <w:pPr>
              <w:pStyle w:val="TableParagraph"/>
              <w:spacing w:line="328" w:lineRule="exact"/>
              <w:ind w:left="119" w:right="90"/>
              <w:jc w:val="center"/>
              <w:rPr>
                <w:rFonts w:ascii="Microsoft JhengHei" w:eastAsia="Microsoft JhengHei" w:hint="eastAsia"/>
                <w:b/>
                <w:sz w:val="21"/>
              </w:rPr>
            </w:pPr>
            <w:r>
              <w:rPr>
                <w:rFonts w:ascii="Microsoft JhengHei" w:eastAsia="Microsoft JhengHei" w:hint="eastAsia"/>
                <w:b/>
                <w:sz w:val="21"/>
              </w:rPr>
              <w:t>申购费率</w:t>
            </w:r>
          </w:p>
        </w:tc>
        <w:tc>
          <w:tcPr>
            <w:tcW w:w="1418" w:type="dxa"/>
            <w:tcBorders>
              <w:bottom w:val="thinThickMediumGap" w:sz="6" w:space="0" w:color="808080"/>
              <w:right w:val="thinThickMediumGap" w:sz="6" w:space="0" w:color="808080"/>
            </w:tcBorders>
          </w:tcPr>
          <w:p>
            <w:pPr>
              <w:pStyle w:val="TableParagraph"/>
              <w:spacing w:line="328" w:lineRule="exact"/>
              <w:ind w:left="174"/>
              <w:rPr>
                <w:rFonts w:ascii="Microsoft JhengHei" w:eastAsia="Microsoft JhengHei" w:hint="eastAsia"/>
                <w:b/>
                <w:sz w:val="21"/>
              </w:rPr>
            </w:pPr>
            <w:r>
              <w:rPr>
                <w:rFonts w:ascii="Microsoft JhengHei" w:eastAsia="Microsoft JhengHei" w:hint="eastAsia"/>
                <w:b/>
                <w:sz w:val="21"/>
              </w:rPr>
              <w:t>净申购金额</w:t>
            </w:r>
          </w:p>
        </w:tc>
        <w:tc>
          <w:tcPr>
            <w:tcW w:w="1660" w:type="dxa"/>
            <w:tcBorders>
              <w:bottom w:val="thinThickMediumGap" w:sz="6" w:space="0" w:color="808080"/>
              <w:right w:val="thinThickMediumGap" w:sz="6" w:space="0" w:color="808080"/>
            </w:tcBorders>
          </w:tcPr>
          <w:p>
            <w:pPr>
              <w:pStyle w:val="TableParagraph"/>
              <w:spacing w:line="328" w:lineRule="exact"/>
              <w:ind w:left="400"/>
              <w:rPr>
                <w:rFonts w:ascii="Microsoft JhengHei" w:eastAsia="Microsoft JhengHei" w:hint="eastAsia"/>
                <w:b/>
                <w:sz w:val="21"/>
              </w:rPr>
            </w:pPr>
            <w:r>
              <w:rPr>
                <w:rFonts w:ascii="Microsoft JhengHei" w:eastAsia="Microsoft JhengHei" w:hint="eastAsia"/>
                <w:b/>
                <w:sz w:val="21"/>
              </w:rPr>
              <w:t>申购费用</w:t>
            </w:r>
          </w:p>
        </w:tc>
        <w:tc>
          <w:tcPr>
            <w:tcW w:w="1660" w:type="dxa"/>
            <w:tcBorders>
              <w:bottom w:val="thinThickMediumGap" w:sz="6" w:space="0" w:color="808080"/>
              <w:right w:val="thinThickMediumGap" w:sz="6" w:space="0" w:color="808080"/>
            </w:tcBorders>
          </w:tcPr>
          <w:p>
            <w:pPr>
              <w:pStyle w:val="TableParagraph"/>
              <w:spacing w:line="328" w:lineRule="exact"/>
              <w:ind w:right="158"/>
              <w:jc w:val="right"/>
              <w:rPr>
                <w:rFonts w:ascii="Microsoft JhengHei" w:eastAsia="Microsoft JhengHei" w:hint="eastAsia"/>
                <w:b/>
                <w:sz w:val="21"/>
              </w:rPr>
            </w:pPr>
            <w:r>
              <w:rPr>
                <w:rFonts w:ascii="Microsoft JhengHei" w:eastAsia="Microsoft JhengHei" w:hint="eastAsia"/>
                <w:b/>
                <w:sz w:val="21"/>
              </w:rPr>
              <w:t>基金份额净值</w:t>
            </w:r>
          </w:p>
        </w:tc>
        <w:tc>
          <w:tcPr>
            <w:tcW w:w="1422" w:type="dxa"/>
            <w:tcBorders>
              <w:bottom w:val="thinThickMediumGap" w:sz="6" w:space="0" w:color="808080"/>
              <w:right w:val="thinThickMediumGap" w:sz="6" w:space="0" w:color="808080"/>
            </w:tcBorders>
          </w:tcPr>
          <w:p>
            <w:pPr>
              <w:pStyle w:val="TableParagraph"/>
              <w:spacing w:line="328" w:lineRule="exact"/>
              <w:ind w:left="52" w:right="23"/>
              <w:jc w:val="center"/>
              <w:rPr>
                <w:rFonts w:ascii="Microsoft JhengHei" w:eastAsia="Microsoft JhengHei" w:hint="eastAsia"/>
                <w:b/>
                <w:sz w:val="21"/>
              </w:rPr>
            </w:pPr>
            <w:r>
              <w:rPr>
                <w:rFonts w:ascii="Microsoft JhengHei" w:eastAsia="Microsoft JhengHei" w:hint="eastAsia"/>
                <w:b/>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 元</w:t>
            </w:r>
          </w:p>
        </w:tc>
        <w:tc>
          <w:tcPr>
            <w:tcW w:w="1134" w:type="dxa"/>
            <w:tcBorders>
              <w:bottom w:val="thinThickMediumGap" w:sz="6" w:space="0" w:color="808080"/>
              <w:right w:val="thinThickMediumGap" w:sz="6" w:space="0" w:color="808080"/>
            </w:tcBorders>
          </w:tcPr>
          <w:p>
            <w:pPr>
              <w:pStyle w:val="TableParagraph"/>
              <w:spacing w:before="10"/>
              <w:ind w:left="43" w:right="90"/>
              <w:jc w:val="center"/>
              <w:rPr>
                <w:sz w:val="21"/>
              </w:rPr>
            </w:pPr>
            <w:r>
              <w:rPr>
                <w:sz w:val="21"/>
              </w:rPr>
              <w:t>1.2%</w:t>
            </w:r>
          </w:p>
        </w:tc>
        <w:tc>
          <w:tcPr>
            <w:tcW w:w="1418" w:type="dxa"/>
            <w:tcBorders>
              <w:bottom w:val="thinThickMediumGap" w:sz="6" w:space="0" w:color="808080"/>
              <w:right w:val="thinThickMediumGap" w:sz="6" w:space="0" w:color="808080"/>
            </w:tcBorders>
          </w:tcPr>
          <w:p>
            <w:pPr>
              <w:pStyle w:val="TableParagraph"/>
              <w:spacing w:before="10"/>
              <w:ind w:right="118"/>
              <w:jc w:val="right"/>
              <w:rPr>
                <w:sz w:val="21"/>
              </w:rPr>
            </w:pPr>
            <w:r>
              <w:rPr>
                <w:sz w:val="21"/>
              </w:rPr>
              <w:t>9,881.42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118.58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2" w:right="23"/>
              <w:jc w:val="center"/>
              <w:rPr>
                <w:sz w:val="21"/>
              </w:rPr>
            </w:pPr>
            <w:r>
              <w:rPr>
                <w:sz w:val="21"/>
              </w:rPr>
              <w:t>9,881.42 份</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10,000,000 元</w:t>
            </w:r>
          </w:p>
        </w:tc>
        <w:tc>
          <w:tcPr>
            <w:tcW w:w="1134" w:type="dxa"/>
            <w:tcBorders>
              <w:bottom w:val="thinThickMediumGap" w:sz="6" w:space="0" w:color="808080"/>
              <w:right w:val="thinThickMediumGap" w:sz="6" w:space="0" w:color="808080"/>
            </w:tcBorders>
          </w:tcPr>
          <w:p>
            <w:pPr>
              <w:pStyle w:val="TableParagraph"/>
              <w:spacing w:before="10"/>
              <w:ind w:left="119" w:right="90"/>
              <w:jc w:val="center"/>
              <w:rPr>
                <w:sz w:val="21"/>
              </w:rPr>
            </w:pPr>
            <w:r>
              <w:rPr>
                <w:sz w:val="21"/>
              </w:rPr>
              <w:t>1000 元</w:t>
            </w:r>
          </w:p>
        </w:tc>
        <w:tc>
          <w:tcPr>
            <w:tcW w:w="1418" w:type="dxa"/>
            <w:tcBorders>
              <w:bottom w:val="thinThickMediumGap" w:sz="6" w:space="0" w:color="808080"/>
              <w:right w:val="thinThickMediumGap" w:sz="6" w:space="0" w:color="808080"/>
            </w:tcBorders>
          </w:tcPr>
          <w:p>
            <w:pPr>
              <w:pStyle w:val="TableParagraph"/>
              <w:spacing w:before="10"/>
              <w:ind w:right="68"/>
              <w:jc w:val="right"/>
              <w:rPr>
                <w:sz w:val="21"/>
              </w:rPr>
            </w:pPr>
            <w:r>
              <w:rPr>
                <w:sz w:val="21"/>
              </w:rPr>
              <w:t>9,999,000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660" w:type="dxa"/>
            <w:tcBorders>
              <w:bottom w:val="thinThickMediumGap" w:sz="6" w:space="0" w:color="808080"/>
              <w:right w:val="thinThickMediumGap" w:sz="6" w:space="0" w:color="808080"/>
            </w:tcBorders>
          </w:tcPr>
          <w:p>
            <w:pPr>
              <w:pStyle w:val="TableParagraph"/>
              <w:spacing w:before="10"/>
              <w:ind w:right="200"/>
              <w:jc w:val="right"/>
              <w:rPr>
                <w:sz w:val="21"/>
              </w:rPr>
            </w:pPr>
            <w:r>
              <w:rPr>
                <w:sz w:val="21"/>
              </w:rPr>
              <w:t>1.0000 元</w:t>
            </w:r>
          </w:p>
        </w:tc>
        <w:tc>
          <w:tcPr>
            <w:tcW w:w="1422" w:type="dxa"/>
            <w:tcBorders>
              <w:bottom w:val="thinThickMediumGap" w:sz="6" w:space="0" w:color="808080"/>
              <w:right w:val="thinThickMediumGap" w:sz="6" w:space="0" w:color="808080"/>
            </w:tcBorders>
          </w:tcPr>
          <w:p>
            <w:pPr>
              <w:pStyle w:val="TableParagraph"/>
              <w:spacing w:before="10"/>
              <w:ind w:left="53" w:right="23"/>
              <w:jc w:val="center"/>
              <w:rPr>
                <w:sz w:val="21"/>
              </w:rPr>
            </w:pPr>
            <w:r>
              <w:rPr>
                <w:sz w:val="21"/>
              </w:rPr>
              <w:t>9,999,000 份</w:t>
            </w:r>
          </w:p>
        </w:tc>
      </w:tr>
    </w:tbl>
    <w:p>
      <w:pPr>
        <w:pStyle w:val="BodyText"/>
        <w:spacing w:line="364" w:lineRule="auto" w:before="18"/>
        <w:ind w:left="413" w:right="1452" w:firstLine="420"/>
        <w:jc w:val="both"/>
      </w:pPr>
      <w:r>
        <w:rPr/>
        <w:t>上述涉及金额的计算结果均以人民币元为单位，四舍五入，保留到小数点后两位，由此产生的收益或损失由基金财产承担；申购份数采取四舍五入的方法保留小数点后二位， 由此产生的收益或损失由基金财产承担。</w:t>
      </w:r>
    </w:p>
    <w:p>
      <w:pPr>
        <w:pStyle w:val="BodyText"/>
        <w:spacing w:line="268" w:lineRule="exact"/>
        <w:ind w:left="833"/>
      </w:pPr>
      <w:r>
        <w:rPr/>
        <w:t>（2）C 类基金份额</w:t>
      </w:r>
    </w:p>
    <w:p>
      <w:pPr>
        <w:pStyle w:val="BodyText"/>
        <w:spacing w:line="364" w:lineRule="auto" w:before="139"/>
        <w:ind w:left="893" w:right="4515"/>
      </w:pPr>
      <w:r>
        <w:rPr/>
        <w:t>申购份数=申购金额÷T 日该类份额的基金份额净值举例说明：</w:t>
      </w:r>
    </w:p>
    <w:p>
      <w:pPr>
        <w:pStyle w:val="BodyText"/>
        <w:spacing w:line="268" w:lineRule="exact"/>
        <w:ind w:left="893"/>
      </w:pPr>
      <w:r>
        <w:rPr/>
        <w:t>某投资者申购本基金 C 类基金份额：</w:t>
      </w:r>
    </w:p>
    <w:p>
      <w:pPr>
        <w:pStyle w:val="BodyText"/>
        <w:spacing w:before="10" w:after="1"/>
        <w:ind w:left="0"/>
        <w:rPr>
          <w:sz w:val="11"/>
        </w:rPr>
      </w:pPr>
    </w:p>
    <w:tbl>
      <w:tblPr>
        <w:tblW w:w="0" w:type="auto"/>
        <w:jc w:val="left"/>
        <w:tblInd w:w="2148"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660"/>
        <w:gridCol w:w="1614"/>
      </w:tblGrid>
      <w:tr>
        <w:trPr>
          <w:trHeight w:val="423" w:hRule="atLeast"/>
        </w:trPr>
        <w:tc>
          <w:tcPr>
            <w:tcW w:w="1581" w:type="dxa"/>
            <w:tcBorders>
              <w:bottom w:val="thinThickMediumGap" w:sz="6" w:space="0" w:color="808080"/>
              <w:right w:val="thinThickMediumGap" w:sz="6" w:space="0" w:color="808080"/>
            </w:tcBorders>
          </w:tcPr>
          <w:p>
            <w:pPr>
              <w:pStyle w:val="TableParagraph"/>
              <w:spacing w:line="328" w:lineRule="exact"/>
              <w:ind w:left="80" w:right="51"/>
              <w:jc w:val="center"/>
              <w:rPr>
                <w:rFonts w:ascii="Microsoft JhengHei" w:eastAsia="Microsoft JhengHei" w:hint="eastAsia"/>
                <w:b/>
                <w:sz w:val="21"/>
              </w:rPr>
            </w:pPr>
            <w:r>
              <w:rPr>
                <w:rFonts w:ascii="Microsoft JhengHei" w:eastAsia="Microsoft JhengHei" w:hint="eastAsia"/>
                <w:b/>
                <w:sz w:val="21"/>
              </w:rPr>
              <w:t>申购金额</w:t>
            </w:r>
          </w:p>
        </w:tc>
        <w:tc>
          <w:tcPr>
            <w:tcW w:w="1660" w:type="dxa"/>
            <w:tcBorders>
              <w:bottom w:val="thinThickMediumGap" w:sz="6" w:space="0" w:color="808080"/>
              <w:right w:val="thinThickMediumGap" w:sz="6" w:space="0" w:color="808080"/>
            </w:tcBorders>
          </w:tcPr>
          <w:p>
            <w:pPr>
              <w:pStyle w:val="TableParagraph"/>
              <w:spacing w:line="328" w:lineRule="exact"/>
              <w:ind w:right="158"/>
              <w:jc w:val="right"/>
              <w:rPr>
                <w:rFonts w:ascii="Microsoft JhengHei" w:eastAsia="Microsoft JhengHei" w:hint="eastAsia"/>
                <w:b/>
                <w:sz w:val="21"/>
              </w:rPr>
            </w:pPr>
            <w:r>
              <w:rPr>
                <w:rFonts w:ascii="Microsoft JhengHei" w:eastAsia="Microsoft JhengHei" w:hint="eastAsia"/>
                <w:b/>
                <w:sz w:val="21"/>
              </w:rPr>
              <w:t>基金份额净值</w:t>
            </w:r>
          </w:p>
        </w:tc>
        <w:tc>
          <w:tcPr>
            <w:tcW w:w="1614" w:type="dxa"/>
            <w:tcBorders>
              <w:bottom w:val="thinThickMediumGap" w:sz="6" w:space="0" w:color="808080"/>
              <w:right w:val="thinThickMediumGap" w:sz="6" w:space="0" w:color="808080"/>
            </w:tcBorders>
          </w:tcPr>
          <w:p>
            <w:pPr>
              <w:pStyle w:val="TableParagraph"/>
              <w:spacing w:line="328" w:lineRule="exact"/>
              <w:ind w:left="96" w:right="67"/>
              <w:jc w:val="center"/>
              <w:rPr>
                <w:rFonts w:ascii="Microsoft JhengHei" w:eastAsia="Microsoft JhengHei" w:hint="eastAsia"/>
                <w:b/>
                <w:sz w:val="21"/>
              </w:rPr>
            </w:pPr>
            <w:r>
              <w:rPr>
                <w:rFonts w:ascii="Microsoft JhengHei" w:eastAsia="Microsoft JhengHei" w:hint="eastAsia"/>
                <w:b/>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50,000 元</w:t>
            </w:r>
          </w:p>
        </w:tc>
        <w:tc>
          <w:tcPr>
            <w:tcW w:w="1660" w:type="dxa"/>
            <w:tcBorders>
              <w:bottom w:val="thinThickMediumGap" w:sz="6" w:space="0" w:color="808080"/>
              <w:right w:val="thinThickMediumGap" w:sz="6" w:space="0" w:color="808080"/>
            </w:tcBorders>
          </w:tcPr>
          <w:p>
            <w:pPr>
              <w:pStyle w:val="TableParagraph"/>
              <w:spacing w:before="10"/>
              <w:ind w:right="201"/>
              <w:jc w:val="right"/>
              <w:rPr>
                <w:sz w:val="21"/>
              </w:rPr>
            </w:pPr>
            <w:r>
              <w:rPr>
                <w:sz w:val="21"/>
              </w:rPr>
              <w:t>1.0000 元</w:t>
            </w:r>
          </w:p>
        </w:tc>
        <w:tc>
          <w:tcPr>
            <w:tcW w:w="1614" w:type="dxa"/>
            <w:tcBorders>
              <w:bottom w:val="thinThickMediumGap" w:sz="6" w:space="0" w:color="808080"/>
              <w:right w:val="thinThickMediumGap" w:sz="6" w:space="0" w:color="808080"/>
            </w:tcBorders>
          </w:tcPr>
          <w:p>
            <w:pPr>
              <w:pStyle w:val="TableParagraph"/>
              <w:spacing w:before="10"/>
              <w:ind w:left="96" w:right="67"/>
              <w:jc w:val="center"/>
              <w:rPr>
                <w:sz w:val="21"/>
              </w:rPr>
            </w:pPr>
            <w:r>
              <w:rPr>
                <w:sz w:val="21"/>
              </w:rPr>
              <w:t>50,000 份</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10,000,000 元</w:t>
            </w:r>
          </w:p>
        </w:tc>
        <w:tc>
          <w:tcPr>
            <w:tcW w:w="1660" w:type="dxa"/>
            <w:tcBorders>
              <w:bottom w:val="thinThickMediumGap" w:sz="6" w:space="0" w:color="808080"/>
              <w:right w:val="thinThickMediumGap" w:sz="6" w:space="0" w:color="808080"/>
            </w:tcBorders>
          </w:tcPr>
          <w:p>
            <w:pPr>
              <w:pStyle w:val="TableParagraph"/>
              <w:spacing w:before="10"/>
              <w:ind w:right="201"/>
              <w:jc w:val="right"/>
              <w:rPr>
                <w:sz w:val="21"/>
              </w:rPr>
            </w:pPr>
            <w:r>
              <w:rPr>
                <w:sz w:val="21"/>
              </w:rPr>
              <w:t>1.0000 元</w:t>
            </w:r>
          </w:p>
        </w:tc>
        <w:tc>
          <w:tcPr>
            <w:tcW w:w="1614" w:type="dxa"/>
            <w:tcBorders>
              <w:bottom w:val="thinThickMediumGap" w:sz="6" w:space="0" w:color="808080"/>
              <w:right w:val="thinThickMediumGap" w:sz="6" w:space="0" w:color="808080"/>
            </w:tcBorders>
          </w:tcPr>
          <w:p>
            <w:pPr>
              <w:pStyle w:val="TableParagraph"/>
              <w:spacing w:before="10"/>
              <w:ind w:left="96" w:right="67"/>
              <w:jc w:val="center"/>
              <w:rPr>
                <w:sz w:val="21"/>
              </w:rPr>
            </w:pPr>
            <w:r>
              <w:rPr>
                <w:sz w:val="21"/>
              </w:rPr>
              <w:t>10,000,000 份</w:t>
            </w:r>
          </w:p>
        </w:tc>
      </w:tr>
    </w:tbl>
    <w:p>
      <w:pPr>
        <w:pStyle w:val="BodyText"/>
        <w:spacing w:line="364" w:lineRule="auto" w:before="18"/>
        <w:ind w:left="413" w:right="1452" w:firstLine="420"/>
        <w:jc w:val="both"/>
      </w:pPr>
      <w:r>
        <w:rPr/>
        <w:t>上述涉及金额的计算结果均以人民币元为单位，四舍五入，保留到小数点后两位，由此产生的收益或损失由基金财产承担；申购份数采取四舍五入的方法保留小数点后二位， 由此产生的收益或损失由基金财产承担。</w:t>
      </w:r>
    </w:p>
    <w:p>
      <w:pPr>
        <w:pStyle w:val="BodyText"/>
        <w:spacing w:line="268" w:lineRule="exact"/>
        <w:ind w:left="838"/>
      </w:pPr>
      <w:r>
        <w:rPr/>
        <w:t>2、基金赎回金额的计算</w:t>
      </w:r>
    </w:p>
    <w:p>
      <w:pPr>
        <w:spacing w:after="0" w:line="268" w:lineRule="exact"/>
        <w:sectPr>
          <w:pgSz w:w="11910" w:h="16840"/>
          <w:pgMar w:header="0" w:footer="1166" w:top="1600" w:bottom="1440" w:left="1400" w:right="360"/>
        </w:sectPr>
      </w:pPr>
    </w:p>
    <w:p>
      <w:pPr>
        <w:pStyle w:val="BodyText"/>
        <w:spacing w:before="104"/>
        <w:ind w:left="895"/>
      </w:pPr>
      <w:r>
        <w:rPr/>
        <w:t>（1）A 类基金份额</w:t>
      </w:r>
    </w:p>
    <w:p>
      <w:pPr>
        <w:pStyle w:val="BodyText"/>
        <w:spacing w:line="362" w:lineRule="auto" w:before="139"/>
        <w:ind w:left="895" w:right="3160"/>
      </w:pPr>
      <w:r>
        <w:rPr>
          <w:spacing w:val="-14"/>
        </w:rPr>
        <w:t>本基金 </w:t>
      </w:r>
      <w:r>
        <w:rPr/>
        <w:t>A</w:t>
      </w:r>
      <w:r>
        <w:rPr>
          <w:spacing w:val="-9"/>
        </w:rPr>
        <w:t> 类基金份额的赎回金额为赎回总额扣减赎回费用，其中： </w:t>
      </w:r>
      <w:r>
        <w:rPr/>
        <w:t>赎回总额=赎回数量</w:t>
      </w:r>
      <w:r>
        <w:rPr>
          <w:rFonts w:ascii="Symbol" w:hAnsi="Symbol" w:eastAsia="Symbol"/>
        </w:rPr>
        <w:t></w:t>
      </w:r>
      <w:r>
        <w:rPr/>
        <w:t>T</w:t>
      </w:r>
      <w:r>
        <w:rPr>
          <w:spacing w:val="-8"/>
        </w:rPr>
        <w:t> 日该类份额的基金份额净值</w:t>
      </w:r>
    </w:p>
    <w:p>
      <w:pPr>
        <w:pStyle w:val="BodyText"/>
        <w:spacing w:line="362" w:lineRule="auto" w:before="3" w:after="17"/>
        <w:ind w:left="893" w:right="6508" w:firstLine="2"/>
        <w:jc w:val="both"/>
      </w:pPr>
      <w:r>
        <w:rPr/>
        <w:t>赎回费用=赎回总额</w:t>
      </w:r>
      <w:r>
        <w:rPr>
          <w:rFonts w:ascii="Symbol" w:hAnsi="Symbol" w:eastAsia="Symbol"/>
        </w:rPr>
        <w:t></w:t>
      </w:r>
      <w:r>
        <w:rPr/>
        <w:t>赎回费率赎回金额=赎回总额</w:t>
      </w:r>
      <w:r>
        <w:rPr>
          <w:rFonts w:ascii="Symbol" w:hAnsi="Symbol" w:eastAsia="Symbol"/>
        </w:rPr>
        <w:t></w:t>
      </w:r>
      <w:r>
        <w:rPr/>
        <w:t>赎回费用举例说明：</w:t>
      </w:r>
    </w:p>
    <w:tbl>
      <w:tblPr>
        <w:tblW w:w="0" w:type="auto"/>
        <w:jc w:val="left"/>
        <w:tblInd w:w="259"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赎回份额</w:t>
            </w:r>
          </w:p>
        </w:tc>
        <w:tc>
          <w:tcPr>
            <w:tcW w:w="1650" w:type="dxa"/>
            <w:tcBorders>
              <w:bottom w:val="thinThickMediumGap" w:sz="6" w:space="0" w:color="808080"/>
              <w:right w:val="thinThickMediumGap" w:sz="6" w:space="0" w:color="808080"/>
            </w:tcBorders>
          </w:tcPr>
          <w:p>
            <w:pPr>
              <w:pStyle w:val="TableParagraph"/>
              <w:spacing w:before="10"/>
              <w:ind w:right="242"/>
              <w:jc w:val="right"/>
              <w:rPr>
                <w:sz w:val="21"/>
              </w:rPr>
            </w:pPr>
            <w:r>
              <w:rPr>
                <w:sz w:val="21"/>
              </w:rPr>
              <w:t>基金份额净值</w:t>
            </w:r>
          </w:p>
        </w:tc>
        <w:tc>
          <w:tcPr>
            <w:tcW w:w="1436" w:type="dxa"/>
            <w:tcBorders>
              <w:bottom w:val="thinThickMediumGap" w:sz="6" w:space="0" w:color="808080"/>
              <w:right w:val="thinThickMediumGap" w:sz="6" w:space="0" w:color="808080"/>
            </w:tcBorders>
          </w:tcPr>
          <w:p>
            <w:pPr>
              <w:pStyle w:val="TableParagraph"/>
              <w:spacing w:before="10"/>
              <w:ind w:left="100"/>
              <w:rPr>
                <w:sz w:val="21"/>
              </w:rPr>
            </w:pPr>
            <w:r>
              <w:rPr>
                <w:sz w:val="21"/>
              </w:rPr>
              <w:t>持有时间</w:t>
            </w:r>
          </w:p>
        </w:tc>
        <w:tc>
          <w:tcPr>
            <w:tcW w:w="1437" w:type="dxa"/>
            <w:tcBorders>
              <w:bottom w:val="thinThickMediumGap" w:sz="6" w:space="0" w:color="808080"/>
              <w:right w:val="thinThickMediumGap" w:sz="6" w:space="0" w:color="808080"/>
            </w:tcBorders>
          </w:tcPr>
          <w:p>
            <w:pPr>
              <w:pStyle w:val="TableParagraph"/>
              <w:spacing w:before="10"/>
              <w:ind w:left="100"/>
              <w:rPr>
                <w:sz w:val="21"/>
              </w:rPr>
            </w:pPr>
            <w:r>
              <w:rPr>
                <w:sz w:val="21"/>
              </w:rPr>
              <w:t>赎回费率</w:t>
            </w:r>
          </w:p>
        </w:tc>
        <w:tc>
          <w:tcPr>
            <w:tcW w:w="1409" w:type="dxa"/>
            <w:tcBorders>
              <w:bottom w:val="thinThickMediumGap" w:sz="6" w:space="0" w:color="808080"/>
              <w:right w:val="thinThickMediumGap" w:sz="6" w:space="0" w:color="808080"/>
            </w:tcBorders>
          </w:tcPr>
          <w:p>
            <w:pPr>
              <w:pStyle w:val="TableParagraph"/>
              <w:spacing w:before="10"/>
              <w:ind w:left="100"/>
              <w:rPr>
                <w:sz w:val="21"/>
              </w:rPr>
            </w:pPr>
            <w:r>
              <w:rPr>
                <w:sz w:val="21"/>
              </w:rPr>
              <w:t>赎回费用</w:t>
            </w:r>
          </w:p>
        </w:tc>
        <w:tc>
          <w:tcPr>
            <w:tcW w:w="1457" w:type="dxa"/>
            <w:tcBorders>
              <w:bottom w:val="thinThickMediumGap" w:sz="6" w:space="0" w:color="808080"/>
              <w:right w:val="thinThickMediumGap" w:sz="6" w:space="0" w:color="808080"/>
            </w:tcBorders>
          </w:tcPr>
          <w:p>
            <w:pPr>
              <w:pStyle w:val="TableParagraph"/>
              <w:spacing w:before="10"/>
              <w:ind w:left="100"/>
              <w:rPr>
                <w:sz w:val="21"/>
              </w:rPr>
            </w:pPr>
            <w:r>
              <w:rPr>
                <w:sz w:val="21"/>
              </w:rPr>
              <w:t>赎回金额</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left="520"/>
              <w:rPr>
                <w:sz w:val="21"/>
              </w:rPr>
            </w:pPr>
            <w:r>
              <w:rPr>
                <w:sz w:val="21"/>
              </w:rPr>
              <w:t>100 天</w:t>
            </w:r>
          </w:p>
        </w:tc>
        <w:tc>
          <w:tcPr>
            <w:tcW w:w="1437" w:type="dxa"/>
            <w:tcBorders>
              <w:bottom w:val="thinThickMediumGap" w:sz="6" w:space="0" w:color="808080"/>
              <w:right w:val="thinThickMediumGap" w:sz="6" w:space="0" w:color="808080"/>
            </w:tcBorders>
          </w:tcPr>
          <w:p>
            <w:pPr>
              <w:pStyle w:val="TableParagraph"/>
              <w:spacing w:before="10"/>
              <w:ind w:left="520"/>
              <w:rPr>
                <w:sz w:val="21"/>
              </w:rPr>
            </w:pPr>
            <w:r>
              <w:rPr>
                <w:sz w:val="21"/>
              </w:rPr>
              <w:t>0.5%</w:t>
            </w:r>
          </w:p>
        </w:tc>
        <w:tc>
          <w:tcPr>
            <w:tcW w:w="1409" w:type="dxa"/>
            <w:tcBorders>
              <w:bottom w:val="thinThickMediumGap" w:sz="6" w:space="0" w:color="808080"/>
              <w:right w:val="thinThickMediumGap" w:sz="6" w:space="0" w:color="808080"/>
            </w:tcBorders>
          </w:tcPr>
          <w:p>
            <w:pPr>
              <w:pStyle w:val="TableParagraph"/>
              <w:spacing w:before="10"/>
              <w:ind w:right="369"/>
              <w:jc w:val="right"/>
              <w:rPr>
                <w:sz w:val="21"/>
              </w:rPr>
            </w:pPr>
            <w:r>
              <w:rPr>
                <w:sz w:val="21"/>
              </w:rPr>
              <w:t>50 元</w:t>
            </w:r>
          </w:p>
        </w:tc>
        <w:tc>
          <w:tcPr>
            <w:tcW w:w="1457" w:type="dxa"/>
            <w:tcBorders>
              <w:bottom w:val="thinThickMediumGap" w:sz="6" w:space="0" w:color="808080"/>
              <w:right w:val="thinThickMediumGap" w:sz="6" w:space="0" w:color="808080"/>
            </w:tcBorders>
          </w:tcPr>
          <w:p>
            <w:pPr>
              <w:pStyle w:val="TableParagraph"/>
              <w:spacing w:before="10"/>
              <w:ind w:right="103"/>
              <w:jc w:val="right"/>
              <w:rPr>
                <w:sz w:val="21"/>
              </w:rPr>
            </w:pPr>
            <w:r>
              <w:rPr>
                <w:sz w:val="21"/>
              </w:rPr>
              <w:t>9,950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right="231"/>
              <w:jc w:val="right"/>
              <w:rPr>
                <w:sz w:val="21"/>
              </w:rPr>
            </w:pPr>
            <w:r>
              <w:rPr>
                <w:sz w:val="21"/>
              </w:rPr>
              <w:t>500 天</w:t>
            </w:r>
          </w:p>
        </w:tc>
        <w:tc>
          <w:tcPr>
            <w:tcW w:w="1437" w:type="dxa"/>
            <w:tcBorders>
              <w:bottom w:val="thinThickMediumGap" w:sz="6" w:space="0" w:color="808080"/>
              <w:right w:val="thinThickMediumGap" w:sz="6" w:space="0" w:color="808080"/>
            </w:tcBorders>
          </w:tcPr>
          <w:p>
            <w:pPr>
              <w:pStyle w:val="TableParagraph"/>
              <w:spacing w:before="10"/>
              <w:ind w:left="520"/>
              <w:rPr>
                <w:sz w:val="21"/>
              </w:rPr>
            </w:pPr>
            <w:r>
              <w:rPr>
                <w:sz w:val="21"/>
              </w:rPr>
              <w:t>0.25%</w:t>
            </w:r>
          </w:p>
        </w:tc>
        <w:tc>
          <w:tcPr>
            <w:tcW w:w="1409" w:type="dxa"/>
            <w:tcBorders>
              <w:bottom w:val="thinThickMediumGap" w:sz="6" w:space="0" w:color="808080"/>
              <w:right w:val="thinThickMediumGap" w:sz="6" w:space="0" w:color="808080"/>
            </w:tcBorders>
          </w:tcPr>
          <w:p>
            <w:pPr>
              <w:pStyle w:val="TableParagraph"/>
              <w:spacing w:before="10"/>
              <w:ind w:right="369"/>
              <w:jc w:val="right"/>
              <w:rPr>
                <w:sz w:val="21"/>
              </w:rPr>
            </w:pPr>
            <w:r>
              <w:rPr>
                <w:sz w:val="21"/>
              </w:rPr>
              <w:t>25 元</w:t>
            </w:r>
          </w:p>
        </w:tc>
        <w:tc>
          <w:tcPr>
            <w:tcW w:w="1457" w:type="dxa"/>
            <w:tcBorders>
              <w:bottom w:val="thinThickMediumGap" w:sz="6" w:space="0" w:color="808080"/>
              <w:right w:val="thinThickMediumGap" w:sz="6" w:space="0" w:color="808080"/>
            </w:tcBorders>
          </w:tcPr>
          <w:p>
            <w:pPr>
              <w:pStyle w:val="TableParagraph"/>
              <w:spacing w:before="10"/>
              <w:ind w:right="103"/>
              <w:jc w:val="right"/>
              <w:rPr>
                <w:sz w:val="21"/>
              </w:rPr>
            </w:pPr>
            <w:r>
              <w:rPr>
                <w:sz w:val="21"/>
              </w:rPr>
              <w:t>9,975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right="231"/>
              <w:jc w:val="right"/>
              <w:rPr>
                <w:sz w:val="21"/>
              </w:rPr>
            </w:pPr>
            <w:r>
              <w:rPr>
                <w:sz w:val="21"/>
              </w:rPr>
              <w:t>800 天</w:t>
            </w:r>
          </w:p>
        </w:tc>
        <w:tc>
          <w:tcPr>
            <w:tcW w:w="1437" w:type="dxa"/>
            <w:tcBorders>
              <w:bottom w:val="thinThickMediumGap" w:sz="6" w:space="0" w:color="808080"/>
              <w:right w:val="thinThickMediumGap" w:sz="6" w:space="0" w:color="808080"/>
            </w:tcBorders>
          </w:tcPr>
          <w:p>
            <w:pPr>
              <w:pStyle w:val="TableParagraph"/>
              <w:spacing w:before="10"/>
              <w:ind w:left="501" w:right="640"/>
              <w:jc w:val="center"/>
              <w:rPr>
                <w:sz w:val="21"/>
              </w:rPr>
            </w:pPr>
            <w:r>
              <w:rPr>
                <w:sz w:val="21"/>
              </w:rPr>
              <w:t>0%</w:t>
            </w:r>
          </w:p>
        </w:tc>
        <w:tc>
          <w:tcPr>
            <w:tcW w:w="1409" w:type="dxa"/>
            <w:tcBorders>
              <w:bottom w:val="thinThickMediumGap" w:sz="6" w:space="0" w:color="808080"/>
              <w:right w:val="thinThickMediumGap" w:sz="6" w:space="0" w:color="808080"/>
            </w:tcBorders>
          </w:tcPr>
          <w:p>
            <w:pPr>
              <w:pStyle w:val="TableParagraph"/>
              <w:spacing w:before="10"/>
              <w:ind w:right="216"/>
              <w:jc w:val="center"/>
              <w:rPr>
                <w:sz w:val="21"/>
              </w:rPr>
            </w:pPr>
            <w:r>
              <w:rPr>
                <w:sz w:val="21"/>
              </w:rPr>
              <w:t>0</w:t>
            </w:r>
          </w:p>
        </w:tc>
        <w:tc>
          <w:tcPr>
            <w:tcW w:w="1457" w:type="dxa"/>
            <w:tcBorders>
              <w:bottom w:val="thinThickMediumGap" w:sz="6" w:space="0" w:color="808080"/>
              <w:right w:val="thinThickMediumGap" w:sz="6" w:space="0" w:color="808080"/>
            </w:tcBorders>
          </w:tcPr>
          <w:p>
            <w:pPr>
              <w:pStyle w:val="TableParagraph"/>
              <w:spacing w:before="10"/>
              <w:ind w:left="310"/>
              <w:rPr>
                <w:sz w:val="21"/>
              </w:rPr>
            </w:pPr>
            <w:r>
              <w:rPr>
                <w:sz w:val="21"/>
              </w:rPr>
              <w:t>10,000 元</w:t>
            </w:r>
          </w:p>
        </w:tc>
      </w:tr>
    </w:tbl>
    <w:p>
      <w:pPr>
        <w:pStyle w:val="BodyText"/>
        <w:spacing w:line="364" w:lineRule="auto" w:before="18"/>
        <w:ind w:left="413" w:right="1452" w:firstLine="420"/>
      </w:pPr>
      <w:r>
        <w:rPr/>
        <w:t>赎回总额、赎回费用以人民币元为单位，四舍五入，保留小数点后两位，由此产生的收益或损失由基金财产承担。</w:t>
      </w:r>
    </w:p>
    <w:p>
      <w:pPr>
        <w:pStyle w:val="BodyText"/>
        <w:spacing w:line="268" w:lineRule="exact"/>
        <w:ind w:left="895"/>
      </w:pPr>
      <w:r>
        <w:rPr/>
        <w:t>（2）C 类基金份额</w:t>
      </w:r>
    </w:p>
    <w:p>
      <w:pPr>
        <w:pStyle w:val="BodyText"/>
        <w:spacing w:line="362" w:lineRule="auto" w:before="139"/>
        <w:ind w:left="895" w:right="3160"/>
      </w:pPr>
      <w:r>
        <w:rPr>
          <w:spacing w:val="-14"/>
        </w:rPr>
        <w:t>本基金 </w:t>
      </w:r>
      <w:r>
        <w:rPr/>
        <w:t>C</w:t>
      </w:r>
      <w:r>
        <w:rPr>
          <w:spacing w:val="-9"/>
        </w:rPr>
        <w:t> 类基金份额的赎回金额为赎回总额扣减赎回费用，其中： </w:t>
      </w:r>
      <w:r>
        <w:rPr/>
        <w:t>赎回总额=赎回数量</w:t>
      </w:r>
      <w:r>
        <w:rPr>
          <w:rFonts w:ascii="Symbol" w:hAnsi="Symbol" w:eastAsia="Symbol"/>
        </w:rPr>
        <w:t></w:t>
      </w:r>
      <w:r>
        <w:rPr/>
        <w:t>T</w:t>
      </w:r>
      <w:r>
        <w:rPr>
          <w:spacing w:val="-8"/>
        </w:rPr>
        <w:t> 日该类份额的基金份额净值</w:t>
      </w:r>
    </w:p>
    <w:p>
      <w:pPr>
        <w:pStyle w:val="BodyText"/>
        <w:spacing w:line="362" w:lineRule="auto" w:before="3" w:after="17"/>
        <w:ind w:left="893" w:right="6508" w:firstLine="2"/>
        <w:jc w:val="both"/>
      </w:pPr>
      <w:r>
        <w:rPr/>
        <w:t>赎回费用=赎回总额</w:t>
      </w:r>
      <w:r>
        <w:rPr>
          <w:rFonts w:ascii="Symbol" w:hAnsi="Symbol" w:eastAsia="Symbol"/>
        </w:rPr>
        <w:t></w:t>
      </w:r>
      <w:r>
        <w:rPr/>
        <w:t>赎回费率赎回金额=赎回总额</w:t>
      </w:r>
      <w:r>
        <w:rPr>
          <w:rFonts w:ascii="Symbol" w:hAnsi="Symbol" w:eastAsia="Symbol"/>
        </w:rPr>
        <w:t></w:t>
      </w:r>
      <w:r>
        <w:rPr/>
        <w:t>赎回费用举例说明：</w:t>
      </w:r>
    </w:p>
    <w:tbl>
      <w:tblPr>
        <w:tblW w:w="0" w:type="auto"/>
        <w:jc w:val="left"/>
        <w:tblInd w:w="259"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赎回份额</w:t>
            </w:r>
          </w:p>
        </w:tc>
        <w:tc>
          <w:tcPr>
            <w:tcW w:w="1650" w:type="dxa"/>
            <w:tcBorders>
              <w:bottom w:val="thinThickMediumGap" w:sz="6" w:space="0" w:color="808080"/>
              <w:right w:val="thinThickMediumGap" w:sz="6" w:space="0" w:color="808080"/>
            </w:tcBorders>
          </w:tcPr>
          <w:p>
            <w:pPr>
              <w:pStyle w:val="TableParagraph"/>
              <w:spacing w:before="10"/>
              <w:ind w:right="242"/>
              <w:jc w:val="right"/>
              <w:rPr>
                <w:sz w:val="21"/>
              </w:rPr>
            </w:pPr>
            <w:r>
              <w:rPr>
                <w:sz w:val="21"/>
              </w:rPr>
              <w:t>基金份额净值</w:t>
            </w:r>
          </w:p>
        </w:tc>
        <w:tc>
          <w:tcPr>
            <w:tcW w:w="1436" w:type="dxa"/>
            <w:tcBorders>
              <w:bottom w:val="thinThickMediumGap" w:sz="6" w:space="0" w:color="808080"/>
              <w:right w:val="thinThickMediumGap" w:sz="6" w:space="0" w:color="808080"/>
            </w:tcBorders>
          </w:tcPr>
          <w:p>
            <w:pPr>
              <w:pStyle w:val="TableParagraph"/>
              <w:spacing w:before="10"/>
              <w:ind w:left="100"/>
              <w:rPr>
                <w:sz w:val="21"/>
              </w:rPr>
            </w:pPr>
            <w:r>
              <w:rPr>
                <w:sz w:val="21"/>
              </w:rPr>
              <w:t>持有时间</w:t>
            </w:r>
          </w:p>
        </w:tc>
        <w:tc>
          <w:tcPr>
            <w:tcW w:w="1437" w:type="dxa"/>
            <w:tcBorders>
              <w:bottom w:val="thinThickMediumGap" w:sz="6" w:space="0" w:color="808080"/>
              <w:right w:val="thinThickMediumGap" w:sz="6" w:space="0" w:color="808080"/>
            </w:tcBorders>
          </w:tcPr>
          <w:p>
            <w:pPr>
              <w:pStyle w:val="TableParagraph"/>
              <w:spacing w:before="10"/>
              <w:ind w:right="449"/>
              <w:jc w:val="right"/>
              <w:rPr>
                <w:sz w:val="21"/>
              </w:rPr>
            </w:pPr>
            <w:r>
              <w:rPr>
                <w:sz w:val="21"/>
              </w:rPr>
              <w:t>赎回费率</w:t>
            </w:r>
          </w:p>
        </w:tc>
        <w:tc>
          <w:tcPr>
            <w:tcW w:w="1409" w:type="dxa"/>
            <w:tcBorders>
              <w:bottom w:val="thinThickMediumGap" w:sz="6" w:space="0" w:color="808080"/>
              <w:right w:val="thinThickMediumGap" w:sz="6" w:space="0" w:color="808080"/>
            </w:tcBorders>
          </w:tcPr>
          <w:p>
            <w:pPr>
              <w:pStyle w:val="TableParagraph"/>
              <w:spacing w:before="10"/>
              <w:ind w:left="100"/>
              <w:rPr>
                <w:sz w:val="21"/>
              </w:rPr>
            </w:pPr>
            <w:r>
              <w:rPr>
                <w:sz w:val="21"/>
              </w:rPr>
              <w:t>赎回费用</w:t>
            </w:r>
          </w:p>
        </w:tc>
        <w:tc>
          <w:tcPr>
            <w:tcW w:w="1457" w:type="dxa"/>
            <w:tcBorders>
              <w:bottom w:val="thinThickMediumGap" w:sz="6" w:space="0" w:color="808080"/>
              <w:right w:val="thinThickMediumGap" w:sz="6" w:space="0" w:color="808080"/>
            </w:tcBorders>
          </w:tcPr>
          <w:p>
            <w:pPr>
              <w:pStyle w:val="TableParagraph"/>
              <w:spacing w:before="10"/>
              <w:ind w:left="100"/>
              <w:rPr>
                <w:sz w:val="21"/>
              </w:rPr>
            </w:pPr>
            <w:r>
              <w:rPr>
                <w:sz w:val="21"/>
              </w:rPr>
              <w:t>赎回金额</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left="474" w:right="457"/>
              <w:jc w:val="center"/>
              <w:rPr>
                <w:sz w:val="21"/>
              </w:rPr>
            </w:pPr>
            <w:r>
              <w:rPr>
                <w:sz w:val="21"/>
              </w:rPr>
              <w:t>6 天</w:t>
            </w:r>
          </w:p>
        </w:tc>
        <w:tc>
          <w:tcPr>
            <w:tcW w:w="1437" w:type="dxa"/>
            <w:tcBorders>
              <w:bottom w:val="thinThickMediumGap" w:sz="6" w:space="0" w:color="808080"/>
              <w:right w:val="thinThickMediumGap" w:sz="6" w:space="0" w:color="808080"/>
            </w:tcBorders>
          </w:tcPr>
          <w:p>
            <w:pPr>
              <w:pStyle w:val="TableParagraph"/>
              <w:spacing w:before="10"/>
              <w:ind w:right="449"/>
              <w:jc w:val="right"/>
              <w:rPr>
                <w:sz w:val="21"/>
              </w:rPr>
            </w:pPr>
            <w:r>
              <w:rPr>
                <w:sz w:val="21"/>
              </w:rPr>
              <w:t>1.5%</w:t>
            </w:r>
          </w:p>
        </w:tc>
        <w:tc>
          <w:tcPr>
            <w:tcW w:w="1409" w:type="dxa"/>
            <w:tcBorders>
              <w:bottom w:val="thinThickMediumGap" w:sz="6" w:space="0" w:color="808080"/>
              <w:right w:val="thinThickMediumGap" w:sz="6" w:space="0" w:color="808080"/>
            </w:tcBorders>
          </w:tcPr>
          <w:p>
            <w:pPr>
              <w:pStyle w:val="TableParagraph"/>
              <w:spacing w:before="10"/>
              <w:ind w:left="520"/>
              <w:rPr>
                <w:sz w:val="21"/>
              </w:rPr>
            </w:pPr>
            <w:r>
              <w:rPr>
                <w:sz w:val="21"/>
              </w:rPr>
              <w:t>150 元</w:t>
            </w:r>
          </w:p>
        </w:tc>
        <w:tc>
          <w:tcPr>
            <w:tcW w:w="1457" w:type="dxa"/>
            <w:tcBorders>
              <w:bottom w:val="thinThickMediumGap" w:sz="6" w:space="0" w:color="808080"/>
              <w:right w:val="thinThickMediumGap" w:sz="6" w:space="0" w:color="808080"/>
            </w:tcBorders>
          </w:tcPr>
          <w:p>
            <w:pPr>
              <w:pStyle w:val="TableParagraph"/>
              <w:spacing w:before="10"/>
              <w:ind w:left="520"/>
              <w:rPr>
                <w:sz w:val="21"/>
              </w:rPr>
            </w:pPr>
            <w:r>
              <w:rPr>
                <w:sz w:val="21"/>
              </w:rPr>
              <w:t>9,850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1.0000 元</w:t>
            </w:r>
          </w:p>
        </w:tc>
        <w:tc>
          <w:tcPr>
            <w:tcW w:w="1436" w:type="dxa"/>
            <w:tcBorders>
              <w:bottom w:val="thinThickMediumGap" w:sz="6" w:space="0" w:color="808080"/>
              <w:right w:val="thinThickMediumGap" w:sz="6" w:space="0" w:color="808080"/>
            </w:tcBorders>
          </w:tcPr>
          <w:p>
            <w:pPr>
              <w:pStyle w:val="TableParagraph"/>
              <w:spacing w:before="10"/>
              <w:ind w:left="580"/>
              <w:rPr>
                <w:sz w:val="21"/>
              </w:rPr>
            </w:pPr>
            <w:r>
              <w:rPr>
                <w:sz w:val="21"/>
              </w:rPr>
              <w:t>100 天</w:t>
            </w:r>
          </w:p>
        </w:tc>
        <w:tc>
          <w:tcPr>
            <w:tcW w:w="1437" w:type="dxa"/>
            <w:tcBorders>
              <w:bottom w:val="thinThickMediumGap" w:sz="6" w:space="0" w:color="808080"/>
              <w:right w:val="thinThickMediumGap" w:sz="6" w:space="0" w:color="808080"/>
            </w:tcBorders>
          </w:tcPr>
          <w:p>
            <w:pPr>
              <w:pStyle w:val="TableParagraph"/>
              <w:spacing w:before="10"/>
              <w:ind w:left="501" w:right="640"/>
              <w:jc w:val="center"/>
              <w:rPr>
                <w:sz w:val="21"/>
              </w:rPr>
            </w:pPr>
            <w:r>
              <w:rPr>
                <w:sz w:val="21"/>
              </w:rPr>
              <w:t>0%</w:t>
            </w:r>
          </w:p>
        </w:tc>
        <w:tc>
          <w:tcPr>
            <w:tcW w:w="1409" w:type="dxa"/>
            <w:tcBorders>
              <w:bottom w:val="thinThickMediumGap" w:sz="6" w:space="0" w:color="808080"/>
              <w:right w:val="thinThickMediumGap" w:sz="6" w:space="0" w:color="808080"/>
            </w:tcBorders>
          </w:tcPr>
          <w:p>
            <w:pPr>
              <w:pStyle w:val="TableParagraph"/>
              <w:spacing w:before="10"/>
              <w:ind w:right="216"/>
              <w:jc w:val="center"/>
              <w:rPr>
                <w:sz w:val="21"/>
              </w:rPr>
            </w:pPr>
            <w:r>
              <w:rPr>
                <w:sz w:val="21"/>
              </w:rPr>
              <w:t>0</w:t>
            </w:r>
          </w:p>
        </w:tc>
        <w:tc>
          <w:tcPr>
            <w:tcW w:w="1457" w:type="dxa"/>
            <w:tcBorders>
              <w:bottom w:val="thinThickMediumGap" w:sz="6" w:space="0" w:color="808080"/>
              <w:right w:val="thinThickMediumGap" w:sz="6" w:space="0" w:color="808080"/>
            </w:tcBorders>
          </w:tcPr>
          <w:p>
            <w:pPr>
              <w:pStyle w:val="TableParagraph"/>
              <w:spacing w:before="10"/>
              <w:ind w:left="310"/>
              <w:rPr>
                <w:sz w:val="21"/>
              </w:rPr>
            </w:pPr>
            <w:r>
              <w:rPr>
                <w:sz w:val="21"/>
              </w:rPr>
              <w:t>10,000 元</w:t>
            </w:r>
          </w:p>
        </w:tc>
      </w:tr>
    </w:tbl>
    <w:p>
      <w:pPr>
        <w:pStyle w:val="BodyText"/>
        <w:spacing w:line="364" w:lineRule="auto" w:before="18"/>
        <w:ind w:left="413" w:right="1452" w:firstLine="420"/>
      </w:pPr>
      <w:r>
        <w:rPr/>
        <w:t>赎回总额、赎回费用以人民币元为单位，四舍五入，保留小数点后两位，由此产生的收益或损失由基金财产承担。</w:t>
      </w:r>
    </w:p>
    <w:p>
      <w:pPr>
        <w:pStyle w:val="BodyText"/>
        <w:spacing w:line="364" w:lineRule="auto"/>
        <w:ind w:left="413" w:right="1452" w:firstLine="420"/>
      </w:pPr>
      <w:r>
        <w:rPr/>
        <w:t>3、T</w:t>
      </w:r>
      <w:r>
        <w:rPr>
          <w:spacing w:val="-9"/>
        </w:rPr>
        <w:t> 日的基金份额净值在当天收市后计算，并在 </w:t>
      </w:r>
      <w:r>
        <w:rPr/>
        <w:t>T+1</w:t>
      </w:r>
      <w:r>
        <w:rPr>
          <w:spacing w:val="-7"/>
        </w:rPr>
        <w:t> 日内公告。遇特殊情况，可以适当延迟计算或公告。其计算公式为：</w:t>
      </w:r>
    </w:p>
    <w:p>
      <w:pPr>
        <w:pStyle w:val="BodyText"/>
        <w:spacing w:line="268" w:lineRule="exact"/>
        <w:ind w:left="833"/>
      </w:pPr>
      <w:r>
        <w:rPr/>
        <w:t>该类基金份额净值=计算日该类基金资产净值÷计算日该类基金总份额</w:t>
      </w:r>
    </w:p>
    <w:p>
      <w:pPr>
        <w:pStyle w:val="BodyText"/>
        <w:spacing w:line="364" w:lineRule="auto" w:before="138"/>
        <w:ind w:left="413" w:right="1242" w:firstLine="424"/>
      </w:pPr>
      <w:r>
        <w:rPr>
          <w:spacing w:val="5"/>
        </w:rPr>
        <w:t>4</w:t>
      </w:r>
      <w:r>
        <w:rPr>
          <w:spacing w:val="4"/>
        </w:rPr>
        <w:t>、本基金的申购费由申购人承担，不计入基金财产；本基金的赎回费由赎回人承担， </w:t>
      </w:r>
      <w:r>
        <w:rPr>
          <w:spacing w:val="-1"/>
        </w:rPr>
        <w:t>在基金份额持有人赎回基金份额时收取，其中对持续持有期大于 </w:t>
      </w:r>
      <w:r>
        <w:rPr/>
        <w:t>7</w:t>
      </w:r>
      <w:r>
        <w:rPr>
          <w:spacing w:val="-15"/>
        </w:rPr>
        <w:t> 天</w:t>
      </w:r>
      <w:r>
        <w:rPr/>
        <w:t>（含）</w:t>
      </w:r>
      <w:r>
        <w:rPr>
          <w:spacing w:val="-15"/>
        </w:rPr>
        <w:t>的 </w:t>
      </w:r>
      <w:r>
        <w:rPr/>
        <w:t>A</w:t>
      </w:r>
      <w:r>
        <w:rPr>
          <w:spacing w:val="-7"/>
        </w:rPr>
        <w:t> 类基金份</w:t>
      </w:r>
      <w:r>
        <w:rPr>
          <w:spacing w:val="-10"/>
        </w:rPr>
        <w:t>额的投资者收取的赎回费总额的 </w:t>
      </w:r>
      <w:r>
        <w:rPr/>
        <w:t>25%</w:t>
      </w:r>
      <w:r>
        <w:rPr>
          <w:spacing w:val="-9"/>
        </w:rPr>
        <w:t>归基金财产，其余用于支付注册登记费和其他必要的手续</w:t>
      </w:r>
      <w:r>
        <w:rPr>
          <w:spacing w:val="-14"/>
        </w:rPr>
        <w:t>费，对 </w:t>
      </w:r>
      <w:r>
        <w:rPr/>
        <w:t>C</w:t>
      </w:r>
      <w:r>
        <w:rPr>
          <w:spacing w:val="-7"/>
        </w:rPr>
        <w:t> 类基金份额的投资者收取的赎回费全额计入基金财产。对持续持有期少于 </w:t>
      </w:r>
      <w:r>
        <w:rPr/>
        <w:t>7</w:t>
      </w:r>
      <w:r>
        <w:rPr>
          <w:spacing w:val="-19"/>
        </w:rPr>
        <w:t> 日的 </w:t>
      </w:r>
      <w:r>
        <w:rPr/>
        <w:t>A 类基金份额、C</w:t>
      </w:r>
      <w:r>
        <w:rPr>
          <w:spacing w:val="-9"/>
        </w:rPr>
        <w:t> 类基金份额的投资者收取的赎回费率为 </w:t>
      </w:r>
      <w:r>
        <w:rPr/>
        <w:t>1.5%，并将上述对持续持有期</w:t>
      </w:r>
    </w:p>
    <w:p>
      <w:pPr>
        <w:spacing w:after="0" w:line="364" w:lineRule="auto"/>
        <w:sectPr>
          <w:pgSz w:w="11910" w:h="16840"/>
          <w:pgMar w:header="0" w:footer="1166" w:top="1600" w:bottom="1440" w:left="1400" w:right="360"/>
        </w:sectPr>
      </w:pPr>
    </w:p>
    <w:p>
      <w:pPr>
        <w:pStyle w:val="BodyText"/>
        <w:spacing w:before="104"/>
        <w:ind w:left="413"/>
      </w:pPr>
      <w:r>
        <w:rPr/>
        <w:t>少于 7 天（不含）的投资者收取的赎回费全额计入基金财产。</w:t>
      </w:r>
    </w:p>
    <w:p>
      <w:pPr>
        <w:pStyle w:val="Heading3"/>
        <w:spacing w:before="141"/>
      </w:pPr>
      <w:bookmarkStart w:name="_bookmark26" w:id="27"/>
      <w:bookmarkEnd w:id="27"/>
      <w:r>
        <w:rPr/>
      </w:r>
      <w:r>
        <w:rPr/>
        <w:t>（九）申购、赎回的注册登记</w:t>
      </w:r>
    </w:p>
    <w:p>
      <w:pPr>
        <w:pStyle w:val="BodyText"/>
        <w:spacing w:line="364" w:lineRule="auto" w:before="184"/>
        <w:ind w:left="413" w:right="1451" w:firstLine="424"/>
      </w:pPr>
      <w:r>
        <w:rPr/>
        <w:t>1</w:t>
      </w:r>
      <w:r>
        <w:rPr>
          <w:spacing w:val="-7"/>
        </w:rPr>
        <w:t>、投资者申购基金成功后，正常情况下，基金注册登记机构在 </w:t>
      </w:r>
      <w:r>
        <w:rPr/>
        <w:t>T+1</w:t>
      </w:r>
      <w:r>
        <w:rPr>
          <w:spacing w:val="-9"/>
        </w:rPr>
        <w:t> 工作日为投资者增</w:t>
      </w:r>
      <w:r>
        <w:rPr>
          <w:spacing w:val="-3"/>
        </w:rPr>
        <w:t>加权益并办理注册登记手续，投资者自 </w:t>
      </w:r>
      <w:r>
        <w:rPr/>
        <w:t>T+2</w:t>
      </w:r>
      <w:r>
        <w:rPr>
          <w:spacing w:val="-8"/>
        </w:rPr>
        <w:t> 工作日起有权赎回该部分基金份额。</w:t>
      </w:r>
    </w:p>
    <w:p>
      <w:pPr>
        <w:pStyle w:val="BodyText"/>
        <w:spacing w:line="364" w:lineRule="auto"/>
        <w:ind w:left="413" w:right="1451" w:firstLine="424"/>
      </w:pPr>
      <w:r>
        <w:rPr/>
        <w:t>2</w:t>
      </w:r>
      <w:r>
        <w:rPr>
          <w:spacing w:val="-7"/>
        </w:rPr>
        <w:t>、投资者赎回基金成功后，正常情况下，基金注册登记机构在 </w:t>
      </w:r>
      <w:r>
        <w:rPr/>
        <w:t>T+1</w:t>
      </w:r>
      <w:r>
        <w:rPr>
          <w:spacing w:val="-9"/>
        </w:rPr>
        <w:t> 工作日为投资者扣</w:t>
      </w:r>
      <w:r>
        <w:rPr/>
        <w:t>除权益并办理相应的注册登记手续。</w:t>
      </w:r>
    </w:p>
    <w:p>
      <w:pPr>
        <w:pStyle w:val="BodyText"/>
        <w:spacing w:line="364" w:lineRule="auto"/>
        <w:ind w:left="413" w:right="1452" w:firstLine="420"/>
      </w:pPr>
      <w:r>
        <w:rPr/>
        <w:t>基金管理人可在法律法规允许的范围内，对上述注册登记办理时间进行调整，并最迟于开始实施前 2 个工作日在至少一种指定媒介和网站上予以公告。</w:t>
      </w:r>
    </w:p>
    <w:p>
      <w:pPr>
        <w:pStyle w:val="Heading3"/>
      </w:pPr>
      <w:bookmarkStart w:name="_bookmark27" w:id="28"/>
      <w:bookmarkEnd w:id="28"/>
      <w:r>
        <w:rPr/>
      </w:r>
      <w:r>
        <w:rPr/>
        <w:t>（十）巨额赎回的认定及处理方式</w:t>
      </w:r>
    </w:p>
    <w:p>
      <w:pPr>
        <w:pStyle w:val="BodyText"/>
        <w:spacing w:before="183"/>
        <w:ind w:left="833"/>
      </w:pPr>
      <w:r>
        <w:rPr/>
        <w:t>1、巨额赎回的认定</w:t>
      </w:r>
    </w:p>
    <w:p>
      <w:pPr>
        <w:pStyle w:val="BodyText"/>
        <w:spacing w:line="364" w:lineRule="auto" w:before="140"/>
        <w:ind w:left="413" w:right="1451" w:firstLine="420"/>
        <w:jc w:val="both"/>
      </w:pPr>
      <w:r>
        <w:rPr>
          <w:spacing w:val="-2"/>
        </w:rPr>
        <w:t>若本基金单个开放日内的基金份额净赎回申请(赎回申请份额总数加上基金转换中转出申请份额总数后扣除申购申请份额总数及基金转换中转入申请份额总数后的余额)超过前一</w:t>
      </w:r>
      <w:r>
        <w:rPr>
          <w:spacing w:val="-5"/>
        </w:rPr>
        <w:t>开放日的基金总份额的 </w:t>
      </w:r>
      <w:r>
        <w:rPr/>
        <w:t>10%，即认为是发生了巨额赎回。</w:t>
      </w:r>
    </w:p>
    <w:p>
      <w:pPr>
        <w:pStyle w:val="BodyText"/>
        <w:spacing w:line="268" w:lineRule="exact"/>
        <w:ind w:left="833"/>
      </w:pPr>
      <w:r>
        <w:rPr/>
        <w:t>2、巨额赎回的处理方式</w:t>
      </w:r>
    </w:p>
    <w:p>
      <w:pPr>
        <w:pStyle w:val="BodyText"/>
        <w:spacing w:line="364" w:lineRule="auto" w:before="139"/>
        <w:ind w:left="413" w:right="1452" w:firstLine="420"/>
      </w:pPr>
      <w:r>
        <w:rPr/>
        <w:t>当基金出现巨额赎回时，基金管理人可以根据基金当时的资产组合状况决定全额赎回或部分延期赎回。</w:t>
      </w:r>
    </w:p>
    <w:p>
      <w:pPr>
        <w:pStyle w:val="ListParagraph"/>
        <w:numPr>
          <w:ilvl w:val="0"/>
          <w:numId w:val="11"/>
        </w:numPr>
        <w:tabs>
          <w:tab w:pos="1360" w:val="left" w:leader="none"/>
        </w:tabs>
        <w:spacing w:line="364" w:lineRule="auto" w:before="0" w:after="0"/>
        <w:ind w:left="413" w:right="1451" w:firstLine="420"/>
        <w:jc w:val="left"/>
        <w:rPr>
          <w:sz w:val="21"/>
        </w:rPr>
      </w:pPr>
      <w:r>
        <w:rPr>
          <w:spacing w:val="-5"/>
          <w:sz w:val="21"/>
        </w:rPr>
        <w:t>全额赎回：当基金管理人认为有能力支付投资人的全部赎回申请时，按正常赎回</w:t>
      </w:r>
      <w:r>
        <w:rPr>
          <w:sz w:val="21"/>
        </w:rPr>
        <w:t>程序执行。</w:t>
      </w:r>
    </w:p>
    <w:p>
      <w:pPr>
        <w:pStyle w:val="ListParagraph"/>
        <w:numPr>
          <w:ilvl w:val="0"/>
          <w:numId w:val="11"/>
        </w:numPr>
        <w:tabs>
          <w:tab w:pos="1360" w:val="left" w:leader="none"/>
        </w:tabs>
        <w:spacing w:line="364" w:lineRule="auto" w:before="0" w:after="0"/>
        <w:ind w:left="413" w:right="1451" w:firstLine="420"/>
        <w:jc w:val="both"/>
        <w:rPr>
          <w:sz w:val="21"/>
        </w:rPr>
      </w:pPr>
      <w:r>
        <w:rPr>
          <w:spacing w:val="-4"/>
          <w:sz w:val="21"/>
        </w:rPr>
        <w:t>部分延期赎回：当基金管理人认为支付投资人的赎回申请有困难或认为因支付投</w:t>
      </w:r>
      <w:r>
        <w:rPr>
          <w:sz w:val="21"/>
        </w:rPr>
        <w:t>资人的赎回申请而进行的财产变现可能会对基金资产净值造成较大波动时，基金管理人在</w:t>
      </w:r>
      <w:r>
        <w:rPr>
          <w:spacing w:val="-2"/>
          <w:sz w:val="21"/>
        </w:rPr>
        <w:t>当日接受赎回比例不低于上一开放日基金总份额的 </w:t>
      </w:r>
      <w:r>
        <w:rPr>
          <w:sz w:val="21"/>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pStyle w:val="BodyText"/>
        <w:spacing w:line="364" w:lineRule="auto"/>
        <w:ind w:left="413" w:right="1451" w:firstLine="420"/>
        <w:jc w:val="both"/>
      </w:pPr>
      <w:r>
        <w:rPr/>
        <w:t>若本基金发生巨额赎回且单个基金份额持有人的赎回申请超过上一开放日基金总份额10%</w:t>
      </w:r>
      <w:r>
        <w:rPr>
          <w:spacing w:val="-5"/>
        </w:rPr>
        <w:t>的，基金管理人有权对该单个基金份额持有人超出该比例的赎回申请实施延期办理，对</w:t>
      </w:r>
      <w:r>
        <w:rPr/>
        <w:t>该单个基金份额持有人剩余赎回申请与其他账户赎回申请按前述条款处理。</w:t>
      </w:r>
    </w:p>
    <w:p>
      <w:pPr>
        <w:pStyle w:val="ListParagraph"/>
        <w:numPr>
          <w:ilvl w:val="0"/>
          <w:numId w:val="11"/>
        </w:numPr>
        <w:tabs>
          <w:tab w:pos="1360" w:val="left" w:leader="none"/>
        </w:tabs>
        <w:spacing w:line="268" w:lineRule="exact" w:before="0" w:after="0"/>
        <w:ind w:left="1360" w:right="0" w:hanging="527"/>
        <w:jc w:val="both"/>
        <w:rPr>
          <w:sz w:val="21"/>
        </w:rPr>
      </w:pPr>
      <w:r>
        <w:rPr>
          <w:spacing w:val="-11"/>
          <w:sz w:val="21"/>
        </w:rPr>
        <w:t>暂停赎回：连续 </w:t>
      </w:r>
      <w:r>
        <w:rPr>
          <w:sz w:val="21"/>
        </w:rPr>
        <w:t>2</w:t>
      </w:r>
      <w:r>
        <w:rPr>
          <w:spacing w:val="-8"/>
          <w:sz w:val="21"/>
        </w:rPr>
        <w:t> 日以上(含本数)发生巨额赎回，如基金管理人认为有必要，可</w:t>
      </w:r>
    </w:p>
    <w:p>
      <w:pPr>
        <w:spacing w:after="0" w:line="268" w:lineRule="exact"/>
        <w:jc w:val="both"/>
        <w:rPr>
          <w:sz w:val="21"/>
        </w:rPr>
        <w:sectPr>
          <w:pgSz w:w="11910" w:h="16840"/>
          <w:pgMar w:header="0" w:footer="1166" w:top="1600" w:bottom="1440" w:left="1400" w:right="360"/>
        </w:sectPr>
      </w:pPr>
    </w:p>
    <w:p>
      <w:pPr>
        <w:pStyle w:val="BodyText"/>
        <w:spacing w:line="364" w:lineRule="auto" w:before="104"/>
        <w:ind w:left="413" w:right="1451"/>
      </w:pPr>
      <w:r>
        <w:rPr>
          <w:spacing w:val="-4"/>
        </w:rPr>
        <w:t>暂停接受基金的赎回申请；已经接受的赎回申请可以延缓支付赎回款项，但不得超过 </w:t>
      </w:r>
      <w:r>
        <w:rPr/>
        <w:t>20</w:t>
      </w:r>
      <w:r>
        <w:rPr>
          <w:spacing w:val="-34"/>
        </w:rPr>
        <w:t> 个</w:t>
      </w:r>
      <w:r>
        <w:rPr/>
        <w:t>工作日，并应当在指定媒介上进行公告。</w:t>
      </w:r>
    </w:p>
    <w:p>
      <w:pPr>
        <w:pStyle w:val="BodyText"/>
        <w:spacing w:line="268" w:lineRule="exact"/>
        <w:ind w:left="833"/>
      </w:pPr>
      <w:r>
        <w:rPr/>
        <w:t>3、巨额赎回的公告</w:t>
      </w:r>
    </w:p>
    <w:p>
      <w:pPr>
        <w:pStyle w:val="BodyText"/>
        <w:spacing w:line="364" w:lineRule="auto" w:before="139"/>
        <w:ind w:left="413" w:right="1452" w:firstLine="420"/>
        <w:jc w:val="both"/>
      </w:pPr>
      <w:r>
        <w:rPr/>
        <w:t>当发生上述延期赎回并延期办理时，基金管理人应当通过邮寄、传真或者招募说明书</w:t>
      </w:r>
      <w:r>
        <w:rPr>
          <w:spacing w:val="-4"/>
        </w:rPr>
        <w:t>规定的其他方式在 </w:t>
      </w:r>
      <w:r>
        <w:rPr/>
        <w:t>3</w:t>
      </w:r>
      <w:r>
        <w:rPr>
          <w:spacing w:val="-8"/>
        </w:rPr>
        <w:t> 个交易日内通知基金份额持有人，说明有关处理方法，并在 </w:t>
      </w:r>
      <w:r>
        <w:rPr/>
        <w:t>2</w:t>
      </w:r>
      <w:r>
        <w:rPr>
          <w:spacing w:val="-9"/>
        </w:rPr>
        <w:t> 日内在指定媒介上刊登公告。</w:t>
      </w:r>
    </w:p>
    <w:p>
      <w:pPr>
        <w:pStyle w:val="Heading3"/>
        <w:spacing w:line="358" w:lineRule="exact"/>
      </w:pPr>
      <w:bookmarkStart w:name="_bookmark28" w:id="29"/>
      <w:bookmarkEnd w:id="29"/>
      <w:r>
        <w:rPr/>
      </w:r>
      <w:r>
        <w:rPr/>
        <w:t>（十一）拒绝或暂停申购、赎回的情形及处理方式</w:t>
      </w:r>
    </w:p>
    <w:p>
      <w:pPr>
        <w:pStyle w:val="BodyText"/>
        <w:spacing w:before="185"/>
        <w:ind w:left="833"/>
      </w:pPr>
      <w:r>
        <w:rPr/>
        <w:t>1、拒绝或暂停申购的情形</w:t>
      </w:r>
    </w:p>
    <w:p>
      <w:pPr>
        <w:pStyle w:val="BodyText"/>
        <w:spacing w:before="140"/>
        <w:ind w:left="833"/>
      </w:pPr>
      <w:r>
        <w:rPr/>
        <w:t>发生下列情况时，基金管理人可拒绝或暂停接受投资人某一类或多类份额的申购申请：</w:t>
      </w:r>
    </w:p>
    <w:p>
      <w:pPr>
        <w:pStyle w:val="ListParagraph"/>
        <w:numPr>
          <w:ilvl w:val="0"/>
          <w:numId w:val="12"/>
        </w:numPr>
        <w:tabs>
          <w:tab w:pos="1360" w:val="left" w:leader="none"/>
        </w:tabs>
        <w:spacing w:line="240" w:lineRule="auto" w:before="139" w:after="0"/>
        <w:ind w:left="1360" w:right="0" w:hanging="527"/>
        <w:jc w:val="left"/>
        <w:rPr>
          <w:sz w:val="21"/>
        </w:rPr>
      </w:pPr>
      <w:r>
        <w:rPr>
          <w:sz w:val="21"/>
        </w:rPr>
        <w:t>因不可抗力导致基金无法正常运作。</w:t>
      </w:r>
    </w:p>
    <w:p>
      <w:pPr>
        <w:pStyle w:val="ListParagraph"/>
        <w:numPr>
          <w:ilvl w:val="0"/>
          <w:numId w:val="12"/>
        </w:numPr>
        <w:tabs>
          <w:tab w:pos="1360" w:val="left" w:leader="none"/>
        </w:tabs>
        <w:spacing w:line="364" w:lineRule="auto" w:before="140" w:after="0"/>
        <w:ind w:left="413" w:right="1451" w:firstLine="420"/>
        <w:jc w:val="left"/>
        <w:rPr>
          <w:sz w:val="21"/>
        </w:rPr>
      </w:pPr>
      <w:r>
        <w:rPr>
          <w:spacing w:val="-2"/>
          <w:sz w:val="21"/>
        </w:rPr>
        <w:t>证券交易所交易时间非正常停市或其他情形，导致基金管理人无法计算当日基金</w:t>
      </w:r>
      <w:r>
        <w:rPr>
          <w:sz w:val="21"/>
        </w:rPr>
        <w:t>资产净值。</w:t>
      </w:r>
    </w:p>
    <w:p>
      <w:pPr>
        <w:pStyle w:val="ListParagraph"/>
        <w:numPr>
          <w:ilvl w:val="0"/>
          <w:numId w:val="12"/>
        </w:numPr>
        <w:tabs>
          <w:tab w:pos="1360" w:val="left" w:leader="none"/>
        </w:tabs>
        <w:spacing w:line="268" w:lineRule="exact" w:before="0" w:after="0"/>
        <w:ind w:left="1360" w:right="0" w:hanging="527"/>
        <w:jc w:val="left"/>
        <w:rPr>
          <w:sz w:val="21"/>
        </w:rPr>
      </w:pPr>
      <w:r>
        <w:rPr>
          <w:spacing w:val="-8"/>
          <w:sz w:val="21"/>
        </w:rPr>
        <w:t>所投资的目标 </w:t>
      </w:r>
      <w:r>
        <w:rPr>
          <w:sz w:val="21"/>
        </w:rPr>
        <w:t>ETF</w:t>
      </w:r>
      <w:r>
        <w:rPr>
          <w:spacing w:val="-8"/>
          <w:sz w:val="21"/>
        </w:rPr>
        <w:t> 暂停估值，导致基金管理人无法计算当日基金资产净值；</w:t>
      </w:r>
    </w:p>
    <w:p>
      <w:pPr>
        <w:pStyle w:val="ListParagraph"/>
        <w:numPr>
          <w:ilvl w:val="0"/>
          <w:numId w:val="12"/>
        </w:numPr>
        <w:tabs>
          <w:tab w:pos="1360" w:val="left" w:leader="none"/>
        </w:tabs>
        <w:spacing w:line="364" w:lineRule="auto" w:before="139" w:after="0"/>
        <w:ind w:left="413" w:right="1451" w:firstLine="420"/>
        <w:jc w:val="left"/>
        <w:rPr>
          <w:sz w:val="21"/>
        </w:rPr>
      </w:pPr>
      <w:r>
        <w:rPr>
          <w:spacing w:val="-8"/>
          <w:sz w:val="21"/>
        </w:rPr>
        <w:t>所投资的目标 </w:t>
      </w:r>
      <w:r>
        <w:rPr>
          <w:sz w:val="21"/>
        </w:rPr>
        <w:t>ETF</w:t>
      </w:r>
      <w:r>
        <w:rPr>
          <w:spacing w:val="-9"/>
          <w:sz w:val="21"/>
        </w:rPr>
        <w:t> 暂停申购、暂停上市或二级市场交易停牌，且基金管理人认为</w:t>
      </w:r>
      <w:r>
        <w:rPr>
          <w:sz w:val="21"/>
        </w:rPr>
        <w:t>有必要暂停本基金申购的；</w:t>
      </w:r>
    </w:p>
    <w:p>
      <w:pPr>
        <w:pStyle w:val="ListParagraph"/>
        <w:numPr>
          <w:ilvl w:val="0"/>
          <w:numId w:val="12"/>
        </w:numPr>
        <w:tabs>
          <w:tab w:pos="1360" w:val="left" w:leader="none"/>
        </w:tabs>
        <w:spacing w:line="268" w:lineRule="exact" w:before="0" w:after="0"/>
        <w:ind w:left="1360" w:right="0" w:hanging="527"/>
        <w:jc w:val="left"/>
        <w:rPr>
          <w:sz w:val="21"/>
        </w:rPr>
      </w:pPr>
      <w:r>
        <w:rPr>
          <w:sz w:val="21"/>
        </w:rPr>
        <w:t>发生基金合同规定的暂停基金资产估值情况。</w:t>
      </w:r>
    </w:p>
    <w:p>
      <w:pPr>
        <w:pStyle w:val="ListParagraph"/>
        <w:numPr>
          <w:ilvl w:val="0"/>
          <w:numId w:val="12"/>
        </w:numPr>
        <w:tabs>
          <w:tab w:pos="1360" w:val="left" w:leader="none"/>
        </w:tabs>
        <w:spacing w:line="364" w:lineRule="auto" w:before="139" w:after="0"/>
        <w:ind w:left="413" w:right="1451" w:firstLine="420"/>
        <w:jc w:val="left"/>
        <w:rPr>
          <w:sz w:val="21"/>
        </w:rPr>
      </w:pPr>
      <w:r>
        <w:rPr>
          <w:spacing w:val="-1"/>
          <w:sz w:val="21"/>
        </w:rPr>
        <w:t>基金管理人认为接受某笔或某些申购申请可能会影响或损害现有基金份额持有人</w:t>
      </w:r>
      <w:r>
        <w:rPr>
          <w:sz w:val="21"/>
        </w:rPr>
        <w:t>利益时。</w:t>
      </w:r>
    </w:p>
    <w:p>
      <w:pPr>
        <w:pStyle w:val="ListParagraph"/>
        <w:numPr>
          <w:ilvl w:val="0"/>
          <w:numId w:val="12"/>
        </w:numPr>
        <w:tabs>
          <w:tab w:pos="1360" w:val="left" w:leader="none"/>
        </w:tabs>
        <w:spacing w:line="364" w:lineRule="auto" w:before="0" w:after="0"/>
        <w:ind w:left="413" w:right="1451" w:firstLine="420"/>
        <w:jc w:val="left"/>
        <w:rPr>
          <w:sz w:val="21"/>
        </w:rPr>
      </w:pPr>
      <w:r>
        <w:rPr>
          <w:spacing w:val="-3"/>
          <w:sz w:val="21"/>
        </w:rPr>
        <w:t>基金管理人、基金托管人、基金销售机构或注册登记机构的异常情况导致基金销</w:t>
      </w:r>
      <w:r>
        <w:rPr>
          <w:sz w:val="21"/>
        </w:rPr>
        <w:t>售系统、注册登记系统或基金会计系统无法正常运行。</w:t>
      </w:r>
    </w:p>
    <w:p>
      <w:pPr>
        <w:pStyle w:val="ListParagraph"/>
        <w:numPr>
          <w:ilvl w:val="0"/>
          <w:numId w:val="12"/>
        </w:numPr>
        <w:tabs>
          <w:tab w:pos="1360" w:val="left" w:leader="none"/>
        </w:tabs>
        <w:spacing w:line="364" w:lineRule="auto" w:before="0" w:after="0"/>
        <w:ind w:left="413" w:right="1451" w:firstLine="420"/>
        <w:jc w:val="left"/>
        <w:rPr>
          <w:sz w:val="21"/>
        </w:rPr>
      </w:pPr>
      <w:r>
        <w:rPr>
          <w:spacing w:val="-3"/>
          <w:sz w:val="21"/>
        </w:rPr>
        <w:t>基金资产规模过大，使基金管理人无法找到合适的投资品种，或其他可能对基金</w:t>
      </w:r>
      <w:r>
        <w:rPr>
          <w:sz w:val="21"/>
        </w:rPr>
        <w:t>业绩产生负面影响，从而损害现有基金份额持有人利益的情形。</w:t>
      </w:r>
    </w:p>
    <w:p>
      <w:pPr>
        <w:pStyle w:val="ListParagraph"/>
        <w:numPr>
          <w:ilvl w:val="0"/>
          <w:numId w:val="12"/>
        </w:numPr>
        <w:tabs>
          <w:tab w:pos="1360" w:val="left" w:leader="none"/>
        </w:tabs>
        <w:spacing w:line="364" w:lineRule="auto" w:before="0" w:after="0"/>
        <w:ind w:left="413" w:right="1451" w:firstLine="420"/>
        <w:jc w:val="both"/>
        <w:rPr>
          <w:sz w:val="21"/>
        </w:rPr>
      </w:pPr>
      <w:r>
        <w:rPr>
          <w:spacing w:val="-2"/>
          <w:sz w:val="21"/>
        </w:rPr>
        <w:t>当一笔新的申购申请被确认成功，使本基金总规模超过基金管理人规定的本基金</w:t>
      </w:r>
      <w:r>
        <w:rPr>
          <w:sz w:val="21"/>
        </w:rPr>
        <w:t>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12"/>
        </w:numPr>
        <w:tabs>
          <w:tab w:pos="1465" w:val="left" w:leader="none"/>
        </w:tabs>
        <w:spacing w:line="364" w:lineRule="auto" w:before="0" w:after="0"/>
        <w:ind w:left="413" w:right="1451" w:firstLine="420"/>
        <w:jc w:val="both"/>
        <w:rPr>
          <w:sz w:val="21"/>
        </w:rPr>
      </w:pPr>
      <w:r>
        <w:rPr>
          <w:spacing w:val="-5"/>
          <w:sz w:val="21"/>
        </w:rPr>
        <w:t>当前一估值日基金资产净值 </w:t>
      </w:r>
      <w:r>
        <w:rPr>
          <w:sz w:val="21"/>
        </w:rPr>
        <w:t>50%以上的资产出现无可参考的活跃市场价格且采</w:t>
      </w:r>
      <w:r>
        <w:rPr>
          <w:spacing w:val="-4"/>
          <w:sz w:val="21"/>
        </w:rPr>
        <w:t>用估值技术仍导致公允价值存在重大不确定性时，经与基金托管人协商确认后，基金管理人应当采取暂停接受基金申购申请的措施。</w:t>
      </w:r>
    </w:p>
    <w:p>
      <w:pPr>
        <w:pStyle w:val="ListParagraph"/>
        <w:numPr>
          <w:ilvl w:val="0"/>
          <w:numId w:val="12"/>
        </w:numPr>
        <w:tabs>
          <w:tab w:pos="1465" w:val="left" w:leader="none"/>
        </w:tabs>
        <w:spacing w:line="268" w:lineRule="exact" w:before="0" w:after="0"/>
        <w:ind w:left="1465" w:right="0" w:hanging="632"/>
        <w:jc w:val="left"/>
        <w:rPr>
          <w:sz w:val="21"/>
        </w:rPr>
      </w:pPr>
      <w:r>
        <w:rPr>
          <w:sz w:val="21"/>
        </w:rPr>
        <w:t>法律法规规定或中国证监会认定的其他情形。</w:t>
      </w:r>
    </w:p>
    <w:p>
      <w:pPr>
        <w:pStyle w:val="BodyText"/>
        <w:spacing w:line="364" w:lineRule="auto" w:before="135"/>
        <w:ind w:left="413" w:right="1406" w:firstLine="420"/>
      </w:pPr>
      <w:r>
        <w:rPr/>
        <w:t>发生上述除第（6）项暂停申购情形之一且基金管理人决定暂定申购时，基金管理人应当根据有关规定在指定媒介上刊登暂停申购公告。如果投资人的申购申请被拒绝，被拒绝</w:t>
      </w:r>
    </w:p>
    <w:p>
      <w:pPr>
        <w:spacing w:after="0" w:line="364" w:lineRule="auto"/>
        <w:sectPr>
          <w:pgSz w:w="11910" w:h="16840"/>
          <w:pgMar w:header="0" w:footer="1166" w:top="1600" w:bottom="1440" w:left="1400" w:right="360"/>
        </w:sectPr>
      </w:pPr>
    </w:p>
    <w:p>
      <w:pPr>
        <w:pStyle w:val="BodyText"/>
        <w:spacing w:line="364" w:lineRule="auto" w:before="104"/>
        <w:ind w:left="413" w:right="1452"/>
      </w:pPr>
      <w:r>
        <w:rPr/>
        <w:t>的申购款项本金将退还给投资人。在暂停申购的情况消除时，基金管理人应及时恢复申购业务的办理。</w:t>
      </w:r>
    </w:p>
    <w:p>
      <w:pPr>
        <w:pStyle w:val="BodyText"/>
        <w:spacing w:line="268" w:lineRule="exact"/>
        <w:ind w:left="833"/>
      </w:pPr>
      <w:r>
        <w:rPr/>
        <w:t>基金管理人拒绝或暂停接受申购的方式包括：</w:t>
      </w:r>
    </w:p>
    <w:p>
      <w:pPr>
        <w:pStyle w:val="ListParagraph"/>
        <w:numPr>
          <w:ilvl w:val="0"/>
          <w:numId w:val="13"/>
        </w:numPr>
        <w:tabs>
          <w:tab w:pos="1360" w:val="left" w:leader="none"/>
        </w:tabs>
        <w:spacing w:line="240" w:lineRule="auto" w:before="139" w:after="0"/>
        <w:ind w:left="1360" w:right="0" w:hanging="527"/>
        <w:jc w:val="left"/>
        <w:rPr>
          <w:sz w:val="21"/>
        </w:rPr>
      </w:pPr>
      <w:r>
        <w:rPr>
          <w:sz w:val="21"/>
        </w:rPr>
        <w:t>拒绝接受、暂停接受某笔或某数笔申购申请；</w:t>
      </w:r>
    </w:p>
    <w:p>
      <w:pPr>
        <w:pStyle w:val="ListParagraph"/>
        <w:numPr>
          <w:ilvl w:val="0"/>
          <w:numId w:val="13"/>
        </w:numPr>
        <w:tabs>
          <w:tab w:pos="1360" w:val="left" w:leader="none"/>
        </w:tabs>
        <w:spacing w:line="240" w:lineRule="auto" w:before="140" w:after="0"/>
        <w:ind w:left="1360" w:right="0" w:hanging="527"/>
        <w:jc w:val="left"/>
        <w:rPr>
          <w:sz w:val="21"/>
        </w:rPr>
      </w:pPr>
      <w:r>
        <w:rPr>
          <w:sz w:val="21"/>
        </w:rPr>
        <w:t>拒绝接受、暂停接受某个或某数个工作日的全部申购申请；</w:t>
      </w:r>
    </w:p>
    <w:p>
      <w:pPr>
        <w:pStyle w:val="ListParagraph"/>
        <w:numPr>
          <w:ilvl w:val="0"/>
          <w:numId w:val="13"/>
        </w:numPr>
        <w:tabs>
          <w:tab w:pos="1360" w:val="left" w:leader="none"/>
        </w:tabs>
        <w:spacing w:line="240" w:lineRule="auto" w:before="139" w:after="0"/>
        <w:ind w:left="1360" w:right="0" w:hanging="527"/>
        <w:jc w:val="left"/>
        <w:rPr>
          <w:sz w:val="21"/>
        </w:rPr>
      </w:pPr>
      <w:r>
        <w:rPr>
          <w:sz w:val="21"/>
        </w:rPr>
        <w:t>按比例拒绝接受、暂停接受某个或某数个工作日的申购申请。</w:t>
      </w:r>
    </w:p>
    <w:p>
      <w:pPr>
        <w:pStyle w:val="BodyText"/>
        <w:spacing w:before="140"/>
        <w:ind w:left="833"/>
      </w:pPr>
      <w:r>
        <w:rPr/>
        <w:t>2、暂停赎回或延缓支付赎回款项的情形</w:t>
      </w:r>
    </w:p>
    <w:p>
      <w:pPr>
        <w:pStyle w:val="BodyText"/>
        <w:spacing w:line="364" w:lineRule="auto" w:before="139"/>
        <w:ind w:left="413" w:right="1452" w:firstLine="420"/>
      </w:pPr>
      <w:r>
        <w:rPr/>
        <w:t>发生下列情形时，基金管理人可暂停接受投资人某一类或多类份额的赎回申请或延缓支付赎回款项：</w:t>
      </w:r>
    </w:p>
    <w:p>
      <w:pPr>
        <w:pStyle w:val="ListParagraph"/>
        <w:numPr>
          <w:ilvl w:val="0"/>
          <w:numId w:val="14"/>
        </w:numPr>
        <w:tabs>
          <w:tab w:pos="1360" w:val="left" w:leader="none"/>
        </w:tabs>
        <w:spacing w:line="268" w:lineRule="exact" w:before="0" w:after="0"/>
        <w:ind w:left="1360" w:right="0" w:hanging="527"/>
        <w:jc w:val="left"/>
        <w:rPr>
          <w:sz w:val="21"/>
        </w:rPr>
      </w:pPr>
      <w:r>
        <w:rPr>
          <w:sz w:val="21"/>
        </w:rPr>
        <w:t>因不可抗力导致基金无法正常运作。</w:t>
      </w:r>
    </w:p>
    <w:p>
      <w:pPr>
        <w:pStyle w:val="ListParagraph"/>
        <w:numPr>
          <w:ilvl w:val="0"/>
          <w:numId w:val="14"/>
        </w:numPr>
        <w:tabs>
          <w:tab w:pos="1360" w:val="left" w:leader="none"/>
        </w:tabs>
        <w:spacing w:line="364" w:lineRule="auto" w:before="140" w:after="0"/>
        <w:ind w:left="413" w:right="1451" w:firstLine="420"/>
        <w:jc w:val="left"/>
        <w:rPr>
          <w:sz w:val="21"/>
        </w:rPr>
      </w:pPr>
      <w:r>
        <w:rPr>
          <w:spacing w:val="-2"/>
          <w:sz w:val="21"/>
        </w:rPr>
        <w:t>证券交易所交易时间非正常停市或其他情形，导致基金管理人无法计算当日基金</w:t>
      </w:r>
      <w:r>
        <w:rPr>
          <w:sz w:val="21"/>
        </w:rPr>
        <w:t>资产净值。</w:t>
      </w:r>
    </w:p>
    <w:p>
      <w:pPr>
        <w:pStyle w:val="ListParagraph"/>
        <w:numPr>
          <w:ilvl w:val="0"/>
          <w:numId w:val="14"/>
        </w:numPr>
        <w:tabs>
          <w:tab w:pos="1360" w:val="left" w:leader="none"/>
        </w:tabs>
        <w:spacing w:line="268" w:lineRule="exact" w:before="0" w:after="0"/>
        <w:ind w:left="1360" w:right="0" w:hanging="527"/>
        <w:jc w:val="left"/>
        <w:rPr>
          <w:sz w:val="21"/>
        </w:rPr>
      </w:pPr>
      <w:r>
        <w:rPr>
          <w:sz w:val="21"/>
        </w:rPr>
        <w:t>连续两个或两个以上开放日发生巨额赎回。</w:t>
      </w:r>
    </w:p>
    <w:p>
      <w:pPr>
        <w:pStyle w:val="ListParagraph"/>
        <w:numPr>
          <w:ilvl w:val="0"/>
          <w:numId w:val="14"/>
        </w:numPr>
        <w:tabs>
          <w:tab w:pos="1360" w:val="left" w:leader="none"/>
        </w:tabs>
        <w:spacing w:line="240" w:lineRule="auto" w:before="139" w:after="0"/>
        <w:ind w:left="1360" w:right="0" w:hanging="527"/>
        <w:jc w:val="left"/>
        <w:rPr>
          <w:sz w:val="21"/>
        </w:rPr>
      </w:pPr>
      <w:r>
        <w:rPr>
          <w:spacing w:val="-8"/>
          <w:sz w:val="21"/>
        </w:rPr>
        <w:t>所投资的目标 </w:t>
      </w:r>
      <w:r>
        <w:rPr>
          <w:sz w:val="21"/>
        </w:rPr>
        <w:t>ETF</w:t>
      </w:r>
      <w:r>
        <w:rPr>
          <w:spacing w:val="-8"/>
          <w:sz w:val="21"/>
        </w:rPr>
        <w:t> 暂停估值，导致基金管理人无法计算当日基金资产净值；</w:t>
      </w:r>
    </w:p>
    <w:p>
      <w:pPr>
        <w:pStyle w:val="ListParagraph"/>
        <w:numPr>
          <w:ilvl w:val="0"/>
          <w:numId w:val="14"/>
        </w:numPr>
        <w:tabs>
          <w:tab w:pos="1360" w:val="left" w:leader="none"/>
        </w:tabs>
        <w:spacing w:line="364" w:lineRule="auto" w:before="139" w:after="0"/>
        <w:ind w:left="413" w:right="1451" w:firstLine="420"/>
        <w:jc w:val="left"/>
        <w:rPr>
          <w:sz w:val="21"/>
        </w:rPr>
      </w:pPr>
      <w:r>
        <w:rPr>
          <w:spacing w:val="-8"/>
          <w:sz w:val="21"/>
        </w:rPr>
        <w:t>所投资的目标 </w:t>
      </w:r>
      <w:r>
        <w:rPr>
          <w:sz w:val="21"/>
        </w:rPr>
        <w:t>ETF</w:t>
      </w:r>
      <w:r>
        <w:rPr>
          <w:spacing w:val="-9"/>
          <w:sz w:val="21"/>
        </w:rPr>
        <w:t> 暂停赎回、暂停上市或或二级市场交易停牌，且基金管理人认</w:t>
      </w:r>
      <w:r>
        <w:rPr>
          <w:sz w:val="21"/>
        </w:rPr>
        <w:t>为有必要暂停本基金赎回的；</w:t>
      </w:r>
    </w:p>
    <w:p>
      <w:pPr>
        <w:pStyle w:val="ListParagraph"/>
        <w:numPr>
          <w:ilvl w:val="0"/>
          <w:numId w:val="14"/>
        </w:numPr>
        <w:tabs>
          <w:tab w:pos="1360" w:val="left" w:leader="none"/>
        </w:tabs>
        <w:spacing w:line="268" w:lineRule="exact" w:before="0" w:after="0"/>
        <w:ind w:left="1360" w:right="0" w:hanging="527"/>
        <w:jc w:val="left"/>
        <w:rPr>
          <w:sz w:val="21"/>
        </w:rPr>
      </w:pPr>
      <w:r>
        <w:rPr>
          <w:sz w:val="21"/>
        </w:rPr>
        <w:t>发生基金合同规定的暂停基金资产估值情况。</w:t>
      </w:r>
    </w:p>
    <w:p>
      <w:pPr>
        <w:pStyle w:val="ListParagraph"/>
        <w:numPr>
          <w:ilvl w:val="0"/>
          <w:numId w:val="14"/>
        </w:numPr>
        <w:tabs>
          <w:tab w:pos="1360" w:val="left" w:leader="none"/>
        </w:tabs>
        <w:spacing w:line="364" w:lineRule="auto" w:before="140" w:after="0"/>
        <w:ind w:left="413" w:right="1451" w:firstLine="420"/>
        <w:jc w:val="left"/>
        <w:rPr>
          <w:sz w:val="21"/>
        </w:rPr>
      </w:pPr>
      <w:r>
        <w:rPr>
          <w:spacing w:val="-2"/>
          <w:sz w:val="21"/>
        </w:rPr>
        <w:t>本基金的资产组合中的重要部分发生暂停交易或其他重大事件，继续接受赎回可</w:t>
      </w:r>
      <w:r>
        <w:rPr>
          <w:sz w:val="21"/>
        </w:rPr>
        <w:t>能会影响或损害其他基金份额持有人利益时。</w:t>
      </w:r>
    </w:p>
    <w:p>
      <w:pPr>
        <w:pStyle w:val="ListParagraph"/>
        <w:numPr>
          <w:ilvl w:val="0"/>
          <w:numId w:val="14"/>
        </w:numPr>
        <w:tabs>
          <w:tab w:pos="1360" w:val="left" w:leader="none"/>
        </w:tabs>
        <w:spacing w:line="364" w:lineRule="auto" w:before="0" w:after="0"/>
        <w:ind w:left="413" w:right="1451" w:firstLine="420"/>
        <w:jc w:val="left"/>
        <w:rPr>
          <w:sz w:val="21"/>
        </w:rPr>
      </w:pPr>
      <w:r>
        <w:rPr>
          <w:spacing w:val="-3"/>
          <w:sz w:val="21"/>
        </w:rPr>
        <w:t>基金管理人、基金托管人、基金销售机构或注册登记机构的异常情况导致基金销</w:t>
      </w:r>
      <w:r>
        <w:rPr>
          <w:sz w:val="21"/>
        </w:rPr>
        <w:t>售系统、注册登记系统或基金会计系统无法正常运行。</w:t>
      </w:r>
    </w:p>
    <w:p>
      <w:pPr>
        <w:pStyle w:val="ListParagraph"/>
        <w:numPr>
          <w:ilvl w:val="0"/>
          <w:numId w:val="14"/>
        </w:numPr>
        <w:tabs>
          <w:tab w:pos="1363" w:val="left" w:leader="none"/>
        </w:tabs>
        <w:spacing w:line="364" w:lineRule="auto" w:before="0" w:after="0"/>
        <w:ind w:left="413" w:right="1452" w:firstLine="420"/>
        <w:jc w:val="both"/>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ListParagraph"/>
        <w:numPr>
          <w:ilvl w:val="0"/>
          <w:numId w:val="14"/>
        </w:numPr>
        <w:tabs>
          <w:tab w:pos="1465" w:val="left" w:leader="none"/>
        </w:tabs>
        <w:spacing w:line="268" w:lineRule="exact" w:before="0" w:after="0"/>
        <w:ind w:left="1465" w:right="0" w:hanging="632"/>
        <w:jc w:val="left"/>
        <w:rPr>
          <w:sz w:val="21"/>
        </w:rPr>
      </w:pPr>
      <w:r>
        <w:rPr>
          <w:sz w:val="21"/>
        </w:rPr>
        <w:t>法律法规规定或中国证监会认定的其他情形。</w:t>
      </w:r>
    </w:p>
    <w:p>
      <w:pPr>
        <w:pStyle w:val="BodyText"/>
        <w:spacing w:line="364" w:lineRule="auto" w:before="137"/>
        <w:ind w:left="413" w:right="1452" w:firstLine="420"/>
        <w:jc w:val="both"/>
      </w:pPr>
      <w:r>
        <w:rPr/>
        <w:t>发生上述情形之一且基金管理人决定拒绝接受或暂停基金份额持有人的赎回申请时， 基金管理人应在当日报中国证监会备案。投资人在申请赎回时可事先选择将当日可能未获受理部分予以撤销。在暂停赎回的情况消除时，基金管理人应及时恢复赎回业务的办理并予以公告。</w:t>
      </w:r>
    </w:p>
    <w:p>
      <w:pPr>
        <w:pStyle w:val="BodyText"/>
        <w:spacing w:line="267" w:lineRule="exact"/>
        <w:ind w:left="833"/>
      </w:pPr>
      <w:r>
        <w:rPr/>
        <w:t>3、暂停申购或赎回的公告和重新开放申购或赎回的公告</w:t>
      </w:r>
    </w:p>
    <w:p>
      <w:pPr>
        <w:pStyle w:val="ListParagraph"/>
        <w:numPr>
          <w:ilvl w:val="0"/>
          <w:numId w:val="15"/>
        </w:numPr>
        <w:tabs>
          <w:tab w:pos="1360" w:val="left" w:leader="none"/>
        </w:tabs>
        <w:spacing w:line="364" w:lineRule="auto" w:before="140" w:after="0"/>
        <w:ind w:left="413" w:right="1451" w:firstLine="420"/>
        <w:jc w:val="left"/>
        <w:rPr>
          <w:sz w:val="21"/>
        </w:rPr>
      </w:pPr>
      <w:r>
        <w:rPr>
          <w:spacing w:val="-3"/>
          <w:sz w:val="21"/>
        </w:rPr>
        <w:t>发生上述暂停申购或赎回情况的，基金管理人当日应立即向中国证监会备案，并</w:t>
      </w:r>
      <w:r>
        <w:rPr>
          <w:sz w:val="21"/>
        </w:rPr>
        <w:t>在规定期限内在指定媒介上刊登暂停公告。</w:t>
      </w:r>
    </w:p>
    <w:p>
      <w:pPr>
        <w:pStyle w:val="ListParagraph"/>
        <w:numPr>
          <w:ilvl w:val="0"/>
          <w:numId w:val="15"/>
        </w:numPr>
        <w:tabs>
          <w:tab w:pos="1360" w:val="left" w:leader="none"/>
        </w:tabs>
        <w:spacing w:line="268" w:lineRule="exact" w:before="0" w:after="0"/>
        <w:ind w:left="1360" w:right="0" w:hanging="527"/>
        <w:jc w:val="left"/>
        <w:rPr>
          <w:sz w:val="21"/>
        </w:rPr>
      </w:pPr>
      <w:r>
        <w:rPr>
          <w:spacing w:val="-6"/>
          <w:sz w:val="21"/>
        </w:rPr>
        <w:t>如发生暂停的时间为 </w:t>
      </w:r>
      <w:r>
        <w:rPr>
          <w:sz w:val="21"/>
        </w:rPr>
        <w:t>1</w:t>
      </w:r>
      <w:r>
        <w:rPr>
          <w:spacing w:val="-8"/>
          <w:sz w:val="21"/>
        </w:rPr>
        <w:t> 日，基金管理人应于重新开放日，在指定媒介上刊登基金</w:t>
      </w:r>
    </w:p>
    <w:p>
      <w:pPr>
        <w:spacing w:after="0" w:line="268" w:lineRule="exact"/>
        <w:jc w:val="left"/>
        <w:rPr>
          <w:sz w:val="21"/>
        </w:rPr>
        <w:sectPr>
          <w:pgSz w:w="11910" w:h="16840"/>
          <w:pgMar w:header="0" w:footer="1166" w:top="1600" w:bottom="1440" w:left="1400" w:right="360"/>
        </w:sectPr>
      </w:pPr>
    </w:p>
    <w:p>
      <w:pPr>
        <w:pStyle w:val="BodyText"/>
        <w:spacing w:before="104"/>
        <w:ind w:left="413"/>
      </w:pPr>
      <w:r>
        <w:rPr/>
        <w:t>重新开放申购或赎回公告，并公布最近 1 个工作日的各类基金份额净值。</w:t>
      </w:r>
    </w:p>
    <w:p>
      <w:pPr>
        <w:pStyle w:val="ListParagraph"/>
        <w:numPr>
          <w:ilvl w:val="0"/>
          <w:numId w:val="15"/>
        </w:numPr>
        <w:tabs>
          <w:tab w:pos="1360" w:val="left" w:leader="none"/>
        </w:tabs>
        <w:spacing w:line="364" w:lineRule="auto" w:before="139" w:after="0"/>
        <w:ind w:left="413" w:right="1346" w:firstLine="420"/>
        <w:jc w:val="left"/>
        <w:rPr>
          <w:sz w:val="21"/>
        </w:rPr>
      </w:pPr>
      <w:r>
        <w:rPr>
          <w:spacing w:val="-5"/>
          <w:sz w:val="21"/>
        </w:rPr>
        <w:t>如发生暂停的时间超过 </w:t>
      </w:r>
      <w:r>
        <w:rPr>
          <w:sz w:val="21"/>
        </w:rPr>
        <w:t>1</w:t>
      </w:r>
      <w:r>
        <w:rPr>
          <w:spacing w:val="-19"/>
          <w:sz w:val="21"/>
        </w:rPr>
        <w:t> 日但少于 </w:t>
      </w:r>
      <w:r>
        <w:rPr>
          <w:sz w:val="21"/>
        </w:rPr>
        <w:t>2</w:t>
      </w:r>
      <w:r>
        <w:rPr>
          <w:spacing w:val="-13"/>
          <w:sz w:val="21"/>
        </w:rPr>
        <w:t> 周，暂停结束，基金重新开放申购或赎回时</w:t>
      </w:r>
      <w:r>
        <w:rPr>
          <w:spacing w:val="-3"/>
          <w:sz w:val="21"/>
        </w:rPr>
        <w:t>，基金管理人应按照《信息披露办法》或其他相关规定提前在指定媒介上刊登基金重新开 </w:t>
      </w:r>
      <w:r>
        <w:rPr>
          <w:spacing w:val="-7"/>
          <w:sz w:val="21"/>
        </w:rPr>
        <w:t>放申购或赎回公告，并公告最近 </w:t>
      </w:r>
      <w:r>
        <w:rPr>
          <w:sz w:val="21"/>
        </w:rPr>
        <w:t>1</w:t>
      </w:r>
      <w:r>
        <w:rPr>
          <w:spacing w:val="-8"/>
          <w:sz w:val="21"/>
        </w:rPr>
        <w:t> 个工作日的各类基金份额净值。</w:t>
      </w:r>
    </w:p>
    <w:p>
      <w:pPr>
        <w:pStyle w:val="ListParagraph"/>
        <w:numPr>
          <w:ilvl w:val="0"/>
          <w:numId w:val="15"/>
        </w:numPr>
        <w:tabs>
          <w:tab w:pos="1360" w:val="left" w:leader="none"/>
        </w:tabs>
        <w:spacing w:line="364" w:lineRule="auto" w:before="0" w:after="0"/>
        <w:ind w:left="413" w:right="1451" w:firstLine="420"/>
        <w:jc w:val="both"/>
        <w:rPr>
          <w:sz w:val="21"/>
        </w:rPr>
      </w:pPr>
      <w:r>
        <w:rPr>
          <w:spacing w:val="-5"/>
          <w:sz w:val="21"/>
        </w:rPr>
        <w:t>如发生暂停的时间超过 </w:t>
      </w:r>
      <w:r>
        <w:rPr>
          <w:sz w:val="21"/>
        </w:rPr>
        <w:t>2</w:t>
      </w:r>
      <w:r>
        <w:rPr>
          <w:spacing w:val="-11"/>
          <w:sz w:val="21"/>
        </w:rPr>
        <w:t> 周，暂停期间，基金管理人应每 </w:t>
      </w:r>
      <w:r>
        <w:rPr>
          <w:sz w:val="21"/>
        </w:rPr>
        <w:t>2</w:t>
      </w:r>
      <w:r>
        <w:rPr>
          <w:spacing w:val="-9"/>
          <w:sz w:val="21"/>
        </w:rPr>
        <w:t> 周至少刊登暂停公告</w:t>
      </w:r>
      <w:r>
        <w:rPr>
          <w:sz w:val="21"/>
        </w:rPr>
        <w:t>1</w:t>
      </w:r>
      <w:r>
        <w:rPr>
          <w:spacing w:val="-14"/>
          <w:sz w:val="21"/>
        </w:rPr>
        <w:t> 次。暂停结束，基金重新开放申购或赎回时，基金管理人应按照《信息披露办法》或其他</w:t>
      </w:r>
      <w:r>
        <w:rPr>
          <w:spacing w:val="-1"/>
          <w:sz w:val="21"/>
        </w:rPr>
        <w:t>相关规定提前在指定媒介上刊登基金重新开放申购或赎回公告，并公告最近 </w:t>
      </w:r>
      <w:r>
        <w:rPr>
          <w:sz w:val="21"/>
        </w:rPr>
        <w:t>1</w:t>
      </w:r>
      <w:r>
        <w:rPr>
          <w:spacing w:val="-5"/>
          <w:sz w:val="21"/>
        </w:rPr>
        <w:t> 个工作日的各类基金份额净值。</w:t>
      </w:r>
    </w:p>
    <w:p>
      <w:pPr>
        <w:spacing w:after="0" w:line="364" w:lineRule="auto"/>
        <w:jc w:val="both"/>
        <w:rPr>
          <w:sz w:val="21"/>
        </w:rPr>
        <w:sectPr>
          <w:pgSz w:w="11910" w:h="16840"/>
          <w:pgMar w:header="0" w:footer="1166" w:top="1600" w:bottom="1440" w:left="1400" w:right="360"/>
        </w:sectPr>
      </w:pPr>
    </w:p>
    <w:p>
      <w:pPr>
        <w:pStyle w:val="Heading1"/>
        <w:ind w:right="1039"/>
        <w:jc w:val="center"/>
      </w:pPr>
      <w:bookmarkStart w:name="_bookmark29" w:id="30"/>
      <w:bookmarkEnd w:id="30"/>
      <w:r>
        <w:rPr>
          <w:b w:val="0"/>
        </w:rPr>
      </w:r>
      <w:r>
        <w:rPr/>
        <w:t>九、基金转换</w:t>
      </w:r>
    </w:p>
    <w:p>
      <w:pPr>
        <w:pStyle w:val="Heading2"/>
        <w:spacing w:before="47"/>
      </w:pPr>
      <w:bookmarkStart w:name="_bookmark30" w:id="31"/>
      <w:bookmarkEnd w:id="31"/>
      <w:r>
        <w:rPr>
          <w:b w:val="0"/>
        </w:rPr>
      </w:r>
      <w:r>
        <w:rPr/>
        <w:t>（一）基金转换开始日及时间</w:t>
      </w:r>
    </w:p>
    <w:p>
      <w:pPr>
        <w:pStyle w:val="BodyText"/>
        <w:spacing w:line="364" w:lineRule="auto" w:before="121"/>
        <w:ind w:left="413" w:right="1452" w:firstLine="420"/>
        <w:jc w:val="both"/>
      </w:pPr>
      <w:r>
        <w:rPr>
          <w:spacing w:val="-12"/>
        </w:rPr>
        <w:t>本基金 </w:t>
      </w:r>
      <w:r>
        <w:rPr/>
        <w:t>A</w:t>
      </w:r>
      <w:r>
        <w:rPr>
          <w:spacing w:val="-12"/>
        </w:rPr>
        <w:t> 类基金份额已于 </w:t>
      </w:r>
      <w:r>
        <w:rPr/>
        <w:t>2009</w:t>
      </w:r>
      <w:r>
        <w:rPr>
          <w:spacing w:val="-31"/>
        </w:rPr>
        <w:t> 年 </w:t>
      </w:r>
      <w:r>
        <w:rPr/>
        <w:t>9</w:t>
      </w:r>
      <w:r>
        <w:rPr>
          <w:spacing w:val="-31"/>
        </w:rPr>
        <w:t> 月 </w:t>
      </w:r>
      <w:r>
        <w:rPr/>
        <w:t>18</w:t>
      </w:r>
      <w:r>
        <w:rPr>
          <w:spacing w:val="-10"/>
        </w:rPr>
        <w:t> 日开始办理转换业务，本基金 </w:t>
      </w:r>
      <w:r>
        <w:rPr/>
        <w:t>C</w:t>
      </w:r>
      <w:r>
        <w:rPr>
          <w:spacing w:val="-9"/>
        </w:rPr>
        <w:t> 类基金份额</w:t>
      </w:r>
      <w:r>
        <w:rPr>
          <w:spacing w:val="-20"/>
        </w:rPr>
        <w:t>已于 </w:t>
      </w:r>
      <w:r>
        <w:rPr/>
        <w:t>2019</w:t>
      </w:r>
      <w:r>
        <w:rPr>
          <w:spacing w:val="-28"/>
        </w:rPr>
        <w:t> 年 </w:t>
      </w:r>
      <w:r>
        <w:rPr/>
        <w:t>4</w:t>
      </w:r>
      <w:r>
        <w:rPr>
          <w:spacing w:val="-28"/>
        </w:rPr>
        <w:t> 月 </w:t>
      </w:r>
      <w:r>
        <w:rPr/>
        <w:t>25</w:t>
      </w:r>
      <w:r>
        <w:rPr>
          <w:spacing w:val="-7"/>
        </w:rPr>
        <w:t> 日开始办理转换业务，具体实施办法参见相关公告。自本基金基金合同生效日起，除有其他公告，基金管理人将继续办理本基金的日常转换业务。</w:t>
      </w:r>
    </w:p>
    <w:p>
      <w:pPr>
        <w:pStyle w:val="BodyText"/>
        <w:spacing w:line="364" w:lineRule="auto"/>
        <w:ind w:left="413" w:right="1451" w:firstLine="420"/>
        <w:jc w:val="both"/>
      </w:pPr>
      <w:r>
        <w:rPr/>
        <w:t>上海证券交易所和深圳证券交易所同时开放交易的工作日为本基金办理转换业务的开</w:t>
      </w:r>
      <w:r>
        <w:rPr>
          <w:spacing w:val="-4"/>
        </w:rPr>
        <w:t>放日</w:t>
      </w:r>
      <w:r>
        <w:rPr/>
        <w:t>（基金管理人根据法律法规或基金合同的规定公告暂停转换时除外</w:t>
      </w:r>
      <w:r>
        <w:rPr>
          <w:spacing w:val="-105"/>
        </w:rPr>
        <w:t>）</w:t>
      </w:r>
      <w:r>
        <w:rPr>
          <w:spacing w:val="-5"/>
        </w:rPr>
        <w:t>。开放日的具体业</w:t>
      </w:r>
      <w:r>
        <w:rPr/>
        <w:t>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指定媒介公告。</w:t>
      </w:r>
    </w:p>
    <w:p>
      <w:pPr>
        <w:pStyle w:val="BodyText"/>
        <w:spacing w:line="266" w:lineRule="exact"/>
        <w:ind w:left="833"/>
      </w:pPr>
      <w:r>
        <w:rPr/>
        <w:t>投资者需在转出基金和转入基金均有交易的当日，方可办理基金转换业务。</w:t>
      </w:r>
    </w:p>
    <w:p>
      <w:pPr>
        <w:pStyle w:val="Heading2"/>
        <w:spacing w:before="47"/>
      </w:pPr>
      <w:bookmarkStart w:name="_bookmark31" w:id="32"/>
      <w:bookmarkEnd w:id="32"/>
      <w:r>
        <w:rPr>
          <w:b w:val="0"/>
        </w:rPr>
      </w:r>
      <w:r>
        <w:rPr/>
        <w:t>（二）基金转换的原则</w:t>
      </w:r>
    </w:p>
    <w:p>
      <w:pPr>
        <w:pStyle w:val="BodyText"/>
        <w:spacing w:line="364" w:lineRule="auto" w:before="121"/>
        <w:ind w:left="413" w:right="1451" w:firstLine="420"/>
        <w:jc w:val="both"/>
      </w:pPr>
      <w:r>
        <w:rPr/>
        <w:t>1</w:t>
      </w:r>
      <w:r>
        <w:rPr>
          <w:spacing w:val="-5"/>
        </w:rPr>
        <w:t>、基金转换以份额为单位进行申请。投资者可以发起多次基金转换业务，基金转换费</w:t>
      </w:r>
      <w:r>
        <w:rPr/>
        <w:t>用按每笔申请单独计算。转换费用以人民币元为单位，计算结果按照四舍五入方法，保留小数点后两位。</w:t>
      </w:r>
    </w:p>
    <w:p>
      <w:pPr>
        <w:pStyle w:val="BodyText"/>
        <w:spacing w:line="364" w:lineRule="auto"/>
        <w:ind w:left="413" w:right="1429" w:firstLine="420"/>
      </w:pPr>
      <w:r>
        <w:rPr/>
        <w:t>2、当日的转换申请可以在当日交易结束时间前撤销，在当日的交易时间结束后不得撤销。</w:t>
      </w:r>
    </w:p>
    <w:p>
      <w:pPr>
        <w:pStyle w:val="BodyText"/>
        <w:spacing w:line="364" w:lineRule="auto"/>
        <w:ind w:left="413" w:right="1429" w:firstLine="420"/>
      </w:pPr>
      <w:r>
        <w:rPr/>
        <w:t>3、基金转换采取未知价法，即基金的转换价格以转换申请受理当日各转出、转入基金的份额净值为基准进行计算。</w:t>
      </w:r>
    </w:p>
    <w:p>
      <w:pPr>
        <w:pStyle w:val="BodyText"/>
        <w:spacing w:line="364" w:lineRule="auto"/>
        <w:ind w:left="413" w:right="1429" w:firstLine="420"/>
      </w:pPr>
      <w:r>
        <w:rPr/>
        <w:t>4、基金转换只能在同一销售机构进行。转换的两只基金必须都是该销售机构销售的同一基金管理人管理的基金。</w:t>
      </w:r>
    </w:p>
    <w:p>
      <w:pPr>
        <w:pStyle w:val="BodyText"/>
        <w:spacing w:line="364" w:lineRule="auto"/>
        <w:ind w:left="413" w:right="1429" w:firstLine="420"/>
      </w:pPr>
      <w:r>
        <w:rPr/>
        <w:t>5、投资者办理基金转换业务时，转出方的基金必须处于可赎回状态，转入方的基金必须处于可申购状态。</w:t>
      </w:r>
    </w:p>
    <w:p>
      <w:pPr>
        <w:pStyle w:val="BodyText"/>
        <w:spacing w:line="364" w:lineRule="auto"/>
        <w:ind w:left="413" w:right="1451" w:firstLine="420"/>
        <w:jc w:val="both"/>
      </w:pPr>
      <w:r>
        <w:rPr/>
        <w:t>6</w:t>
      </w:r>
      <w:r>
        <w:rPr>
          <w:spacing w:val="-5"/>
        </w:rPr>
        <w:t>、转换业务遵循“先进先出”的业务规则，即份额注册日期在前的先转换出，份额注</w:t>
      </w:r>
      <w:r>
        <w:rPr/>
        <w:t>册日期在后的后转换出，如果转换申请当日，同时有赎回申请的情况下，则遵循先赎回后转换的处理原则。</w:t>
      </w:r>
    </w:p>
    <w:p>
      <w:pPr>
        <w:pStyle w:val="BodyText"/>
        <w:spacing w:line="364" w:lineRule="auto"/>
        <w:ind w:left="413" w:right="1429" w:firstLine="420"/>
      </w:pPr>
      <w:r>
        <w:rPr/>
        <w:t>7、基金份额在转换后，转入的基金份额的持有期将自转入的基金份额被确认之日起重新开始计算。</w:t>
      </w:r>
    </w:p>
    <w:p>
      <w:pPr>
        <w:pStyle w:val="BodyText"/>
        <w:spacing w:line="364" w:lineRule="auto"/>
        <w:ind w:left="413" w:right="1452" w:firstLine="420"/>
      </w:pPr>
      <w:r>
        <w:rPr/>
        <w:t>基金管理人可在不损害基金份额持有人权益的情况下更改上述原则，但应在调整生效前在至少一种中国证监会指定的媒体上予以公告。</w:t>
      </w:r>
    </w:p>
    <w:p>
      <w:pPr>
        <w:spacing w:after="0" w:line="364" w:lineRule="auto"/>
        <w:sectPr>
          <w:pgSz w:w="11910" w:h="16840"/>
          <w:pgMar w:header="0" w:footer="1166" w:top="1600" w:bottom="1440" w:left="1400" w:right="360"/>
        </w:sectPr>
      </w:pPr>
    </w:p>
    <w:p>
      <w:pPr>
        <w:pStyle w:val="Heading2"/>
        <w:spacing w:before="13"/>
      </w:pPr>
      <w:bookmarkStart w:name="_bookmark32" w:id="33"/>
      <w:bookmarkEnd w:id="33"/>
      <w:r>
        <w:rPr>
          <w:b w:val="0"/>
        </w:rPr>
      </w:r>
      <w:r>
        <w:rPr/>
        <w:t>（三）基金转换的程序</w:t>
      </w:r>
    </w:p>
    <w:p>
      <w:pPr>
        <w:pStyle w:val="BodyText"/>
        <w:spacing w:before="121"/>
        <w:ind w:left="833"/>
      </w:pPr>
      <w:r>
        <w:rPr/>
        <w:t>1、基金转换的申请方式</w:t>
      </w:r>
    </w:p>
    <w:p>
      <w:pPr>
        <w:pStyle w:val="BodyText"/>
        <w:spacing w:line="364" w:lineRule="auto" w:before="139"/>
        <w:ind w:left="413" w:right="1452" w:firstLine="420"/>
      </w:pPr>
      <w:r>
        <w:rPr/>
        <w:t>基金投资者必须根据基金管理人和基金销售机构规定的手续，在开放日的业务办理时间提出转换的申请。</w:t>
      </w:r>
    </w:p>
    <w:p>
      <w:pPr>
        <w:pStyle w:val="BodyText"/>
        <w:spacing w:line="268" w:lineRule="exact"/>
        <w:ind w:left="833"/>
      </w:pPr>
      <w:r>
        <w:rPr/>
        <w:t>提交基金转换申请时，账户中必须有足够可用的转出基金份额余额。</w:t>
      </w:r>
    </w:p>
    <w:p>
      <w:pPr>
        <w:pStyle w:val="BodyText"/>
        <w:spacing w:before="140"/>
        <w:ind w:left="833"/>
      </w:pPr>
      <w:r>
        <w:rPr/>
        <w:t>2、基金转换申请的确认</w:t>
      </w:r>
    </w:p>
    <w:p>
      <w:pPr>
        <w:pStyle w:val="BodyText"/>
        <w:spacing w:line="364" w:lineRule="auto" w:before="139"/>
        <w:ind w:left="413" w:right="1399" w:firstLine="420"/>
        <w:jc w:val="both"/>
      </w:pPr>
      <w:r>
        <w:rPr/>
        <w:t>正常情况下，基金管理人以在规定的基金业务办理时间段内收到基金转换申请的当天</w:t>
      </w:r>
      <w:r>
        <w:rPr>
          <w:spacing w:val="-10"/>
        </w:rPr>
        <w:t>作为基金转换的申请日</w:t>
      </w:r>
      <w:r>
        <w:rPr/>
        <w:t>（T</w:t>
      </w:r>
      <w:r>
        <w:rPr>
          <w:spacing w:val="-27"/>
        </w:rPr>
        <w:t> 日</w:t>
      </w:r>
      <w:r>
        <w:rPr>
          <w:spacing w:val="-99"/>
        </w:rPr>
        <w:t>）</w:t>
      </w:r>
      <w:r>
        <w:rPr>
          <w:spacing w:val="-39"/>
        </w:rPr>
        <w:t>，并在 </w:t>
      </w:r>
      <w:r>
        <w:rPr/>
        <w:t>T+1</w:t>
      </w:r>
      <w:r>
        <w:rPr>
          <w:spacing w:val="-15"/>
        </w:rPr>
        <w:t> 工作日对该交易的有效性进行确认。投资者可在 </w:t>
      </w:r>
      <w:r>
        <w:rPr>
          <w:spacing w:val="-5"/>
        </w:rPr>
        <w:t>T+2 </w:t>
      </w:r>
      <w:r>
        <w:rPr/>
        <w:t>工作日及之后查询确认情况。</w:t>
      </w:r>
    </w:p>
    <w:p>
      <w:pPr>
        <w:pStyle w:val="Heading2"/>
        <w:spacing w:line="422" w:lineRule="exact"/>
      </w:pPr>
      <w:bookmarkStart w:name="_bookmark33" w:id="34"/>
      <w:bookmarkEnd w:id="34"/>
      <w:r>
        <w:rPr>
          <w:b w:val="0"/>
        </w:rPr>
      </w:r>
      <w:r>
        <w:rPr/>
        <w:t>（四）基金转换的数额限制</w:t>
      </w:r>
    </w:p>
    <w:p>
      <w:pPr>
        <w:pStyle w:val="BodyText"/>
        <w:spacing w:line="364" w:lineRule="auto" w:before="121"/>
        <w:ind w:left="413" w:right="1452" w:firstLine="420"/>
        <w:jc w:val="both"/>
      </w:pPr>
      <w:r>
        <w:rPr/>
        <w:t>基金份额持有人可将其全部或部分基金份额转换成另一只基金，本基金每类基金份额</w:t>
      </w:r>
      <w:r>
        <w:rPr>
          <w:spacing w:val="-4"/>
        </w:rPr>
        <w:t>单笔转出申请不得少于 </w:t>
      </w:r>
      <w:r>
        <w:rPr/>
        <w:t>1</w:t>
      </w:r>
      <w:r>
        <w:rPr>
          <w:spacing w:val="-17"/>
        </w:rPr>
        <w:t> 份</w:t>
      </w:r>
      <w:r>
        <w:rPr/>
        <w:t>（</w:t>
      </w:r>
      <w:r>
        <w:rPr>
          <w:spacing w:val="-2"/>
        </w:rPr>
        <w:t>如该账户在该销售机构托管的该类基金份额余额不足 </w:t>
      </w:r>
      <w:r>
        <w:rPr/>
        <w:t>1</w:t>
      </w:r>
      <w:r>
        <w:rPr>
          <w:spacing w:val="-12"/>
        </w:rPr>
        <w:t> 份， 则必须一次性赎回或转出该类基金份额全部份额）；若某笔转换导致投资者在该销售机构</w:t>
      </w:r>
      <w:r>
        <w:rPr>
          <w:spacing w:val="-13"/>
        </w:rPr>
        <w:t>托管的该类基金余额不足 </w:t>
      </w:r>
      <w:r>
        <w:rPr/>
        <w:t>1</w:t>
      </w:r>
      <w:r>
        <w:rPr>
          <w:spacing w:val="-5"/>
        </w:rPr>
        <w:t> 份时，基金管理人有权将投资者在该销售机构托管的该类基金份额剩余份额一次性全部赎回。</w:t>
      </w:r>
    </w:p>
    <w:p>
      <w:pPr>
        <w:pStyle w:val="BodyText"/>
        <w:spacing w:line="364" w:lineRule="auto"/>
        <w:ind w:left="413" w:right="1452" w:firstLine="420"/>
      </w:pPr>
      <w:r>
        <w:rPr/>
        <w:t>基金管理人可根据市场情况制定或调整上述基金转换的程序及有关限制，但应在调整生效前在至少一种中国证监会指定的媒体上予以公告。</w:t>
      </w:r>
    </w:p>
    <w:p>
      <w:pPr>
        <w:pStyle w:val="Heading2"/>
        <w:spacing w:line="423" w:lineRule="exact"/>
      </w:pPr>
      <w:bookmarkStart w:name="_bookmark34" w:id="35"/>
      <w:bookmarkEnd w:id="35"/>
      <w:r>
        <w:rPr>
          <w:b w:val="0"/>
        </w:rPr>
      </w:r>
      <w:r>
        <w:rPr/>
        <w:t>（五）基金转换费率</w:t>
      </w:r>
    </w:p>
    <w:p>
      <w:pPr>
        <w:pStyle w:val="BodyText"/>
        <w:spacing w:line="364" w:lineRule="auto" w:before="119"/>
        <w:ind w:left="413" w:right="1451" w:firstLine="420"/>
        <w:jc w:val="both"/>
      </w:pPr>
      <w:r>
        <w:rPr/>
        <w:t>基金转换费由基金份额持有人承担，由转出基金赎回费用及基金申购补差费用构成， </w:t>
      </w:r>
      <w:r>
        <w:rPr>
          <w:spacing w:val="-8"/>
        </w:rPr>
        <w:t>其中赎回费用按照各基金的《基金合同》、更新的《招募说明书》及最新的相关公告约定的</w:t>
      </w:r>
      <w:r>
        <w:rPr/>
        <w:t>比例归入基金财产，其余部分用于支付注册登记费等相关手续费，具体实施办法和转换费率详见相关公告。转换费用以人民币元为单位，计算结果按照四舍五入方法，保留小数点后两位。</w:t>
      </w:r>
    </w:p>
    <w:p>
      <w:pPr>
        <w:pStyle w:val="BodyText"/>
        <w:spacing w:line="364" w:lineRule="auto"/>
        <w:ind w:left="413" w:right="1452" w:firstLine="420"/>
      </w:pPr>
      <w:r>
        <w:rPr/>
        <w:t>基金管理人可以在基金合同规定的范围内调整上述费率。上述费率如发生变更，应在调整生效前在至少一种中国证监会指定的媒体上予以公告。</w:t>
      </w:r>
    </w:p>
    <w:p>
      <w:pPr>
        <w:pStyle w:val="BodyText"/>
        <w:spacing w:line="364" w:lineRule="auto"/>
        <w:ind w:left="413" w:right="1452" w:firstLine="420"/>
        <w:jc w:val="both"/>
      </w:pPr>
      <w:r>
        <w:rPr/>
        <w:t>基金管理人可以在不违反法律法规规定及基金合同约定的情况下根据市场情况制定基金促销计划，针对基金投资者定期和不定期地开展基金促销活动。在基金促销活动期间， 基金管理人可以适当调低基金销售费率，或针对特定渠道、特定投资群体开展有差别的费率优惠活动。</w:t>
      </w:r>
    </w:p>
    <w:p>
      <w:pPr>
        <w:pStyle w:val="Heading2"/>
        <w:spacing w:line="422" w:lineRule="exact"/>
      </w:pPr>
      <w:bookmarkStart w:name="_bookmark35" w:id="36"/>
      <w:bookmarkEnd w:id="36"/>
      <w:r>
        <w:rPr>
          <w:b w:val="0"/>
        </w:rPr>
      </w:r>
      <w:r>
        <w:rPr/>
        <w:t>（六）基金转换份额的计算方式</w:t>
      </w:r>
    </w:p>
    <w:p>
      <w:pPr>
        <w:pStyle w:val="BodyText"/>
        <w:spacing w:before="118"/>
        <w:ind w:left="833"/>
      </w:pPr>
      <w:r>
        <w:rPr/>
        <w:t>计算公式：</w:t>
      </w:r>
    </w:p>
    <w:p>
      <w:pPr>
        <w:spacing w:after="0"/>
        <w:sectPr>
          <w:pgSz w:w="11910" w:h="16840"/>
          <w:pgMar w:header="0" w:footer="1166" w:top="1600" w:bottom="1440" w:left="1400" w:right="360"/>
        </w:sectPr>
      </w:pPr>
    </w:p>
    <w:p>
      <w:pPr>
        <w:pStyle w:val="BodyText"/>
        <w:spacing w:line="364" w:lineRule="auto" w:before="104"/>
        <w:ind w:left="833" w:right="6147"/>
      </w:pPr>
      <w:r>
        <w:rPr/>
        <w:t>A＝［B×C×(1-D)/（1+G）+F］/E H＝B×C×D</w:t>
      </w:r>
    </w:p>
    <w:p>
      <w:pPr>
        <w:pStyle w:val="BodyText"/>
        <w:spacing w:line="268" w:lineRule="exact"/>
        <w:ind w:left="833"/>
      </w:pPr>
      <w:r>
        <w:rPr/>
        <w:t>J＝[B×C×(1-D)/(1+G)]×G</w:t>
      </w:r>
    </w:p>
    <w:p>
      <w:pPr>
        <w:pStyle w:val="BodyText"/>
        <w:spacing w:line="364" w:lineRule="auto" w:before="139"/>
        <w:ind w:left="413" w:right="1451" w:firstLine="420"/>
        <w:jc w:val="both"/>
      </w:pPr>
      <w:r>
        <w:rPr/>
        <w:t>其中，A</w:t>
      </w:r>
      <w:r>
        <w:rPr>
          <w:spacing w:val="-1"/>
        </w:rPr>
        <w:t>为转入的基金份额；</w:t>
      </w:r>
      <w:r>
        <w:rPr/>
        <w:t>B</w:t>
      </w:r>
      <w:r>
        <w:rPr>
          <w:spacing w:val="-1"/>
        </w:rPr>
        <w:t>为转出的基金份额；</w:t>
      </w:r>
      <w:r>
        <w:rPr/>
        <w:t>C</w:t>
      </w:r>
      <w:r>
        <w:rPr>
          <w:spacing w:val="-2"/>
        </w:rPr>
        <w:t>为转换申请当日转出基金的基金份额净值；</w:t>
      </w:r>
      <w:r>
        <w:rPr/>
        <w:t>D为转出基金的对应赎回费率，G</w:t>
      </w:r>
      <w:r>
        <w:rPr>
          <w:spacing w:val="-1"/>
        </w:rPr>
        <w:t>为对应的申购补差费率；</w:t>
      </w:r>
      <w:r>
        <w:rPr/>
        <w:t>E</w:t>
      </w:r>
      <w:r>
        <w:rPr>
          <w:spacing w:val="-2"/>
        </w:rPr>
        <w:t>为转换申请当日转入基金的基金份额净值；</w:t>
      </w:r>
      <w:r>
        <w:rPr>
          <w:spacing w:val="-4"/>
        </w:rPr>
        <w:t>F</w:t>
      </w:r>
      <w:r>
        <w:rPr/>
        <w:t>为货币市场基金全部转出时账户当前累计未付收益（</w:t>
      </w:r>
      <w:r>
        <w:rPr>
          <w:spacing w:val="-3"/>
        </w:rPr>
        <w:t>仅限转出基金为</w:t>
      </w:r>
      <w:r>
        <w:rPr/>
        <w:t>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易方达易理财货币市场基金） 或者短期理财基金转出时对应的累计未付收益（转出基金为易方达月月利理财债券型证券投资基金和易方达掌柜季季盈理财债券型证券投资基金</w:t>
      </w:r>
      <w:r>
        <w:rPr>
          <w:spacing w:val="-105"/>
        </w:rPr>
        <w:t>）</w:t>
      </w:r>
      <w:r>
        <w:rPr>
          <w:spacing w:val="-6"/>
        </w:rPr>
        <w:t>；</w:t>
      </w:r>
      <w:r>
        <w:rPr/>
        <w:t>H</w:t>
      </w:r>
      <w:r>
        <w:rPr>
          <w:spacing w:val="-2"/>
        </w:rPr>
        <w:t>为转出基金赎回费；</w:t>
      </w:r>
      <w:r>
        <w:rPr/>
        <w:t>J</w:t>
      </w:r>
      <w:r>
        <w:rPr>
          <w:spacing w:val="-4"/>
        </w:rPr>
        <w:t>为申购补</w:t>
      </w:r>
      <w:r>
        <w:rPr/>
        <w:t>差费。</w:t>
      </w:r>
    </w:p>
    <w:p>
      <w:pPr>
        <w:pStyle w:val="BodyText"/>
        <w:spacing w:line="364" w:lineRule="auto"/>
        <w:ind w:left="413" w:right="1452" w:firstLine="420"/>
        <w:jc w:val="both"/>
      </w:pPr>
      <w:r>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 如其未付收益为负，基金份额对应的未付收益与转换转出份额对应的款项一并划转到转换转入的基金。</w:t>
      </w:r>
    </w:p>
    <w:p>
      <w:pPr>
        <w:pStyle w:val="BodyText"/>
        <w:spacing w:line="267" w:lineRule="exact"/>
        <w:ind w:left="895"/>
      </w:pPr>
      <w:r>
        <w:rPr/>
        <w:t>说明：</w:t>
      </w:r>
    </w:p>
    <w:p>
      <w:pPr>
        <w:pStyle w:val="BodyText"/>
        <w:spacing w:before="136"/>
        <w:ind w:left="895"/>
      </w:pPr>
      <w:r>
        <w:rPr/>
        <w:t>1、基金转换费用由转出基金赎回费用及基金申购补差费用构成。</w:t>
      </w:r>
    </w:p>
    <w:p>
      <w:pPr>
        <w:pStyle w:val="BodyText"/>
        <w:spacing w:line="364" w:lineRule="auto" w:before="139"/>
        <w:ind w:left="413" w:right="1451" w:firstLine="482"/>
        <w:jc w:val="both"/>
      </w:pPr>
      <w:r>
        <w:rPr/>
        <w:t>2</w:t>
      </w:r>
      <w:r>
        <w:rPr>
          <w:spacing w:val="-10"/>
        </w:rPr>
        <w:t>、转入基金时，从申购费用低的基金向申购费用高的基金转换时，每次收取申购补差</w:t>
      </w:r>
      <w:r>
        <w:rPr>
          <w:spacing w:val="-3"/>
        </w:rPr>
        <w:t>费用；从申购费用高的基金向申购费用低的基金转换时,不收取申购补差费用</w:t>
      </w:r>
      <w:r>
        <w:rPr/>
        <w:t>（</w:t>
      </w:r>
      <w:r>
        <w:rPr>
          <w:spacing w:val="-6"/>
        </w:rPr>
        <w:t>注：对通过</w:t>
      </w:r>
      <w:r>
        <w:rPr/>
        <w:t>直销中心申购实施差别申购费率的特定投资群体基金份额的申购费，以除通过直销中心申购的特定投资群体之外的其他投资者申购费为比较标准</w:t>
      </w:r>
      <w:r>
        <w:rPr>
          <w:spacing w:val="-105"/>
        </w:rPr>
        <w:t>）</w:t>
      </w:r>
      <w:r>
        <w:rPr>
          <w:spacing w:val="-5"/>
        </w:rPr>
        <w:t>。申购补差费用按照转换金额对应</w:t>
      </w:r>
      <w:r>
        <w:rPr/>
        <w:t>的转出基金与转入基金的申购费率差额进行补差，具体收取情况视每次转换时两只基金的申购费率的差异情况而定并见相关公告。</w:t>
      </w:r>
    </w:p>
    <w:p>
      <w:pPr>
        <w:pStyle w:val="BodyText"/>
        <w:spacing w:line="364" w:lineRule="auto"/>
        <w:ind w:left="413" w:right="1451" w:firstLine="482"/>
        <w:jc w:val="both"/>
      </w:pPr>
      <w:r>
        <w:rPr/>
        <w:t>3</w:t>
      </w:r>
      <w:r>
        <w:rPr>
          <w:spacing w:val="-10"/>
        </w:rPr>
        <w:t>、转出基金时，如涉及的转出基金有赎回费用，收取该基金的赎回费用。收取的赎回费按照各基金的《基金合同》、更新的《招募说明书》及最新的相关公告约定的比例归入基</w:t>
      </w:r>
      <w:r>
        <w:rPr/>
        <w:t>金财产，其余部分用于支付注册登记费等相关手续费。</w:t>
      </w:r>
    </w:p>
    <w:p>
      <w:pPr>
        <w:pStyle w:val="BodyText"/>
        <w:spacing w:line="364" w:lineRule="auto"/>
        <w:ind w:left="413" w:right="1451" w:firstLine="482"/>
      </w:pPr>
      <w:r>
        <w:rPr/>
        <w:t>4</w:t>
      </w:r>
      <w:r>
        <w:rPr>
          <w:spacing w:val="-10"/>
        </w:rPr>
        <w:t>、投资者可以发起多次基金转换业务，基金转换费用按每笔申请单独计算。转换费用</w:t>
      </w:r>
      <w:r>
        <w:rPr/>
        <w:t>以人民币元为单位，计算结果按照四舍五入方法，保留小数点后两位。</w:t>
      </w:r>
    </w:p>
    <w:p>
      <w:pPr>
        <w:pStyle w:val="BodyText"/>
        <w:spacing w:line="364" w:lineRule="auto"/>
        <w:ind w:left="413" w:right="1242" w:firstLine="420"/>
      </w:pPr>
      <w:r>
        <w:rPr>
          <w:spacing w:val="-4"/>
        </w:rPr>
        <w:t>举例说明：假定某投资者</w:t>
      </w:r>
      <w:r>
        <w:rPr/>
        <w:t>（非特定投资群体）</w:t>
      </w:r>
      <w:r>
        <w:rPr>
          <w:spacing w:val="-26"/>
        </w:rPr>
        <w:t>在 </w:t>
      </w:r>
      <w:r>
        <w:rPr/>
        <w:t>T</w:t>
      </w:r>
      <w:r>
        <w:rPr>
          <w:spacing w:val="-22"/>
        </w:rPr>
        <w:t> 日转出 </w:t>
      </w:r>
      <w:r>
        <w:rPr/>
        <w:t>10,000</w:t>
      </w:r>
      <w:r>
        <w:rPr>
          <w:spacing w:val="-8"/>
        </w:rPr>
        <w:t> 份本基金至易方达策 </w:t>
      </w:r>
      <w:r>
        <w:rPr>
          <w:spacing w:val="-11"/>
        </w:rPr>
        <w:t>略成长二号混合型基金份额，转出基金 </w:t>
      </w:r>
      <w:r>
        <w:rPr/>
        <w:t>T</w:t>
      </w:r>
      <w:r>
        <w:rPr>
          <w:spacing w:val="-12"/>
        </w:rPr>
        <w:t> 日的基金份额净值为 </w:t>
      </w:r>
      <w:r>
        <w:rPr/>
        <w:t>1.1000</w:t>
      </w:r>
      <w:r>
        <w:rPr>
          <w:spacing w:val="-8"/>
        </w:rPr>
        <w:t> 元，转入易方达策略成</w:t>
      </w:r>
      <w:r>
        <w:rPr>
          <w:spacing w:val="-13"/>
        </w:rPr>
        <w:t>长二号混合型基金 </w:t>
      </w:r>
      <w:r>
        <w:rPr/>
        <w:t>T</w:t>
      </w:r>
      <w:r>
        <w:rPr>
          <w:spacing w:val="-11"/>
        </w:rPr>
        <w:t> 日的基金份额净值为 </w:t>
      </w:r>
      <w:r>
        <w:rPr/>
        <w:t>1.020</w:t>
      </w:r>
      <w:r>
        <w:rPr>
          <w:spacing w:val="-10"/>
        </w:rPr>
        <w:t> 元，假设该转出基金的赎回费率为 </w:t>
      </w:r>
      <w:r>
        <w:rPr>
          <w:spacing w:val="-3"/>
        </w:rPr>
        <w:t>0.5%，</w:t>
      </w:r>
    </w:p>
    <w:p>
      <w:pPr>
        <w:spacing w:after="0" w:line="364" w:lineRule="auto"/>
        <w:sectPr>
          <w:pgSz w:w="11910" w:h="16840"/>
          <w:pgMar w:header="0" w:footer="1166" w:top="1600" w:bottom="1440" w:left="1400" w:right="360"/>
        </w:sectPr>
      </w:pPr>
    </w:p>
    <w:p>
      <w:pPr>
        <w:pStyle w:val="BodyText"/>
        <w:spacing w:line="364" w:lineRule="auto" w:before="104"/>
        <w:ind w:left="413" w:right="1406"/>
      </w:pPr>
      <w:r>
        <w:rPr/>
        <w:t>申购补差费率为 0.8%，则可获得转入基金的易方达策略成长二号混合型基金基金份额计算如下：</w:t>
      </w:r>
    </w:p>
    <w:p>
      <w:pPr>
        <w:pStyle w:val="BodyText"/>
        <w:spacing w:line="364" w:lineRule="auto"/>
        <w:ind w:left="833" w:right="1635"/>
      </w:pPr>
      <w:r>
        <w:rPr/>
        <w:t>转换金额＝转出基金申请份额×转出基金份额净值=10,000×1.1000＝11,000.00 元转出基金赎回费＝转换金额×转出基金赎回费率=11,000.00×0.5%=55.00 元</w:t>
      </w:r>
    </w:p>
    <w:p>
      <w:pPr>
        <w:pStyle w:val="BodyText"/>
        <w:spacing w:line="268" w:lineRule="exact"/>
        <w:ind w:left="833"/>
      </w:pPr>
      <w:r>
        <w:rPr/>
        <w:t>申购补差费=（转换金额—转出基金赎回费）×申购补差费率÷（１＋申购补差费率）=</w:t>
      </w:r>
    </w:p>
    <w:p>
      <w:pPr>
        <w:pStyle w:val="BodyText"/>
        <w:spacing w:before="138"/>
        <w:ind w:left="413"/>
      </w:pPr>
      <w:r>
        <w:rPr/>
        <w:t>（11,000.00-55.00）×0.8%÷(1+0.8%)=86.87 元</w:t>
      </w:r>
    </w:p>
    <w:p>
      <w:pPr>
        <w:pStyle w:val="BodyText"/>
        <w:spacing w:line="364" w:lineRule="auto" w:before="140"/>
        <w:ind w:left="833" w:right="3420"/>
      </w:pPr>
      <w:r>
        <w:rPr/>
        <w:t>转换费＝转出基金赎回费+申购补差费=55.00+86.87＝141.87 元转入金额=转换金额—转换费=11,000.00-141.87=10,858.13 元</w:t>
      </w:r>
    </w:p>
    <w:p>
      <w:pPr>
        <w:pStyle w:val="BodyText"/>
        <w:spacing w:line="268" w:lineRule="exact"/>
        <w:ind w:left="833"/>
      </w:pPr>
      <w:r>
        <w:rPr/>
        <w:t>转入份额=转入金额÷转入基金份额净值=10,858.13÷1.020=10,645.23 份</w:t>
      </w:r>
    </w:p>
    <w:p>
      <w:pPr>
        <w:pStyle w:val="BodyText"/>
        <w:ind w:left="0"/>
        <w:rPr>
          <w:sz w:val="20"/>
        </w:rPr>
      </w:pPr>
    </w:p>
    <w:p>
      <w:pPr>
        <w:pStyle w:val="BodyText"/>
        <w:spacing w:before="6"/>
        <w:ind w:left="0"/>
        <w:rPr>
          <w:sz w:val="22"/>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32"/>
              <w:rPr>
                <w:sz w:val="21"/>
              </w:rPr>
            </w:pPr>
            <w:r>
              <w:rPr>
                <w:sz w:val="21"/>
              </w:rPr>
              <w:t>转出份额</w:t>
            </w:r>
          </w:p>
        </w:tc>
        <w:tc>
          <w:tcPr>
            <w:tcW w:w="900" w:type="dxa"/>
            <w:vMerge w:val="restart"/>
          </w:tcPr>
          <w:p>
            <w:pPr>
              <w:pStyle w:val="TableParagraph"/>
              <w:spacing w:line="364" w:lineRule="auto" w:before="3"/>
              <w:ind w:left="42" w:right="5"/>
              <w:rPr>
                <w:sz w:val="21"/>
              </w:rPr>
            </w:pPr>
            <w:r>
              <w:rPr>
                <w:sz w:val="21"/>
              </w:rPr>
              <w:t>转出基金份额净值</w:t>
            </w:r>
          </w:p>
        </w:tc>
        <w:tc>
          <w:tcPr>
            <w:tcW w:w="1440" w:type="dxa"/>
            <w:vMerge w:val="restart"/>
          </w:tcPr>
          <w:p>
            <w:pPr>
              <w:pStyle w:val="TableParagraph"/>
              <w:spacing w:before="3"/>
              <w:ind w:left="312"/>
              <w:rPr>
                <w:sz w:val="21"/>
              </w:rPr>
            </w:pPr>
            <w:r>
              <w:rPr>
                <w:sz w:val="21"/>
              </w:rPr>
              <w:t>转换金额</w:t>
            </w:r>
          </w:p>
        </w:tc>
        <w:tc>
          <w:tcPr>
            <w:tcW w:w="2340" w:type="dxa"/>
            <w:gridSpan w:val="2"/>
          </w:tcPr>
          <w:p>
            <w:pPr>
              <w:pStyle w:val="TableParagraph"/>
              <w:spacing w:before="3"/>
              <w:ind w:left="847" w:right="813"/>
              <w:jc w:val="center"/>
              <w:rPr>
                <w:sz w:val="21"/>
              </w:rPr>
            </w:pPr>
            <w:r>
              <w:rPr>
                <w:sz w:val="21"/>
              </w:rPr>
              <w:t>转换费</w:t>
            </w:r>
          </w:p>
        </w:tc>
        <w:tc>
          <w:tcPr>
            <w:tcW w:w="1440" w:type="dxa"/>
            <w:vMerge w:val="restart"/>
          </w:tcPr>
          <w:p>
            <w:pPr>
              <w:pStyle w:val="TableParagraph"/>
              <w:spacing w:before="3"/>
              <w:ind w:left="312"/>
              <w:rPr>
                <w:sz w:val="21"/>
              </w:rPr>
            </w:pPr>
            <w:r>
              <w:rPr>
                <w:sz w:val="21"/>
              </w:rPr>
              <w:t>转入金额</w:t>
            </w:r>
          </w:p>
        </w:tc>
        <w:tc>
          <w:tcPr>
            <w:tcW w:w="1185" w:type="dxa"/>
            <w:vMerge w:val="restart"/>
          </w:tcPr>
          <w:p>
            <w:pPr>
              <w:pStyle w:val="TableParagraph"/>
              <w:spacing w:line="364" w:lineRule="auto" w:before="3"/>
              <w:ind w:left="290" w:right="44" w:hanging="210"/>
              <w:rPr>
                <w:sz w:val="21"/>
              </w:rPr>
            </w:pPr>
            <w:r>
              <w:rPr>
                <w:sz w:val="21"/>
              </w:rPr>
              <w:t>转入基金份额净值</w:t>
            </w:r>
          </w:p>
        </w:tc>
        <w:tc>
          <w:tcPr>
            <w:tcW w:w="1335" w:type="dxa"/>
            <w:vMerge w:val="restart"/>
          </w:tcPr>
          <w:p>
            <w:pPr>
              <w:pStyle w:val="TableParagraph"/>
              <w:spacing w:before="3"/>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spacing w:before="3"/>
              <w:ind w:left="27" w:right="-15"/>
              <w:jc w:val="center"/>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408" w:hRule="atLeast"/>
        </w:trPr>
        <w:tc>
          <w:tcPr>
            <w:tcW w:w="1080" w:type="dxa"/>
          </w:tcPr>
          <w:p>
            <w:pPr>
              <w:pStyle w:val="TableParagraph"/>
              <w:spacing w:before="3"/>
              <w:ind w:left="106"/>
              <w:rPr>
                <w:sz w:val="21"/>
              </w:rPr>
            </w:pPr>
            <w:r>
              <w:rPr>
                <w:sz w:val="21"/>
              </w:rPr>
              <w:t>10,000 份</w:t>
            </w:r>
          </w:p>
        </w:tc>
        <w:tc>
          <w:tcPr>
            <w:tcW w:w="900" w:type="dxa"/>
          </w:tcPr>
          <w:p>
            <w:pPr>
              <w:pStyle w:val="TableParagraph"/>
              <w:spacing w:before="3"/>
              <w:ind w:left="16" w:right="-29"/>
              <w:rPr>
                <w:sz w:val="21"/>
              </w:rPr>
            </w:pPr>
            <w:r>
              <w:rPr>
                <w:sz w:val="21"/>
              </w:rPr>
              <w:t>1.1000</w:t>
            </w:r>
            <w:r>
              <w:rPr>
                <w:spacing w:val="-27"/>
                <w:sz w:val="21"/>
              </w:rPr>
              <w:t> 元</w:t>
            </w:r>
          </w:p>
        </w:tc>
        <w:tc>
          <w:tcPr>
            <w:tcW w:w="1440" w:type="dxa"/>
          </w:tcPr>
          <w:p>
            <w:pPr>
              <w:pStyle w:val="TableParagraph"/>
              <w:spacing w:before="3"/>
              <w:ind w:left="128"/>
              <w:rPr>
                <w:sz w:val="21"/>
              </w:rPr>
            </w:pPr>
            <w:r>
              <w:rPr>
                <w:sz w:val="21"/>
              </w:rPr>
              <w:t>11,000.00 元</w:t>
            </w:r>
          </w:p>
        </w:tc>
        <w:tc>
          <w:tcPr>
            <w:tcW w:w="1260" w:type="dxa"/>
          </w:tcPr>
          <w:p>
            <w:pPr>
              <w:pStyle w:val="TableParagraph"/>
              <w:spacing w:before="3"/>
              <w:ind w:left="248"/>
              <w:rPr>
                <w:sz w:val="21"/>
              </w:rPr>
            </w:pPr>
            <w:r>
              <w:rPr>
                <w:sz w:val="21"/>
              </w:rPr>
              <w:t>55.00 元</w:t>
            </w:r>
          </w:p>
        </w:tc>
        <w:tc>
          <w:tcPr>
            <w:tcW w:w="1080" w:type="dxa"/>
          </w:tcPr>
          <w:p>
            <w:pPr>
              <w:pStyle w:val="TableParagraph"/>
              <w:spacing w:before="3"/>
              <w:ind w:left="158"/>
              <w:rPr>
                <w:sz w:val="21"/>
              </w:rPr>
            </w:pPr>
            <w:r>
              <w:rPr>
                <w:sz w:val="21"/>
              </w:rPr>
              <w:t>86.87 元</w:t>
            </w:r>
          </w:p>
        </w:tc>
        <w:tc>
          <w:tcPr>
            <w:tcW w:w="1440" w:type="dxa"/>
          </w:tcPr>
          <w:p>
            <w:pPr>
              <w:pStyle w:val="TableParagraph"/>
              <w:spacing w:before="3"/>
              <w:ind w:left="128"/>
              <w:rPr>
                <w:sz w:val="21"/>
              </w:rPr>
            </w:pPr>
            <w:r>
              <w:rPr>
                <w:sz w:val="21"/>
              </w:rPr>
              <w:t>10,858.13 元</w:t>
            </w:r>
          </w:p>
        </w:tc>
        <w:tc>
          <w:tcPr>
            <w:tcW w:w="1185" w:type="dxa"/>
          </w:tcPr>
          <w:p>
            <w:pPr>
              <w:pStyle w:val="TableParagraph"/>
              <w:spacing w:before="3"/>
              <w:ind w:left="211"/>
              <w:rPr>
                <w:sz w:val="21"/>
              </w:rPr>
            </w:pPr>
            <w:r>
              <w:rPr>
                <w:sz w:val="21"/>
              </w:rPr>
              <w:t>1.020 元</w:t>
            </w:r>
          </w:p>
        </w:tc>
        <w:tc>
          <w:tcPr>
            <w:tcW w:w="1335" w:type="dxa"/>
          </w:tcPr>
          <w:p>
            <w:pPr>
              <w:pStyle w:val="TableParagraph"/>
              <w:spacing w:before="3"/>
              <w:ind w:left="76"/>
              <w:rPr>
                <w:sz w:val="21"/>
              </w:rPr>
            </w:pPr>
            <w:r>
              <w:rPr>
                <w:sz w:val="21"/>
              </w:rPr>
              <w:t>10,645.23</w:t>
            </w:r>
            <w:r>
              <w:rPr>
                <w:spacing w:val="-27"/>
                <w:sz w:val="21"/>
              </w:rPr>
              <w:t> 份</w:t>
            </w:r>
          </w:p>
        </w:tc>
      </w:tr>
    </w:tbl>
    <w:p>
      <w:pPr>
        <w:pStyle w:val="BodyText"/>
        <w:spacing w:line="364" w:lineRule="auto" w:before="3"/>
        <w:ind w:left="413" w:right="1242" w:firstLine="420"/>
      </w:pPr>
      <w:r>
        <w:rPr>
          <w:spacing w:val="2"/>
        </w:rPr>
        <w:t>注：本基金转出至易方达平稳增长混合、易方达策略成长混合、易方达上证 </w:t>
      </w:r>
      <w:r>
        <w:rPr/>
        <w:t>50</w:t>
      </w:r>
      <w:r>
        <w:rPr>
          <w:spacing w:val="-10"/>
        </w:rPr>
        <w:t> 指数、易方达积极成长混合、易方达货币、易方达稳健收益债券时，转入份额的计算结果保留到 小数点后两位，小数点两位以后舍去，舍去部分所代表的资产归基金财产所有；本基金转 出至易方达天天理财货币、易方达信用债债券、易方达纯债 </w:t>
      </w:r>
      <w:r>
        <w:rPr/>
        <w:t>1</w:t>
      </w:r>
      <w:r>
        <w:rPr>
          <w:spacing w:val="-2"/>
        </w:rPr>
        <w:t> 年定期开放债券、易方达高等级信用债债券、易方达裕丰回报债券、易方达丰华债券、易方达投资级信用债债券、易 方</w:t>
      </w:r>
      <w:r>
        <w:rPr>
          <w:spacing w:val="-11"/>
        </w:rPr>
        <w:t>达恒久 </w:t>
      </w:r>
      <w:r>
        <w:rPr/>
        <w:t>1</w:t>
      </w:r>
      <w:r>
        <w:rPr>
          <w:spacing w:val="-9"/>
        </w:rPr>
        <w:t> 年定期债券、易方达黄金 </w:t>
      </w:r>
      <w:r>
        <w:rPr/>
        <w:t>ETF</w:t>
      </w:r>
      <w:r>
        <w:rPr>
          <w:spacing w:val="-6"/>
        </w:rPr>
        <w:t> 联接、易方达易理财货币、易方达新兴成长混合、易方达裕惠定开混合发起式、易方达创新驱动混合、易方达现金增利货币、易方达财富快 线货币、易方达天天增利货币、易方达龙宝货币、易方达天天发货币、易方达掌柜季季盈 理财债券、易方达沪深 </w:t>
      </w:r>
      <w:r>
        <w:rPr/>
        <w:t>300</w:t>
      </w:r>
      <w:r>
        <w:rPr>
          <w:spacing w:val="-2"/>
        </w:rPr>
        <w:t> 非银联接、易方达增金宝货币、易方达新经济混合、易方达改革红利混合、易方达裕如混合、易方达安心回馈混合、易方达新常态混合、易方达新收益 混合</w:t>
      </w:r>
      <w:r>
        <w:rPr>
          <w:spacing w:val="-3"/>
        </w:rPr>
        <w:t>、易方达新利混合、易方达新鑫混合、易方达新益混合、易方达新享混合、易方达沪 深 </w:t>
      </w:r>
      <w:r>
        <w:rPr/>
        <w:t>300 </w:t>
      </w:r>
      <w:r>
        <w:rPr>
          <w:spacing w:val="-10"/>
        </w:rPr>
        <w:t>医药 </w:t>
      </w:r>
      <w:r>
        <w:rPr/>
        <w:t>ETF</w:t>
      </w:r>
      <w:r>
        <w:rPr>
          <w:spacing w:val="-6"/>
        </w:rPr>
        <w:t> 联接、易方达新丝路混合、易方达国企改革混合、易方达瑞景混合、易方达瑞享混</w:t>
      </w:r>
      <w:r>
        <w:rPr>
          <w:spacing w:val="-4"/>
        </w:rPr>
        <w:t>合、易方达瑞信混合、易方达瑞选混合、易方达国防军工混合、易方达中债 </w:t>
      </w:r>
      <w:r>
        <w:rPr/>
        <w:t>3-5 年期国债指数、易方达信息产业混合、易方达瑞和混合、易方达安盈回报混合、易方达瑞 财混合、易方达瑞智混合、易方达瑞兴混合、易方达瑞恒混合、易方达瑞祥混合、易方达 环保主题混合、易方达现代服务业混合、易方达大健康主题混合、易方达量化策略精选混 合、易方</w:t>
      </w:r>
      <w:r>
        <w:rPr>
          <w:spacing w:val="-1"/>
        </w:rPr>
        <w:t>达裕祥回报债券、易方达裕景添利 </w:t>
      </w:r>
      <w:r>
        <w:rPr/>
        <w:t>6</w:t>
      </w:r>
      <w:r>
        <w:rPr>
          <w:spacing w:val="-2"/>
        </w:rPr>
        <w:t> 个月定期开放债券、易方达丰惠混合、易方达供给改革</w:t>
      </w:r>
      <w:r>
        <w:rPr>
          <w:spacing w:val="-3"/>
        </w:rPr>
        <w:t>混合、易方达丰和债券、易方达裕鑫债券、易方达富惠纯债债券、易方达科瑞 混合、易方</w:t>
      </w:r>
      <w:r>
        <w:rPr>
          <w:spacing w:val="-16"/>
        </w:rPr>
        <w:t>达中债 </w:t>
      </w:r>
      <w:r>
        <w:rPr/>
        <w:t>7-10</w:t>
      </w:r>
      <w:r>
        <w:rPr>
          <w:spacing w:val="-8"/>
        </w:rPr>
        <w:t> 年期国开行债券指数、易方达瑞通混合、易方达瑞弘混合、易方达</w:t>
      </w:r>
    </w:p>
    <w:p>
      <w:pPr>
        <w:spacing w:after="0" w:line="364" w:lineRule="auto"/>
        <w:sectPr>
          <w:pgSz w:w="11910" w:h="16840"/>
          <w:pgMar w:header="0" w:footer="1166" w:top="1600" w:bottom="1440" w:left="1400" w:right="360"/>
        </w:sectPr>
      </w:pPr>
    </w:p>
    <w:p>
      <w:pPr>
        <w:pStyle w:val="BodyText"/>
        <w:spacing w:line="364" w:lineRule="auto" w:before="104"/>
        <w:ind w:left="413" w:right="1242"/>
      </w:pPr>
      <w:r>
        <w:rPr/>
        <w:t>瑞程混合、易方达恒益定开债券发起式、易方达易百智能量化策略混合、易方达恒安定开 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 </w:t>
      </w:r>
      <w:r>
        <w:rPr>
          <w:spacing w:val="-15"/>
        </w:rPr>
        <w:t>合、易方达安悦超短债债券、易方达</w:t>
      </w:r>
      <w:r>
        <w:rPr/>
        <w:t>MSCI</w:t>
      </w:r>
      <w:r>
        <w:rPr>
          <w:spacing w:val="-17"/>
        </w:rPr>
        <w:t> 中国</w:t>
      </w:r>
      <w:r>
        <w:rPr/>
        <w:t>A</w:t>
      </w:r>
      <w:r>
        <w:rPr>
          <w:spacing w:val="-10"/>
        </w:rPr>
        <w:t> 股国际通</w:t>
      </w:r>
      <w:r>
        <w:rPr/>
        <w:t>ETF</w:t>
      </w:r>
      <w:r>
        <w:rPr>
          <w:spacing w:val="-16"/>
        </w:rPr>
        <w:t> 联接发起式、易方达中证</w:t>
      </w:r>
      <w:r>
        <w:rPr/>
        <w:t>500ETF </w:t>
      </w:r>
      <w:r>
        <w:rPr>
          <w:spacing w:val="-4"/>
        </w:rPr>
        <w:t>联接发起式、易方达恒利 </w:t>
      </w:r>
      <w:r>
        <w:rPr/>
        <w:t>3</w:t>
      </w:r>
      <w:r>
        <w:rPr>
          <w:spacing w:val="-10"/>
        </w:rPr>
        <w:t> 个月定开债券发起式、易方达中债 </w:t>
      </w:r>
      <w:r>
        <w:rPr/>
        <w:t>1-3</w:t>
      </w:r>
      <w:r>
        <w:rPr>
          <w:spacing w:val="-7"/>
        </w:rPr>
        <w:t> 年国开行债券指数、易</w:t>
      </w:r>
    </w:p>
    <w:p>
      <w:pPr>
        <w:pStyle w:val="BodyText"/>
        <w:spacing w:line="364" w:lineRule="auto"/>
        <w:ind w:left="413" w:right="1242"/>
      </w:pPr>
      <w:r>
        <w:rPr>
          <w:spacing w:val="-8"/>
        </w:rPr>
        <w:t>方达中债 </w:t>
      </w:r>
      <w:r>
        <w:rPr/>
        <w:t>3-5</w:t>
      </w:r>
      <w:r>
        <w:rPr>
          <w:spacing w:val="-8"/>
        </w:rPr>
        <w:t> 年国开行债券指数、易方达中债 </w:t>
      </w:r>
      <w:r>
        <w:rPr/>
        <w:t>1-3</w:t>
      </w:r>
      <w:r>
        <w:rPr>
          <w:spacing w:val="-9"/>
        </w:rPr>
        <w:t> 年政金债指数、易方达中债 </w:t>
      </w:r>
      <w:r>
        <w:rPr/>
        <w:t>3-5</w:t>
      </w:r>
      <w:r>
        <w:rPr>
          <w:spacing w:val="-8"/>
        </w:rPr>
        <w:t> 年政金债</w:t>
      </w:r>
      <w:r>
        <w:rPr>
          <w:spacing w:val="-10"/>
        </w:rPr>
        <w:t>指数、易方达上证 </w:t>
      </w:r>
      <w:r>
        <w:rPr/>
        <w:t>50ETF</w:t>
      </w:r>
      <w:r>
        <w:rPr>
          <w:spacing w:val="-7"/>
        </w:rPr>
        <w:t> 联接发起式、易方达恒兴 </w:t>
      </w:r>
      <w:r>
        <w:rPr/>
        <w:t>3</w:t>
      </w:r>
      <w:r>
        <w:rPr>
          <w:spacing w:val="-7"/>
        </w:rPr>
        <w:t> 个月定开债券发起式、易方达 </w:t>
      </w:r>
      <w:r>
        <w:rPr/>
        <w:t>ESG 责</w:t>
      </w:r>
      <w:r>
        <w:rPr>
          <w:spacing w:val="-10"/>
        </w:rPr>
        <w:t>任投资股票发起式、易方达中证国企一带一路 </w:t>
      </w:r>
      <w:r>
        <w:rPr/>
        <w:t>ETF</w:t>
      </w:r>
      <w:r>
        <w:rPr>
          <w:spacing w:val="-19"/>
        </w:rPr>
        <w:t> 联接、易方达中证 </w:t>
      </w:r>
      <w:r>
        <w:rPr/>
        <w:t>800ETF</w:t>
      </w:r>
      <w:r>
        <w:rPr>
          <w:spacing w:val="-8"/>
        </w:rPr>
        <w:t> 联接发起式、易方达恒盛 </w:t>
      </w:r>
      <w:r>
        <w:rPr/>
        <w:t>3</w:t>
      </w:r>
      <w:r>
        <w:rPr>
          <w:spacing w:val="-2"/>
        </w:rPr>
        <w:t> 个月定开混合发起式、易方达研究精选股票、易方达裕富债券、易方达高端制造混合发起式、易方达消费精选股票、易方达金融行业股票发起式、易方达年年恒夏纯 债一年定开债券发起式、易方达价值精选混合、易方达价值成长混合、易方达中小盘混合、易方达科汇灵活配置混合、易方达科翔混合、易方达行业领先混合、易方达增强回报债券、易方</w:t>
      </w:r>
      <w:r>
        <w:rPr>
          <w:spacing w:val="-15"/>
        </w:rPr>
        <w:t>达深证 </w:t>
      </w:r>
      <w:r>
        <w:rPr/>
        <w:t>100ETF</w:t>
      </w:r>
      <w:r>
        <w:rPr>
          <w:spacing w:val="-12"/>
        </w:rPr>
        <w:t> 联接、易方达上证中盘 </w:t>
      </w:r>
      <w:r>
        <w:rPr/>
        <w:t>ETF</w:t>
      </w:r>
      <w:r>
        <w:rPr>
          <w:spacing w:val="-8"/>
        </w:rPr>
        <w:t> 联接、易方达消费行业股票、易方达医疗保健行业混合、易方达资源行业混合、易方达创业板 </w:t>
      </w:r>
      <w:r>
        <w:rPr/>
        <w:t>ETF</w:t>
      </w:r>
      <w:r>
        <w:rPr>
          <w:spacing w:val="-2"/>
        </w:rPr>
        <w:t> 联接、易方达安心回报债券、易方达科讯混</w:t>
      </w:r>
      <w:r>
        <w:rPr>
          <w:spacing w:val="-3"/>
        </w:rPr>
        <w:t>合、易方达沪深 </w:t>
      </w:r>
      <w:r>
        <w:rPr/>
        <w:t>300</w:t>
      </w:r>
      <w:r>
        <w:rPr>
          <w:spacing w:val="-2"/>
        </w:rPr>
        <w:t> 量化增强、易方达双债增强债券、易方达纯债债券、易方达月月利理财债券、易方达安源中短债债券、易方达策略成长二号混合时，转入份额的计算 结果保留到小数点后两位，小数点后两位以后的部分四舍五入，由此误差产生的损失由基 金财产承担，产生的收益归基金财产所有。</w:t>
      </w:r>
    </w:p>
    <w:p>
      <w:pPr>
        <w:pStyle w:val="Heading2"/>
        <w:spacing w:line="417" w:lineRule="exact"/>
      </w:pPr>
      <w:bookmarkStart w:name="_bookmark36" w:id="37"/>
      <w:bookmarkEnd w:id="37"/>
      <w:r>
        <w:rPr>
          <w:b w:val="0"/>
        </w:rPr>
      </w:r>
      <w:r>
        <w:rPr/>
        <w:t>（七）基金转换的注册登记</w:t>
      </w:r>
    </w:p>
    <w:p>
      <w:pPr>
        <w:pStyle w:val="BodyText"/>
        <w:spacing w:line="364" w:lineRule="auto" w:before="118"/>
        <w:ind w:left="413" w:right="1451" w:firstLine="420"/>
        <w:jc w:val="both"/>
      </w:pPr>
      <w:r>
        <w:rPr>
          <w:spacing w:val="-14"/>
        </w:rPr>
        <w:t>投资者 </w:t>
      </w:r>
      <w:r>
        <w:rPr/>
        <w:t>T</w:t>
      </w:r>
      <w:r>
        <w:rPr>
          <w:spacing w:val="-12"/>
        </w:rPr>
        <w:t> 日申请基金转换成功后，注册登记机构将在 </w:t>
      </w:r>
      <w:r>
        <w:rPr/>
        <w:t>T＋1</w:t>
      </w:r>
      <w:r>
        <w:rPr>
          <w:spacing w:val="-9"/>
        </w:rPr>
        <w:t> 工作日为投资者办理减少转</w:t>
      </w:r>
      <w:r>
        <w:rPr>
          <w:spacing w:val="-5"/>
        </w:rPr>
        <w:t>出基金份额、增加转入基金份额的权益登记手续，一般情况下，投资者自 </w:t>
      </w:r>
      <w:r>
        <w:rPr/>
        <w:t>T＋2</w:t>
      </w:r>
      <w:r>
        <w:rPr>
          <w:spacing w:val="-13"/>
        </w:rPr>
        <w:t> 工作日起有</w:t>
      </w:r>
      <w:r>
        <w:rPr/>
        <w:t>权赎回转入部分的基金份额。</w:t>
      </w:r>
    </w:p>
    <w:p>
      <w:pPr>
        <w:pStyle w:val="BodyText"/>
        <w:spacing w:line="364" w:lineRule="auto"/>
        <w:ind w:left="413" w:right="1452" w:firstLine="420"/>
      </w:pPr>
      <w:r>
        <w:rPr/>
        <w:t>基金管理人可在法律法规允许的范围内，对上述注册登记办理时间进行调整，并应在调整生效前在至少一种中国证监会指定的媒体上予以公告。</w:t>
      </w:r>
    </w:p>
    <w:p>
      <w:pPr>
        <w:pStyle w:val="Heading2"/>
        <w:spacing w:line="423" w:lineRule="exact"/>
      </w:pPr>
      <w:bookmarkStart w:name="_bookmark37" w:id="38"/>
      <w:bookmarkEnd w:id="38"/>
      <w:r>
        <w:rPr>
          <w:b w:val="0"/>
        </w:rPr>
      </w:r>
      <w:r>
        <w:rPr/>
        <w:t>（八）基金转换与巨额赎回</w:t>
      </w:r>
    </w:p>
    <w:p>
      <w:pPr>
        <w:pStyle w:val="BodyText"/>
        <w:spacing w:line="364" w:lineRule="auto" w:before="120"/>
        <w:ind w:left="413" w:right="1452" w:firstLine="420"/>
        <w:jc w:val="both"/>
      </w:pPr>
      <w:r>
        <w:rPr/>
        <w:t>当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pPr>
        <w:pStyle w:val="Heading2"/>
        <w:spacing w:line="422" w:lineRule="exact"/>
      </w:pPr>
      <w:bookmarkStart w:name="_bookmark38" w:id="39"/>
      <w:bookmarkEnd w:id="39"/>
      <w:r>
        <w:rPr>
          <w:b w:val="0"/>
        </w:rPr>
      </w:r>
      <w:r>
        <w:rPr/>
        <w:t>（九）拒绝或暂停基金转换的情形</w:t>
      </w:r>
    </w:p>
    <w:p>
      <w:pPr>
        <w:pStyle w:val="BodyText"/>
        <w:spacing w:before="121"/>
        <w:ind w:left="833"/>
      </w:pPr>
      <w:r>
        <w:rPr/>
        <w:t>出现下列情况之一时,基金管理人可以暂停接受基金份额持有人的基金转换申请：</w:t>
      </w:r>
    </w:p>
    <w:p>
      <w:pPr>
        <w:spacing w:after="0"/>
        <w:sectPr>
          <w:pgSz w:w="11910" w:h="16840"/>
          <w:pgMar w:header="0" w:footer="1166" w:top="1600" w:bottom="1440" w:left="1400" w:right="360"/>
        </w:sectPr>
      </w:pPr>
    </w:p>
    <w:p>
      <w:pPr>
        <w:pStyle w:val="BodyText"/>
        <w:spacing w:before="104"/>
        <w:ind w:left="833"/>
      </w:pPr>
      <w:r>
        <w:rPr/>
        <w:t>1、因不可抗力导致基金无法正常运作；</w:t>
      </w:r>
    </w:p>
    <w:p>
      <w:pPr>
        <w:pStyle w:val="BodyText"/>
        <w:spacing w:line="364" w:lineRule="auto" w:before="139"/>
        <w:ind w:left="413" w:right="1429" w:firstLine="420"/>
      </w:pPr>
      <w:r>
        <w:rPr/>
        <w:t>2、证券交易场所在交易时间非正常停市或其他情形，导致基金管理人无法计算当日基金资产净值；</w:t>
      </w:r>
    </w:p>
    <w:p>
      <w:pPr>
        <w:pStyle w:val="BodyText"/>
        <w:spacing w:line="268" w:lineRule="exact"/>
        <w:ind w:left="833"/>
      </w:pPr>
      <w:r>
        <w:rPr/>
        <w:t>3、因市场剧烈波动或其它原因而出现连续巨额赎回，导致本基金的现金支付出现困难；</w:t>
      </w:r>
    </w:p>
    <w:p>
      <w:pPr>
        <w:pStyle w:val="BodyText"/>
        <w:spacing w:before="140"/>
        <w:ind w:left="833"/>
      </w:pPr>
      <w:r>
        <w:rPr/>
        <w:t>4、基金管理人认为会有损于现有基金份额持有人利益的某笔转入或某笔转出；</w:t>
      </w:r>
    </w:p>
    <w:p>
      <w:pPr>
        <w:pStyle w:val="BodyText"/>
        <w:spacing w:before="139"/>
        <w:ind w:left="833"/>
      </w:pPr>
      <w:r>
        <w:rPr/>
        <w:t>5</w:t>
      </w:r>
      <w:r>
        <w:rPr>
          <w:spacing w:val="-7"/>
        </w:rPr>
        <w:t>、所投资的目标 </w:t>
      </w:r>
      <w:r>
        <w:rPr/>
        <w:t>ETF</w:t>
      </w:r>
      <w:r>
        <w:rPr>
          <w:spacing w:val="-8"/>
        </w:rPr>
        <w:t> 暂停估值，导致基金管理人无法计算当日基金资产净值；</w:t>
      </w:r>
    </w:p>
    <w:p>
      <w:pPr>
        <w:pStyle w:val="BodyText"/>
        <w:spacing w:line="364" w:lineRule="auto" w:before="140"/>
        <w:ind w:left="413" w:right="1451" w:firstLine="420"/>
      </w:pPr>
      <w:r>
        <w:rPr/>
        <w:t>6</w:t>
      </w:r>
      <w:r>
        <w:rPr>
          <w:spacing w:val="-9"/>
        </w:rPr>
        <w:t>、所投资的目标 </w:t>
      </w:r>
      <w:r>
        <w:rPr/>
        <w:t>ETF</w:t>
      </w:r>
      <w:r>
        <w:rPr>
          <w:spacing w:val="-9"/>
        </w:rPr>
        <w:t> 暂停申购赎回、暂停上市或或二级市场交易停牌，且基金管理人</w:t>
      </w:r>
      <w:r>
        <w:rPr/>
        <w:t>认为有必要暂停本基金申购赎回的；</w:t>
      </w:r>
    </w:p>
    <w:p>
      <w:pPr>
        <w:pStyle w:val="BodyText"/>
        <w:spacing w:line="364" w:lineRule="auto"/>
        <w:ind w:left="413" w:right="1429" w:firstLine="420"/>
      </w:pPr>
      <w:r>
        <w:rPr/>
        <w:t>7、发生《基金合同》规定的暂停基金资产估值情况时，基金管理人可采取拒绝或暂停接受投资者转换申请等措施。</w:t>
      </w:r>
    </w:p>
    <w:p>
      <w:pPr>
        <w:pStyle w:val="BodyText"/>
        <w:spacing w:line="364" w:lineRule="auto"/>
        <w:ind w:left="413" w:right="1451" w:firstLine="420"/>
      </w:pPr>
      <w:r>
        <w:rPr/>
        <w:t>8</w:t>
      </w:r>
      <w:r>
        <w:rPr>
          <w:spacing w:val="-5"/>
        </w:rPr>
        <w:t>、基金管理人、基金托管人、基金销售机构或注册登记机构的异常情况导致基金销售</w:t>
      </w:r>
      <w:r>
        <w:rPr/>
        <w:t>系统、注册登记系统或基金会计系统无法正常运行。</w:t>
      </w:r>
    </w:p>
    <w:p>
      <w:pPr>
        <w:pStyle w:val="BodyText"/>
        <w:spacing w:line="364" w:lineRule="auto"/>
        <w:ind w:left="413" w:right="1451" w:firstLine="420"/>
      </w:pPr>
      <w:r>
        <w:rPr/>
        <w:t>9</w:t>
      </w:r>
      <w:r>
        <w:rPr>
          <w:spacing w:val="-5"/>
        </w:rPr>
        <w:t>、基金资产规模过大，使基金管理人无法找到合适的投资品种，或可能对基金业绩产</w:t>
      </w:r>
      <w:r>
        <w:rPr/>
        <w:t>生负面影响，从而损害现有基金份额持有人的利益；</w:t>
      </w:r>
    </w:p>
    <w:p>
      <w:pPr>
        <w:pStyle w:val="BodyText"/>
        <w:spacing w:line="364" w:lineRule="auto"/>
        <w:ind w:left="413" w:right="1452" w:firstLine="420"/>
        <w:jc w:val="both"/>
      </w:pPr>
      <w:r>
        <w:rPr/>
        <w:t>10、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BodyText"/>
        <w:spacing w:line="364" w:lineRule="auto"/>
        <w:ind w:left="413" w:right="1451" w:firstLine="420"/>
        <w:jc w:val="both"/>
      </w:pPr>
      <w:r>
        <w:rPr/>
        <w:t>11</w:t>
      </w:r>
      <w:r>
        <w:rPr>
          <w:spacing w:val="-13"/>
        </w:rPr>
        <w:t>、当前一估值日基金资产净值 </w:t>
      </w:r>
      <w:r>
        <w:rPr/>
        <w:t>50%</w:t>
      </w:r>
      <w:r>
        <w:rPr>
          <w:spacing w:val="-1"/>
        </w:rPr>
        <w:t>以上的资产出现无可参考的活跃市场价格且采用估</w:t>
      </w:r>
      <w:r>
        <w:rPr/>
        <w:t>值技术仍导致公允价值存在重大不确定性时，经与基金托管人协商确认后，基金管理人应当采取暂停接受基金转换申请的措施。</w:t>
      </w:r>
    </w:p>
    <w:p>
      <w:pPr>
        <w:pStyle w:val="BodyText"/>
        <w:spacing w:line="268" w:lineRule="exact"/>
        <w:ind w:left="833"/>
      </w:pPr>
      <w:r>
        <w:rPr/>
        <w:t>12、法律、法规规定或中国证监会认定的其他情形。</w:t>
      </w:r>
    </w:p>
    <w:p>
      <w:pPr>
        <w:pStyle w:val="BodyText"/>
        <w:spacing w:line="364" w:lineRule="auto" w:before="133"/>
        <w:ind w:left="413" w:right="1452" w:firstLine="420"/>
      </w:pPr>
      <w:r>
        <w:rPr/>
        <w:t>基金暂停转换或暂停后重新开放转换时，基金管理人应立即向中国证监会备案并在至少一种中国证监会指定的信息披露媒体上公告。</w:t>
      </w:r>
    </w:p>
    <w:p>
      <w:pPr>
        <w:spacing w:after="0" w:line="364" w:lineRule="auto"/>
        <w:sectPr>
          <w:pgSz w:w="11910" w:h="16840"/>
          <w:pgMar w:header="0" w:footer="1166" w:top="1600" w:bottom="1440" w:left="1400" w:right="360"/>
        </w:sectPr>
      </w:pPr>
    </w:p>
    <w:p>
      <w:pPr>
        <w:pStyle w:val="Heading1"/>
        <w:ind w:left="1340"/>
      </w:pPr>
      <w:bookmarkStart w:name="_bookmark39" w:id="40"/>
      <w:bookmarkEnd w:id="40"/>
      <w:r>
        <w:rPr>
          <w:b w:val="0"/>
        </w:rPr>
      </w:r>
      <w:r>
        <w:rPr/>
        <w:t>十、基金的非交易过户、转托管及冻结与解冻</w:t>
      </w:r>
    </w:p>
    <w:p>
      <w:pPr>
        <w:pStyle w:val="Heading3"/>
        <w:spacing w:before="139"/>
      </w:pPr>
      <w:bookmarkStart w:name="_bookmark40" w:id="41"/>
      <w:bookmarkEnd w:id="41"/>
      <w:r>
        <w:rPr/>
      </w:r>
      <w:r>
        <w:rPr/>
        <w:t>（一）基金的非交易过户</w:t>
      </w:r>
    </w:p>
    <w:p>
      <w:pPr>
        <w:pStyle w:val="BodyText"/>
        <w:spacing w:line="364" w:lineRule="auto" w:before="185"/>
        <w:ind w:left="413" w:right="1452" w:firstLine="420"/>
        <w:jc w:val="both"/>
      </w:pPr>
      <w:r>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pPr>
        <w:pStyle w:val="BodyText"/>
        <w:spacing w:line="364" w:lineRule="auto"/>
        <w:ind w:left="413" w:right="1452" w:firstLine="420"/>
        <w:jc w:val="both"/>
      </w:pPr>
      <w:r>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 对于符合条件的非交易过户申请按基金注册登记机构的规定办理，并按基金注册登记机构规定的标准收费。</w:t>
      </w:r>
    </w:p>
    <w:p>
      <w:pPr>
        <w:pStyle w:val="Heading3"/>
        <w:spacing w:line="357" w:lineRule="exact"/>
      </w:pPr>
      <w:bookmarkStart w:name="_bookmark41" w:id="42"/>
      <w:bookmarkEnd w:id="42"/>
      <w:r>
        <w:rPr/>
      </w:r>
      <w:r>
        <w:rPr/>
        <w:t>（二）转托管</w:t>
      </w:r>
    </w:p>
    <w:p>
      <w:pPr>
        <w:pStyle w:val="BodyText"/>
        <w:spacing w:line="364" w:lineRule="auto" w:before="183"/>
        <w:ind w:left="413" w:right="1452" w:firstLine="420"/>
      </w:pPr>
      <w:r>
        <w:rPr/>
        <w:t>基金份额持有人可办理已持有基金份额在不同销售机构之间的转托管，基金销售机构可以按照规定的标准收取转托管费。</w:t>
      </w:r>
    </w:p>
    <w:p>
      <w:pPr>
        <w:pStyle w:val="Heading3"/>
        <w:spacing w:before="1"/>
      </w:pPr>
      <w:bookmarkStart w:name="_bookmark42" w:id="43"/>
      <w:bookmarkEnd w:id="43"/>
      <w:r>
        <w:rPr/>
      </w:r>
      <w:r>
        <w:rPr/>
        <w:t>（三）基金的冻结与解冻</w:t>
      </w:r>
    </w:p>
    <w:p>
      <w:pPr>
        <w:pStyle w:val="BodyText"/>
        <w:spacing w:line="364" w:lineRule="auto" w:before="184"/>
        <w:ind w:left="413" w:right="1452" w:firstLine="420"/>
      </w:pPr>
      <w:r>
        <w:rPr/>
        <w:t>基金注册登记机构只受理国家有权机关依法要求的基金份额的冻结与解冻，以及注册登记机构认可、符合法律法规的其他情况下的冻结与解冻。</w:t>
      </w:r>
    </w:p>
    <w:p>
      <w:pPr>
        <w:spacing w:after="0" w:line="364" w:lineRule="auto"/>
        <w:sectPr>
          <w:pgSz w:w="11910" w:h="16840"/>
          <w:pgMar w:header="0" w:footer="1166" w:top="1600" w:bottom="1440" w:left="1400" w:right="360"/>
        </w:sectPr>
      </w:pPr>
    </w:p>
    <w:p>
      <w:pPr>
        <w:pStyle w:val="Heading1"/>
        <w:ind w:left="3268"/>
      </w:pPr>
      <w:bookmarkStart w:name="_bookmark43" w:id="44"/>
      <w:bookmarkEnd w:id="44"/>
      <w:r>
        <w:rPr>
          <w:b w:val="0"/>
        </w:rPr>
      </w:r>
      <w:r>
        <w:rPr/>
        <w:t>十一、基金的投资</w:t>
      </w:r>
    </w:p>
    <w:p>
      <w:pPr>
        <w:pStyle w:val="Heading3"/>
        <w:spacing w:before="139"/>
      </w:pPr>
      <w:bookmarkStart w:name="_bookmark44" w:id="45"/>
      <w:bookmarkEnd w:id="45"/>
      <w:r>
        <w:rPr/>
      </w:r>
      <w:r>
        <w:rPr/>
        <w:t>（一）投资目标</w:t>
      </w:r>
    </w:p>
    <w:p>
      <w:pPr>
        <w:pStyle w:val="BodyText"/>
        <w:spacing w:before="185"/>
        <w:ind w:left="833"/>
      </w:pPr>
      <w:r>
        <w:rPr/>
        <w:t>紧密跟踪业绩比较基准，追求跟踪偏离度及跟踪误差的最小化。</w:t>
      </w:r>
    </w:p>
    <w:p>
      <w:pPr>
        <w:pStyle w:val="Heading3"/>
        <w:spacing w:before="141"/>
      </w:pPr>
      <w:bookmarkStart w:name="_bookmark45" w:id="46"/>
      <w:bookmarkEnd w:id="46"/>
      <w:r>
        <w:rPr/>
      </w:r>
      <w:r>
        <w:rPr/>
        <w:t>（二）投资范围</w:t>
      </w:r>
    </w:p>
    <w:p>
      <w:pPr>
        <w:pStyle w:val="BodyText"/>
        <w:spacing w:line="364" w:lineRule="auto" w:before="184"/>
        <w:ind w:left="413" w:right="1451" w:firstLine="420"/>
        <w:jc w:val="both"/>
      </w:pPr>
      <w:r>
        <w:rPr>
          <w:spacing w:val="-2"/>
        </w:rPr>
        <w:t>本基金资产投资于具有良好流动性的金融工具，包括沪深 </w:t>
      </w:r>
      <w:r>
        <w:rPr/>
        <w:t>300ETF</w:t>
      </w:r>
      <w:r>
        <w:rPr>
          <w:spacing w:val="-11"/>
        </w:rPr>
        <w:t>、沪深 </w:t>
      </w:r>
      <w:r>
        <w:rPr/>
        <w:t>300</w:t>
      </w:r>
      <w:r>
        <w:rPr>
          <w:spacing w:val="-12"/>
        </w:rPr>
        <w:t> 指数成份</w:t>
      </w:r>
      <w:r>
        <w:rPr>
          <w:spacing w:val="-1"/>
        </w:rPr>
        <w:t>股及备选成份股</w:t>
      </w:r>
      <w:r>
        <w:rPr/>
        <w:t>（含存托凭证</w:t>
      </w:r>
      <w:r>
        <w:rPr>
          <w:spacing w:val="-105"/>
        </w:rPr>
        <w:t>）</w:t>
      </w:r>
      <w:r>
        <w:rPr>
          <w:spacing w:val="-5"/>
        </w:rPr>
        <w:t>、新股(一级市场初次发行或增发，含存托凭证)、债券、资</w:t>
      </w:r>
      <w:r>
        <w:rPr/>
        <w:t>产支持证券、货币市场工具、权证、股指期货以及法律法规或中国证监会允许基金投资的其他金融工具。</w:t>
      </w:r>
    </w:p>
    <w:p>
      <w:pPr>
        <w:pStyle w:val="BodyText"/>
        <w:spacing w:line="364" w:lineRule="auto"/>
        <w:ind w:left="413" w:right="1452" w:firstLine="420"/>
      </w:pPr>
      <w:r>
        <w:rPr/>
        <w:t>如法律法规或监管机构以后允许基金投资其他品种，基金管理人在履行适当程序后， 可以将其纳入投资范围。</w:t>
      </w:r>
    </w:p>
    <w:p>
      <w:pPr>
        <w:pStyle w:val="BodyText"/>
        <w:spacing w:line="364" w:lineRule="auto"/>
        <w:ind w:left="413" w:right="1452" w:firstLine="420"/>
        <w:jc w:val="both"/>
      </w:pPr>
      <w:r>
        <w:rPr/>
        <w:t>在条件许可的情况下并根据相关法律法规，基金管理人可以在不改变本基金既有投资策略和风险收益特征并在控制风险的前提下，参与融资融券业务以及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pPr>
        <w:pStyle w:val="BodyText"/>
        <w:spacing w:line="364" w:lineRule="auto"/>
        <w:ind w:left="413" w:right="1242" w:firstLine="420"/>
      </w:pPr>
      <w:r>
        <w:rPr>
          <w:spacing w:val="-5"/>
        </w:rPr>
        <w:t>本基金资产中投资于目标 </w:t>
      </w:r>
      <w:r>
        <w:rPr/>
        <w:t>ETF</w:t>
      </w:r>
      <w:r>
        <w:rPr>
          <w:spacing w:val="-11"/>
        </w:rPr>
        <w:t> 的比例不低于基金非现金基金资产的 </w:t>
      </w:r>
      <w:r>
        <w:rPr>
          <w:spacing w:val="-14"/>
        </w:rPr>
        <w:t>80%</w:t>
      </w:r>
      <w:r>
        <w:rPr>
          <w:spacing w:val="-4"/>
        </w:rPr>
        <w:t>；本基金资产中投</w:t>
      </w:r>
      <w:r>
        <w:rPr>
          <w:spacing w:val="-14"/>
        </w:rPr>
        <w:t>资于目标 </w:t>
      </w:r>
      <w:r>
        <w:rPr/>
        <w:t>ETF</w:t>
      </w:r>
      <w:r>
        <w:rPr>
          <w:spacing w:val="-11"/>
        </w:rPr>
        <w:t> 的比例不低于基金资产净值的 </w:t>
      </w:r>
      <w:r>
        <w:rPr>
          <w:spacing w:val="-14"/>
        </w:rPr>
        <w:t>90%</w:t>
      </w:r>
      <w:r>
        <w:rPr>
          <w:spacing w:val="-5"/>
        </w:rPr>
        <w:t>；本基金持有的全部权证，其市值不得超 过</w:t>
      </w:r>
      <w:r>
        <w:rPr>
          <w:spacing w:val="-10"/>
        </w:rPr>
        <w:t>基金资产净值的 </w:t>
      </w:r>
      <w:r>
        <w:rPr>
          <w:spacing w:val="-18"/>
        </w:rPr>
        <w:t>3％</w:t>
      </w:r>
      <w:r>
        <w:rPr>
          <w:spacing w:val="-6"/>
        </w:rPr>
        <w:t>；每个交易日日终在扣除股指期货合约需缴纳的交易保证金后，现金或者</w:t>
      </w:r>
      <w:r>
        <w:rPr>
          <w:spacing w:val="-8"/>
        </w:rPr>
        <w:t>到期日在一年以内的政府债券比例不低于基金资产净值的 </w:t>
      </w:r>
      <w:r>
        <w:rPr/>
        <w:t>5%，现金不包括结算备付金、存出保证金、应收申购款等。</w:t>
      </w:r>
    </w:p>
    <w:p>
      <w:pPr>
        <w:pStyle w:val="Heading3"/>
        <w:spacing w:line="357" w:lineRule="exact"/>
      </w:pPr>
      <w:bookmarkStart w:name="_bookmark46" w:id="47"/>
      <w:bookmarkEnd w:id="47"/>
      <w:r>
        <w:rPr/>
      </w:r>
      <w:r>
        <w:rPr/>
        <w:t>（三）投资理念</w:t>
      </w:r>
    </w:p>
    <w:p>
      <w:pPr>
        <w:pStyle w:val="BodyText"/>
        <w:spacing w:line="364" w:lineRule="auto" w:before="180"/>
        <w:ind w:left="413" w:right="1452" w:firstLine="420"/>
      </w:pPr>
      <w:r>
        <w:rPr/>
        <w:t>指数化投资具有低成本、管理透明及分散化程度高等优点，能稳定地获得市场平均回报。</w:t>
      </w:r>
    </w:p>
    <w:p>
      <w:pPr>
        <w:pStyle w:val="Heading3"/>
      </w:pPr>
      <w:bookmarkStart w:name="_bookmark47" w:id="48"/>
      <w:bookmarkEnd w:id="48"/>
      <w:r>
        <w:rPr/>
      </w:r>
      <w:r>
        <w:rPr/>
        <w:t>（四）投资策略</w:t>
      </w:r>
    </w:p>
    <w:p>
      <w:pPr>
        <w:pStyle w:val="BodyText"/>
        <w:spacing w:line="364" w:lineRule="auto" w:before="185"/>
        <w:ind w:left="413" w:right="1451" w:firstLine="420"/>
        <w:jc w:val="both"/>
      </w:pPr>
      <w:r>
        <w:rPr>
          <w:spacing w:val="-6"/>
        </w:rPr>
        <w:t>本基金为目标 </w:t>
      </w:r>
      <w:r>
        <w:rPr/>
        <w:t>ETF</w:t>
      </w:r>
      <w:r>
        <w:rPr>
          <w:spacing w:val="-8"/>
        </w:rPr>
        <w:t> 的联接基金。主要通过投资于目标 </w:t>
      </w:r>
      <w:r>
        <w:rPr/>
        <w:t>ETF</w:t>
      </w:r>
      <w:r>
        <w:rPr>
          <w:spacing w:val="-6"/>
        </w:rPr>
        <w:t> 实现对业绩比较基准的紧密跟踪，在正常市场情况下，力争本基金的净值增长率与业绩比较基准之间的年化跟踪误差</w:t>
      </w:r>
      <w:r>
        <w:rPr>
          <w:spacing w:val="-14"/>
        </w:rPr>
        <w:t>控制在 </w:t>
      </w:r>
      <w:r>
        <w:rPr/>
        <w:t>4%以内。如因标的指数编制规则调整或其他因素导致跟踪误差超过上述范围，基金管理人应采取合理措施避免跟踪误差进一步扩大。</w:t>
      </w:r>
    </w:p>
    <w:p>
      <w:pPr>
        <w:pStyle w:val="BodyText"/>
        <w:spacing w:line="364" w:lineRule="auto"/>
        <w:ind w:left="413" w:right="1451" w:firstLine="420"/>
        <w:jc w:val="both"/>
      </w:pPr>
      <w:r>
        <w:rPr>
          <w:spacing w:val="-5"/>
        </w:rPr>
        <w:t>本基金资产中投资于目标 </w:t>
      </w:r>
      <w:r>
        <w:rPr/>
        <w:t>ETF</w:t>
      </w:r>
      <w:r>
        <w:rPr>
          <w:spacing w:val="-11"/>
        </w:rPr>
        <w:t> 的比例不低于基金非现金基金资产的 </w:t>
      </w:r>
      <w:r>
        <w:rPr>
          <w:spacing w:val="-14"/>
        </w:rPr>
        <w:t>80%</w:t>
      </w:r>
      <w:r>
        <w:rPr>
          <w:spacing w:val="-6"/>
        </w:rPr>
        <w:t>；本基金投资于</w:t>
      </w:r>
      <w:r>
        <w:rPr>
          <w:spacing w:val="-18"/>
        </w:rPr>
        <w:t>目标 </w:t>
      </w:r>
      <w:r>
        <w:rPr/>
        <w:t>ETF</w:t>
      </w:r>
      <w:r>
        <w:rPr>
          <w:spacing w:val="-11"/>
        </w:rPr>
        <w:t> 的比例不低于基金资产净值的 </w:t>
      </w:r>
      <w:r>
        <w:rPr>
          <w:spacing w:val="-14"/>
        </w:rPr>
        <w:t>90%</w:t>
      </w:r>
      <w:r>
        <w:rPr>
          <w:spacing w:val="-6"/>
        </w:rPr>
        <w:t>；本基金持有的全部权证，其市值不得超过基金</w:t>
      </w:r>
      <w:r>
        <w:rPr>
          <w:spacing w:val="-9"/>
        </w:rPr>
        <w:t>资产净值的 </w:t>
      </w:r>
      <w:r>
        <w:rPr>
          <w:spacing w:val="-18"/>
        </w:rPr>
        <w:t>3％</w:t>
      </w:r>
      <w:r>
        <w:rPr>
          <w:spacing w:val="-6"/>
        </w:rPr>
        <w:t>；每个交易日日终在扣除股指期货合约需缴纳的交易保证金后，现金或者到</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2"/>
        <w:jc w:val="both"/>
      </w:pPr>
      <w:r>
        <w:rPr>
          <w:spacing w:val="-2"/>
        </w:rPr>
        <w:t>期日在一年以内的政府债券比例不低于基金资产净值的 </w:t>
      </w:r>
      <w:r>
        <w:rPr/>
        <w:t>5%，现金不包括结算备付金、存出保证金、应收申购款等。本基金将根据市场的实际情况，适当调整基金资产的配置比例， 以保证对标的指数的有效跟踪。</w:t>
      </w:r>
    </w:p>
    <w:p>
      <w:pPr>
        <w:pStyle w:val="BodyText"/>
        <w:spacing w:line="364" w:lineRule="auto"/>
        <w:ind w:left="413" w:right="1452" w:firstLine="420"/>
      </w:pPr>
      <w:r>
        <w:rPr/>
        <w:t>本基金在综合考虑合规、风险、效率、成本等因素的基础上，决定采用申赎的方式或证券二级市场交易的方式进行目标 ETF 的买卖。</w:t>
      </w:r>
    </w:p>
    <w:p>
      <w:pPr>
        <w:pStyle w:val="BodyText"/>
        <w:spacing w:line="364" w:lineRule="auto"/>
        <w:ind w:left="413" w:right="1414" w:firstLine="420"/>
      </w:pPr>
      <w:r>
        <w:rPr/>
        <w:t>本基金还可适度参与目标 ETF 基金份额交易和申购、赎回之间的套利，以增强基金收益。</w:t>
      </w:r>
    </w:p>
    <w:p>
      <w:pPr>
        <w:pStyle w:val="BodyText"/>
        <w:spacing w:line="268" w:lineRule="exact"/>
        <w:ind w:left="833"/>
      </w:pPr>
      <w:r>
        <w:rPr/>
        <w:t>为更好地实现投资目标，本基金可投资存托凭证。</w:t>
      </w:r>
    </w:p>
    <w:p>
      <w:pPr>
        <w:pStyle w:val="BodyText"/>
        <w:spacing w:line="364" w:lineRule="auto" w:before="137"/>
        <w:ind w:left="413" w:right="1452" w:firstLine="420"/>
        <w:jc w:val="both"/>
      </w:pPr>
      <w:r>
        <w:rPr/>
        <w:t>此外，为更好地实现投资目标，本基金可投资股指期货和其他经中国证监会允许的衍生金融产品，如期权、权证以及其他与标的指数或标的指数成份股、备选成份股相关的衍生工具。本基金投资股指期货将根据风险管理的原则，以套期保值为目的，主要选择流动性好、交易活跃的股指期货合约。本基金将利用股指期货降低频繁调整股票仓位的交易成本并同时缩小跟踪误差，达到有效跟踪标的指数的目的。</w:t>
      </w:r>
    </w:p>
    <w:p>
      <w:pPr>
        <w:pStyle w:val="Heading3"/>
        <w:spacing w:line="357" w:lineRule="exact"/>
      </w:pPr>
      <w:bookmarkStart w:name="_bookmark48" w:id="49"/>
      <w:bookmarkEnd w:id="49"/>
      <w:r>
        <w:rPr/>
      </w:r>
      <w:r>
        <w:rPr/>
        <w:t>（五）投资决策依据与流程</w:t>
      </w:r>
    </w:p>
    <w:p>
      <w:pPr>
        <w:pStyle w:val="BodyText"/>
        <w:spacing w:before="185"/>
        <w:ind w:left="833"/>
      </w:pPr>
      <w:r>
        <w:rPr/>
        <w:t>1、投资决策依据</w:t>
      </w:r>
    </w:p>
    <w:p>
      <w:pPr>
        <w:pStyle w:val="ListParagraph"/>
        <w:numPr>
          <w:ilvl w:val="0"/>
          <w:numId w:val="16"/>
        </w:numPr>
        <w:tabs>
          <w:tab w:pos="1360" w:val="left" w:leader="none"/>
        </w:tabs>
        <w:spacing w:line="240" w:lineRule="auto" w:before="139" w:after="0"/>
        <w:ind w:left="1360" w:right="0" w:hanging="527"/>
        <w:jc w:val="left"/>
        <w:rPr>
          <w:sz w:val="21"/>
        </w:rPr>
      </w:pPr>
      <w:r>
        <w:rPr>
          <w:sz w:val="21"/>
        </w:rPr>
        <w:t>法律、法规和《基金合同》的规定；</w:t>
      </w:r>
    </w:p>
    <w:p>
      <w:pPr>
        <w:pStyle w:val="ListParagraph"/>
        <w:numPr>
          <w:ilvl w:val="0"/>
          <w:numId w:val="16"/>
        </w:numPr>
        <w:tabs>
          <w:tab w:pos="1360" w:val="left" w:leader="none"/>
        </w:tabs>
        <w:spacing w:line="240" w:lineRule="auto" w:before="140" w:after="0"/>
        <w:ind w:left="1360" w:right="0" w:hanging="527"/>
        <w:jc w:val="left"/>
        <w:rPr>
          <w:sz w:val="21"/>
        </w:rPr>
      </w:pPr>
      <w:r>
        <w:rPr>
          <w:spacing w:val="-18"/>
          <w:sz w:val="21"/>
        </w:rPr>
        <w:t>沪深 </w:t>
      </w:r>
      <w:r>
        <w:rPr>
          <w:sz w:val="21"/>
        </w:rPr>
        <w:t>300</w:t>
      </w:r>
      <w:r>
        <w:rPr>
          <w:spacing w:val="-8"/>
          <w:sz w:val="21"/>
        </w:rPr>
        <w:t> 指数的编制方法及调整公告等；</w:t>
      </w:r>
    </w:p>
    <w:p>
      <w:pPr>
        <w:pStyle w:val="ListParagraph"/>
        <w:numPr>
          <w:ilvl w:val="0"/>
          <w:numId w:val="16"/>
        </w:numPr>
        <w:tabs>
          <w:tab w:pos="1360" w:val="left" w:leader="none"/>
        </w:tabs>
        <w:spacing w:line="240" w:lineRule="auto" w:before="139" w:after="0"/>
        <w:ind w:left="1360" w:right="0" w:hanging="527"/>
        <w:jc w:val="left"/>
        <w:rPr>
          <w:sz w:val="21"/>
        </w:rPr>
      </w:pPr>
      <w:r>
        <w:rPr>
          <w:sz w:val="21"/>
        </w:rPr>
        <w:t>对证券市场发展趋势的研究与判断。</w:t>
      </w:r>
    </w:p>
    <w:p>
      <w:pPr>
        <w:pStyle w:val="BodyText"/>
        <w:spacing w:before="140"/>
        <w:ind w:left="833"/>
      </w:pPr>
      <w:r>
        <w:rPr/>
        <w:t>2、投资决策流程</w:t>
      </w:r>
    </w:p>
    <w:p>
      <w:pPr>
        <w:pStyle w:val="ListParagraph"/>
        <w:numPr>
          <w:ilvl w:val="0"/>
          <w:numId w:val="17"/>
        </w:numPr>
        <w:tabs>
          <w:tab w:pos="1360" w:val="left" w:leader="none"/>
        </w:tabs>
        <w:spacing w:line="240" w:lineRule="auto" w:before="139" w:after="0"/>
        <w:ind w:left="1360" w:right="0" w:hanging="527"/>
        <w:jc w:val="left"/>
        <w:rPr>
          <w:sz w:val="21"/>
        </w:rPr>
      </w:pPr>
      <w:r>
        <w:rPr>
          <w:sz w:val="21"/>
        </w:rPr>
        <w:t>基金经理拟定资产配置计划，按照制度提交审议并实施；</w:t>
      </w:r>
    </w:p>
    <w:p>
      <w:pPr>
        <w:pStyle w:val="ListParagraph"/>
        <w:numPr>
          <w:ilvl w:val="0"/>
          <w:numId w:val="17"/>
        </w:numPr>
        <w:tabs>
          <w:tab w:pos="1360" w:val="left" w:leader="none"/>
        </w:tabs>
        <w:spacing w:line="240" w:lineRule="auto" w:before="139" w:after="0"/>
        <w:ind w:left="1360" w:right="0" w:hanging="527"/>
        <w:jc w:val="left"/>
        <w:rPr>
          <w:sz w:val="21"/>
        </w:rPr>
      </w:pPr>
      <w:r>
        <w:rPr>
          <w:spacing w:val="-2"/>
          <w:sz w:val="21"/>
        </w:rPr>
        <w:t>基金经理采用申赎的方式或证券二级市场交易的方式进行目标 </w:t>
      </w:r>
      <w:r>
        <w:rPr>
          <w:sz w:val="21"/>
        </w:rPr>
        <w:t>ETF</w:t>
      </w:r>
      <w:r>
        <w:rPr>
          <w:spacing w:val="-12"/>
          <w:sz w:val="21"/>
        </w:rPr>
        <w:t> 的买卖；</w:t>
      </w:r>
    </w:p>
    <w:p>
      <w:pPr>
        <w:pStyle w:val="ListParagraph"/>
        <w:numPr>
          <w:ilvl w:val="0"/>
          <w:numId w:val="17"/>
        </w:numPr>
        <w:tabs>
          <w:tab w:pos="1360" w:val="left" w:leader="none"/>
        </w:tabs>
        <w:spacing w:line="364" w:lineRule="auto" w:before="140" w:after="0"/>
        <w:ind w:left="413" w:right="1451" w:firstLine="420"/>
        <w:jc w:val="left"/>
        <w:rPr>
          <w:sz w:val="21"/>
        </w:rPr>
      </w:pPr>
      <w:r>
        <w:rPr>
          <w:spacing w:val="-2"/>
          <w:sz w:val="21"/>
        </w:rPr>
        <w:t>投资风险管理部门定期对投资组合的偏离度和跟踪误差进行跟踪和评估，并反馈</w:t>
      </w:r>
      <w:r>
        <w:rPr>
          <w:sz w:val="21"/>
        </w:rPr>
        <w:t>报告；</w:t>
      </w:r>
    </w:p>
    <w:p>
      <w:pPr>
        <w:pStyle w:val="ListParagraph"/>
        <w:numPr>
          <w:ilvl w:val="0"/>
          <w:numId w:val="17"/>
        </w:numPr>
        <w:tabs>
          <w:tab w:pos="1360" w:val="left" w:leader="none"/>
        </w:tabs>
        <w:spacing w:line="364" w:lineRule="auto" w:before="0" w:after="0"/>
        <w:ind w:left="413" w:right="1451" w:firstLine="420"/>
        <w:jc w:val="left"/>
        <w:rPr>
          <w:sz w:val="21"/>
        </w:rPr>
      </w:pPr>
      <w:r>
        <w:rPr>
          <w:spacing w:val="-3"/>
          <w:sz w:val="21"/>
        </w:rPr>
        <w:t>基金经理根据投资风险管理部门的报告、组合状况和跟踪误差来源等情况，适时</w:t>
      </w:r>
      <w:r>
        <w:rPr>
          <w:sz w:val="21"/>
        </w:rPr>
        <w:t>进行投资组合调整。</w:t>
      </w:r>
    </w:p>
    <w:p>
      <w:pPr>
        <w:pStyle w:val="Heading3"/>
      </w:pPr>
      <w:bookmarkStart w:name="_bookmark49" w:id="50"/>
      <w:bookmarkEnd w:id="50"/>
      <w:r>
        <w:rPr/>
      </w:r>
      <w:r>
        <w:rPr/>
        <w:t>（六）业绩比较基准</w:t>
      </w:r>
    </w:p>
    <w:p>
      <w:pPr>
        <w:pStyle w:val="BodyText"/>
        <w:spacing w:before="184"/>
        <w:ind w:left="833"/>
      </w:pPr>
      <w:r>
        <w:rPr/>
        <w:t>沪深 300 指数收益率×95%+活期存款利率(税后)×5%。</w:t>
      </w:r>
    </w:p>
    <w:p>
      <w:pPr>
        <w:pStyle w:val="BodyText"/>
        <w:spacing w:line="364" w:lineRule="auto" w:before="139"/>
        <w:ind w:left="413" w:right="1242" w:firstLine="420"/>
      </w:pPr>
      <w:r>
        <w:rPr>
          <w:spacing w:val="-11"/>
        </w:rPr>
        <w:t>如果沪深 </w:t>
      </w:r>
      <w:r>
        <w:rPr/>
        <w:t>300ETF</w:t>
      </w:r>
      <w:r>
        <w:rPr>
          <w:spacing w:val="-13"/>
        </w:rPr>
        <w:t> 变更业绩比较基准、或沪深 </w:t>
      </w:r>
      <w:r>
        <w:rPr/>
        <w:t>300</w:t>
      </w:r>
      <w:r>
        <w:rPr>
          <w:spacing w:val="-11"/>
        </w:rPr>
        <w:t> 指数编制单位变更或停止沪深 </w:t>
      </w:r>
      <w:r>
        <w:rPr/>
        <w:t>300</w:t>
      </w:r>
      <w:r>
        <w:rPr>
          <w:spacing w:val="-18"/>
        </w:rPr>
        <w:t> 指数</w:t>
      </w:r>
      <w:r>
        <w:rPr>
          <w:spacing w:val="-19"/>
        </w:rPr>
        <w:t>的编制及发布、或沪深 </w:t>
      </w:r>
      <w:r>
        <w:rPr/>
        <w:t>300</w:t>
      </w:r>
      <w:r>
        <w:rPr>
          <w:spacing w:val="-8"/>
        </w:rPr>
        <w:t> 指数由其他指数替代、或沪深 </w:t>
      </w:r>
      <w:r>
        <w:rPr/>
        <w:t>300</w:t>
      </w:r>
      <w:r>
        <w:rPr>
          <w:spacing w:val="-6"/>
        </w:rPr>
        <w:t> 指数编制方法发生重大变更导致该指数不宜继续作为业绩比较基准的组成部分，本基金管理人可以依据维护投资者 合法权益的原则，变更本基金基金名称、调整业绩比较基准，但应取得基金托管人同意后， 报中国证监会备案，并及时公告，无须召开基金份额持有人大会。</w:t>
      </w:r>
    </w:p>
    <w:p>
      <w:pPr>
        <w:spacing w:after="0" w:line="364" w:lineRule="auto"/>
        <w:sectPr>
          <w:pgSz w:w="11910" w:h="16840"/>
          <w:pgMar w:header="0" w:footer="1166" w:top="1600" w:bottom="1440" w:left="1400" w:right="360"/>
        </w:sectPr>
      </w:pPr>
    </w:p>
    <w:p>
      <w:pPr>
        <w:pStyle w:val="Heading3"/>
        <w:spacing w:before="105"/>
      </w:pPr>
      <w:bookmarkStart w:name="_bookmark50" w:id="51"/>
      <w:bookmarkEnd w:id="51"/>
      <w:r>
        <w:rPr/>
      </w:r>
      <w:r>
        <w:rPr/>
        <w:t>（七）风险收益特征</w:t>
      </w:r>
    </w:p>
    <w:p>
      <w:pPr>
        <w:pStyle w:val="BodyText"/>
        <w:spacing w:line="364" w:lineRule="auto" w:before="185"/>
        <w:ind w:left="413" w:right="1451" w:firstLine="420"/>
        <w:jc w:val="both"/>
      </w:pPr>
      <w:r>
        <w:rPr>
          <w:spacing w:val="-8"/>
        </w:rPr>
        <w:t>本基金为沪深 </w:t>
      </w:r>
      <w:r>
        <w:rPr/>
        <w:t>300ETF</w:t>
      </w:r>
      <w:r>
        <w:rPr>
          <w:spacing w:val="-9"/>
        </w:rPr>
        <w:t> 的联接基金，其预期风险收益水平高于混合型基金、债券基金和</w:t>
      </w:r>
      <w:r>
        <w:rPr>
          <w:spacing w:val="-6"/>
        </w:rPr>
        <w:t>货币市场基金；本基金主要通过投资沪深 </w:t>
      </w:r>
      <w:r>
        <w:rPr/>
        <w:t>300ETF</w:t>
      </w:r>
      <w:r>
        <w:rPr>
          <w:spacing w:val="-9"/>
        </w:rPr>
        <w:t> 实现对业绩比较基准的紧密跟踪，具有与</w:t>
      </w:r>
      <w:r>
        <w:rPr/>
        <w:t>业绩比较基准相似的风险收益特征。</w:t>
      </w:r>
    </w:p>
    <w:p>
      <w:pPr>
        <w:pStyle w:val="Heading3"/>
        <w:spacing w:line="358" w:lineRule="exact"/>
      </w:pPr>
      <w:bookmarkStart w:name="_bookmark51" w:id="52"/>
      <w:bookmarkEnd w:id="52"/>
      <w:r>
        <w:rPr/>
      </w:r>
      <w:r>
        <w:rPr/>
        <w:t>（八）投资限制</w:t>
      </w:r>
    </w:p>
    <w:p>
      <w:pPr>
        <w:pStyle w:val="BodyText"/>
        <w:spacing w:before="185"/>
        <w:ind w:left="833"/>
      </w:pPr>
      <w:r>
        <w:rPr/>
        <w:t>1、组合限制</w:t>
      </w:r>
    </w:p>
    <w:p>
      <w:pPr>
        <w:pStyle w:val="BodyText"/>
        <w:spacing w:before="139"/>
        <w:ind w:left="833"/>
      </w:pPr>
      <w:r>
        <w:rPr/>
        <w:t>本基金的投资组合将遵循以下限制：</w:t>
      </w:r>
    </w:p>
    <w:p>
      <w:pPr>
        <w:pStyle w:val="ListParagraph"/>
        <w:numPr>
          <w:ilvl w:val="0"/>
          <w:numId w:val="18"/>
        </w:numPr>
        <w:tabs>
          <w:tab w:pos="1150" w:val="left" w:leader="none"/>
        </w:tabs>
        <w:spacing w:line="364" w:lineRule="auto" w:before="140" w:after="0"/>
        <w:ind w:left="413" w:right="1451" w:firstLine="420"/>
        <w:jc w:val="left"/>
        <w:rPr>
          <w:sz w:val="21"/>
        </w:rPr>
      </w:pPr>
      <w:r>
        <w:rPr>
          <w:sz w:val="21"/>
        </w:rPr>
        <w:t>本基金资产中投资于目标ETF的比例不低于基金非现金基金资产的</w:t>
      </w:r>
      <w:r>
        <w:rPr>
          <w:spacing w:val="-4"/>
          <w:sz w:val="21"/>
        </w:rPr>
        <w:t>80%</w:t>
      </w:r>
      <w:r>
        <w:rPr>
          <w:spacing w:val="-5"/>
          <w:sz w:val="21"/>
        </w:rPr>
        <w:t>；本基金投资</w:t>
      </w:r>
      <w:r>
        <w:rPr>
          <w:sz w:val="21"/>
        </w:rPr>
        <w:t>于目标ETF的资产比例不低于基金资产净值的90%；</w:t>
      </w:r>
    </w:p>
    <w:p>
      <w:pPr>
        <w:pStyle w:val="ListParagraph"/>
        <w:numPr>
          <w:ilvl w:val="0"/>
          <w:numId w:val="18"/>
        </w:numPr>
        <w:tabs>
          <w:tab w:pos="1152" w:val="left" w:leader="none"/>
        </w:tabs>
        <w:spacing w:line="364" w:lineRule="auto" w:before="0" w:after="0"/>
        <w:ind w:left="413" w:right="1451" w:firstLine="420"/>
        <w:jc w:val="both"/>
        <w:rPr>
          <w:sz w:val="21"/>
        </w:rPr>
      </w:pPr>
      <w:r>
        <w:rPr>
          <w:sz w:val="21"/>
        </w:rPr>
        <w:t>本基金持有的全部权证，其市值不得超过基金资产净值的</w:t>
      </w:r>
      <w:r>
        <w:rPr>
          <w:spacing w:val="2"/>
          <w:sz w:val="21"/>
        </w:rPr>
        <w:t>3</w:t>
      </w:r>
      <w:r>
        <w:rPr>
          <w:sz w:val="21"/>
        </w:rPr>
        <w:t>％；本基金在任何交易日买入权证的总金额不得超过上一交易日基金资产净值的</w:t>
      </w:r>
      <w:r>
        <w:rPr>
          <w:spacing w:val="-4"/>
          <w:sz w:val="21"/>
        </w:rPr>
        <w:t>0.5％；本基金管理人管理的全部</w:t>
      </w:r>
      <w:r>
        <w:rPr>
          <w:sz w:val="21"/>
        </w:rPr>
        <w:t>基金持有的同一权证，不得超过该权证的10％；法律法规或中国证监会另有规定的，遵从其规定；</w:t>
      </w:r>
    </w:p>
    <w:p>
      <w:pPr>
        <w:pStyle w:val="ListParagraph"/>
        <w:numPr>
          <w:ilvl w:val="0"/>
          <w:numId w:val="18"/>
        </w:numPr>
        <w:tabs>
          <w:tab w:pos="1155" w:val="left" w:leader="none"/>
        </w:tabs>
        <w:spacing w:line="364" w:lineRule="auto" w:before="0" w:after="0"/>
        <w:ind w:left="413" w:right="1451" w:firstLine="420"/>
        <w:jc w:val="both"/>
        <w:rPr>
          <w:sz w:val="21"/>
        </w:rPr>
      </w:pPr>
      <w:r>
        <w:rPr>
          <w:spacing w:val="4"/>
          <w:sz w:val="21"/>
        </w:rPr>
        <w:t>本基金进入全国银行间同业市场进行债券回购的资金余额不得超过基金资产净值</w:t>
      </w:r>
      <w:r>
        <w:rPr>
          <w:spacing w:val="-22"/>
          <w:sz w:val="21"/>
        </w:rPr>
        <w:t>的 </w:t>
      </w:r>
      <w:r>
        <w:rPr>
          <w:sz w:val="21"/>
        </w:rPr>
        <w:t>40</w:t>
      </w:r>
      <w:r>
        <w:rPr>
          <w:spacing w:val="-2"/>
          <w:sz w:val="21"/>
        </w:rPr>
        <w:t>％；本基金进入全国银行间同业市场进行债券回购的最长期限为 </w:t>
      </w:r>
      <w:r>
        <w:rPr>
          <w:sz w:val="21"/>
        </w:rPr>
        <w:t>1</w:t>
      </w:r>
      <w:r>
        <w:rPr>
          <w:spacing w:val="-7"/>
          <w:sz w:val="21"/>
        </w:rPr>
        <w:t> 年，债券回购到期后不得展期；</w:t>
      </w:r>
    </w:p>
    <w:p>
      <w:pPr>
        <w:pStyle w:val="ListParagraph"/>
        <w:numPr>
          <w:ilvl w:val="0"/>
          <w:numId w:val="18"/>
        </w:numPr>
        <w:tabs>
          <w:tab w:pos="1150" w:val="left" w:leader="none"/>
        </w:tabs>
        <w:spacing w:line="364" w:lineRule="auto" w:before="0" w:after="0"/>
        <w:ind w:left="413" w:right="1451" w:firstLine="420"/>
        <w:jc w:val="left"/>
        <w:rPr>
          <w:sz w:val="21"/>
        </w:rPr>
      </w:pPr>
      <w:r>
        <w:rPr>
          <w:spacing w:val="-3"/>
          <w:sz w:val="21"/>
        </w:rPr>
        <w:t>本基金参与股票发行申购，本基金所申报的金额不超过本基金的总资产，本基金所</w:t>
      </w:r>
      <w:r>
        <w:rPr>
          <w:sz w:val="21"/>
        </w:rPr>
        <w:t>申报的股票数量不超过拟发行股票公司本次发行股票的总量；</w:t>
      </w:r>
    </w:p>
    <w:p>
      <w:pPr>
        <w:pStyle w:val="ListParagraph"/>
        <w:numPr>
          <w:ilvl w:val="0"/>
          <w:numId w:val="18"/>
        </w:numPr>
        <w:tabs>
          <w:tab w:pos="1150" w:val="left" w:leader="none"/>
        </w:tabs>
        <w:spacing w:line="364" w:lineRule="auto" w:before="0" w:after="0"/>
        <w:ind w:left="413" w:right="1242" w:firstLine="420"/>
        <w:jc w:val="left"/>
        <w:rPr>
          <w:sz w:val="21"/>
        </w:rPr>
      </w:pPr>
      <w:r>
        <w:rPr>
          <w:spacing w:val="-3"/>
          <w:sz w:val="21"/>
        </w:rPr>
        <w:t>当基金投资于股指期货时，在任何交易日日终，持有的买入股指期货合约价值，不 </w:t>
      </w:r>
      <w:r>
        <w:rPr>
          <w:spacing w:val="-7"/>
          <w:sz w:val="21"/>
        </w:rPr>
        <w:t>得超过基金资产净值的 </w:t>
      </w:r>
      <w:r>
        <w:rPr>
          <w:spacing w:val="-14"/>
          <w:sz w:val="21"/>
        </w:rPr>
        <w:t>10%</w:t>
      </w:r>
      <w:r>
        <w:rPr>
          <w:spacing w:val="-6"/>
          <w:sz w:val="21"/>
        </w:rPr>
        <w:t>；在任何交易日日终，持有的买入期货合约价值与有价证券市值之</w:t>
      </w:r>
      <w:r>
        <w:rPr>
          <w:spacing w:val="-7"/>
          <w:sz w:val="21"/>
        </w:rPr>
        <w:t>和,不得超过基金资产净值的 </w:t>
      </w:r>
      <w:r>
        <w:rPr>
          <w:sz w:val="21"/>
        </w:rPr>
        <w:t>95</w:t>
      </w:r>
      <w:r>
        <w:rPr>
          <w:spacing w:val="-1"/>
          <w:sz w:val="21"/>
        </w:rPr>
        <w:t>%，其中，有价证券指目标 </w:t>
      </w:r>
      <w:r>
        <w:rPr>
          <w:sz w:val="21"/>
        </w:rPr>
        <w:t>ETF、股票、债券（</w:t>
      </w:r>
      <w:r>
        <w:rPr>
          <w:spacing w:val="1"/>
          <w:sz w:val="21"/>
        </w:rPr>
        <w:t>不含到期日</w:t>
      </w:r>
      <w:r>
        <w:rPr>
          <w:spacing w:val="4"/>
          <w:sz w:val="21"/>
        </w:rPr>
        <w:t>在一年以内的政府债券</w:t>
      </w:r>
      <w:r>
        <w:rPr>
          <w:spacing w:val="-101"/>
          <w:sz w:val="21"/>
        </w:rPr>
        <w:t>）</w:t>
      </w:r>
      <w:r>
        <w:rPr>
          <w:spacing w:val="4"/>
          <w:sz w:val="21"/>
        </w:rPr>
        <w:t>、权证、资产支持证券、买入返售金融资产</w:t>
      </w:r>
      <w:r>
        <w:rPr>
          <w:spacing w:val="5"/>
          <w:sz w:val="21"/>
        </w:rPr>
        <w:t>（</w:t>
      </w:r>
      <w:r>
        <w:rPr>
          <w:spacing w:val="4"/>
          <w:sz w:val="21"/>
        </w:rPr>
        <w:t>不含质押式回购</w:t>
      </w:r>
      <w:r>
        <w:rPr>
          <w:sz w:val="21"/>
        </w:rPr>
        <w:t>） 等；基金在任何交易日日终，持有的卖出期货合约价值不得超过基金持有的股票总市值及 </w:t>
      </w:r>
      <w:r>
        <w:rPr>
          <w:spacing w:val="-17"/>
          <w:sz w:val="21"/>
        </w:rPr>
        <w:t>目标 </w:t>
      </w:r>
      <w:r>
        <w:rPr>
          <w:sz w:val="21"/>
        </w:rPr>
        <w:t>ETF</w:t>
      </w:r>
      <w:r>
        <w:rPr>
          <w:spacing w:val="-18"/>
          <w:sz w:val="21"/>
        </w:rPr>
        <w:t> 总市值的 </w:t>
      </w:r>
      <w:r>
        <w:rPr>
          <w:spacing w:val="-14"/>
          <w:sz w:val="21"/>
        </w:rPr>
        <w:t>20%</w:t>
      </w:r>
      <w:r>
        <w:rPr>
          <w:spacing w:val="-5"/>
          <w:sz w:val="21"/>
        </w:rPr>
        <w:t>；在任何交易日内交易</w:t>
      </w:r>
      <w:r>
        <w:rPr>
          <w:sz w:val="21"/>
        </w:rPr>
        <w:t>（不包括平仓</w:t>
      </w:r>
      <w:r>
        <w:rPr>
          <w:spacing w:val="-8"/>
          <w:sz w:val="21"/>
        </w:rPr>
        <w:t>）</w:t>
      </w:r>
      <w:r>
        <w:rPr>
          <w:sz w:val="21"/>
        </w:rPr>
        <w:t>的股指期货合约的成交金额不得</w:t>
      </w:r>
      <w:r>
        <w:rPr>
          <w:spacing w:val="-4"/>
          <w:sz w:val="21"/>
        </w:rPr>
        <w:t>超过上一交易日基金资产净值的 </w:t>
      </w:r>
      <w:r>
        <w:rPr>
          <w:sz w:val="21"/>
        </w:rPr>
        <w:t>20%；</w:t>
      </w:r>
    </w:p>
    <w:p>
      <w:pPr>
        <w:pStyle w:val="ListParagraph"/>
        <w:numPr>
          <w:ilvl w:val="0"/>
          <w:numId w:val="18"/>
        </w:numPr>
        <w:tabs>
          <w:tab w:pos="1150" w:val="left" w:leader="none"/>
        </w:tabs>
        <w:spacing w:line="364" w:lineRule="auto" w:before="0" w:after="0"/>
        <w:ind w:left="413" w:right="1242" w:firstLine="420"/>
        <w:jc w:val="left"/>
        <w:rPr>
          <w:sz w:val="21"/>
        </w:rPr>
      </w:pPr>
      <w:r>
        <w:rPr>
          <w:spacing w:val="-1"/>
          <w:sz w:val="21"/>
        </w:rPr>
        <w:t>每个交易日日终在扣除股指期货合约需缴纳的交易保证金后，应当保持不低于基金 </w:t>
      </w:r>
      <w:r>
        <w:rPr>
          <w:spacing w:val="-10"/>
          <w:sz w:val="21"/>
        </w:rPr>
        <w:t>资产净值 </w:t>
      </w:r>
      <w:r>
        <w:rPr>
          <w:sz w:val="21"/>
        </w:rPr>
        <w:t>5%的现金或到期日在一年以内的政府债券，现金不包括结算备付金、存出保证金、应收申购款等；</w:t>
      </w:r>
    </w:p>
    <w:p>
      <w:pPr>
        <w:pStyle w:val="ListParagraph"/>
        <w:numPr>
          <w:ilvl w:val="0"/>
          <w:numId w:val="18"/>
        </w:numPr>
        <w:tabs>
          <w:tab w:pos="1150" w:val="left" w:leader="none"/>
        </w:tabs>
        <w:spacing w:line="364" w:lineRule="auto" w:before="0" w:after="0"/>
        <w:ind w:left="413" w:right="1242" w:firstLine="420"/>
        <w:jc w:val="left"/>
        <w:rPr>
          <w:sz w:val="21"/>
        </w:rPr>
      </w:pPr>
      <w:r>
        <w:rPr>
          <w:spacing w:val="-1"/>
          <w:sz w:val="21"/>
        </w:rPr>
        <w:t>本基金投资于同一原始权益人的各类资产支持证券的比例，不得超过基金资产净值 </w:t>
      </w:r>
      <w:r>
        <w:rPr>
          <w:spacing w:val="-29"/>
          <w:sz w:val="21"/>
        </w:rPr>
        <w:t>的 </w:t>
      </w:r>
      <w:r>
        <w:rPr>
          <w:sz w:val="21"/>
        </w:rPr>
        <w:t>10％</w:t>
      </w:r>
      <w:r>
        <w:rPr>
          <w:spacing w:val="-2"/>
          <w:sz w:val="21"/>
        </w:rPr>
        <w:t>；本基金持有的全部资产支持证券，其市值不得超过基金资产净值的 </w:t>
      </w:r>
      <w:r>
        <w:rPr>
          <w:sz w:val="21"/>
        </w:rPr>
        <w:t>20％；本基金</w:t>
      </w:r>
      <w:r>
        <w:rPr>
          <w:spacing w:val="-2"/>
          <w:sz w:val="21"/>
        </w:rPr>
        <w:t>持有的同一(指同一信用级别)资产支持证券的比例，不得超过该资产支持证券规模的 </w:t>
      </w:r>
      <w:r>
        <w:rPr>
          <w:sz w:val="21"/>
        </w:rPr>
        <w:t>10％； 本基金管理人管理的全部基金投资于同一原始权益人的各类资产支持证券，不得超过其各</w:t>
      </w:r>
    </w:p>
    <w:p>
      <w:pPr>
        <w:spacing w:after="0" w:line="364" w:lineRule="auto"/>
        <w:jc w:val="left"/>
        <w:rPr>
          <w:sz w:val="21"/>
        </w:rPr>
        <w:sectPr>
          <w:pgSz w:w="11910" w:h="16840"/>
          <w:pgMar w:header="0" w:footer="1166" w:top="1600" w:bottom="1440" w:left="1400" w:right="360"/>
        </w:sectPr>
      </w:pPr>
    </w:p>
    <w:p>
      <w:pPr>
        <w:pStyle w:val="BodyText"/>
        <w:spacing w:line="364" w:lineRule="auto" w:before="104"/>
        <w:ind w:left="413" w:right="1452"/>
        <w:jc w:val="both"/>
      </w:pPr>
      <w:r>
        <w:rPr>
          <w:spacing w:val="-3"/>
        </w:rPr>
        <w:t>类资产支持证券合计规模的 </w:t>
      </w:r>
      <w:r>
        <w:rPr/>
        <w:t>10</w:t>
      </w:r>
      <w:r>
        <w:rPr>
          <w:spacing w:val="-3"/>
        </w:rPr>
        <w:t>％；本基金应投资于信用级别评级为 </w:t>
      </w:r>
      <w:r>
        <w:rPr/>
        <w:t>BBB</w:t>
      </w:r>
      <w:r>
        <w:rPr>
          <w:spacing w:val="-12"/>
        </w:rPr>
        <w:t> 以上(含 </w:t>
      </w:r>
      <w:r>
        <w:rPr/>
        <w:t>BBB)的资产支持证券。基金持有资产支持证券期间，如果其信用等级下降、不再符合投资标准，应</w:t>
      </w:r>
      <w:r>
        <w:rPr>
          <w:spacing w:val="-5"/>
        </w:rPr>
        <w:t>在评级报告发布之日起 </w:t>
      </w:r>
      <w:r>
        <w:rPr/>
        <w:t>3</w:t>
      </w:r>
      <w:r>
        <w:rPr>
          <w:spacing w:val="-8"/>
        </w:rPr>
        <w:t> 个月内予以全部卖出；</w:t>
      </w:r>
    </w:p>
    <w:p>
      <w:pPr>
        <w:pStyle w:val="ListParagraph"/>
        <w:numPr>
          <w:ilvl w:val="0"/>
          <w:numId w:val="18"/>
        </w:numPr>
        <w:tabs>
          <w:tab w:pos="1150" w:val="left" w:leader="none"/>
        </w:tabs>
        <w:spacing w:line="268" w:lineRule="exact" w:before="0" w:after="0"/>
        <w:ind w:left="1150" w:right="0" w:hanging="317"/>
        <w:jc w:val="left"/>
        <w:rPr>
          <w:sz w:val="21"/>
        </w:rPr>
      </w:pPr>
      <w:r>
        <w:rPr>
          <w:sz w:val="21"/>
        </w:rPr>
        <w:t>持有一家上市公司的股票，其市值不超过基金资产净值的10%；</w:t>
      </w:r>
    </w:p>
    <w:p>
      <w:pPr>
        <w:pStyle w:val="ListParagraph"/>
        <w:numPr>
          <w:ilvl w:val="0"/>
          <w:numId w:val="18"/>
        </w:numPr>
        <w:tabs>
          <w:tab w:pos="1150" w:val="left" w:leader="none"/>
        </w:tabs>
        <w:spacing w:line="364" w:lineRule="auto" w:before="139" w:after="0"/>
        <w:ind w:left="833" w:right="1451" w:firstLine="0"/>
        <w:jc w:val="left"/>
        <w:rPr>
          <w:sz w:val="21"/>
        </w:rPr>
      </w:pPr>
      <w:r>
        <w:rPr>
          <w:spacing w:val="-2"/>
          <w:sz w:val="21"/>
        </w:rPr>
        <w:t>基金管理人管理的全部基金持有一家公司发行的证券总和，不超过该证券的 </w:t>
      </w:r>
      <w:r>
        <w:rPr>
          <w:sz w:val="21"/>
        </w:rPr>
        <w:t>10%； (10)</w:t>
      </w:r>
      <w:r>
        <w:rPr>
          <w:spacing w:val="-5"/>
          <w:sz w:val="21"/>
        </w:rPr>
        <w:t>本基金所持有的股票及目标 </w:t>
      </w:r>
      <w:r>
        <w:rPr>
          <w:sz w:val="21"/>
        </w:rPr>
        <w:t>ETF</w:t>
      </w:r>
      <w:r>
        <w:rPr>
          <w:spacing w:val="-14"/>
          <w:sz w:val="21"/>
        </w:rPr>
        <w:t> 总市值和买入、卖出股指期货合约价值，合计</w:t>
      </w:r>
      <w:r>
        <w:rPr>
          <w:sz w:val="21"/>
        </w:rPr>
        <w:t>（</w:t>
      </w:r>
      <w:r>
        <w:rPr>
          <w:spacing w:val="-13"/>
          <w:sz w:val="21"/>
        </w:rPr>
        <w:t>轧</w:t>
      </w:r>
    </w:p>
    <w:p>
      <w:pPr>
        <w:pStyle w:val="BodyText"/>
        <w:spacing w:line="268" w:lineRule="exact"/>
        <w:ind w:left="413"/>
      </w:pPr>
      <w:r>
        <w:rPr/>
        <w:t>差计算）应当符合基金合同关于股票和目标 ETF 投资比例的有关比例。</w:t>
      </w:r>
    </w:p>
    <w:p>
      <w:pPr>
        <w:pStyle w:val="ListParagraph"/>
        <w:numPr>
          <w:ilvl w:val="0"/>
          <w:numId w:val="19"/>
        </w:numPr>
        <w:tabs>
          <w:tab w:pos="1472" w:val="left" w:leader="none"/>
        </w:tabs>
        <w:spacing w:line="364" w:lineRule="auto" w:before="140" w:after="0"/>
        <w:ind w:left="413" w:right="1452" w:firstLine="420"/>
        <w:jc w:val="both"/>
        <w:rPr>
          <w:sz w:val="21"/>
        </w:rPr>
      </w:pPr>
      <w:r>
        <w:rPr>
          <w:sz w:val="21"/>
        </w:rPr>
        <w:t>本基金在任何交易日日终，参与转融通证券出借交易的资产不得超过基金资产</w:t>
      </w:r>
      <w:r>
        <w:rPr>
          <w:spacing w:val="-12"/>
          <w:sz w:val="21"/>
        </w:rPr>
        <w:t>净值的 </w:t>
      </w:r>
      <w:r>
        <w:rPr>
          <w:sz w:val="21"/>
        </w:rPr>
        <w:t>50</w:t>
      </w:r>
      <w:r>
        <w:rPr>
          <w:spacing w:val="-3"/>
          <w:sz w:val="21"/>
        </w:rPr>
        <w:t>%，证券出借的平均剩余期限不得超过 </w:t>
      </w:r>
      <w:r>
        <w:rPr>
          <w:sz w:val="21"/>
        </w:rPr>
        <w:t>30</w:t>
      </w:r>
      <w:r>
        <w:rPr>
          <w:spacing w:val="-7"/>
          <w:sz w:val="21"/>
        </w:rPr>
        <w:t> 天，平均剩余期限按照市值加权平均计算。</w:t>
      </w:r>
    </w:p>
    <w:p>
      <w:pPr>
        <w:pStyle w:val="ListParagraph"/>
        <w:numPr>
          <w:ilvl w:val="0"/>
          <w:numId w:val="19"/>
        </w:numPr>
        <w:tabs>
          <w:tab w:pos="1472" w:val="left" w:leader="none"/>
        </w:tabs>
        <w:spacing w:line="364" w:lineRule="auto" w:before="0" w:after="0"/>
        <w:ind w:left="413" w:right="1452" w:firstLine="420"/>
        <w:jc w:val="both"/>
        <w:rPr>
          <w:sz w:val="21"/>
        </w:rPr>
      </w:pPr>
      <w:r>
        <w:rPr>
          <w:sz w:val="21"/>
        </w:rPr>
        <w:t>基金参与融资业务后，在任何交易日日终，持有的融资买入股票与其他有价证</w:t>
      </w:r>
      <w:r>
        <w:rPr>
          <w:spacing w:val="-3"/>
          <w:sz w:val="21"/>
        </w:rPr>
        <w:t>券市值之和，不得超过基金资产净值的 </w:t>
      </w:r>
      <w:r>
        <w:rPr>
          <w:sz w:val="21"/>
        </w:rPr>
        <w:t>95%；</w:t>
      </w:r>
    </w:p>
    <w:p>
      <w:pPr>
        <w:pStyle w:val="ListParagraph"/>
        <w:numPr>
          <w:ilvl w:val="0"/>
          <w:numId w:val="20"/>
        </w:numPr>
        <w:tabs>
          <w:tab w:pos="1255" w:val="left" w:leader="none"/>
        </w:tabs>
        <w:spacing w:line="364" w:lineRule="auto" w:before="0" w:after="0"/>
        <w:ind w:left="833" w:right="1452" w:firstLine="0"/>
        <w:jc w:val="both"/>
        <w:rPr>
          <w:sz w:val="21"/>
        </w:rPr>
      </w:pPr>
      <w:r>
        <w:rPr>
          <w:spacing w:val="-2"/>
          <w:sz w:val="21"/>
        </w:rPr>
        <w:t>本基金主动投资于流动性受限资产的市值合计不得超过本基金资产净值的 </w:t>
      </w:r>
      <w:r>
        <w:rPr>
          <w:sz w:val="21"/>
        </w:rPr>
        <w:t>15%。因证券市场波动、上市公司股票停牌、基金规模变动等基金管理人之外的因素致使基</w:t>
      </w:r>
    </w:p>
    <w:p>
      <w:pPr>
        <w:pStyle w:val="BodyText"/>
        <w:spacing w:line="268" w:lineRule="exact"/>
        <w:ind w:left="413"/>
      </w:pPr>
      <w:r>
        <w:rPr/>
        <w:t>金不符合前款所规定比例限制的，基金管理人不得主动新增流动性受限资产的投资。</w:t>
      </w:r>
    </w:p>
    <w:p>
      <w:pPr>
        <w:pStyle w:val="ListParagraph"/>
        <w:numPr>
          <w:ilvl w:val="0"/>
          <w:numId w:val="20"/>
        </w:numPr>
        <w:tabs>
          <w:tab w:pos="1257" w:val="left" w:leader="none"/>
        </w:tabs>
        <w:spacing w:line="364" w:lineRule="auto" w:before="137" w:after="0"/>
        <w:ind w:left="413" w:right="1452"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0"/>
        </w:numPr>
        <w:tabs>
          <w:tab w:pos="1257" w:val="left" w:leader="none"/>
        </w:tabs>
        <w:spacing w:line="364" w:lineRule="auto" w:before="0" w:after="0"/>
        <w:ind w:left="413" w:right="1452" w:firstLine="420"/>
        <w:jc w:val="left"/>
        <w:rPr>
          <w:sz w:val="21"/>
        </w:rPr>
      </w:pPr>
      <w:r>
        <w:rPr>
          <w:sz w:val="21"/>
        </w:rPr>
        <w:t>本基金投资存托凭证的比例限制依照境内上市交易的股票执行，与境内上市交易的股票合并计算。</w:t>
      </w:r>
    </w:p>
    <w:p>
      <w:pPr>
        <w:pStyle w:val="ListParagraph"/>
        <w:numPr>
          <w:ilvl w:val="0"/>
          <w:numId w:val="20"/>
        </w:numPr>
        <w:tabs>
          <w:tab w:pos="1255" w:val="left" w:leader="none"/>
        </w:tabs>
        <w:spacing w:line="268" w:lineRule="exact" w:before="0" w:after="0"/>
        <w:ind w:left="1255" w:right="0" w:hanging="422"/>
        <w:jc w:val="left"/>
        <w:rPr>
          <w:sz w:val="21"/>
        </w:rPr>
      </w:pPr>
      <w:r>
        <w:rPr>
          <w:sz w:val="21"/>
        </w:rPr>
        <w:t>法律法规、基金合同规定的其他比例限制。</w:t>
      </w:r>
    </w:p>
    <w:p>
      <w:pPr>
        <w:pStyle w:val="BodyText"/>
        <w:spacing w:line="364" w:lineRule="auto" w:before="138"/>
        <w:ind w:left="413" w:right="1451" w:firstLine="420"/>
        <w:jc w:val="both"/>
      </w:pPr>
      <w:r>
        <w:rPr>
          <w:spacing w:val="2"/>
        </w:rPr>
        <w:t>除上述（4</w:t>
      </w:r>
      <w:r>
        <w:rPr>
          <w:spacing w:val="-103"/>
        </w:rPr>
        <w:t>）、</w:t>
      </w:r>
      <w:r>
        <w:rPr>
          <w:spacing w:val="2"/>
        </w:rPr>
        <w:t>（6</w:t>
      </w:r>
      <w:r>
        <w:rPr>
          <w:spacing w:val="-103"/>
        </w:rPr>
        <w:t>）、</w:t>
      </w:r>
      <w:r>
        <w:rPr>
          <w:spacing w:val="2"/>
        </w:rPr>
        <w:t>（</w:t>
      </w:r>
      <w:r>
        <w:rPr/>
        <w:t>1</w:t>
      </w:r>
      <w:r>
        <w:rPr>
          <w:spacing w:val="2"/>
        </w:rPr>
        <w:t>3</w:t>
      </w:r>
      <w:r>
        <w:rPr>
          <w:spacing w:val="-103"/>
        </w:rPr>
        <w:t>）、</w:t>
      </w:r>
      <w:r>
        <w:rPr>
          <w:spacing w:val="2"/>
        </w:rPr>
        <w:t>（</w:t>
      </w:r>
      <w:r>
        <w:rPr/>
        <w:t>1</w:t>
      </w:r>
      <w:r>
        <w:rPr>
          <w:spacing w:val="2"/>
        </w:rPr>
        <w:t>4）</w:t>
      </w:r>
      <w:r>
        <w:rPr>
          <w:spacing w:val="1"/>
        </w:rPr>
        <w:t>以外，因证券及期货市场波动、上市公司合并、基金</w:t>
      </w:r>
      <w:r>
        <w:rPr/>
        <w:t>规模变动、标的指数成份股调整、标的指数成份股流动性限制、目标 ETF</w:t>
      </w:r>
      <w:r>
        <w:rPr>
          <w:spacing w:val="-5"/>
        </w:rPr>
        <w:t> 暂停申购、赎回或二级市场交易停牌等基金管理人之外的因素致使基金投资比例不符合上述规定投资比例</w:t>
      </w:r>
      <w:r>
        <w:rPr>
          <w:spacing w:val="-8"/>
        </w:rPr>
        <w:t>的，基金管理人应当在 </w:t>
      </w:r>
      <w:r>
        <w:rPr/>
        <w:t>10</w:t>
      </w:r>
      <w:r>
        <w:rPr>
          <w:spacing w:val="-9"/>
        </w:rPr>
        <w:t> 个交易日内进行调整。法律法规另有规定的，从其规定。如果法</w:t>
      </w:r>
      <w:r>
        <w:rPr/>
        <w:t>律法规对上述投资比例限制进行变更的，以变更后的规定为准。如法律法规或监管部门取消上述限制，且适用于本基金，则本基金投资不再受相关限制。</w:t>
      </w:r>
    </w:p>
    <w:p>
      <w:pPr>
        <w:pStyle w:val="BodyText"/>
        <w:spacing w:line="364" w:lineRule="auto"/>
        <w:ind w:left="413" w:right="1452" w:firstLine="420"/>
        <w:jc w:val="both"/>
      </w:pPr>
      <w:r>
        <w:rPr>
          <w:spacing w:val="-2"/>
        </w:rPr>
        <w:t>基金管理人应当自基金合同生效之日起 </w:t>
      </w:r>
      <w:r>
        <w:rPr/>
        <w:t>6</w:t>
      </w:r>
      <w:r>
        <w:rPr>
          <w:spacing w:val="-5"/>
        </w:rPr>
        <w:t> 个月内使基金的投资组合比例符合基金合同的有关约定。基金托管人对基金的投资的监督与检查自基金合同生效之日起开始。</w:t>
      </w:r>
    </w:p>
    <w:p>
      <w:pPr>
        <w:pStyle w:val="BodyText"/>
        <w:spacing w:line="268" w:lineRule="exact"/>
        <w:ind w:left="833"/>
      </w:pPr>
      <w:r>
        <w:rPr/>
        <w:t>2、目标 ETF 发生相关变更情形时的处理</w:t>
      </w:r>
    </w:p>
    <w:p>
      <w:pPr>
        <w:pStyle w:val="BodyText"/>
        <w:spacing w:line="364" w:lineRule="auto" w:before="137"/>
        <w:ind w:left="413" w:right="1242" w:firstLine="420"/>
      </w:pPr>
      <w:r>
        <w:rPr>
          <w:spacing w:val="-10"/>
        </w:rPr>
        <w:t>目标 </w:t>
      </w:r>
      <w:r>
        <w:rPr/>
        <w:t>ETF</w:t>
      </w:r>
      <w:r>
        <w:rPr>
          <w:spacing w:val="-8"/>
        </w:rPr>
        <w:t> 出现下述情形之一的，本基金将由投资于目标 </w:t>
      </w:r>
      <w:r>
        <w:rPr/>
        <w:t>ETF</w:t>
      </w:r>
      <w:r>
        <w:rPr>
          <w:spacing w:val="-6"/>
        </w:rPr>
        <w:t> 的联接基金变更为直接投资该标的指数的指数基金；若届时本基金管理人已有以该指数作为标的指数的指数基金， 则本基金将本着维护投资者合法权益的原则，选取其他合适的指数作为标的指数。相应地， </w:t>
      </w:r>
      <w:r>
        <w:rPr>
          <w:spacing w:val="-9"/>
        </w:rPr>
        <w:t>基金合同中将删除关于目标 </w:t>
      </w:r>
      <w:r>
        <w:rPr/>
        <w:t>ETF</w:t>
      </w:r>
      <w:r>
        <w:rPr>
          <w:spacing w:val="-7"/>
        </w:rPr>
        <w:t> 的表述部分，或将变更标的指数，届时将由基金管理人另</w:t>
      </w:r>
    </w:p>
    <w:p>
      <w:pPr>
        <w:spacing w:after="0" w:line="364" w:lineRule="auto"/>
        <w:sectPr>
          <w:pgSz w:w="11910" w:h="16840"/>
          <w:pgMar w:header="0" w:footer="1166" w:top="1600" w:bottom="1440" w:left="1400" w:right="360"/>
        </w:sectPr>
      </w:pPr>
    </w:p>
    <w:p>
      <w:pPr>
        <w:pStyle w:val="BodyText"/>
        <w:spacing w:before="104"/>
        <w:ind w:left="413"/>
      </w:pPr>
      <w:r>
        <w:rPr/>
        <w:t>行公告。</w:t>
      </w:r>
    </w:p>
    <w:p>
      <w:pPr>
        <w:pStyle w:val="BodyText"/>
        <w:spacing w:line="364" w:lineRule="auto" w:before="139"/>
        <w:ind w:left="833" w:right="2809"/>
      </w:pPr>
      <w:r>
        <w:rPr/>
        <w:t>(1)</w:t>
      </w:r>
      <w:r>
        <w:rPr>
          <w:spacing w:val="-18"/>
        </w:rPr>
        <w:t>目标 </w:t>
      </w:r>
      <w:r>
        <w:rPr/>
        <w:t>ETF</w:t>
      </w:r>
      <w:r>
        <w:rPr>
          <w:spacing w:val="-9"/>
        </w:rPr>
        <w:t> 交易方式发生重大变更致使本基金的投资策略难以实现； </w:t>
      </w:r>
      <w:r>
        <w:rPr/>
        <w:t>(2)</w:t>
      </w:r>
      <w:r>
        <w:rPr>
          <w:spacing w:val="-18"/>
        </w:rPr>
        <w:t>目标 </w:t>
      </w:r>
      <w:r>
        <w:rPr/>
        <w:t>ETF</w:t>
      </w:r>
      <w:r>
        <w:rPr>
          <w:spacing w:val="-10"/>
        </w:rPr>
        <w:t> 终止上市；</w:t>
      </w:r>
    </w:p>
    <w:p>
      <w:pPr>
        <w:pStyle w:val="ListParagraph"/>
        <w:numPr>
          <w:ilvl w:val="0"/>
          <w:numId w:val="21"/>
        </w:numPr>
        <w:tabs>
          <w:tab w:pos="1150" w:val="left" w:leader="none"/>
        </w:tabs>
        <w:spacing w:line="268" w:lineRule="exact" w:before="0" w:after="0"/>
        <w:ind w:left="1150" w:right="0" w:hanging="317"/>
        <w:jc w:val="left"/>
        <w:rPr>
          <w:sz w:val="21"/>
        </w:rPr>
      </w:pPr>
      <w:r>
        <w:rPr>
          <w:spacing w:val="-18"/>
          <w:sz w:val="21"/>
        </w:rPr>
        <w:t>目标 </w:t>
      </w:r>
      <w:r>
        <w:rPr>
          <w:sz w:val="21"/>
        </w:rPr>
        <w:t>ETF</w:t>
      </w:r>
      <w:r>
        <w:rPr>
          <w:spacing w:val="-8"/>
          <w:sz w:val="21"/>
        </w:rPr>
        <w:t> 基金合同终止；</w:t>
      </w:r>
    </w:p>
    <w:p>
      <w:pPr>
        <w:pStyle w:val="ListParagraph"/>
        <w:numPr>
          <w:ilvl w:val="0"/>
          <w:numId w:val="21"/>
        </w:numPr>
        <w:tabs>
          <w:tab w:pos="1150" w:val="left" w:leader="none"/>
        </w:tabs>
        <w:spacing w:line="364" w:lineRule="auto" w:before="140" w:after="0"/>
        <w:ind w:left="413" w:right="1451" w:firstLine="420"/>
        <w:jc w:val="left"/>
        <w:rPr>
          <w:sz w:val="21"/>
        </w:rPr>
      </w:pPr>
      <w:r>
        <w:rPr>
          <w:spacing w:val="-18"/>
          <w:sz w:val="21"/>
        </w:rPr>
        <w:t>目标 </w:t>
      </w:r>
      <w:r>
        <w:rPr>
          <w:sz w:val="21"/>
        </w:rPr>
        <w:t>ETF</w:t>
      </w:r>
      <w:r>
        <w:rPr>
          <w:spacing w:val="-9"/>
          <w:sz w:val="21"/>
        </w:rPr>
        <w:t> 的基金管理人发生变更</w:t>
      </w:r>
      <w:r>
        <w:rPr>
          <w:sz w:val="21"/>
        </w:rPr>
        <w:t>（</w:t>
      </w:r>
      <w:r>
        <w:rPr>
          <w:spacing w:val="-5"/>
          <w:sz w:val="21"/>
        </w:rPr>
        <w:t>但变更后的本基金与目标 </w:t>
      </w:r>
      <w:r>
        <w:rPr>
          <w:sz w:val="21"/>
        </w:rPr>
        <w:t>ETF</w:t>
      </w:r>
      <w:r>
        <w:rPr>
          <w:spacing w:val="-9"/>
          <w:sz w:val="21"/>
        </w:rPr>
        <w:t> 的基金管理人相同</w:t>
      </w:r>
      <w:r>
        <w:rPr>
          <w:sz w:val="21"/>
        </w:rPr>
        <w:t>的除外</w:t>
      </w:r>
      <w:r>
        <w:rPr>
          <w:spacing w:val="-105"/>
          <w:sz w:val="21"/>
        </w:rPr>
        <w:t>）</w:t>
      </w:r>
      <w:r>
        <w:rPr>
          <w:sz w:val="21"/>
        </w:rPr>
        <w:t>。</w:t>
      </w:r>
    </w:p>
    <w:p>
      <w:pPr>
        <w:pStyle w:val="BodyText"/>
        <w:spacing w:line="364" w:lineRule="auto"/>
        <w:ind w:left="413" w:right="1241" w:firstLine="420"/>
      </w:pPr>
      <w:r>
        <w:rPr>
          <w:spacing w:val="-11"/>
        </w:rPr>
        <w:t>若目标 </w:t>
      </w:r>
      <w:r>
        <w:rPr/>
        <w:t>ETF</w:t>
      </w:r>
      <w:r>
        <w:rPr>
          <w:spacing w:val="-6"/>
        </w:rPr>
        <w:t> 变更标的指数，本基金将相应变更业绩比较基准且继续投资于该目标 </w:t>
      </w:r>
      <w:r>
        <w:rPr/>
        <w:t>ETF。</w:t>
      </w:r>
      <w:r>
        <w:rPr>
          <w:spacing w:val="-8"/>
        </w:rPr>
        <w:t>但目标 </w:t>
      </w:r>
      <w:r>
        <w:rPr/>
        <w:t>ETF</w:t>
      </w:r>
      <w:r>
        <w:rPr>
          <w:spacing w:val="-8"/>
        </w:rPr>
        <w:t> 召开基金份额持有人大会审议变更目标 </w:t>
      </w:r>
      <w:r>
        <w:rPr/>
        <w:t>ETF</w:t>
      </w:r>
      <w:r>
        <w:rPr>
          <w:spacing w:val="-6"/>
        </w:rPr>
        <w:t> 标的指数事项的，本基金的基金份额</w:t>
      </w:r>
      <w:r>
        <w:rPr>
          <w:spacing w:val="-9"/>
        </w:rPr>
        <w:t>持有人可出席目标 </w:t>
      </w:r>
      <w:r>
        <w:rPr/>
        <w:t>ETF</w:t>
      </w:r>
      <w:r>
        <w:rPr>
          <w:spacing w:val="-8"/>
        </w:rPr>
        <w:t> 基金份额持有人大会并进行表决，目标 </w:t>
      </w:r>
      <w:r>
        <w:rPr/>
        <w:t>ETF</w:t>
      </w:r>
      <w:r>
        <w:rPr>
          <w:spacing w:val="-6"/>
        </w:rPr>
        <w:t> 基金份额持有人大会审议通过变更标的指数事项的，本基金可不召开基金份额持有人大会相应变更标的指数并 仍为</w:t>
      </w:r>
      <w:r>
        <w:rPr>
          <w:spacing w:val="-18"/>
        </w:rPr>
        <w:t>该目标 </w:t>
      </w:r>
      <w:r>
        <w:rPr/>
        <w:t>ETF</w:t>
      </w:r>
      <w:r>
        <w:rPr>
          <w:spacing w:val="-9"/>
        </w:rPr>
        <w:t> 的联接基金。</w:t>
      </w:r>
    </w:p>
    <w:p>
      <w:pPr>
        <w:pStyle w:val="BodyText"/>
        <w:spacing w:line="267" w:lineRule="exact"/>
        <w:ind w:left="833"/>
      </w:pPr>
      <w:r>
        <w:rPr/>
        <w:t>3、禁止行为</w:t>
      </w:r>
    </w:p>
    <w:p>
      <w:pPr>
        <w:pStyle w:val="BodyText"/>
        <w:spacing w:before="138"/>
        <w:ind w:left="833"/>
      </w:pPr>
      <w:r>
        <w:rPr/>
        <w:t>为维护基金份额持有人的合法权益，基金财产不得用于下列投资或者活动：</w:t>
      </w:r>
    </w:p>
    <w:p>
      <w:pPr>
        <w:pStyle w:val="ListParagraph"/>
        <w:numPr>
          <w:ilvl w:val="0"/>
          <w:numId w:val="22"/>
        </w:numPr>
        <w:tabs>
          <w:tab w:pos="1360" w:val="left" w:leader="none"/>
        </w:tabs>
        <w:spacing w:line="240" w:lineRule="auto" w:before="140" w:after="0"/>
        <w:ind w:left="1360" w:right="0" w:hanging="527"/>
        <w:jc w:val="left"/>
        <w:rPr>
          <w:sz w:val="21"/>
        </w:rPr>
      </w:pPr>
      <w:r>
        <w:rPr>
          <w:sz w:val="21"/>
        </w:rPr>
        <w:t>承销证券；</w:t>
      </w:r>
    </w:p>
    <w:p>
      <w:pPr>
        <w:pStyle w:val="ListParagraph"/>
        <w:numPr>
          <w:ilvl w:val="0"/>
          <w:numId w:val="22"/>
        </w:numPr>
        <w:tabs>
          <w:tab w:pos="1360" w:val="left" w:leader="none"/>
        </w:tabs>
        <w:spacing w:line="240" w:lineRule="auto" w:before="139" w:after="0"/>
        <w:ind w:left="1360" w:right="0" w:hanging="527"/>
        <w:jc w:val="left"/>
        <w:rPr>
          <w:sz w:val="21"/>
        </w:rPr>
      </w:pPr>
      <w:r>
        <w:rPr>
          <w:sz w:val="21"/>
        </w:rPr>
        <w:t>违反规定向他人贷款或者提供担保；</w:t>
      </w:r>
    </w:p>
    <w:p>
      <w:pPr>
        <w:pStyle w:val="ListParagraph"/>
        <w:numPr>
          <w:ilvl w:val="0"/>
          <w:numId w:val="22"/>
        </w:numPr>
        <w:tabs>
          <w:tab w:pos="1360" w:val="left" w:leader="none"/>
        </w:tabs>
        <w:spacing w:line="240" w:lineRule="auto" w:before="140" w:after="0"/>
        <w:ind w:left="1360" w:right="0" w:hanging="527"/>
        <w:jc w:val="left"/>
        <w:rPr>
          <w:sz w:val="21"/>
        </w:rPr>
      </w:pPr>
      <w:r>
        <w:rPr>
          <w:sz w:val="21"/>
        </w:rPr>
        <w:t>从事承担无限责任的投资；</w:t>
      </w:r>
    </w:p>
    <w:p>
      <w:pPr>
        <w:pStyle w:val="ListParagraph"/>
        <w:numPr>
          <w:ilvl w:val="0"/>
          <w:numId w:val="22"/>
        </w:numPr>
        <w:tabs>
          <w:tab w:pos="1360" w:val="left" w:leader="none"/>
        </w:tabs>
        <w:spacing w:line="364" w:lineRule="auto" w:before="139" w:after="0"/>
        <w:ind w:left="413" w:right="1451" w:firstLine="420"/>
        <w:jc w:val="left"/>
        <w:rPr>
          <w:sz w:val="21"/>
        </w:rPr>
      </w:pPr>
      <w:r>
        <w:rPr>
          <w:spacing w:val="-4"/>
          <w:sz w:val="21"/>
        </w:rPr>
        <w:t>买卖其他基金份额，但本基金投资目标 </w:t>
      </w:r>
      <w:r>
        <w:rPr>
          <w:sz w:val="21"/>
        </w:rPr>
        <w:t>ETF</w:t>
      </w:r>
      <w:r>
        <w:rPr>
          <w:spacing w:val="-9"/>
          <w:sz w:val="21"/>
        </w:rPr>
        <w:t> 或者法律法规或中国证监会另有规定</w:t>
      </w:r>
      <w:r>
        <w:rPr>
          <w:sz w:val="21"/>
        </w:rPr>
        <w:t>的除外；</w:t>
      </w:r>
    </w:p>
    <w:p>
      <w:pPr>
        <w:pStyle w:val="ListParagraph"/>
        <w:numPr>
          <w:ilvl w:val="0"/>
          <w:numId w:val="22"/>
        </w:numPr>
        <w:tabs>
          <w:tab w:pos="1360" w:val="left" w:leader="none"/>
        </w:tabs>
        <w:spacing w:line="268" w:lineRule="exact" w:before="0" w:after="0"/>
        <w:ind w:left="1360" w:right="0" w:hanging="527"/>
        <w:jc w:val="left"/>
        <w:rPr>
          <w:sz w:val="21"/>
        </w:rPr>
      </w:pPr>
      <w:r>
        <w:rPr>
          <w:sz w:val="21"/>
        </w:rPr>
        <w:t>向其基金管理人、基金托管人出资；</w:t>
      </w:r>
    </w:p>
    <w:p>
      <w:pPr>
        <w:pStyle w:val="ListParagraph"/>
        <w:numPr>
          <w:ilvl w:val="0"/>
          <w:numId w:val="22"/>
        </w:numPr>
        <w:tabs>
          <w:tab w:pos="1360" w:val="left" w:leader="none"/>
        </w:tabs>
        <w:spacing w:line="240" w:lineRule="auto" w:before="140" w:after="0"/>
        <w:ind w:left="1360" w:right="0" w:hanging="527"/>
        <w:jc w:val="left"/>
        <w:rPr>
          <w:sz w:val="21"/>
        </w:rPr>
      </w:pPr>
      <w:r>
        <w:rPr>
          <w:sz w:val="21"/>
        </w:rPr>
        <w:t>从事内幕交易、操纵证券交易价格及其他不正当的证券交易活动；</w:t>
      </w:r>
    </w:p>
    <w:p>
      <w:pPr>
        <w:pStyle w:val="ListParagraph"/>
        <w:numPr>
          <w:ilvl w:val="0"/>
          <w:numId w:val="22"/>
        </w:numPr>
        <w:tabs>
          <w:tab w:pos="1360" w:val="left" w:leader="none"/>
        </w:tabs>
        <w:spacing w:line="240" w:lineRule="auto" w:before="139" w:after="0"/>
        <w:ind w:left="1360" w:right="0" w:hanging="527"/>
        <w:jc w:val="left"/>
        <w:rPr>
          <w:sz w:val="21"/>
        </w:rPr>
      </w:pPr>
      <w:r>
        <w:rPr>
          <w:sz w:val="21"/>
        </w:rPr>
        <w:t>依照法律法规有关规定，由中国证监会规定禁止的其他活动；</w:t>
      </w:r>
    </w:p>
    <w:p>
      <w:pPr>
        <w:pStyle w:val="ListParagraph"/>
        <w:numPr>
          <w:ilvl w:val="0"/>
          <w:numId w:val="22"/>
        </w:numPr>
        <w:tabs>
          <w:tab w:pos="1360" w:val="left" w:leader="none"/>
        </w:tabs>
        <w:spacing w:line="364" w:lineRule="auto" w:before="139" w:after="0"/>
        <w:ind w:left="413" w:right="1451" w:firstLine="420"/>
        <w:jc w:val="left"/>
        <w:rPr>
          <w:sz w:val="21"/>
        </w:rPr>
      </w:pPr>
      <w:r>
        <w:rPr>
          <w:spacing w:val="-3"/>
          <w:sz w:val="21"/>
        </w:rPr>
        <w:t>法律法规或监管部门取消上述限制，如适用于本基金，则本基金投资不再受相关</w:t>
      </w:r>
      <w:r>
        <w:rPr>
          <w:sz w:val="21"/>
        </w:rPr>
        <w:t>限制。</w:t>
      </w:r>
    </w:p>
    <w:p>
      <w:pPr>
        <w:pStyle w:val="Heading3"/>
        <w:spacing w:line="364" w:lineRule="auto" w:before="1"/>
        <w:ind w:right="1451"/>
      </w:pPr>
      <w:bookmarkStart w:name="_bookmark52" w:id="53"/>
      <w:bookmarkEnd w:id="53"/>
      <w:r>
        <w:rPr/>
      </w:r>
      <w:r>
        <w:rPr/>
        <w:t>（九</w:t>
      </w:r>
      <w:r>
        <w:rPr>
          <w:spacing w:val="-121"/>
        </w:rPr>
        <w:t>）</w:t>
      </w:r>
      <w:r>
        <w:rPr>
          <w:spacing w:val="-1"/>
        </w:rPr>
        <w:t>基金管理人代表基金行使股东权利及债权人权利的处理原则及</w:t>
      </w:r>
      <w:r>
        <w:rPr/>
        <w:t>方法</w:t>
      </w:r>
    </w:p>
    <w:p>
      <w:pPr>
        <w:pStyle w:val="BodyText"/>
        <w:spacing w:line="364" w:lineRule="auto"/>
        <w:ind w:left="413" w:right="1429" w:firstLine="420"/>
      </w:pPr>
      <w:r>
        <w:rPr/>
        <w:t>1、基金管理人按照国家有关规定代表基金独立行使股东权利及债权人权利，保护基金份额持有人的利益；</w:t>
      </w:r>
    </w:p>
    <w:p>
      <w:pPr>
        <w:pStyle w:val="BodyText"/>
        <w:spacing w:line="268" w:lineRule="exact"/>
        <w:ind w:left="833"/>
      </w:pPr>
      <w:r>
        <w:rPr/>
        <w:t>2、不谋求对上市公司的控股，不参与所投资上市公司的经营管理；</w:t>
      </w:r>
    </w:p>
    <w:p>
      <w:pPr>
        <w:pStyle w:val="BodyText"/>
        <w:spacing w:before="137"/>
        <w:ind w:left="833"/>
      </w:pPr>
      <w:r>
        <w:rPr/>
        <w:t>3、有利于基金财产的安全与增值；</w:t>
      </w:r>
    </w:p>
    <w:p>
      <w:pPr>
        <w:pStyle w:val="BodyText"/>
        <w:spacing w:line="364" w:lineRule="auto" w:before="139"/>
        <w:ind w:left="413" w:right="1429" w:firstLine="420"/>
      </w:pPr>
      <w:r>
        <w:rPr/>
        <w:t>4、不通过关联交易为自身、雇员、授权代理人或任何存在利害关系的第三人牟取任何不当利益。</w:t>
      </w:r>
    </w:p>
    <w:p>
      <w:pPr>
        <w:spacing w:after="0" w:line="364" w:lineRule="auto"/>
        <w:sectPr>
          <w:pgSz w:w="11910" w:h="16840"/>
          <w:pgMar w:header="0" w:footer="1166" w:top="1600" w:bottom="1440" w:left="1400" w:right="360"/>
        </w:sectPr>
      </w:pPr>
    </w:p>
    <w:p>
      <w:pPr>
        <w:pStyle w:val="Heading3"/>
        <w:spacing w:before="105"/>
      </w:pPr>
      <w:bookmarkStart w:name="_bookmark53" w:id="54"/>
      <w:bookmarkEnd w:id="54"/>
      <w:r>
        <w:rPr/>
      </w:r>
      <w:r>
        <w:rPr/>
        <w:t>（十）基金的融资、转融通</w:t>
      </w:r>
    </w:p>
    <w:p>
      <w:pPr>
        <w:pStyle w:val="BodyText"/>
        <w:spacing w:line="364" w:lineRule="auto" w:before="185"/>
        <w:ind w:left="413" w:right="1452" w:firstLine="420"/>
        <w:jc w:val="both"/>
      </w:pPr>
      <w:r>
        <w:rPr/>
        <w:t>在条件许可的情况下，基金管理人可在不改变本基金既有投资目标、策略和风险收益特征并在控制风险的前提下，根据相关法律法规，参与融资及转融通证券出借业务，以提高投资效率及进行风险管理。届时基金参与融资及转融通证券出借业务的风险控制原则、具体参与比例限制、费用收支、信息披露、估值方法及其他相关事项按照中国证监会的规定及其他相关法律法规的要求执行，无需召开基金份额持有人大会审议。</w:t>
      </w:r>
    </w:p>
    <w:p>
      <w:pPr>
        <w:pStyle w:val="ListParagraph"/>
        <w:numPr>
          <w:ilvl w:val="0"/>
          <w:numId w:val="23"/>
        </w:numPr>
        <w:tabs>
          <w:tab w:pos="1360" w:val="left" w:leader="none"/>
        </w:tabs>
        <w:spacing w:line="267" w:lineRule="exact" w:before="0" w:after="0"/>
        <w:ind w:left="1360" w:right="0" w:hanging="527"/>
        <w:jc w:val="left"/>
        <w:rPr>
          <w:sz w:val="21"/>
        </w:rPr>
      </w:pPr>
      <w:r>
        <w:rPr>
          <w:sz w:val="21"/>
        </w:rPr>
        <w:t>融资策略</w:t>
      </w:r>
    </w:p>
    <w:p>
      <w:pPr>
        <w:pStyle w:val="BodyText"/>
        <w:spacing w:before="139"/>
        <w:ind w:left="833"/>
      </w:pPr>
      <w:r>
        <w:rPr/>
        <w:t>本基金可在综合考虑预期收益、风险、流动性等因素的基础上，参与融资业务。</w:t>
      </w:r>
    </w:p>
    <w:p>
      <w:pPr>
        <w:pStyle w:val="ListParagraph"/>
        <w:numPr>
          <w:ilvl w:val="0"/>
          <w:numId w:val="23"/>
        </w:numPr>
        <w:tabs>
          <w:tab w:pos="1360" w:val="left" w:leader="none"/>
        </w:tabs>
        <w:spacing w:line="240" w:lineRule="auto" w:before="140" w:after="0"/>
        <w:ind w:left="1360" w:right="0" w:hanging="527"/>
        <w:jc w:val="left"/>
        <w:rPr>
          <w:sz w:val="21"/>
        </w:rPr>
      </w:pPr>
      <w:r>
        <w:rPr>
          <w:sz w:val="21"/>
        </w:rPr>
        <w:t>转融通证券出借策略</w:t>
      </w:r>
    </w:p>
    <w:p>
      <w:pPr>
        <w:pStyle w:val="BodyText"/>
        <w:spacing w:line="364" w:lineRule="auto" w:before="139"/>
        <w:ind w:left="413" w:right="1452" w:firstLine="420"/>
      </w:pPr>
      <w:r>
        <w:rPr/>
        <w:t>本基金可根据风险管理的原则，参与转融通证券出借交易。转融通证券出借策略按照分散化投资原则，分批、分期进行转融通证券出借交易，以分散风险。</w:t>
      </w:r>
    </w:p>
    <w:p>
      <w:pPr>
        <w:pStyle w:val="Heading3"/>
      </w:pPr>
      <w:bookmarkStart w:name="_bookmark54" w:id="55"/>
      <w:bookmarkEnd w:id="55"/>
      <w:r>
        <w:rPr/>
      </w:r>
      <w:r>
        <w:rPr/>
        <w:t>（十一）基金投资组合报告（未经审计）</w:t>
      </w:r>
    </w:p>
    <w:p>
      <w:pPr>
        <w:pStyle w:val="BodyText"/>
        <w:spacing w:line="364" w:lineRule="auto" w:before="185"/>
        <w:ind w:left="413" w:right="1452" w:firstLine="42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413" w:right="1452" w:firstLine="420"/>
      </w:pPr>
      <w:r>
        <w:rPr/>
        <w:t>本基金的托管人中国建设银行股份有限公司根据本基金合同的规定，复核了本报告的内容，保证复核内容不存在虚假记载、误导性陈述或者重大遗漏。</w:t>
      </w:r>
    </w:p>
    <w:p>
      <w:pPr>
        <w:pStyle w:val="BodyText"/>
        <w:spacing w:line="364" w:lineRule="auto"/>
        <w:ind w:left="833" w:right="2487"/>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2"/>
        </w:rPr>
        <w:t> 日。</w:t>
      </w:r>
      <w:r>
        <w:rPr/>
        <w:t>1、报告期末基金资产组合情况</w:t>
      </w: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7"/>
        <w:gridCol w:w="3141"/>
        <w:gridCol w:w="2524"/>
        <w:gridCol w:w="1652"/>
      </w:tblGrid>
      <w:tr>
        <w:trPr>
          <w:trHeight w:val="809" w:hRule="atLeast"/>
        </w:trPr>
        <w:tc>
          <w:tcPr>
            <w:tcW w:w="687" w:type="dxa"/>
          </w:tcPr>
          <w:p>
            <w:pPr>
              <w:pStyle w:val="TableParagraph"/>
              <w:spacing w:before="11"/>
              <w:rPr>
                <w:sz w:val="21"/>
              </w:rPr>
            </w:pPr>
          </w:p>
          <w:p>
            <w:pPr>
              <w:pStyle w:val="TableParagraph"/>
              <w:ind w:left="122" w:right="95"/>
              <w:jc w:val="center"/>
              <w:rPr>
                <w:sz w:val="21"/>
              </w:rPr>
            </w:pPr>
            <w:r>
              <w:rPr>
                <w:sz w:val="21"/>
              </w:rPr>
              <w:t>序号</w:t>
            </w:r>
          </w:p>
        </w:tc>
        <w:tc>
          <w:tcPr>
            <w:tcW w:w="3141" w:type="dxa"/>
          </w:tcPr>
          <w:p>
            <w:pPr>
              <w:pStyle w:val="TableParagraph"/>
              <w:spacing w:before="11"/>
              <w:rPr>
                <w:sz w:val="21"/>
              </w:rPr>
            </w:pPr>
          </w:p>
          <w:p>
            <w:pPr>
              <w:pStyle w:val="TableParagraph"/>
              <w:ind w:left="1348" w:right="1322"/>
              <w:jc w:val="center"/>
              <w:rPr>
                <w:sz w:val="21"/>
              </w:rPr>
            </w:pPr>
            <w:r>
              <w:rPr>
                <w:sz w:val="21"/>
              </w:rPr>
              <w:t>项目</w:t>
            </w:r>
          </w:p>
        </w:tc>
        <w:tc>
          <w:tcPr>
            <w:tcW w:w="2524" w:type="dxa"/>
          </w:tcPr>
          <w:p>
            <w:pPr>
              <w:pStyle w:val="TableParagraph"/>
              <w:spacing w:before="11"/>
              <w:rPr>
                <w:sz w:val="21"/>
              </w:rPr>
            </w:pPr>
          </w:p>
          <w:p>
            <w:pPr>
              <w:pStyle w:val="TableParagraph"/>
              <w:ind w:left="850"/>
              <w:rPr>
                <w:sz w:val="21"/>
              </w:rPr>
            </w:pPr>
            <w:r>
              <w:rPr>
                <w:sz w:val="21"/>
              </w:rPr>
              <w:t>金额(元)</w:t>
            </w:r>
          </w:p>
        </w:tc>
        <w:tc>
          <w:tcPr>
            <w:tcW w:w="1652" w:type="dxa"/>
          </w:tcPr>
          <w:p>
            <w:pPr>
              <w:pStyle w:val="TableParagraph"/>
              <w:spacing w:before="85"/>
              <w:ind w:left="184" w:right="157"/>
              <w:jc w:val="center"/>
              <w:rPr>
                <w:sz w:val="21"/>
              </w:rPr>
            </w:pPr>
            <w:r>
              <w:rPr>
                <w:sz w:val="21"/>
              </w:rPr>
              <w:t>占基金总资产</w:t>
            </w:r>
          </w:p>
          <w:p>
            <w:pPr>
              <w:pStyle w:val="TableParagraph"/>
              <w:spacing w:before="121"/>
              <w:ind w:left="184" w:right="157"/>
              <w:jc w:val="center"/>
              <w:rPr>
                <w:sz w:val="21"/>
              </w:rPr>
            </w:pPr>
            <w:r>
              <w:rPr>
                <w:sz w:val="21"/>
              </w:rPr>
              <w:t>的比例(%)</w:t>
            </w:r>
          </w:p>
        </w:tc>
      </w:tr>
      <w:tr>
        <w:trPr>
          <w:trHeight w:val="419" w:hRule="atLeast"/>
        </w:trPr>
        <w:tc>
          <w:tcPr>
            <w:tcW w:w="687" w:type="dxa"/>
          </w:tcPr>
          <w:p>
            <w:pPr>
              <w:pStyle w:val="TableParagraph"/>
              <w:spacing w:before="85"/>
              <w:ind w:left="27"/>
              <w:jc w:val="center"/>
              <w:rPr>
                <w:sz w:val="21"/>
              </w:rPr>
            </w:pPr>
            <w:r>
              <w:rPr>
                <w:sz w:val="21"/>
              </w:rPr>
              <w:t>1</w:t>
            </w:r>
          </w:p>
        </w:tc>
        <w:tc>
          <w:tcPr>
            <w:tcW w:w="3141" w:type="dxa"/>
          </w:tcPr>
          <w:p>
            <w:pPr>
              <w:pStyle w:val="TableParagraph"/>
              <w:spacing w:before="85"/>
              <w:ind w:left="124"/>
              <w:rPr>
                <w:sz w:val="21"/>
              </w:rPr>
            </w:pPr>
            <w:r>
              <w:rPr>
                <w:sz w:val="21"/>
              </w:rPr>
              <w:t>权益投资</w:t>
            </w:r>
          </w:p>
        </w:tc>
        <w:tc>
          <w:tcPr>
            <w:tcW w:w="2524" w:type="dxa"/>
          </w:tcPr>
          <w:p>
            <w:pPr>
              <w:pStyle w:val="TableParagraph"/>
              <w:spacing w:before="85"/>
              <w:ind w:right="96"/>
              <w:jc w:val="right"/>
              <w:rPr>
                <w:sz w:val="21"/>
              </w:rPr>
            </w:pPr>
            <w:r>
              <w:rPr>
                <w:sz w:val="21"/>
              </w:rPr>
              <w:t>71,531,384.47</w:t>
            </w:r>
          </w:p>
        </w:tc>
        <w:tc>
          <w:tcPr>
            <w:tcW w:w="1652" w:type="dxa"/>
          </w:tcPr>
          <w:p>
            <w:pPr>
              <w:pStyle w:val="TableParagraph"/>
              <w:spacing w:before="85"/>
              <w:ind w:right="97"/>
              <w:jc w:val="right"/>
              <w:rPr>
                <w:sz w:val="21"/>
              </w:rPr>
            </w:pPr>
            <w:r>
              <w:rPr>
                <w:sz w:val="21"/>
              </w:rPr>
              <w:t>1.19</w:t>
            </w:r>
          </w:p>
        </w:tc>
      </w:tr>
      <w:tr>
        <w:trPr>
          <w:trHeight w:val="419" w:hRule="atLeast"/>
        </w:trPr>
        <w:tc>
          <w:tcPr>
            <w:tcW w:w="687" w:type="dxa"/>
          </w:tcPr>
          <w:p>
            <w:pPr>
              <w:pStyle w:val="TableParagraph"/>
              <w:rPr>
                <w:rFonts w:ascii="Times New Roman"/>
                <w:sz w:val="20"/>
              </w:rPr>
            </w:pPr>
          </w:p>
        </w:tc>
        <w:tc>
          <w:tcPr>
            <w:tcW w:w="3141" w:type="dxa"/>
          </w:tcPr>
          <w:p>
            <w:pPr>
              <w:pStyle w:val="TableParagraph"/>
              <w:spacing w:before="85"/>
              <w:ind w:left="124"/>
              <w:rPr>
                <w:sz w:val="21"/>
              </w:rPr>
            </w:pPr>
            <w:r>
              <w:rPr>
                <w:sz w:val="21"/>
              </w:rPr>
              <w:t>其中：股票</w:t>
            </w:r>
          </w:p>
        </w:tc>
        <w:tc>
          <w:tcPr>
            <w:tcW w:w="2524" w:type="dxa"/>
          </w:tcPr>
          <w:p>
            <w:pPr>
              <w:pStyle w:val="TableParagraph"/>
              <w:spacing w:before="85"/>
              <w:ind w:right="96"/>
              <w:jc w:val="right"/>
              <w:rPr>
                <w:sz w:val="21"/>
              </w:rPr>
            </w:pPr>
            <w:r>
              <w:rPr>
                <w:sz w:val="21"/>
              </w:rPr>
              <w:t>71,531,384.47</w:t>
            </w:r>
          </w:p>
        </w:tc>
        <w:tc>
          <w:tcPr>
            <w:tcW w:w="1652" w:type="dxa"/>
          </w:tcPr>
          <w:p>
            <w:pPr>
              <w:pStyle w:val="TableParagraph"/>
              <w:spacing w:before="85"/>
              <w:ind w:right="97"/>
              <w:jc w:val="right"/>
              <w:rPr>
                <w:sz w:val="21"/>
              </w:rPr>
            </w:pPr>
            <w:r>
              <w:rPr>
                <w:sz w:val="21"/>
              </w:rPr>
              <w:t>1.19</w:t>
            </w:r>
          </w:p>
        </w:tc>
      </w:tr>
      <w:tr>
        <w:trPr>
          <w:trHeight w:val="418" w:hRule="atLeast"/>
        </w:trPr>
        <w:tc>
          <w:tcPr>
            <w:tcW w:w="687" w:type="dxa"/>
          </w:tcPr>
          <w:p>
            <w:pPr>
              <w:pStyle w:val="TableParagraph"/>
              <w:spacing w:before="85"/>
              <w:ind w:left="27"/>
              <w:jc w:val="center"/>
              <w:rPr>
                <w:sz w:val="21"/>
              </w:rPr>
            </w:pPr>
            <w:r>
              <w:rPr>
                <w:sz w:val="21"/>
              </w:rPr>
              <w:t>2</w:t>
            </w:r>
          </w:p>
        </w:tc>
        <w:tc>
          <w:tcPr>
            <w:tcW w:w="3141" w:type="dxa"/>
          </w:tcPr>
          <w:p>
            <w:pPr>
              <w:pStyle w:val="TableParagraph"/>
              <w:spacing w:before="85"/>
              <w:ind w:left="124"/>
              <w:rPr>
                <w:sz w:val="21"/>
              </w:rPr>
            </w:pPr>
            <w:r>
              <w:rPr>
                <w:sz w:val="21"/>
              </w:rPr>
              <w:t>基金投资</w:t>
            </w:r>
          </w:p>
        </w:tc>
        <w:tc>
          <w:tcPr>
            <w:tcW w:w="2524" w:type="dxa"/>
          </w:tcPr>
          <w:p>
            <w:pPr>
              <w:pStyle w:val="TableParagraph"/>
              <w:spacing w:before="85"/>
              <w:ind w:right="96"/>
              <w:jc w:val="right"/>
              <w:rPr>
                <w:sz w:val="21"/>
              </w:rPr>
            </w:pPr>
            <w:r>
              <w:rPr>
                <w:sz w:val="21"/>
              </w:rPr>
              <w:t>5,579,420,828.33</w:t>
            </w:r>
          </w:p>
        </w:tc>
        <w:tc>
          <w:tcPr>
            <w:tcW w:w="1652" w:type="dxa"/>
          </w:tcPr>
          <w:p>
            <w:pPr>
              <w:pStyle w:val="TableParagraph"/>
              <w:spacing w:before="85"/>
              <w:ind w:right="97"/>
              <w:jc w:val="right"/>
              <w:rPr>
                <w:sz w:val="21"/>
              </w:rPr>
            </w:pPr>
            <w:r>
              <w:rPr>
                <w:sz w:val="21"/>
              </w:rPr>
              <w:t>92.87</w:t>
            </w:r>
          </w:p>
        </w:tc>
      </w:tr>
      <w:tr>
        <w:trPr>
          <w:trHeight w:val="418" w:hRule="atLeast"/>
        </w:trPr>
        <w:tc>
          <w:tcPr>
            <w:tcW w:w="687" w:type="dxa"/>
          </w:tcPr>
          <w:p>
            <w:pPr>
              <w:pStyle w:val="TableParagraph"/>
              <w:spacing w:before="85"/>
              <w:ind w:left="27"/>
              <w:jc w:val="center"/>
              <w:rPr>
                <w:sz w:val="21"/>
              </w:rPr>
            </w:pPr>
            <w:r>
              <w:rPr>
                <w:sz w:val="21"/>
              </w:rPr>
              <w:t>3</w:t>
            </w:r>
          </w:p>
        </w:tc>
        <w:tc>
          <w:tcPr>
            <w:tcW w:w="3141" w:type="dxa"/>
          </w:tcPr>
          <w:p>
            <w:pPr>
              <w:pStyle w:val="TableParagraph"/>
              <w:spacing w:before="85"/>
              <w:ind w:left="124"/>
              <w:rPr>
                <w:sz w:val="21"/>
              </w:rPr>
            </w:pPr>
            <w:r>
              <w:rPr>
                <w:sz w:val="21"/>
              </w:rPr>
              <w:t>固定收益投资</w:t>
            </w:r>
          </w:p>
        </w:tc>
        <w:tc>
          <w:tcPr>
            <w:tcW w:w="2524" w:type="dxa"/>
          </w:tcPr>
          <w:p>
            <w:pPr>
              <w:pStyle w:val="TableParagraph"/>
              <w:spacing w:before="85"/>
              <w:ind w:right="96"/>
              <w:jc w:val="right"/>
              <w:rPr>
                <w:sz w:val="21"/>
              </w:rPr>
            </w:pPr>
            <w:r>
              <w:rPr>
                <w:sz w:val="21"/>
              </w:rPr>
              <w:t>100,280,000.00</w:t>
            </w:r>
          </w:p>
        </w:tc>
        <w:tc>
          <w:tcPr>
            <w:tcW w:w="1652" w:type="dxa"/>
          </w:tcPr>
          <w:p>
            <w:pPr>
              <w:pStyle w:val="TableParagraph"/>
              <w:spacing w:before="85"/>
              <w:ind w:right="97"/>
              <w:jc w:val="right"/>
              <w:rPr>
                <w:sz w:val="21"/>
              </w:rPr>
            </w:pPr>
            <w:r>
              <w:rPr>
                <w:sz w:val="21"/>
              </w:rPr>
              <w:t>1.67</w:t>
            </w:r>
          </w:p>
        </w:tc>
      </w:tr>
      <w:tr>
        <w:trPr>
          <w:trHeight w:val="418" w:hRule="atLeast"/>
        </w:trPr>
        <w:tc>
          <w:tcPr>
            <w:tcW w:w="687" w:type="dxa"/>
          </w:tcPr>
          <w:p>
            <w:pPr>
              <w:pStyle w:val="TableParagraph"/>
              <w:rPr>
                <w:rFonts w:ascii="Times New Roman"/>
                <w:sz w:val="20"/>
              </w:rPr>
            </w:pPr>
          </w:p>
        </w:tc>
        <w:tc>
          <w:tcPr>
            <w:tcW w:w="3141" w:type="dxa"/>
          </w:tcPr>
          <w:p>
            <w:pPr>
              <w:pStyle w:val="TableParagraph"/>
              <w:spacing w:before="85"/>
              <w:ind w:left="124"/>
              <w:rPr>
                <w:sz w:val="21"/>
              </w:rPr>
            </w:pPr>
            <w:r>
              <w:rPr>
                <w:sz w:val="21"/>
              </w:rPr>
              <w:t>其中：债券</w:t>
            </w:r>
          </w:p>
        </w:tc>
        <w:tc>
          <w:tcPr>
            <w:tcW w:w="2524" w:type="dxa"/>
          </w:tcPr>
          <w:p>
            <w:pPr>
              <w:pStyle w:val="TableParagraph"/>
              <w:spacing w:before="85"/>
              <w:ind w:right="96"/>
              <w:jc w:val="right"/>
              <w:rPr>
                <w:sz w:val="21"/>
              </w:rPr>
            </w:pPr>
            <w:r>
              <w:rPr>
                <w:sz w:val="21"/>
              </w:rPr>
              <w:t>100,280,000.00</w:t>
            </w:r>
          </w:p>
        </w:tc>
        <w:tc>
          <w:tcPr>
            <w:tcW w:w="1652" w:type="dxa"/>
          </w:tcPr>
          <w:p>
            <w:pPr>
              <w:pStyle w:val="TableParagraph"/>
              <w:spacing w:before="85"/>
              <w:ind w:right="97"/>
              <w:jc w:val="right"/>
              <w:rPr>
                <w:sz w:val="21"/>
              </w:rPr>
            </w:pPr>
            <w:r>
              <w:rPr>
                <w:sz w:val="21"/>
              </w:rPr>
              <w:t>1.67</w:t>
            </w:r>
          </w:p>
        </w:tc>
      </w:tr>
      <w:tr>
        <w:trPr>
          <w:trHeight w:val="418" w:hRule="atLeast"/>
        </w:trPr>
        <w:tc>
          <w:tcPr>
            <w:tcW w:w="687" w:type="dxa"/>
          </w:tcPr>
          <w:p>
            <w:pPr>
              <w:pStyle w:val="TableParagraph"/>
              <w:rPr>
                <w:rFonts w:ascii="Times New Roman"/>
                <w:sz w:val="20"/>
              </w:rPr>
            </w:pPr>
          </w:p>
        </w:tc>
        <w:tc>
          <w:tcPr>
            <w:tcW w:w="3141" w:type="dxa"/>
          </w:tcPr>
          <w:p>
            <w:pPr>
              <w:pStyle w:val="TableParagraph"/>
              <w:spacing w:before="85"/>
              <w:ind w:left="754"/>
              <w:rPr>
                <w:sz w:val="21"/>
              </w:rPr>
            </w:pPr>
            <w:r>
              <w:rPr>
                <w:sz w:val="21"/>
              </w:rPr>
              <w:t>资产支持证券</w:t>
            </w:r>
          </w:p>
        </w:tc>
        <w:tc>
          <w:tcPr>
            <w:tcW w:w="2524" w:type="dxa"/>
          </w:tcPr>
          <w:p>
            <w:pPr>
              <w:pStyle w:val="TableParagraph"/>
              <w:spacing w:before="85"/>
              <w:ind w:right="96"/>
              <w:jc w:val="right"/>
              <w:rPr>
                <w:sz w:val="21"/>
              </w:rPr>
            </w:pPr>
            <w:r>
              <w:rPr>
                <w:sz w:val="21"/>
              </w:rPr>
              <w:t>-</w:t>
            </w:r>
          </w:p>
        </w:tc>
        <w:tc>
          <w:tcPr>
            <w:tcW w:w="1652" w:type="dxa"/>
          </w:tcPr>
          <w:p>
            <w:pPr>
              <w:pStyle w:val="TableParagraph"/>
              <w:spacing w:before="85"/>
              <w:ind w:right="97"/>
              <w:jc w:val="right"/>
              <w:rPr>
                <w:sz w:val="21"/>
              </w:rPr>
            </w:pPr>
            <w:r>
              <w:rPr>
                <w:sz w:val="21"/>
              </w:rPr>
              <w:t>-</w:t>
            </w:r>
          </w:p>
        </w:tc>
      </w:tr>
      <w:tr>
        <w:trPr>
          <w:trHeight w:val="418" w:hRule="atLeast"/>
        </w:trPr>
        <w:tc>
          <w:tcPr>
            <w:tcW w:w="687" w:type="dxa"/>
          </w:tcPr>
          <w:p>
            <w:pPr>
              <w:pStyle w:val="TableParagraph"/>
              <w:spacing w:before="85"/>
              <w:ind w:left="27"/>
              <w:jc w:val="center"/>
              <w:rPr>
                <w:sz w:val="21"/>
              </w:rPr>
            </w:pPr>
            <w:r>
              <w:rPr>
                <w:sz w:val="21"/>
              </w:rPr>
              <w:t>4</w:t>
            </w:r>
          </w:p>
        </w:tc>
        <w:tc>
          <w:tcPr>
            <w:tcW w:w="3141" w:type="dxa"/>
          </w:tcPr>
          <w:p>
            <w:pPr>
              <w:pStyle w:val="TableParagraph"/>
              <w:spacing w:before="85"/>
              <w:ind w:left="212"/>
              <w:rPr>
                <w:sz w:val="21"/>
              </w:rPr>
            </w:pPr>
            <w:r>
              <w:rPr>
                <w:sz w:val="21"/>
              </w:rPr>
              <w:t>贵金属投资</w:t>
            </w:r>
          </w:p>
        </w:tc>
        <w:tc>
          <w:tcPr>
            <w:tcW w:w="2524" w:type="dxa"/>
          </w:tcPr>
          <w:p>
            <w:pPr>
              <w:pStyle w:val="TableParagraph"/>
              <w:spacing w:before="85"/>
              <w:ind w:right="96"/>
              <w:jc w:val="right"/>
              <w:rPr>
                <w:sz w:val="21"/>
              </w:rPr>
            </w:pPr>
            <w:r>
              <w:rPr>
                <w:sz w:val="21"/>
              </w:rPr>
              <w:t>-</w:t>
            </w:r>
          </w:p>
        </w:tc>
        <w:tc>
          <w:tcPr>
            <w:tcW w:w="1652" w:type="dxa"/>
          </w:tcPr>
          <w:p>
            <w:pPr>
              <w:pStyle w:val="TableParagraph"/>
              <w:spacing w:before="85"/>
              <w:ind w:right="97"/>
              <w:jc w:val="right"/>
              <w:rPr>
                <w:sz w:val="21"/>
              </w:rPr>
            </w:pPr>
            <w:r>
              <w:rPr>
                <w:sz w:val="21"/>
              </w:rPr>
              <w:t>-</w:t>
            </w:r>
          </w:p>
        </w:tc>
      </w:tr>
      <w:tr>
        <w:trPr>
          <w:trHeight w:val="418" w:hRule="atLeast"/>
        </w:trPr>
        <w:tc>
          <w:tcPr>
            <w:tcW w:w="687" w:type="dxa"/>
          </w:tcPr>
          <w:p>
            <w:pPr>
              <w:pStyle w:val="TableParagraph"/>
              <w:spacing w:before="85"/>
              <w:ind w:left="27"/>
              <w:jc w:val="center"/>
              <w:rPr>
                <w:sz w:val="21"/>
              </w:rPr>
            </w:pPr>
            <w:r>
              <w:rPr>
                <w:sz w:val="21"/>
              </w:rPr>
              <w:t>5</w:t>
            </w:r>
          </w:p>
        </w:tc>
        <w:tc>
          <w:tcPr>
            <w:tcW w:w="3141" w:type="dxa"/>
          </w:tcPr>
          <w:p>
            <w:pPr>
              <w:pStyle w:val="TableParagraph"/>
              <w:spacing w:before="85"/>
              <w:ind w:left="124"/>
              <w:rPr>
                <w:sz w:val="21"/>
              </w:rPr>
            </w:pPr>
            <w:r>
              <w:rPr>
                <w:sz w:val="21"/>
              </w:rPr>
              <w:t>金融衍生品投资</w:t>
            </w:r>
          </w:p>
        </w:tc>
        <w:tc>
          <w:tcPr>
            <w:tcW w:w="2524" w:type="dxa"/>
          </w:tcPr>
          <w:p>
            <w:pPr>
              <w:pStyle w:val="TableParagraph"/>
              <w:spacing w:before="85"/>
              <w:ind w:right="96"/>
              <w:jc w:val="right"/>
              <w:rPr>
                <w:sz w:val="21"/>
              </w:rPr>
            </w:pPr>
            <w:r>
              <w:rPr>
                <w:sz w:val="21"/>
              </w:rPr>
              <w:t>-</w:t>
            </w:r>
          </w:p>
        </w:tc>
        <w:tc>
          <w:tcPr>
            <w:tcW w:w="1652" w:type="dxa"/>
          </w:tcPr>
          <w:p>
            <w:pPr>
              <w:pStyle w:val="TableParagraph"/>
              <w:spacing w:before="85"/>
              <w:ind w:right="97"/>
              <w:jc w:val="right"/>
              <w:rPr>
                <w:sz w:val="21"/>
              </w:rPr>
            </w:pPr>
            <w:r>
              <w:rPr>
                <w:sz w:val="21"/>
              </w:rPr>
              <w:t>-</w:t>
            </w:r>
          </w:p>
        </w:tc>
      </w:tr>
      <w:tr>
        <w:trPr>
          <w:trHeight w:val="418" w:hRule="atLeast"/>
        </w:trPr>
        <w:tc>
          <w:tcPr>
            <w:tcW w:w="687" w:type="dxa"/>
          </w:tcPr>
          <w:p>
            <w:pPr>
              <w:pStyle w:val="TableParagraph"/>
              <w:spacing w:before="85"/>
              <w:ind w:left="27"/>
              <w:jc w:val="center"/>
              <w:rPr>
                <w:sz w:val="21"/>
              </w:rPr>
            </w:pPr>
            <w:r>
              <w:rPr>
                <w:sz w:val="21"/>
              </w:rPr>
              <w:t>6</w:t>
            </w:r>
          </w:p>
        </w:tc>
        <w:tc>
          <w:tcPr>
            <w:tcW w:w="3141" w:type="dxa"/>
          </w:tcPr>
          <w:p>
            <w:pPr>
              <w:pStyle w:val="TableParagraph"/>
              <w:spacing w:before="85"/>
              <w:ind w:left="124"/>
              <w:rPr>
                <w:sz w:val="21"/>
              </w:rPr>
            </w:pPr>
            <w:r>
              <w:rPr>
                <w:sz w:val="21"/>
              </w:rPr>
              <w:t>买入返售金融资产</w:t>
            </w:r>
          </w:p>
        </w:tc>
        <w:tc>
          <w:tcPr>
            <w:tcW w:w="2524" w:type="dxa"/>
          </w:tcPr>
          <w:p>
            <w:pPr>
              <w:pStyle w:val="TableParagraph"/>
              <w:spacing w:before="85"/>
              <w:ind w:right="96"/>
              <w:jc w:val="right"/>
              <w:rPr>
                <w:sz w:val="21"/>
              </w:rPr>
            </w:pPr>
            <w:r>
              <w:rPr>
                <w:sz w:val="21"/>
              </w:rPr>
              <w:t>-</w:t>
            </w:r>
          </w:p>
        </w:tc>
        <w:tc>
          <w:tcPr>
            <w:tcW w:w="1652" w:type="dxa"/>
          </w:tcPr>
          <w:p>
            <w:pPr>
              <w:pStyle w:val="TableParagraph"/>
              <w:spacing w:before="85"/>
              <w:ind w:right="97"/>
              <w:jc w:val="right"/>
              <w:rPr>
                <w:sz w:val="21"/>
              </w:rPr>
            </w:pPr>
            <w:r>
              <w:rPr>
                <w:sz w:val="21"/>
              </w:rPr>
              <w:t>-</w:t>
            </w:r>
          </w:p>
        </w:tc>
      </w:tr>
      <w:tr>
        <w:trPr>
          <w:trHeight w:val="808" w:hRule="atLeast"/>
        </w:trPr>
        <w:tc>
          <w:tcPr>
            <w:tcW w:w="687" w:type="dxa"/>
          </w:tcPr>
          <w:p>
            <w:pPr>
              <w:pStyle w:val="TableParagraph"/>
              <w:rPr>
                <w:rFonts w:ascii="Times New Roman"/>
                <w:sz w:val="20"/>
              </w:rPr>
            </w:pPr>
          </w:p>
        </w:tc>
        <w:tc>
          <w:tcPr>
            <w:tcW w:w="3141" w:type="dxa"/>
          </w:tcPr>
          <w:p>
            <w:pPr>
              <w:pStyle w:val="TableParagraph"/>
              <w:spacing w:before="85"/>
              <w:ind w:left="124"/>
              <w:rPr>
                <w:sz w:val="21"/>
              </w:rPr>
            </w:pPr>
            <w:r>
              <w:rPr>
                <w:sz w:val="21"/>
              </w:rPr>
              <w:t>其中：买断式回购的买入返售金</w:t>
            </w:r>
          </w:p>
          <w:p>
            <w:pPr>
              <w:pStyle w:val="TableParagraph"/>
              <w:spacing w:before="121"/>
              <w:ind w:left="124"/>
              <w:rPr>
                <w:sz w:val="21"/>
              </w:rPr>
            </w:pPr>
            <w:r>
              <w:rPr>
                <w:sz w:val="21"/>
              </w:rPr>
              <w:t>融资产</w:t>
            </w:r>
          </w:p>
        </w:tc>
        <w:tc>
          <w:tcPr>
            <w:tcW w:w="2524" w:type="dxa"/>
          </w:tcPr>
          <w:p>
            <w:pPr>
              <w:pStyle w:val="TableParagraph"/>
              <w:spacing w:before="11"/>
              <w:rPr>
                <w:sz w:val="21"/>
              </w:rPr>
            </w:pPr>
          </w:p>
          <w:p>
            <w:pPr>
              <w:pStyle w:val="TableParagraph"/>
              <w:ind w:right="96"/>
              <w:jc w:val="right"/>
              <w:rPr>
                <w:sz w:val="21"/>
              </w:rPr>
            </w:pPr>
            <w:r>
              <w:rPr>
                <w:sz w:val="21"/>
              </w:rPr>
              <w:t>-</w:t>
            </w:r>
          </w:p>
        </w:tc>
        <w:tc>
          <w:tcPr>
            <w:tcW w:w="1652" w:type="dxa"/>
          </w:tcPr>
          <w:p>
            <w:pPr>
              <w:pStyle w:val="TableParagraph"/>
              <w:spacing w:before="11"/>
              <w:rPr>
                <w:sz w:val="21"/>
              </w:rPr>
            </w:pPr>
          </w:p>
          <w:p>
            <w:pPr>
              <w:pStyle w:val="TableParagraph"/>
              <w:ind w:right="97"/>
              <w:jc w:val="right"/>
              <w:rPr>
                <w:sz w:val="21"/>
              </w:rPr>
            </w:pPr>
            <w:r>
              <w:rPr>
                <w:sz w:val="21"/>
              </w:rPr>
              <w:t>-</w:t>
            </w:r>
          </w:p>
        </w:tc>
      </w:tr>
    </w:tbl>
    <w:p>
      <w:pPr>
        <w:spacing w:after="0"/>
        <w:jc w:val="right"/>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7"/>
        <w:gridCol w:w="3141"/>
        <w:gridCol w:w="2524"/>
        <w:gridCol w:w="1652"/>
      </w:tblGrid>
      <w:tr>
        <w:trPr>
          <w:trHeight w:val="419" w:hRule="atLeast"/>
        </w:trPr>
        <w:tc>
          <w:tcPr>
            <w:tcW w:w="687" w:type="dxa"/>
          </w:tcPr>
          <w:p>
            <w:pPr>
              <w:pStyle w:val="TableParagraph"/>
              <w:spacing w:before="91"/>
              <w:ind w:left="27"/>
              <w:jc w:val="center"/>
              <w:rPr>
                <w:sz w:val="21"/>
              </w:rPr>
            </w:pPr>
            <w:r>
              <w:rPr>
                <w:sz w:val="21"/>
              </w:rPr>
              <w:t>7</w:t>
            </w:r>
          </w:p>
        </w:tc>
        <w:tc>
          <w:tcPr>
            <w:tcW w:w="3141" w:type="dxa"/>
          </w:tcPr>
          <w:p>
            <w:pPr>
              <w:pStyle w:val="TableParagraph"/>
              <w:spacing w:before="91"/>
              <w:ind w:left="124"/>
              <w:rPr>
                <w:sz w:val="21"/>
              </w:rPr>
            </w:pPr>
            <w:r>
              <w:rPr>
                <w:sz w:val="21"/>
              </w:rPr>
              <w:t>银行存款和结算备付金合计</w:t>
            </w:r>
          </w:p>
        </w:tc>
        <w:tc>
          <w:tcPr>
            <w:tcW w:w="2524" w:type="dxa"/>
          </w:tcPr>
          <w:p>
            <w:pPr>
              <w:pStyle w:val="TableParagraph"/>
              <w:spacing w:before="91"/>
              <w:ind w:right="96"/>
              <w:jc w:val="right"/>
              <w:rPr>
                <w:sz w:val="21"/>
              </w:rPr>
            </w:pPr>
            <w:r>
              <w:rPr>
                <w:sz w:val="21"/>
              </w:rPr>
              <w:t>224,151,309.10</w:t>
            </w:r>
          </w:p>
        </w:tc>
        <w:tc>
          <w:tcPr>
            <w:tcW w:w="1652" w:type="dxa"/>
          </w:tcPr>
          <w:p>
            <w:pPr>
              <w:pStyle w:val="TableParagraph"/>
              <w:spacing w:before="91"/>
              <w:ind w:right="97"/>
              <w:jc w:val="right"/>
              <w:rPr>
                <w:sz w:val="21"/>
              </w:rPr>
            </w:pPr>
            <w:r>
              <w:rPr>
                <w:sz w:val="21"/>
              </w:rPr>
              <w:t>3.73</w:t>
            </w:r>
          </w:p>
        </w:tc>
      </w:tr>
      <w:tr>
        <w:trPr>
          <w:trHeight w:val="419" w:hRule="atLeast"/>
        </w:trPr>
        <w:tc>
          <w:tcPr>
            <w:tcW w:w="687" w:type="dxa"/>
          </w:tcPr>
          <w:p>
            <w:pPr>
              <w:pStyle w:val="TableParagraph"/>
              <w:spacing w:before="91"/>
              <w:ind w:left="27"/>
              <w:jc w:val="center"/>
              <w:rPr>
                <w:sz w:val="21"/>
              </w:rPr>
            </w:pPr>
            <w:r>
              <w:rPr>
                <w:sz w:val="21"/>
              </w:rPr>
              <w:t>8</w:t>
            </w:r>
          </w:p>
        </w:tc>
        <w:tc>
          <w:tcPr>
            <w:tcW w:w="3141" w:type="dxa"/>
          </w:tcPr>
          <w:p>
            <w:pPr>
              <w:pStyle w:val="TableParagraph"/>
              <w:spacing w:before="76"/>
              <w:ind w:left="107"/>
              <w:rPr>
                <w:sz w:val="21"/>
              </w:rPr>
            </w:pPr>
            <w:r>
              <w:rPr>
                <w:sz w:val="21"/>
              </w:rPr>
              <w:t>其他资产</w:t>
            </w:r>
          </w:p>
        </w:tc>
        <w:tc>
          <w:tcPr>
            <w:tcW w:w="2524" w:type="dxa"/>
          </w:tcPr>
          <w:p>
            <w:pPr>
              <w:pStyle w:val="TableParagraph"/>
              <w:spacing w:before="76"/>
              <w:ind w:right="96"/>
              <w:jc w:val="right"/>
              <w:rPr>
                <w:sz w:val="21"/>
              </w:rPr>
            </w:pPr>
            <w:r>
              <w:rPr>
                <w:sz w:val="21"/>
              </w:rPr>
              <w:t>32,128,331.37</w:t>
            </w:r>
          </w:p>
        </w:tc>
        <w:tc>
          <w:tcPr>
            <w:tcW w:w="1652" w:type="dxa"/>
          </w:tcPr>
          <w:p>
            <w:pPr>
              <w:pStyle w:val="TableParagraph"/>
              <w:spacing w:before="76"/>
              <w:ind w:right="97"/>
              <w:jc w:val="right"/>
              <w:rPr>
                <w:sz w:val="21"/>
              </w:rPr>
            </w:pPr>
            <w:r>
              <w:rPr>
                <w:sz w:val="21"/>
              </w:rPr>
              <w:t>0.53</w:t>
            </w:r>
          </w:p>
        </w:tc>
      </w:tr>
      <w:tr>
        <w:trPr>
          <w:trHeight w:val="419" w:hRule="atLeast"/>
        </w:trPr>
        <w:tc>
          <w:tcPr>
            <w:tcW w:w="687" w:type="dxa"/>
          </w:tcPr>
          <w:p>
            <w:pPr>
              <w:pStyle w:val="TableParagraph"/>
              <w:spacing w:before="91"/>
              <w:ind w:left="27"/>
              <w:jc w:val="center"/>
              <w:rPr>
                <w:sz w:val="21"/>
              </w:rPr>
            </w:pPr>
            <w:r>
              <w:rPr>
                <w:sz w:val="21"/>
              </w:rPr>
              <w:t>9</w:t>
            </w:r>
          </w:p>
        </w:tc>
        <w:tc>
          <w:tcPr>
            <w:tcW w:w="3141" w:type="dxa"/>
          </w:tcPr>
          <w:p>
            <w:pPr>
              <w:pStyle w:val="TableParagraph"/>
              <w:spacing w:before="76"/>
              <w:ind w:left="107"/>
              <w:rPr>
                <w:sz w:val="21"/>
              </w:rPr>
            </w:pPr>
            <w:r>
              <w:rPr>
                <w:sz w:val="21"/>
              </w:rPr>
              <w:t>合计</w:t>
            </w:r>
          </w:p>
        </w:tc>
        <w:tc>
          <w:tcPr>
            <w:tcW w:w="2524" w:type="dxa"/>
          </w:tcPr>
          <w:p>
            <w:pPr>
              <w:pStyle w:val="TableParagraph"/>
              <w:spacing w:before="76"/>
              <w:ind w:right="96"/>
              <w:jc w:val="right"/>
              <w:rPr>
                <w:sz w:val="21"/>
              </w:rPr>
            </w:pPr>
            <w:r>
              <w:rPr>
                <w:sz w:val="21"/>
              </w:rPr>
              <w:t>6,007,511,853.27</w:t>
            </w:r>
          </w:p>
        </w:tc>
        <w:tc>
          <w:tcPr>
            <w:tcW w:w="1652" w:type="dxa"/>
          </w:tcPr>
          <w:p>
            <w:pPr>
              <w:pStyle w:val="TableParagraph"/>
              <w:spacing w:before="76"/>
              <w:ind w:right="97"/>
              <w:jc w:val="right"/>
              <w:rPr>
                <w:sz w:val="21"/>
              </w:rPr>
            </w:pPr>
            <w:r>
              <w:rPr>
                <w:sz w:val="21"/>
              </w:rPr>
              <w:t>100.00</w:t>
            </w:r>
          </w:p>
        </w:tc>
      </w:tr>
    </w:tbl>
    <w:p>
      <w:pPr>
        <w:pStyle w:val="BodyText"/>
        <w:spacing w:before="3"/>
        <w:ind w:left="833"/>
      </w:pPr>
      <w:r>
        <w:rPr/>
        <w:t>2、期末投资目标基金明细</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1560"/>
        <w:gridCol w:w="610"/>
        <w:gridCol w:w="1573"/>
        <w:gridCol w:w="895"/>
        <w:gridCol w:w="1896"/>
        <w:gridCol w:w="856"/>
      </w:tblGrid>
      <w:tr>
        <w:trPr>
          <w:trHeight w:val="1978" w:hRule="atLeast"/>
        </w:trPr>
        <w:tc>
          <w:tcPr>
            <w:tcW w:w="610" w:type="dxa"/>
          </w:tcPr>
          <w:p>
            <w:pPr>
              <w:pStyle w:val="TableParagraph"/>
              <w:rPr>
                <w:sz w:val="20"/>
              </w:rPr>
            </w:pPr>
          </w:p>
          <w:p>
            <w:pPr>
              <w:pStyle w:val="TableParagraph"/>
              <w:rPr>
                <w:sz w:val="20"/>
              </w:rPr>
            </w:pPr>
          </w:p>
          <w:p>
            <w:pPr>
              <w:pStyle w:val="TableParagraph"/>
              <w:spacing w:line="348" w:lineRule="auto" w:before="163"/>
              <w:ind w:left="207" w:right="180"/>
              <w:rPr>
                <w:sz w:val="21"/>
              </w:rPr>
            </w:pPr>
            <w:r>
              <w:rPr>
                <w:sz w:val="21"/>
              </w:rPr>
              <w:t>序号</w:t>
            </w:r>
          </w:p>
        </w:tc>
        <w:tc>
          <w:tcPr>
            <w:tcW w:w="1560" w:type="dxa"/>
          </w:tcPr>
          <w:p>
            <w:pPr>
              <w:pStyle w:val="TableParagraph"/>
              <w:rPr>
                <w:sz w:val="20"/>
              </w:rPr>
            </w:pPr>
          </w:p>
          <w:p>
            <w:pPr>
              <w:pStyle w:val="TableParagraph"/>
              <w:rPr>
                <w:sz w:val="20"/>
              </w:rPr>
            </w:pPr>
          </w:p>
          <w:p>
            <w:pPr>
              <w:pStyle w:val="TableParagraph"/>
              <w:spacing w:before="12"/>
              <w:rPr>
                <w:sz w:val="27"/>
              </w:rPr>
            </w:pPr>
          </w:p>
          <w:p>
            <w:pPr>
              <w:pStyle w:val="TableParagraph"/>
              <w:ind w:left="367"/>
              <w:rPr>
                <w:sz w:val="21"/>
              </w:rPr>
            </w:pPr>
            <w:r>
              <w:rPr>
                <w:sz w:val="21"/>
              </w:rPr>
              <w:t>基金名称</w:t>
            </w:r>
          </w:p>
        </w:tc>
        <w:tc>
          <w:tcPr>
            <w:tcW w:w="610" w:type="dxa"/>
          </w:tcPr>
          <w:p>
            <w:pPr>
              <w:pStyle w:val="TableParagraph"/>
              <w:spacing w:before="4"/>
              <w:rPr>
                <w:sz w:val="22"/>
              </w:rPr>
            </w:pPr>
          </w:p>
          <w:p>
            <w:pPr>
              <w:pStyle w:val="TableParagraph"/>
              <w:spacing w:line="348" w:lineRule="auto"/>
              <w:ind w:left="207" w:right="180"/>
              <w:jc w:val="both"/>
              <w:rPr>
                <w:sz w:val="21"/>
              </w:rPr>
            </w:pPr>
            <w:r>
              <w:rPr>
                <w:sz w:val="21"/>
              </w:rPr>
              <w:t>基金类型</w:t>
            </w:r>
          </w:p>
        </w:tc>
        <w:tc>
          <w:tcPr>
            <w:tcW w:w="1573" w:type="dxa"/>
          </w:tcPr>
          <w:p>
            <w:pPr>
              <w:pStyle w:val="TableParagraph"/>
              <w:rPr>
                <w:sz w:val="20"/>
              </w:rPr>
            </w:pPr>
          </w:p>
          <w:p>
            <w:pPr>
              <w:pStyle w:val="TableParagraph"/>
              <w:rPr>
                <w:sz w:val="20"/>
              </w:rPr>
            </w:pPr>
          </w:p>
          <w:p>
            <w:pPr>
              <w:pStyle w:val="TableParagraph"/>
              <w:spacing w:before="12"/>
              <w:rPr>
                <w:sz w:val="27"/>
              </w:rPr>
            </w:pPr>
          </w:p>
          <w:p>
            <w:pPr>
              <w:pStyle w:val="TableParagraph"/>
              <w:ind w:left="374"/>
              <w:rPr>
                <w:sz w:val="21"/>
              </w:rPr>
            </w:pPr>
            <w:r>
              <w:rPr>
                <w:sz w:val="21"/>
              </w:rPr>
              <w:t>运作方式</w:t>
            </w:r>
          </w:p>
        </w:tc>
        <w:tc>
          <w:tcPr>
            <w:tcW w:w="895" w:type="dxa"/>
          </w:tcPr>
          <w:p>
            <w:pPr>
              <w:pStyle w:val="TableParagraph"/>
              <w:rPr>
                <w:sz w:val="20"/>
              </w:rPr>
            </w:pPr>
          </w:p>
          <w:p>
            <w:pPr>
              <w:pStyle w:val="TableParagraph"/>
              <w:rPr>
                <w:sz w:val="20"/>
              </w:rPr>
            </w:pPr>
          </w:p>
          <w:p>
            <w:pPr>
              <w:pStyle w:val="TableParagraph"/>
              <w:spacing w:before="12"/>
              <w:rPr>
                <w:sz w:val="27"/>
              </w:rPr>
            </w:pPr>
          </w:p>
          <w:p>
            <w:pPr>
              <w:pStyle w:val="TableParagraph"/>
              <w:ind w:left="139"/>
              <w:rPr>
                <w:sz w:val="21"/>
              </w:rPr>
            </w:pPr>
            <w:r>
              <w:rPr>
                <w:sz w:val="21"/>
              </w:rPr>
              <w:t>管理人</w:t>
            </w:r>
          </w:p>
        </w:tc>
        <w:tc>
          <w:tcPr>
            <w:tcW w:w="1896" w:type="dxa"/>
          </w:tcPr>
          <w:p>
            <w:pPr>
              <w:pStyle w:val="TableParagraph"/>
              <w:rPr>
                <w:sz w:val="20"/>
              </w:rPr>
            </w:pPr>
          </w:p>
          <w:p>
            <w:pPr>
              <w:pStyle w:val="TableParagraph"/>
              <w:rPr>
                <w:sz w:val="20"/>
              </w:rPr>
            </w:pPr>
          </w:p>
          <w:p>
            <w:pPr>
              <w:pStyle w:val="TableParagraph"/>
              <w:spacing w:before="12"/>
              <w:rPr>
                <w:sz w:val="27"/>
              </w:rPr>
            </w:pPr>
          </w:p>
          <w:p>
            <w:pPr>
              <w:pStyle w:val="TableParagraph"/>
              <w:ind w:left="87" w:right="63"/>
              <w:jc w:val="center"/>
              <w:rPr>
                <w:sz w:val="21"/>
              </w:rPr>
            </w:pPr>
            <w:r>
              <w:rPr>
                <w:sz w:val="21"/>
              </w:rPr>
              <w:t>公允价值（元）</w:t>
            </w:r>
          </w:p>
        </w:tc>
        <w:tc>
          <w:tcPr>
            <w:tcW w:w="856" w:type="dxa"/>
          </w:tcPr>
          <w:p>
            <w:pPr>
              <w:pStyle w:val="TableParagraph"/>
              <w:spacing w:line="348" w:lineRule="auto" w:before="91"/>
              <w:ind w:left="225" w:right="198"/>
              <w:jc w:val="both"/>
              <w:rPr>
                <w:sz w:val="21"/>
              </w:rPr>
            </w:pPr>
            <w:r>
              <w:rPr>
                <w:sz w:val="21"/>
              </w:rPr>
              <w:t>占基金资产净值比</w:t>
            </w:r>
          </w:p>
          <w:p>
            <w:pPr>
              <w:pStyle w:val="TableParagraph"/>
              <w:spacing w:line="269" w:lineRule="exact"/>
              <w:ind w:left="123" w:right="-15"/>
              <w:rPr>
                <w:sz w:val="21"/>
              </w:rPr>
            </w:pPr>
            <w:r>
              <w:rPr>
                <w:spacing w:val="-6"/>
                <w:sz w:val="21"/>
              </w:rPr>
              <w:t>例</w:t>
            </w:r>
            <w:r>
              <w:rPr>
                <w:spacing w:val="-4"/>
                <w:sz w:val="21"/>
              </w:rPr>
              <w:t>（%）</w:t>
            </w:r>
          </w:p>
        </w:tc>
      </w:tr>
      <w:tr>
        <w:trPr>
          <w:trHeight w:val="1950" w:hRule="atLeast"/>
        </w:trPr>
        <w:tc>
          <w:tcPr>
            <w:tcW w:w="610" w:type="dxa"/>
          </w:tcPr>
          <w:p>
            <w:pPr>
              <w:pStyle w:val="TableParagraph"/>
              <w:rPr>
                <w:sz w:val="20"/>
              </w:rPr>
            </w:pPr>
          </w:p>
          <w:p>
            <w:pPr>
              <w:pStyle w:val="TableParagraph"/>
              <w:rPr>
                <w:sz w:val="20"/>
              </w:rPr>
            </w:pPr>
          </w:p>
          <w:p>
            <w:pPr>
              <w:pStyle w:val="TableParagraph"/>
              <w:spacing w:before="9"/>
              <w:rPr>
                <w:sz w:val="25"/>
              </w:rPr>
            </w:pPr>
          </w:p>
          <w:p>
            <w:pPr>
              <w:pStyle w:val="TableParagraph"/>
              <w:ind w:left="10"/>
              <w:jc w:val="center"/>
              <w:rPr>
                <w:sz w:val="21"/>
              </w:rPr>
            </w:pPr>
            <w:r>
              <w:rPr>
                <w:sz w:val="21"/>
              </w:rPr>
              <w:t>1</w:t>
            </w:r>
          </w:p>
        </w:tc>
        <w:tc>
          <w:tcPr>
            <w:tcW w:w="1560" w:type="dxa"/>
          </w:tcPr>
          <w:p>
            <w:pPr>
              <w:pStyle w:val="TableParagraph"/>
              <w:spacing w:line="348" w:lineRule="auto" w:before="62"/>
              <w:ind w:left="149" w:right="139" w:hanging="53"/>
              <w:jc w:val="center"/>
              <w:rPr>
                <w:sz w:val="21"/>
              </w:rPr>
            </w:pPr>
            <w:r>
              <w:rPr>
                <w:sz w:val="21"/>
              </w:rPr>
              <w:t>易方达沪深300 交易型开放式指数发起式证券投资基</w:t>
            </w:r>
          </w:p>
          <w:p>
            <w:pPr>
              <w:pStyle w:val="TableParagraph"/>
              <w:spacing w:line="269" w:lineRule="exact"/>
              <w:ind w:left="10"/>
              <w:jc w:val="center"/>
              <w:rPr>
                <w:sz w:val="21"/>
              </w:rPr>
            </w:pPr>
            <w:r>
              <w:rPr>
                <w:sz w:val="21"/>
              </w:rPr>
              <w:t>金</w:t>
            </w:r>
          </w:p>
        </w:tc>
        <w:tc>
          <w:tcPr>
            <w:tcW w:w="610" w:type="dxa"/>
          </w:tcPr>
          <w:p>
            <w:pPr>
              <w:pStyle w:val="TableParagraph"/>
              <w:rPr>
                <w:sz w:val="20"/>
              </w:rPr>
            </w:pPr>
          </w:p>
          <w:p>
            <w:pPr>
              <w:pStyle w:val="TableParagraph"/>
              <w:spacing w:before="3"/>
              <w:rPr>
                <w:sz w:val="15"/>
              </w:rPr>
            </w:pPr>
          </w:p>
          <w:p>
            <w:pPr>
              <w:pStyle w:val="TableParagraph"/>
              <w:spacing w:line="348" w:lineRule="auto"/>
              <w:ind w:left="200" w:right="189"/>
              <w:jc w:val="both"/>
              <w:rPr>
                <w:sz w:val="21"/>
              </w:rPr>
            </w:pPr>
            <w:r>
              <w:rPr>
                <w:sz w:val="21"/>
              </w:rPr>
              <w:t>股票型</w:t>
            </w:r>
          </w:p>
        </w:tc>
        <w:tc>
          <w:tcPr>
            <w:tcW w:w="1573" w:type="dxa"/>
          </w:tcPr>
          <w:p>
            <w:pPr>
              <w:pStyle w:val="TableParagraph"/>
              <w:rPr>
                <w:sz w:val="20"/>
              </w:rPr>
            </w:pPr>
          </w:p>
          <w:p>
            <w:pPr>
              <w:pStyle w:val="TableParagraph"/>
              <w:spacing w:before="3"/>
              <w:rPr>
                <w:sz w:val="15"/>
              </w:rPr>
            </w:pPr>
          </w:p>
          <w:p>
            <w:pPr>
              <w:pStyle w:val="TableParagraph"/>
              <w:ind w:left="83" w:right="73"/>
              <w:jc w:val="center"/>
              <w:rPr>
                <w:sz w:val="21"/>
              </w:rPr>
            </w:pPr>
            <w:r>
              <w:rPr>
                <w:sz w:val="21"/>
              </w:rPr>
              <w:t>交易型开放式</w:t>
            </w:r>
          </w:p>
          <w:p>
            <w:pPr>
              <w:pStyle w:val="TableParagraph"/>
              <w:spacing w:line="348" w:lineRule="auto" w:before="121"/>
              <w:ind w:left="86" w:right="73"/>
              <w:jc w:val="center"/>
              <w:rPr>
                <w:sz w:val="21"/>
              </w:rPr>
            </w:pPr>
            <w:r>
              <w:rPr>
                <w:sz w:val="21"/>
              </w:rPr>
              <w:t>（ETF）、发起式</w:t>
            </w:r>
          </w:p>
        </w:tc>
        <w:tc>
          <w:tcPr>
            <w:tcW w:w="895" w:type="dxa"/>
          </w:tcPr>
          <w:p>
            <w:pPr>
              <w:pStyle w:val="TableParagraph"/>
              <w:rPr>
                <w:sz w:val="20"/>
              </w:rPr>
            </w:pPr>
          </w:p>
          <w:p>
            <w:pPr>
              <w:pStyle w:val="TableParagraph"/>
              <w:spacing w:line="348" w:lineRule="auto" w:before="1"/>
              <w:ind w:left="132" w:right="120"/>
              <w:jc w:val="both"/>
              <w:rPr>
                <w:sz w:val="21"/>
              </w:rPr>
            </w:pPr>
            <w:r>
              <w:rPr>
                <w:sz w:val="21"/>
              </w:rPr>
              <w:t>易方达基金管理有限公司</w:t>
            </w:r>
          </w:p>
        </w:tc>
        <w:tc>
          <w:tcPr>
            <w:tcW w:w="1896" w:type="dxa"/>
          </w:tcPr>
          <w:p>
            <w:pPr>
              <w:pStyle w:val="TableParagraph"/>
              <w:rPr>
                <w:sz w:val="20"/>
              </w:rPr>
            </w:pPr>
          </w:p>
          <w:p>
            <w:pPr>
              <w:pStyle w:val="TableParagraph"/>
              <w:rPr>
                <w:sz w:val="20"/>
              </w:rPr>
            </w:pPr>
          </w:p>
          <w:p>
            <w:pPr>
              <w:pStyle w:val="TableParagraph"/>
              <w:spacing w:before="9"/>
              <w:rPr>
                <w:sz w:val="25"/>
              </w:rPr>
            </w:pPr>
          </w:p>
          <w:p>
            <w:pPr>
              <w:pStyle w:val="TableParagraph"/>
              <w:ind w:left="87" w:right="78"/>
              <w:jc w:val="center"/>
              <w:rPr>
                <w:sz w:val="21"/>
              </w:rPr>
            </w:pPr>
            <w:r>
              <w:rPr>
                <w:sz w:val="21"/>
              </w:rPr>
              <w:t>5,579,420,828.33</w:t>
            </w:r>
          </w:p>
        </w:tc>
        <w:tc>
          <w:tcPr>
            <w:tcW w:w="856" w:type="dxa"/>
          </w:tcPr>
          <w:p>
            <w:pPr>
              <w:pStyle w:val="TableParagraph"/>
              <w:rPr>
                <w:sz w:val="20"/>
              </w:rPr>
            </w:pPr>
          </w:p>
          <w:p>
            <w:pPr>
              <w:pStyle w:val="TableParagraph"/>
              <w:rPr>
                <w:sz w:val="20"/>
              </w:rPr>
            </w:pPr>
          </w:p>
          <w:p>
            <w:pPr>
              <w:pStyle w:val="TableParagraph"/>
              <w:spacing w:before="9"/>
              <w:rPr>
                <w:sz w:val="25"/>
              </w:rPr>
            </w:pPr>
          </w:p>
          <w:p>
            <w:pPr>
              <w:pStyle w:val="TableParagraph"/>
              <w:ind w:left="223"/>
              <w:rPr>
                <w:sz w:val="21"/>
              </w:rPr>
            </w:pPr>
            <w:r>
              <w:rPr>
                <w:sz w:val="21"/>
              </w:rPr>
              <w:t>93.31</w:t>
            </w:r>
          </w:p>
        </w:tc>
      </w:tr>
    </w:tbl>
    <w:p>
      <w:pPr>
        <w:pStyle w:val="BodyText"/>
        <w:spacing w:before="3"/>
        <w:ind w:left="833"/>
      </w:pPr>
      <w:r>
        <w:rPr/>
        <w:t>3、报告期末按行业分类的股票投资组合</w:t>
      </w:r>
    </w:p>
    <w:p>
      <w:pPr>
        <w:pStyle w:val="BodyText"/>
        <w:spacing w:before="139"/>
        <w:ind w:left="833"/>
      </w:pPr>
      <w:r>
        <w:rPr/>
        <w:t>（1）报告期末按行业分类的境内股票投资组合</w:t>
      </w:r>
    </w:p>
    <w:p>
      <w:pPr>
        <w:pStyle w:val="BodyText"/>
        <w:spacing w:before="8"/>
        <w:ind w:left="0"/>
        <w:rPr>
          <w:sz w:val="10"/>
        </w:rPr>
      </w:pPr>
    </w:p>
    <w:tbl>
      <w:tblPr>
        <w:tblW w:w="0" w:type="auto"/>
        <w:jc w:val="left"/>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3381"/>
        <w:gridCol w:w="2871"/>
        <w:gridCol w:w="1253"/>
      </w:tblGrid>
      <w:tr>
        <w:trPr>
          <w:trHeight w:val="1036" w:hRule="atLeast"/>
        </w:trPr>
        <w:tc>
          <w:tcPr>
            <w:tcW w:w="499" w:type="dxa"/>
          </w:tcPr>
          <w:p>
            <w:pPr>
              <w:pStyle w:val="TableParagraph"/>
              <w:spacing w:before="12"/>
              <w:rPr>
                <w:sz w:val="27"/>
              </w:rPr>
            </w:pPr>
          </w:p>
          <w:p>
            <w:pPr>
              <w:pStyle w:val="TableParagraph"/>
              <w:ind w:left="19" w:right="9"/>
              <w:jc w:val="center"/>
              <w:rPr>
                <w:sz w:val="21"/>
              </w:rPr>
            </w:pPr>
            <w:r>
              <w:rPr>
                <w:sz w:val="21"/>
              </w:rPr>
              <w:t>代码</w:t>
            </w:r>
          </w:p>
        </w:tc>
        <w:tc>
          <w:tcPr>
            <w:tcW w:w="3381" w:type="dxa"/>
          </w:tcPr>
          <w:p>
            <w:pPr>
              <w:pStyle w:val="TableParagraph"/>
              <w:spacing w:before="12"/>
              <w:rPr>
                <w:sz w:val="27"/>
              </w:rPr>
            </w:pPr>
          </w:p>
          <w:p>
            <w:pPr>
              <w:pStyle w:val="TableParagraph"/>
              <w:ind w:left="1250" w:right="1240"/>
              <w:jc w:val="center"/>
              <w:rPr>
                <w:sz w:val="21"/>
              </w:rPr>
            </w:pPr>
            <w:r>
              <w:rPr>
                <w:sz w:val="21"/>
              </w:rPr>
              <w:t>行业类别</w:t>
            </w:r>
          </w:p>
        </w:tc>
        <w:tc>
          <w:tcPr>
            <w:tcW w:w="2871" w:type="dxa"/>
          </w:tcPr>
          <w:p>
            <w:pPr>
              <w:pStyle w:val="TableParagraph"/>
              <w:spacing w:before="12"/>
              <w:rPr>
                <w:sz w:val="27"/>
              </w:rPr>
            </w:pPr>
          </w:p>
          <w:p>
            <w:pPr>
              <w:pStyle w:val="TableParagraph"/>
              <w:ind w:left="700"/>
              <w:rPr>
                <w:sz w:val="21"/>
              </w:rPr>
            </w:pPr>
            <w:r>
              <w:rPr>
                <w:sz w:val="21"/>
              </w:rPr>
              <w:t>公允价值（元）</w:t>
            </w:r>
          </w:p>
        </w:tc>
        <w:tc>
          <w:tcPr>
            <w:tcW w:w="1253" w:type="dxa"/>
          </w:tcPr>
          <w:p>
            <w:pPr>
              <w:pStyle w:val="TableParagraph"/>
              <w:spacing w:line="304" w:lineRule="auto" w:before="18"/>
              <w:ind w:left="101" w:right="89"/>
              <w:jc w:val="center"/>
              <w:rPr>
                <w:sz w:val="21"/>
              </w:rPr>
            </w:pPr>
            <w:r>
              <w:rPr>
                <w:sz w:val="21"/>
              </w:rPr>
              <w:t>占基金资产净值比例</w:t>
            </w:r>
          </w:p>
          <w:p>
            <w:pPr>
              <w:pStyle w:val="TableParagraph"/>
              <w:spacing w:line="266" w:lineRule="exact"/>
              <w:ind w:left="98" w:right="89"/>
              <w:jc w:val="center"/>
              <w:rPr>
                <w:sz w:val="21"/>
              </w:rPr>
            </w:pPr>
            <w:r>
              <w:rPr>
                <w:sz w:val="21"/>
              </w:rPr>
              <w:t>（％）</w:t>
            </w:r>
          </w:p>
        </w:tc>
      </w:tr>
      <w:tr>
        <w:trPr>
          <w:trHeight w:val="434" w:hRule="atLeast"/>
        </w:trPr>
        <w:tc>
          <w:tcPr>
            <w:tcW w:w="499" w:type="dxa"/>
          </w:tcPr>
          <w:p>
            <w:pPr>
              <w:pStyle w:val="TableParagraph"/>
              <w:spacing w:before="18"/>
              <w:ind w:left="10"/>
              <w:jc w:val="center"/>
              <w:rPr>
                <w:sz w:val="21"/>
              </w:rPr>
            </w:pPr>
            <w:r>
              <w:rPr>
                <w:sz w:val="21"/>
              </w:rPr>
              <w:t>A</w:t>
            </w:r>
          </w:p>
        </w:tc>
        <w:tc>
          <w:tcPr>
            <w:tcW w:w="3381" w:type="dxa"/>
          </w:tcPr>
          <w:p>
            <w:pPr>
              <w:pStyle w:val="TableParagraph"/>
              <w:spacing w:before="18"/>
              <w:ind w:left="15"/>
              <w:rPr>
                <w:sz w:val="21"/>
              </w:rPr>
            </w:pPr>
            <w:r>
              <w:rPr>
                <w:sz w:val="21"/>
              </w:rPr>
              <w:t>农、林、牧、渔业</w:t>
            </w:r>
          </w:p>
        </w:tc>
        <w:tc>
          <w:tcPr>
            <w:tcW w:w="2871" w:type="dxa"/>
          </w:tcPr>
          <w:p>
            <w:pPr>
              <w:pStyle w:val="TableParagraph"/>
              <w:spacing w:before="106"/>
              <w:ind w:right="-15"/>
              <w:jc w:val="right"/>
              <w:rPr>
                <w:sz w:val="21"/>
              </w:rPr>
            </w:pPr>
            <w:r>
              <w:rPr>
                <w:sz w:val="21"/>
              </w:rPr>
              <w:t>-</w:t>
            </w:r>
          </w:p>
        </w:tc>
        <w:tc>
          <w:tcPr>
            <w:tcW w:w="1253" w:type="dxa"/>
          </w:tcPr>
          <w:p>
            <w:pPr>
              <w:pStyle w:val="TableParagraph"/>
              <w:spacing w:before="106"/>
              <w:ind w:right="3"/>
              <w:jc w:val="right"/>
              <w:rPr>
                <w:sz w:val="21"/>
              </w:rPr>
            </w:pPr>
            <w:r>
              <w:rPr>
                <w:sz w:val="21"/>
              </w:rPr>
              <w:t>-</w:t>
            </w:r>
          </w:p>
        </w:tc>
      </w:tr>
      <w:tr>
        <w:trPr>
          <w:trHeight w:val="795" w:hRule="atLeast"/>
        </w:trPr>
        <w:tc>
          <w:tcPr>
            <w:tcW w:w="499" w:type="dxa"/>
          </w:tcPr>
          <w:p>
            <w:pPr>
              <w:pStyle w:val="TableParagraph"/>
              <w:spacing w:before="18"/>
              <w:ind w:left="10"/>
              <w:jc w:val="center"/>
              <w:rPr>
                <w:sz w:val="21"/>
              </w:rPr>
            </w:pPr>
            <w:r>
              <w:rPr>
                <w:sz w:val="21"/>
              </w:rPr>
              <w:t>B</w:t>
            </w:r>
          </w:p>
        </w:tc>
        <w:tc>
          <w:tcPr>
            <w:tcW w:w="3381" w:type="dxa"/>
          </w:tcPr>
          <w:p>
            <w:pPr>
              <w:pStyle w:val="TableParagraph"/>
              <w:spacing w:before="18"/>
              <w:ind w:left="15"/>
              <w:rPr>
                <w:sz w:val="21"/>
              </w:rPr>
            </w:pPr>
            <w:r>
              <w:rPr>
                <w:sz w:val="21"/>
              </w:rPr>
              <w:t>采矿业</w:t>
            </w:r>
          </w:p>
        </w:tc>
        <w:tc>
          <w:tcPr>
            <w:tcW w:w="2871" w:type="dxa"/>
          </w:tcPr>
          <w:p>
            <w:pPr>
              <w:pStyle w:val="TableParagraph"/>
              <w:spacing w:before="77"/>
              <w:ind w:right="-15"/>
              <w:jc w:val="right"/>
              <w:rPr>
                <w:sz w:val="21"/>
              </w:rPr>
            </w:pPr>
            <w:r>
              <w:rPr>
                <w:sz w:val="21"/>
              </w:rPr>
              <w:t>2,746,532.00</w:t>
            </w:r>
          </w:p>
        </w:tc>
        <w:tc>
          <w:tcPr>
            <w:tcW w:w="1253" w:type="dxa"/>
          </w:tcPr>
          <w:p>
            <w:pPr>
              <w:pStyle w:val="TableParagraph"/>
              <w:spacing w:before="77"/>
              <w:ind w:right="3"/>
              <w:jc w:val="right"/>
              <w:rPr>
                <w:sz w:val="21"/>
              </w:rPr>
            </w:pPr>
            <w:r>
              <w:rPr>
                <w:sz w:val="21"/>
              </w:rPr>
              <w:t>0.05</w:t>
            </w:r>
          </w:p>
        </w:tc>
      </w:tr>
      <w:tr>
        <w:trPr>
          <w:trHeight w:val="405" w:hRule="atLeast"/>
        </w:trPr>
        <w:tc>
          <w:tcPr>
            <w:tcW w:w="499" w:type="dxa"/>
          </w:tcPr>
          <w:p>
            <w:pPr>
              <w:pStyle w:val="TableParagraph"/>
              <w:spacing w:before="18"/>
              <w:ind w:left="10"/>
              <w:jc w:val="center"/>
              <w:rPr>
                <w:sz w:val="21"/>
              </w:rPr>
            </w:pPr>
            <w:r>
              <w:rPr>
                <w:sz w:val="21"/>
              </w:rPr>
              <w:t>C</w:t>
            </w:r>
          </w:p>
        </w:tc>
        <w:tc>
          <w:tcPr>
            <w:tcW w:w="3381" w:type="dxa"/>
          </w:tcPr>
          <w:p>
            <w:pPr>
              <w:pStyle w:val="TableParagraph"/>
              <w:spacing w:before="18"/>
              <w:ind w:left="15"/>
              <w:rPr>
                <w:sz w:val="21"/>
              </w:rPr>
            </w:pPr>
            <w:r>
              <w:rPr>
                <w:sz w:val="21"/>
              </w:rPr>
              <w:t>制造业</w:t>
            </w:r>
          </w:p>
        </w:tc>
        <w:tc>
          <w:tcPr>
            <w:tcW w:w="2871" w:type="dxa"/>
          </w:tcPr>
          <w:p>
            <w:pPr>
              <w:pStyle w:val="TableParagraph"/>
              <w:spacing w:before="77"/>
              <w:ind w:right="-15"/>
              <w:jc w:val="right"/>
              <w:rPr>
                <w:sz w:val="21"/>
              </w:rPr>
            </w:pPr>
            <w:r>
              <w:rPr>
                <w:sz w:val="21"/>
              </w:rPr>
              <w:t>23,571,737.81</w:t>
            </w:r>
          </w:p>
        </w:tc>
        <w:tc>
          <w:tcPr>
            <w:tcW w:w="1253" w:type="dxa"/>
          </w:tcPr>
          <w:p>
            <w:pPr>
              <w:pStyle w:val="TableParagraph"/>
              <w:spacing w:before="77"/>
              <w:ind w:right="3"/>
              <w:jc w:val="right"/>
              <w:rPr>
                <w:sz w:val="21"/>
              </w:rPr>
            </w:pPr>
            <w:r>
              <w:rPr>
                <w:sz w:val="21"/>
              </w:rPr>
              <w:t>0.39</w:t>
            </w:r>
          </w:p>
        </w:tc>
      </w:tr>
      <w:tr>
        <w:trPr>
          <w:trHeight w:val="405" w:hRule="atLeast"/>
        </w:trPr>
        <w:tc>
          <w:tcPr>
            <w:tcW w:w="499" w:type="dxa"/>
          </w:tcPr>
          <w:p>
            <w:pPr>
              <w:pStyle w:val="TableParagraph"/>
              <w:spacing w:before="18"/>
              <w:ind w:left="10"/>
              <w:jc w:val="center"/>
              <w:rPr>
                <w:sz w:val="21"/>
              </w:rPr>
            </w:pPr>
            <w:r>
              <w:rPr>
                <w:sz w:val="21"/>
              </w:rPr>
              <w:t>D</w:t>
            </w:r>
          </w:p>
        </w:tc>
        <w:tc>
          <w:tcPr>
            <w:tcW w:w="3381" w:type="dxa"/>
          </w:tcPr>
          <w:p>
            <w:pPr>
              <w:pStyle w:val="TableParagraph"/>
              <w:spacing w:before="18"/>
              <w:ind w:left="15"/>
              <w:rPr>
                <w:sz w:val="21"/>
              </w:rPr>
            </w:pPr>
            <w:r>
              <w:rPr>
                <w:spacing w:val="-4"/>
                <w:sz w:val="21"/>
              </w:rPr>
              <w:t>电力、热力、燃气及水生产和供应业</w:t>
            </w:r>
          </w:p>
        </w:tc>
        <w:tc>
          <w:tcPr>
            <w:tcW w:w="2871" w:type="dxa"/>
          </w:tcPr>
          <w:p>
            <w:pPr>
              <w:pStyle w:val="TableParagraph"/>
              <w:spacing w:before="77"/>
              <w:ind w:right="-15"/>
              <w:jc w:val="right"/>
              <w:rPr>
                <w:sz w:val="21"/>
              </w:rPr>
            </w:pPr>
            <w:r>
              <w:rPr>
                <w:sz w:val="21"/>
              </w:rPr>
              <w:t>2,294,712.00</w:t>
            </w:r>
          </w:p>
        </w:tc>
        <w:tc>
          <w:tcPr>
            <w:tcW w:w="1253" w:type="dxa"/>
          </w:tcPr>
          <w:p>
            <w:pPr>
              <w:pStyle w:val="TableParagraph"/>
              <w:spacing w:before="77"/>
              <w:ind w:right="3"/>
              <w:jc w:val="right"/>
              <w:rPr>
                <w:sz w:val="21"/>
              </w:rPr>
            </w:pPr>
            <w:r>
              <w:rPr>
                <w:sz w:val="21"/>
              </w:rPr>
              <w:t>0.04</w:t>
            </w:r>
          </w:p>
        </w:tc>
      </w:tr>
      <w:tr>
        <w:trPr>
          <w:trHeight w:val="404" w:hRule="atLeast"/>
        </w:trPr>
        <w:tc>
          <w:tcPr>
            <w:tcW w:w="499" w:type="dxa"/>
          </w:tcPr>
          <w:p>
            <w:pPr>
              <w:pStyle w:val="TableParagraph"/>
              <w:spacing w:before="18"/>
              <w:ind w:left="10"/>
              <w:jc w:val="center"/>
              <w:rPr>
                <w:sz w:val="21"/>
              </w:rPr>
            </w:pPr>
            <w:r>
              <w:rPr>
                <w:sz w:val="21"/>
              </w:rPr>
              <w:t>E</w:t>
            </w:r>
          </w:p>
        </w:tc>
        <w:tc>
          <w:tcPr>
            <w:tcW w:w="3381" w:type="dxa"/>
          </w:tcPr>
          <w:p>
            <w:pPr>
              <w:pStyle w:val="TableParagraph"/>
              <w:spacing w:before="18"/>
              <w:ind w:left="15"/>
              <w:rPr>
                <w:sz w:val="21"/>
              </w:rPr>
            </w:pPr>
            <w:r>
              <w:rPr>
                <w:sz w:val="21"/>
              </w:rPr>
              <w:t>建筑业</w:t>
            </w:r>
          </w:p>
        </w:tc>
        <w:tc>
          <w:tcPr>
            <w:tcW w:w="2871" w:type="dxa"/>
          </w:tcPr>
          <w:p>
            <w:pPr>
              <w:pStyle w:val="TableParagraph"/>
              <w:spacing w:before="77"/>
              <w:ind w:right="-15"/>
              <w:jc w:val="right"/>
              <w:rPr>
                <w:sz w:val="21"/>
              </w:rPr>
            </w:pPr>
            <w:r>
              <w:rPr>
                <w:sz w:val="21"/>
              </w:rPr>
              <w:t>2,384,177.00</w:t>
            </w:r>
          </w:p>
        </w:tc>
        <w:tc>
          <w:tcPr>
            <w:tcW w:w="1253" w:type="dxa"/>
          </w:tcPr>
          <w:p>
            <w:pPr>
              <w:pStyle w:val="TableParagraph"/>
              <w:spacing w:before="77"/>
              <w:ind w:right="3"/>
              <w:jc w:val="right"/>
              <w:rPr>
                <w:sz w:val="21"/>
              </w:rPr>
            </w:pPr>
            <w:r>
              <w:rPr>
                <w:sz w:val="21"/>
              </w:rPr>
              <w:t>0.04</w:t>
            </w:r>
          </w:p>
        </w:tc>
      </w:tr>
      <w:tr>
        <w:trPr>
          <w:trHeight w:val="405" w:hRule="atLeast"/>
        </w:trPr>
        <w:tc>
          <w:tcPr>
            <w:tcW w:w="499" w:type="dxa"/>
          </w:tcPr>
          <w:p>
            <w:pPr>
              <w:pStyle w:val="TableParagraph"/>
              <w:spacing w:before="18"/>
              <w:ind w:left="10"/>
              <w:jc w:val="center"/>
              <w:rPr>
                <w:sz w:val="21"/>
              </w:rPr>
            </w:pPr>
            <w:r>
              <w:rPr>
                <w:sz w:val="21"/>
              </w:rPr>
              <w:t>F</w:t>
            </w:r>
          </w:p>
        </w:tc>
        <w:tc>
          <w:tcPr>
            <w:tcW w:w="3381" w:type="dxa"/>
          </w:tcPr>
          <w:p>
            <w:pPr>
              <w:pStyle w:val="TableParagraph"/>
              <w:spacing w:before="18"/>
              <w:ind w:left="15"/>
              <w:rPr>
                <w:sz w:val="21"/>
              </w:rPr>
            </w:pPr>
            <w:r>
              <w:rPr>
                <w:sz w:val="21"/>
              </w:rPr>
              <w:t>批发和零售业</w:t>
            </w:r>
          </w:p>
        </w:tc>
        <w:tc>
          <w:tcPr>
            <w:tcW w:w="2871" w:type="dxa"/>
          </w:tcPr>
          <w:p>
            <w:pPr>
              <w:pStyle w:val="TableParagraph"/>
              <w:spacing w:before="77"/>
              <w:ind w:right="-15"/>
              <w:jc w:val="right"/>
              <w:rPr>
                <w:sz w:val="21"/>
              </w:rPr>
            </w:pPr>
            <w:r>
              <w:rPr>
                <w:sz w:val="21"/>
              </w:rPr>
              <w:t>814,907.31</w:t>
            </w:r>
          </w:p>
        </w:tc>
        <w:tc>
          <w:tcPr>
            <w:tcW w:w="1253" w:type="dxa"/>
          </w:tcPr>
          <w:p>
            <w:pPr>
              <w:pStyle w:val="TableParagraph"/>
              <w:spacing w:before="77"/>
              <w:ind w:right="3"/>
              <w:jc w:val="right"/>
              <w:rPr>
                <w:sz w:val="21"/>
              </w:rPr>
            </w:pPr>
            <w:r>
              <w:rPr>
                <w:sz w:val="21"/>
              </w:rPr>
              <w:t>0.01</w:t>
            </w:r>
          </w:p>
        </w:tc>
      </w:tr>
      <w:tr>
        <w:trPr>
          <w:trHeight w:val="405" w:hRule="atLeast"/>
        </w:trPr>
        <w:tc>
          <w:tcPr>
            <w:tcW w:w="499" w:type="dxa"/>
          </w:tcPr>
          <w:p>
            <w:pPr>
              <w:pStyle w:val="TableParagraph"/>
              <w:spacing w:before="18"/>
              <w:ind w:left="10"/>
              <w:jc w:val="center"/>
              <w:rPr>
                <w:sz w:val="21"/>
              </w:rPr>
            </w:pPr>
            <w:r>
              <w:rPr>
                <w:sz w:val="21"/>
              </w:rPr>
              <w:t>G</w:t>
            </w:r>
          </w:p>
        </w:tc>
        <w:tc>
          <w:tcPr>
            <w:tcW w:w="3381" w:type="dxa"/>
          </w:tcPr>
          <w:p>
            <w:pPr>
              <w:pStyle w:val="TableParagraph"/>
              <w:spacing w:before="18"/>
              <w:ind w:left="15"/>
              <w:rPr>
                <w:sz w:val="21"/>
              </w:rPr>
            </w:pPr>
            <w:r>
              <w:rPr>
                <w:sz w:val="21"/>
              </w:rPr>
              <w:t>交通运输、仓储和邮政业</w:t>
            </w:r>
          </w:p>
        </w:tc>
        <w:tc>
          <w:tcPr>
            <w:tcW w:w="2871" w:type="dxa"/>
          </w:tcPr>
          <w:p>
            <w:pPr>
              <w:pStyle w:val="TableParagraph"/>
              <w:spacing w:before="77"/>
              <w:ind w:right="-15"/>
              <w:jc w:val="right"/>
              <w:rPr>
                <w:sz w:val="21"/>
              </w:rPr>
            </w:pPr>
            <w:r>
              <w:rPr>
                <w:sz w:val="21"/>
              </w:rPr>
              <w:t>7,216,261.32</w:t>
            </w:r>
          </w:p>
        </w:tc>
        <w:tc>
          <w:tcPr>
            <w:tcW w:w="1253" w:type="dxa"/>
          </w:tcPr>
          <w:p>
            <w:pPr>
              <w:pStyle w:val="TableParagraph"/>
              <w:spacing w:before="77"/>
              <w:ind w:right="3"/>
              <w:jc w:val="right"/>
              <w:rPr>
                <w:sz w:val="21"/>
              </w:rPr>
            </w:pPr>
            <w:r>
              <w:rPr>
                <w:sz w:val="21"/>
              </w:rPr>
              <w:t>0.12</w:t>
            </w:r>
          </w:p>
        </w:tc>
      </w:tr>
      <w:tr>
        <w:trPr>
          <w:trHeight w:val="405" w:hRule="atLeast"/>
        </w:trPr>
        <w:tc>
          <w:tcPr>
            <w:tcW w:w="499" w:type="dxa"/>
          </w:tcPr>
          <w:p>
            <w:pPr>
              <w:pStyle w:val="TableParagraph"/>
              <w:spacing w:before="18"/>
              <w:ind w:left="10"/>
              <w:jc w:val="center"/>
              <w:rPr>
                <w:sz w:val="21"/>
              </w:rPr>
            </w:pPr>
            <w:r>
              <w:rPr>
                <w:sz w:val="21"/>
              </w:rPr>
              <w:t>H</w:t>
            </w:r>
          </w:p>
        </w:tc>
        <w:tc>
          <w:tcPr>
            <w:tcW w:w="3381" w:type="dxa"/>
          </w:tcPr>
          <w:p>
            <w:pPr>
              <w:pStyle w:val="TableParagraph"/>
              <w:spacing w:before="18"/>
              <w:ind w:left="15"/>
              <w:rPr>
                <w:sz w:val="21"/>
              </w:rPr>
            </w:pPr>
            <w:r>
              <w:rPr>
                <w:sz w:val="21"/>
              </w:rPr>
              <w:t>住宿和餐饮业</w:t>
            </w:r>
          </w:p>
        </w:tc>
        <w:tc>
          <w:tcPr>
            <w:tcW w:w="2871" w:type="dxa"/>
          </w:tcPr>
          <w:p>
            <w:pPr>
              <w:pStyle w:val="TableParagraph"/>
              <w:spacing w:before="77"/>
              <w:ind w:right="-15"/>
              <w:jc w:val="right"/>
              <w:rPr>
                <w:sz w:val="21"/>
              </w:rPr>
            </w:pPr>
            <w:r>
              <w:rPr>
                <w:sz w:val="21"/>
              </w:rPr>
              <w:t>-</w:t>
            </w:r>
          </w:p>
        </w:tc>
        <w:tc>
          <w:tcPr>
            <w:tcW w:w="1253" w:type="dxa"/>
          </w:tcPr>
          <w:p>
            <w:pPr>
              <w:pStyle w:val="TableParagraph"/>
              <w:spacing w:before="77"/>
              <w:ind w:right="3"/>
              <w:jc w:val="right"/>
              <w:rPr>
                <w:sz w:val="21"/>
              </w:rPr>
            </w:pPr>
            <w:r>
              <w:rPr>
                <w:sz w:val="21"/>
              </w:rPr>
              <w:t>-</w:t>
            </w:r>
          </w:p>
        </w:tc>
      </w:tr>
      <w:tr>
        <w:trPr>
          <w:trHeight w:val="405" w:hRule="atLeast"/>
        </w:trPr>
        <w:tc>
          <w:tcPr>
            <w:tcW w:w="499" w:type="dxa"/>
          </w:tcPr>
          <w:p>
            <w:pPr>
              <w:pStyle w:val="TableParagraph"/>
              <w:spacing w:before="18"/>
              <w:ind w:left="10"/>
              <w:jc w:val="center"/>
              <w:rPr>
                <w:sz w:val="21"/>
              </w:rPr>
            </w:pPr>
            <w:r>
              <w:rPr>
                <w:sz w:val="21"/>
              </w:rPr>
              <w:t>I</w:t>
            </w:r>
          </w:p>
        </w:tc>
        <w:tc>
          <w:tcPr>
            <w:tcW w:w="3381" w:type="dxa"/>
          </w:tcPr>
          <w:p>
            <w:pPr>
              <w:pStyle w:val="TableParagraph"/>
              <w:spacing w:before="18"/>
              <w:ind w:left="15"/>
              <w:rPr>
                <w:sz w:val="21"/>
              </w:rPr>
            </w:pPr>
            <w:r>
              <w:rPr>
                <w:sz w:val="21"/>
              </w:rPr>
              <w:t>信息传输、软件和信息技术服务业</w:t>
            </w:r>
          </w:p>
        </w:tc>
        <w:tc>
          <w:tcPr>
            <w:tcW w:w="2871" w:type="dxa"/>
          </w:tcPr>
          <w:p>
            <w:pPr>
              <w:pStyle w:val="TableParagraph"/>
              <w:spacing w:before="77"/>
              <w:ind w:right="-15"/>
              <w:jc w:val="right"/>
              <w:rPr>
                <w:sz w:val="21"/>
              </w:rPr>
            </w:pPr>
            <w:r>
              <w:rPr>
                <w:sz w:val="21"/>
              </w:rPr>
              <w:t>2,252,553.97</w:t>
            </w:r>
          </w:p>
        </w:tc>
        <w:tc>
          <w:tcPr>
            <w:tcW w:w="1253" w:type="dxa"/>
          </w:tcPr>
          <w:p>
            <w:pPr>
              <w:pStyle w:val="TableParagraph"/>
              <w:spacing w:before="77"/>
              <w:ind w:right="3"/>
              <w:jc w:val="right"/>
              <w:rPr>
                <w:sz w:val="21"/>
              </w:rPr>
            </w:pPr>
            <w:r>
              <w:rPr>
                <w:sz w:val="21"/>
              </w:rPr>
              <w:t>0.04</w:t>
            </w:r>
          </w:p>
        </w:tc>
      </w:tr>
      <w:tr>
        <w:trPr>
          <w:trHeight w:val="405" w:hRule="atLeast"/>
        </w:trPr>
        <w:tc>
          <w:tcPr>
            <w:tcW w:w="499" w:type="dxa"/>
          </w:tcPr>
          <w:p>
            <w:pPr>
              <w:pStyle w:val="TableParagraph"/>
              <w:spacing w:before="18"/>
              <w:ind w:left="10"/>
              <w:jc w:val="center"/>
              <w:rPr>
                <w:sz w:val="21"/>
              </w:rPr>
            </w:pPr>
            <w:r>
              <w:rPr>
                <w:sz w:val="21"/>
              </w:rPr>
              <w:t>J</w:t>
            </w:r>
          </w:p>
        </w:tc>
        <w:tc>
          <w:tcPr>
            <w:tcW w:w="3381" w:type="dxa"/>
          </w:tcPr>
          <w:p>
            <w:pPr>
              <w:pStyle w:val="TableParagraph"/>
              <w:spacing w:before="18"/>
              <w:ind w:left="15"/>
              <w:rPr>
                <w:sz w:val="21"/>
              </w:rPr>
            </w:pPr>
            <w:r>
              <w:rPr>
                <w:sz w:val="21"/>
              </w:rPr>
              <w:t>金融业</w:t>
            </w:r>
          </w:p>
        </w:tc>
        <w:tc>
          <w:tcPr>
            <w:tcW w:w="2871" w:type="dxa"/>
          </w:tcPr>
          <w:p>
            <w:pPr>
              <w:pStyle w:val="TableParagraph"/>
              <w:spacing w:before="77"/>
              <w:ind w:right="-15"/>
              <w:jc w:val="right"/>
              <w:rPr>
                <w:sz w:val="21"/>
              </w:rPr>
            </w:pPr>
            <w:r>
              <w:rPr>
                <w:sz w:val="21"/>
              </w:rPr>
              <w:t>27,242,130.06</w:t>
            </w:r>
          </w:p>
        </w:tc>
        <w:tc>
          <w:tcPr>
            <w:tcW w:w="1253" w:type="dxa"/>
          </w:tcPr>
          <w:p>
            <w:pPr>
              <w:pStyle w:val="TableParagraph"/>
              <w:spacing w:before="77"/>
              <w:ind w:right="3"/>
              <w:jc w:val="right"/>
              <w:rPr>
                <w:sz w:val="21"/>
              </w:rPr>
            </w:pPr>
            <w:r>
              <w:rPr>
                <w:sz w:val="21"/>
              </w:rPr>
              <w:t>0.46</w:t>
            </w:r>
          </w:p>
        </w:tc>
      </w:tr>
      <w:tr>
        <w:trPr>
          <w:trHeight w:val="405" w:hRule="atLeast"/>
        </w:trPr>
        <w:tc>
          <w:tcPr>
            <w:tcW w:w="499" w:type="dxa"/>
          </w:tcPr>
          <w:p>
            <w:pPr>
              <w:pStyle w:val="TableParagraph"/>
              <w:spacing w:before="18"/>
              <w:ind w:left="10"/>
              <w:jc w:val="center"/>
              <w:rPr>
                <w:sz w:val="21"/>
              </w:rPr>
            </w:pPr>
            <w:r>
              <w:rPr>
                <w:sz w:val="21"/>
              </w:rPr>
              <w:t>K</w:t>
            </w:r>
          </w:p>
        </w:tc>
        <w:tc>
          <w:tcPr>
            <w:tcW w:w="3381" w:type="dxa"/>
          </w:tcPr>
          <w:p>
            <w:pPr>
              <w:pStyle w:val="TableParagraph"/>
              <w:spacing w:before="18"/>
              <w:ind w:left="15"/>
              <w:rPr>
                <w:sz w:val="21"/>
              </w:rPr>
            </w:pPr>
            <w:r>
              <w:rPr>
                <w:sz w:val="21"/>
              </w:rPr>
              <w:t>房地产业</w:t>
            </w:r>
          </w:p>
        </w:tc>
        <w:tc>
          <w:tcPr>
            <w:tcW w:w="2871" w:type="dxa"/>
          </w:tcPr>
          <w:p>
            <w:pPr>
              <w:pStyle w:val="TableParagraph"/>
              <w:spacing w:before="77"/>
              <w:ind w:right="-15"/>
              <w:jc w:val="right"/>
              <w:rPr>
                <w:sz w:val="21"/>
              </w:rPr>
            </w:pPr>
            <w:r>
              <w:rPr>
                <w:sz w:val="21"/>
              </w:rPr>
              <w:t>1,803,452.00</w:t>
            </w:r>
          </w:p>
        </w:tc>
        <w:tc>
          <w:tcPr>
            <w:tcW w:w="1253" w:type="dxa"/>
          </w:tcPr>
          <w:p>
            <w:pPr>
              <w:pStyle w:val="TableParagraph"/>
              <w:spacing w:before="77"/>
              <w:ind w:right="3"/>
              <w:jc w:val="right"/>
              <w:rPr>
                <w:sz w:val="21"/>
              </w:rPr>
            </w:pPr>
            <w:r>
              <w:rPr>
                <w:sz w:val="21"/>
              </w:rPr>
              <w:t>0.03</w:t>
            </w:r>
          </w:p>
        </w:tc>
      </w:tr>
      <w:tr>
        <w:trPr>
          <w:trHeight w:val="405" w:hRule="atLeast"/>
        </w:trPr>
        <w:tc>
          <w:tcPr>
            <w:tcW w:w="499" w:type="dxa"/>
          </w:tcPr>
          <w:p>
            <w:pPr>
              <w:pStyle w:val="TableParagraph"/>
              <w:spacing w:before="18"/>
              <w:ind w:left="10"/>
              <w:jc w:val="center"/>
              <w:rPr>
                <w:sz w:val="21"/>
              </w:rPr>
            </w:pPr>
            <w:r>
              <w:rPr>
                <w:sz w:val="21"/>
              </w:rPr>
              <w:t>L</w:t>
            </w:r>
          </w:p>
        </w:tc>
        <w:tc>
          <w:tcPr>
            <w:tcW w:w="3381" w:type="dxa"/>
          </w:tcPr>
          <w:p>
            <w:pPr>
              <w:pStyle w:val="TableParagraph"/>
              <w:spacing w:before="18"/>
              <w:ind w:left="15"/>
              <w:rPr>
                <w:sz w:val="21"/>
              </w:rPr>
            </w:pPr>
            <w:r>
              <w:rPr>
                <w:sz w:val="21"/>
              </w:rPr>
              <w:t>租赁和商务服务业</w:t>
            </w:r>
          </w:p>
        </w:tc>
        <w:tc>
          <w:tcPr>
            <w:tcW w:w="2871" w:type="dxa"/>
          </w:tcPr>
          <w:p>
            <w:pPr>
              <w:pStyle w:val="TableParagraph"/>
              <w:spacing w:before="77"/>
              <w:ind w:right="-15"/>
              <w:jc w:val="right"/>
              <w:rPr>
                <w:sz w:val="21"/>
              </w:rPr>
            </w:pPr>
            <w:r>
              <w:rPr>
                <w:sz w:val="21"/>
              </w:rPr>
              <w:t>611,639.00</w:t>
            </w:r>
          </w:p>
        </w:tc>
        <w:tc>
          <w:tcPr>
            <w:tcW w:w="1253" w:type="dxa"/>
          </w:tcPr>
          <w:p>
            <w:pPr>
              <w:pStyle w:val="TableParagraph"/>
              <w:spacing w:before="77"/>
              <w:ind w:right="3"/>
              <w:jc w:val="right"/>
              <w:rPr>
                <w:sz w:val="21"/>
              </w:rPr>
            </w:pPr>
            <w:r>
              <w:rPr>
                <w:sz w:val="21"/>
              </w:rPr>
              <w:t>0.01</w:t>
            </w:r>
          </w:p>
        </w:tc>
      </w:tr>
      <w:tr>
        <w:trPr>
          <w:trHeight w:val="405" w:hRule="atLeast"/>
        </w:trPr>
        <w:tc>
          <w:tcPr>
            <w:tcW w:w="499" w:type="dxa"/>
          </w:tcPr>
          <w:p>
            <w:pPr>
              <w:pStyle w:val="TableParagraph"/>
              <w:spacing w:before="18"/>
              <w:ind w:left="10"/>
              <w:jc w:val="center"/>
              <w:rPr>
                <w:sz w:val="21"/>
              </w:rPr>
            </w:pPr>
            <w:r>
              <w:rPr>
                <w:sz w:val="21"/>
              </w:rPr>
              <w:t>M</w:t>
            </w:r>
          </w:p>
        </w:tc>
        <w:tc>
          <w:tcPr>
            <w:tcW w:w="3381" w:type="dxa"/>
          </w:tcPr>
          <w:p>
            <w:pPr>
              <w:pStyle w:val="TableParagraph"/>
              <w:spacing w:before="18"/>
              <w:ind w:left="15"/>
              <w:rPr>
                <w:sz w:val="21"/>
              </w:rPr>
            </w:pPr>
            <w:r>
              <w:rPr>
                <w:sz w:val="21"/>
              </w:rPr>
              <w:t>科学研究和技术服务业</w:t>
            </w:r>
          </w:p>
        </w:tc>
        <w:tc>
          <w:tcPr>
            <w:tcW w:w="2871" w:type="dxa"/>
          </w:tcPr>
          <w:p>
            <w:pPr>
              <w:pStyle w:val="TableParagraph"/>
              <w:spacing w:before="77"/>
              <w:ind w:right="-15"/>
              <w:jc w:val="right"/>
              <w:rPr>
                <w:sz w:val="21"/>
              </w:rPr>
            </w:pPr>
            <w:r>
              <w:rPr>
                <w:sz w:val="21"/>
              </w:rPr>
              <w:t>524,842.00</w:t>
            </w:r>
          </w:p>
        </w:tc>
        <w:tc>
          <w:tcPr>
            <w:tcW w:w="1253" w:type="dxa"/>
          </w:tcPr>
          <w:p>
            <w:pPr>
              <w:pStyle w:val="TableParagraph"/>
              <w:spacing w:before="77"/>
              <w:ind w:right="3"/>
              <w:jc w:val="right"/>
              <w:rPr>
                <w:sz w:val="21"/>
              </w:rPr>
            </w:pPr>
            <w:r>
              <w:rPr>
                <w:sz w:val="21"/>
              </w:rPr>
              <w:t>0.01</w:t>
            </w:r>
          </w:p>
        </w:tc>
      </w:tr>
    </w:tbl>
    <w:p>
      <w:pPr>
        <w:spacing w:after="0"/>
        <w:jc w:val="right"/>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3381"/>
        <w:gridCol w:w="2871"/>
        <w:gridCol w:w="1253"/>
      </w:tblGrid>
      <w:tr>
        <w:trPr>
          <w:trHeight w:val="405" w:hRule="atLeast"/>
        </w:trPr>
        <w:tc>
          <w:tcPr>
            <w:tcW w:w="499" w:type="dxa"/>
          </w:tcPr>
          <w:p>
            <w:pPr>
              <w:pStyle w:val="TableParagraph"/>
              <w:spacing w:before="18"/>
              <w:ind w:left="10"/>
              <w:jc w:val="center"/>
              <w:rPr>
                <w:sz w:val="21"/>
              </w:rPr>
            </w:pPr>
            <w:r>
              <w:rPr>
                <w:sz w:val="21"/>
              </w:rPr>
              <w:t>N</w:t>
            </w:r>
          </w:p>
        </w:tc>
        <w:tc>
          <w:tcPr>
            <w:tcW w:w="3381" w:type="dxa"/>
          </w:tcPr>
          <w:p>
            <w:pPr>
              <w:pStyle w:val="TableParagraph"/>
              <w:spacing w:before="18"/>
              <w:ind w:left="15"/>
              <w:rPr>
                <w:sz w:val="21"/>
              </w:rPr>
            </w:pPr>
            <w:r>
              <w:rPr>
                <w:sz w:val="21"/>
              </w:rPr>
              <w:t>水利、环境和公共设施管理业</w:t>
            </w:r>
          </w:p>
        </w:tc>
        <w:tc>
          <w:tcPr>
            <w:tcW w:w="2871" w:type="dxa"/>
          </w:tcPr>
          <w:p>
            <w:pPr>
              <w:pStyle w:val="TableParagraph"/>
              <w:spacing w:before="77"/>
              <w:ind w:right="-15"/>
              <w:jc w:val="right"/>
              <w:rPr>
                <w:sz w:val="21"/>
              </w:rPr>
            </w:pPr>
            <w:r>
              <w:rPr>
                <w:sz w:val="21"/>
              </w:rPr>
              <w:t>-</w:t>
            </w:r>
          </w:p>
        </w:tc>
        <w:tc>
          <w:tcPr>
            <w:tcW w:w="1253" w:type="dxa"/>
          </w:tcPr>
          <w:p>
            <w:pPr>
              <w:pStyle w:val="TableParagraph"/>
              <w:spacing w:before="77"/>
              <w:ind w:right="3"/>
              <w:jc w:val="right"/>
              <w:rPr>
                <w:sz w:val="21"/>
              </w:rPr>
            </w:pPr>
            <w:r>
              <w:rPr>
                <w:sz w:val="21"/>
              </w:rPr>
              <w:t>-</w:t>
            </w:r>
          </w:p>
        </w:tc>
      </w:tr>
      <w:tr>
        <w:trPr>
          <w:trHeight w:val="405" w:hRule="atLeast"/>
        </w:trPr>
        <w:tc>
          <w:tcPr>
            <w:tcW w:w="499" w:type="dxa"/>
          </w:tcPr>
          <w:p>
            <w:pPr>
              <w:pStyle w:val="TableParagraph"/>
              <w:spacing w:before="18"/>
              <w:ind w:left="10"/>
              <w:jc w:val="center"/>
              <w:rPr>
                <w:sz w:val="21"/>
              </w:rPr>
            </w:pPr>
            <w:r>
              <w:rPr>
                <w:sz w:val="21"/>
              </w:rPr>
              <w:t>O</w:t>
            </w:r>
          </w:p>
        </w:tc>
        <w:tc>
          <w:tcPr>
            <w:tcW w:w="3381" w:type="dxa"/>
          </w:tcPr>
          <w:p>
            <w:pPr>
              <w:pStyle w:val="TableParagraph"/>
              <w:spacing w:before="18"/>
              <w:ind w:left="15"/>
              <w:rPr>
                <w:sz w:val="21"/>
              </w:rPr>
            </w:pPr>
            <w:r>
              <w:rPr>
                <w:sz w:val="21"/>
              </w:rPr>
              <w:t>居民服务、修理和其他服务业</w:t>
            </w:r>
          </w:p>
        </w:tc>
        <w:tc>
          <w:tcPr>
            <w:tcW w:w="2871" w:type="dxa"/>
          </w:tcPr>
          <w:p>
            <w:pPr>
              <w:pStyle w:val="TableParagraph"/>
              <w:spacing w:before="77"/>
              <w:ind w:right="-15"/>
              <w:jc w:val="right"/>
              <w:rPr>
                <w:sz w:val="21"/>
              </w:rPr>
            </w:pPr>
            <w:r>
              <w:rPr>
                <w:sz w:val="21"/>
              </w:rPr>
              <w:t>-</w:t>
            </w:r>
          </w:p>
        </w:tc>
        <w:tc>
          <w:tcPr>
            <w:tcW w:w="1253" w:type="dxa"/>
          </w:tcPr>
          <w:p>
            <w:pPr>
              <w:pStyle w:val="TableParagraph"/>
              <w:spacing w:before="77"/>
              <w:ind w:right="3"/>
              <w:jc w:val="right"/>
              <w:rPr>
                <w:sz w:val="21"/>
              </w:rPr>
            </w:pPr>
            <w:r>
              <w:rPr>
                <w:sz w:val="21"/>
              </w:rPr>
              <w:t>-</w:t>
            </w:r>
          </w:p>
        </w:tc>
      </w:tr>
      <w:tr>
        <w:trPr>
          <w:trHeight w:val="405" w:hRule="atLeast"/>
        </w:trPr>
        <w:tc>
          <w:tcPr>
            <w:tcW w:w="499" w:type="dxa"/>
          </w:tcPr>
          <w:p>
            <w:pPr>
              <w:pStyle w:val="TableParagraph"/>
              <w:spacing w:before="18"/>
              <w:ind w:left="10"/>
              <w:jc w:val="center"/>
              <w:rPr>
                <w:sz w:val="21"/>
              </w:rPr>
            </w:pPr>
            <w:r>
              <w:rPr>
                <w:sz w:val="21"/>
              </w:rPr>
              <w:t>P</w:t>
            </w:r>
          </w:p>
        </w:tc>
        <w:tc>
          <w:tcPr>
            <w:tcW w:w="3381" w:type="dxa"/>
          </w:tcPr>
          <w:p>
            <w:pPr>
              <w:pStyle w:val="TableParagraph"/>
              <w:spacing w:before="18"/>
              <w:ind w:left="15"/>
              <w:rPr>
                <w:sz w:val="21"/>
              </w:rPr>
            </w:pPr>
            <w:r>
              <w:rPr>
                <w:sz w:val="21"/>
              </w:rPr>
              <w:t>教育</w:t>
            </w:r>
          </w:p>
        </w:tc>
        <w:tc>
          <w:tcPr>
            <w:tcW w:w="2871" w:type="dxa"/>
          </w:tcPr>
          <w:p>
            <w:pPr>
              <w:pStyle w:val="TableParagraph"/>
              <w:spacing w:before="77"/>
              <w:ind w:right="-15"/>
              <w:jc w:val="right"/>
              <w:rPr>
                <w:sz w:val="21"/>
              </w:rPr>
            </w:pPr>
            <w:r>
              <w:rPr>
                <w:sz w:val="21"/>
              </w:rPr>
              <w:t>-</w:t>
            </w:r>
          </w:p>
        </w:tc>
        <w:tc>
          <w:tcPr>
            <w:tcW w:w="1253" w:type="dxa"/>
          </w:tcPr>
          <w:p>
            <w:pPr>
              <w:pStyle w:val="TableParagraph"/>
              <w:spacing w:before="77"/>
              <w:ind w:right="3"/>
              <w:jc w:val="right"/>
              <w:rPr>
                <w:sz w:val="21"/>
              </w:rPr>
            </w:pPr>
            <w:r>
              <w:rPr>
                <w:sz w:val="21"/>
              </w:rPr>
              <w:t>-</w:t>
            </w:r>
          </w:p>
        </w:tc>
      </w:tr>
      <w:tr>
        <w:trPr>
          <w:trHeight w:val="405" w:hRule="atLeast"/>
        </w:trPr>
        <w:tc>
          <w:tcPr>
            <w:tcW w:w="499" w:type="dxa"/>
          </w:tcPr>
          <w:p>
            <w:pPr>
              <w:pStyle w:val="TableParagraph"/>
              <w:spacing w:before="18"/>
              <w:ind w:left="10"/>
              <w:jc w:val="center"/>
              <w:rPr>
                <w:sz w:val="21"/>
              </w:rPr>
            </w:pPr>
            <w:r>
              <w:rPr>
                <w:sz w:val="21"/>
              </w:rPr>
              <w:t>Q</w:t>
            </w:r>
          </w:p>
        </w:tc>
        <w:tc>
          <w:tcPr>
            <w:tcW w:w="3381" w:type="dxa"/>
          </w:tcPr>
          <w:p>
            <w:pPr>
              <w:pStyle w:val="TableParagraph"/>
              <w:spacing w:before="18"/>
              <w:ind w:left="15"/>
              <w:rPr>
                <w:sz w:val="21"/>
              </w:rPr>
            </w:pPr>
            <w:r>
              <w:rPr>
                <w:sz w:val="21"/>
              </w:rPr>
              <w:t>卫生和社会工作</w:t>
            </w:r>
          </w:p>
        </w:tc>
        <w:tc>
          <w:tcPr>
            <w:tcW w:w="2871" w:type="dxa"/>
          </w:tcPr>
          <w:p>
            <w:pPr>
              <w:pStyle w:val="TableParagraph"/>
              <w:spacing w:before="77"/>
              <w:ind w:right="-15"/>
              <w:jc w:val="right"/>
              <w:rPr>
                <w:sz w:val="21"/>
              </w:rPr>
            </w:pPr>
            <w:r>
              <w:rPr>
                <w:sz w:val="21"/>
              </w:rPr>
              <w:t>-</w:t>
            </w:r>
          </w:p>
        </w:tc>
        <w:tc>
          <w:tcPr>
            <w:tcW w:w="1253" w:type="dxa"/>
          </w:tcPr>
          <w:p>
            <w:pPr>
              <w:pStyle w:val="TableParagraph"/>
              <w:spacing w:before="77"/>
              <w:ind w:right="3"/>
              <w:jc w:val="right"/>
              <w:rPr>
                <w:sz w:val="21"/>
              </w:rPr>
            </w:pPr>
            <w:r>
              <w:rPr>
                <w:sz w:val="21"/>
              </w:rPr>
              <w:t>-</w:t>
            </w:r>
          </w:p>
        </w:tc>
      </w:tr>
      <w:tr>
        <w:trPr>
          <w:trHeight w:val="405" w:hRule="atLeast"/>
        </w:trPr>
        <w:tc>
          <w:tcPr>
            <w:tcW w:w="499" w:type="dxa"/>
          </w:tcPr>
          <w:p>
            <w:pPr>
              <w:pStyle w:val="TableParagraph"/>
              <w:spacing w:before="18"/>
              <w:ind w:left="10"/>
              <w:jc w:val="center"/>
              <w:rPr>
                <w:sz w:val="21"/>
              </w:rPr>
            </w:pPr>
            <w:r>
              <w:rPr>
                <w:sz w:val="21"/>
              </w:rPr>
              <w:t>R</w:t>
            </w:r>
          </w:p>
        </w:tc>
        <w:tc>
          <w:tcPr>
            <w:tcW w:w="3381" w:type="dxa"/>
          </w:tcPr>
          <w:p>
            <w:pPr>
              <w:pStyle w:val="TableParagraph"/>
              <w:spacing w:before="18"/>
              <w:ind w:left="15"/>
              <w:rPr>
                <w:sz w:val="21"/>
              </w:rPr>
            </w:pPr>
            <w:r>
              <w:rPr>
                <w:sz w:val="21"/>
              </w:rPr>
              <w:t>文化、体育和娱乐业</w:t>
            </w:r>
          </w:p>
        </w:tc>
        <w:tc>
          <w:tcPr>
            <w:tcW w:w="2871" w:type="dxa"/>
          </w:tcPr>
          <w:p>
            <w:pPr>
              <w:pStyle w:val="TableParagraph"/>
              <w:spacing w:before="77"/>
              <w:ind w:right="-15"/>
              <w:jc w:val="right"/>
              <w:rPr>
                <w:sz w:val="21"/>
              </w:rPr>
            </w:pPr>
            <w:r>
              <w:rPr>
                <w:sz w:val="21"/>
              </w:rPr>
              <w:t>68,440.00</w:t>
            </w:r>
          </w:p>
        </w:tc>
        <w:tc>
          <w:tcPr>
            <w:tcW w:w="1253" w:type="dxa"/>
          </w:tcPr>
          <w:p>
            <w:pPr>
              <w:pStyle w:val="TableParagraph"/>
              <w:spacing w:before="77"/>
              <w:ind w:right="3"/>
              <w:jc w:val="right"/>
              <w:rPr>
                <w:sz w:val="21"/>
              </w:rPr>
            </w:pPr>
            <w:r>
              <w:rPr>
                <w:sz w:val="21"/>
              </w:rPr>
              <w:t>0.00</w:t>
            </w:r>
          </w:p>
        </w:tc>
      </w:tr>
      <w:tr>
        <w:trPr>
          <w:trHeight w:val="405" w:hRule="atLeast"/>
        </w:trPr>
        <w:tc>
          <w:tcPr>
            <w:tcW w:w="499" w:type="dxa"/>
          </w:tcPr>
          <w:p>
            <w:pPr>
              <w:pStyle w:val="TableParagraph"/>
              <w:spacing w:before="18"/>
              <w:ind w:left="10"/>
              <w:jc w:val="center"/>
              <w:rPr>
                <w:sz w:val="21"/>
              </w:rPr>
            </w:pPr>
            <w:r>
              <w:rPr>
                <w:sz w:val="21"/>
              </w:rPr>
              <w:t>S</w:t>
            </w:r>
          </w:p>
        </w:tc>
        <w:tc>
          <w:tcPr>
            <w:tcW w:w="3381" w:type="dxa"/>
          </w:tcPr>
          <w:p>
            <w:pPr>
              <w:pStyle w:val="TableParagraph"/>
              <w:spacing w:before="18"/>
              <w:ind w:left="15"/>
              <w:rPr>
                <w:sz w:val="21"/>
              </w:rPr>
            </w:pPr>
            <w:r>
              <w:rPr>
                <w:sz w:val="21"/>
              </w:rPr>
              <w:t>综合</w:t>
            </w:r>
          </w:p>
        </w:tc>
        <w:tc>
          <w:tcPr>
            <w:tcW w:w="2871" w:type="dxa"/>
          </w:tcPr>
          <w:p>
            <w:pPr>
              <w:pStyle w:val="TableParagraph"/>
              <w:spacing w:before="77"/>
              <w:ind w:right="-15"/>
              <w:jc w:val="right"/>
              <w:rPr>
                <w:sz w:val="21"/>
              </w:rPr>
            </w:pPr>
            <w:r>
              <w:rPr>
                <w:sz w:val="21"/>
              </w:rPr>
              <w:t>-</w:t>
            </w:r>
          </w:p>
        </w:tc>
        <w:tc>
          <w:tcPr>
            <w:tcW w:w="1253" w:type="dxa"/>
          </w:tcPr>
          <w:p>
            <w:pPr>
              <w:pStyle w:val="TableParagraph"/>
              <w:spacing w:before="77"/>
              <w:ind w:right="3"/>
              <w:jc w:val="right"/>
              <w:rPr>
                <w:sz w:val="21"/>
              </w:rPr>
            </w:pPr>
            <w:r>
              <w:rPr>
                <w:sz w:val="21"/>
              </w:rPr>
              <w:t>-</w:t>
            </w:r>
          </w:p>
        </w:tc>
      </w:tr>
      <w:tr>
        <w:trPr>
          <w:trHeight w:val="405" w:hRule="atLeast"/>
        </w:trPr>
        <w:tc>
          <w:tcPr>
            <w:tcW w:w="499" w:type="dxa"/>
          </w:tcPr>
          <w:p>
            <w:pPr>
              <w:pStyle w:val="TableParagraph"/>
              <w:rPr>
                <w:rFonts w:ascii="Times New Roman"/>
                <w:sz w:val="20"/>
              </w:rPr>
            </w:pPr>
          </w:p>
        </w:tc>
        <w:tc>
          <w:tcPr>
            <w:tcW w:w="3381" w:type="dxa"/>
          </w:tcPr>
          <w:p>
            <w:pPr>
              <w:pStyle w:val="TableParagraph"/>
              <w:spacing w:before="18"/>
              <w:ind w:left="15"/>
              <w:rPr>
                <w:sz w:val="21"/>
              </w:rPr>
            </w:pPr>
            <w:r>
              <w:rPr>
                <w:sz w:val="21"/>
              </w:rPr>
              <w:t>合计</w:t>
            </w:r>
          </w:p>
        </w:tc>
        <w:tc>
          <w:tcPr>
            <w:tcW w:w="2871" w:type="dxa"/>
          </w:tcPr>
          <w:p>
            <w:pPr>
              <w:pStyle w:val="TableParagraph"/>
              <w:spacing w:before="77"/>
              <w:ind w:right="-15"/>
              <w:jc w:val="right"/>
              <w:rPr>
                <w:sz w:val="21"/>
              </w:rPr>
            </w:pPr>
            <w:r>
              <w:rPr>
                <w:sz w:val="21"/>
              </w:rPr>
              <w:t>71,531,384.47</w:t>
            </w:r>
          </w:p>
        </w:tc>
        <w:tc>
          <w:tcPr>
            <w:tcW w:w="1253" w:type="dxa"/>
          </w:tcPr>
          <w:p>
            <w:pPr>
              <w:pStyle w:val="TableParagraph"/>
              <w:spacing w:before="77"/>
              <w:ind w:right="3"/>
              <w:jc w:val="right"/>
              <w:rPr>
                <w:sz w:val="21"/>
              </w:rPr>
            </w:pPr>
            <w:r>
              <w:rPr>
                <w:sz w:val="21"/>
              </w:rPr>
              <w:t>1.20</w:t>
            </w:r>
          </w:p>
        </w:tc>
      </w:tr>
    </w:tbl>
    <w:p>
      <w:pPr>
        <w:pStyle w:val="BodyText"/>
        <w:spacing w:before="3"/>
        <w:ind w:left="833"/>
      </w:pPr>
      <w:r>
        <w:rPr/>
        <w:t>4、报告期末按公允价值占基金资产净值比例大小排序的前十名股票投资明细</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
        <w:gridCol w:w="1199"/>
        <w:gridCol w:w="1593"/>
        <w:gridCol w:w="1199"/>
        <w:gridCol w:w="1724"/>
        <w:gridCol w:w="1514"/>
      </w:tblGrid>
      <w:tr>
        <w:trPr>
          <w:trHeight w:val="809" w:hRule="atLeast"/>
        </w:trPr>
        <w:tc>
          <w:tcPr>
            <w:tcW w:w="775" w:type="dxa"/>
          </w:tcPr>
          <w:p>
            <w:pPr>
              <w:pStyle w:val="TableParagraph"/>
              <w:spacing w:before="4"/>
              <w:rPr>
                <w:sz w:val="22"/>
              </w:rPr>
            </w:pPr>
          </w:p>
          <w:p>
            <w:pPr>
              <w:pStyle w:val="TableParagraph"/>
              <w:ind w:left="166" w:right="139"/>
              <w:jc w:val="center"/>
              <w:rPr>
                <w:sz w:val="21"/>
              </w:rPr>
            </w:pPr>
            <w:r>
              <w:rPr>
                <w:sz w:val="21"/>
              </w:rPr>
              <w:t>序号</w:t>
            </w:r>
          </w:p>
        </w:tc>
        <w:tc>
          <w:tcPr>
            <w:tcW w:w="1199" w:type="dxa"/>
          </w:tcPr>
          <w:p>
            <w:pPr>
              <w:pStyle w:val="TableParagraph"/>
              <w:spacing w:before="4"/>
              <w:rPr>
                <w:sz w:val="22"/>
              </w:rPr>
            </w:pPr>
          </w:p>
          <w:p>
            <w:pPr>
              <w:pStyle w:val="TableParagraph"/>
              <w:ind w:left="168" w:right="141"/>
              <w:jc w:val="center"/>
              <w:rPr>
                <w:sz w:val="21"/>
              </w:rPr>
            </w:pPr>
            <w:r>
              <w:rPr>
                <w:sz w:val="21"/>
              </w:rPr>
              <w:t>股票代码</w:t>
            </w:r>
          </w:p>
        </w:tc>
        <w:tc>
          <w:tcPr>
            <w:tcW w:w="1593" w:type="dxa"/>
          </w:tcPr>
          <w:p>
            <w:pPr>
              <w:pStyle w:val="TableParagraph"/>
              <w:spacing w:before="4"/>
              <w:rPr>
                <w:sz w:val="22"/>
              </w:rPr>
            </w:pPr>
          </w:p>
          <w:p>
            <w:pPr>
              <w:pStyle w:val="TableParagraph"/>
              <w:ind w:right="356"/>
              <w:jc w:val="right"/>
              <w:rPr>
                <w:sz w:val="21"/>
              </w:rPr>
            </w:pPr>
            <w:r>
              <w:rPr>
                <w:sz w:val="21"/>
              </w:rPr>
              <w:t>股票名称</w:t>
            </w:r>
          </w:p>
        </w:tc>
        <w:tc>
          <w:tcPr>
            <w:tcW w:w="1199" w:type="dxa"/>
          </w:tcPr>
          <w:p>
            <w:pPr>
              <w:pStyle w:val="TableParagraph"/>
              <w:spacing w:before="4"/>
              <w:rPr>
                <w:sz w:val="22"/>
              </w:rPr>
            </w:pPr>
          </w:p>
          <w:p>
            <w:pPr>
              <w:pStyle w:val="TableParagraph"/>
              <w:ind w:right="160"/>
              <w:jc w:val="right"/>
              <w:rPr>
                <w:sz w:val="21"/>
              </w:rPr>
            </w:pPr>
            <w:r>
              <w:rPr>
                <w:sz w:val="21"/>
              </w:rPr>
              <w:t>数量(股)</w:t>
            </w:r>
          </w:p>
        </w:tc>
        <w:tc>
          <w:tcPr>
            <w:tcW w:w="1724" w:type="dxa"/>
          </w:tcPr>
          <w:p>
            <w:pPr>
              <w:pStyle w:val="TableParagraph"/>
              <w:spacing w:before="4"/>
              <w:rPr>
                <w:sz w:val="22"/>
              </w:rPr>
            </w:pPr>
          </w:p>
          <w:p>
            <w:pPr>
              <w:pStyle w:val="TableParagraph"/>
              <w:ind w:left="240"/>
              <w:rPr>
                <w:sz w:val="21"/>
              </w:rPr>
            </w:pPr>
            <w:r>
              <w:rPr>
                <w:sz w:val="21"/>
              </w:rPr>
              <w:t>公允价值(元)</w:t>
            </w:r>
          </w:p>
        </w:tc>
        <w:tc>
          <w:tcPr>
            <w:tcW w:w="1514" w:type="dxa"/>
          </w:tcPr>
          <w:p>
            <w:pPr>
              <w:pStyle w:val="TableParagraph"/>
              <w:spacing w:before="91"/>
              <w:ind w:left="115" w:right="88"/>
              <w:jc w:val="center"/>
              <w:rPr>
                <w:sz w:val="21"/>
              </w:rPr>
            </w:pPr>
            <w:r>
              <w:rPr>
                <w:sz w:val="21"/>
              </w:rPr>
              <w:t>占基金资产净</w:t>
            </w:r>
          </w:p>
          <w:p>
            <w:pPr>
              <w:pStyle w:val="TableParagraph"/>
              <w:spacing w:before="121"/>
              <w:ind w:left="115" w:right="88"/>
              <w:jc w:val="center"/>
              <w:rPr>
                <w:sz w:val="21"/>
              </w:rPr>
            </w:pPr>
            <w:r>
              <w:rPr>
                <w:sz w:val="21"/>
              </w:rPr>
              <w:t>值比例(％)</w:t>
            </w:r>
          </w:p>
        </w:tc>
      </w:tr>
      <w:tr>
        <w:trPr>
          <w:trHeight w:val="390" w:hRule="atLeast"/>
        </w:trPr>
        <w:tc>
          <w:tcPr>
            <w:tcW w:w="775" w:type="dxa"/>
          </w:tcPr>
          <w:p>
            <w:pPr>
              <w:pStyle w:val="TableParagraph"/>
              <w:spacing w:before="62"/>
              <w:ind w:left="10"/>
              <w:jc w:val="center"/>
              <w:rPr>
                <w:sz w:val="21"/>
              </w:rPr>
            </w:pPr>
            <w:r>
              <w:rPr>
                <w:sz w:val="21"/>
              </w:rPr>
              <w:t>1</w:t>
            </w:r>
          </w:p>
        </w:tc>
        <w:tc>
          <w:tcPr>
            <w:tcW w:w="1199" w:type="dxa"/>
          </w:tcPr>
          <w:p>
            <w:pPr>
              <w:pStyle w:val="TableParagraph"/>
              <w:spacing w:before="62"/>
              <w:ind w:left="151" w:right="141"/>
              <w:jc w:val="center"/>
              <w:rPr>
                <w:sz w:val="21"/>
              </w:rPr>
            </w:pPr>
            <w:r>
              <w:rPr>
                <w:sz w:val="21"/>
              </w:rPr>
              <w:t>601318</w:t>
            </w:r>
          </w:p>
        </w:tc>
        <w:tc>
          <w:tcPr>
            <w:tcW w:w="1593" w:type="dxa"/>
          </w:tcPr>
          <w:p>
            <w:pPr>
              <w:pStyle w:val="TableParagraph"/>
              <w:spacing w:before="62"/>
              <w:ind w:right="364"/>
              <w:jc w:val="right"/>
              <w:rPr>
                <w:sz w:val="21"/>
              </w:rPr>
            </w:pPr>
            <w:r>
              <w:rPr>
                <w:sz w:val="21"/>
              </w:rPr>
              <w:t>中国平安</w:t>
            </w:r>
          </w:p>
        </w:tc>
        <w:tc>
          <w:tcPr>
            <w:tcW w:w="1199" w:type="dxa"/>
          </w:tcPr>
          <w:p>
            <w:pPr>
              <w:pStyle w:val="TableParagraph"/>
              <w:spacing w:before="62"/>
              <w:ind w:right="97"/>
              <w:jc w:val="right"/>
              <w:rPr>
                <w:sz w:val="21"/>
              </w:rPr>
            </w:pPr>
            <w:r>
              <w:rPr>
                <w:sz w:val="21"/>
              </w:rPr>
              <w:t>85,237</w:t>
            </w:r>
          </w:p>
        </w:tc>
        <w:tc>
          <w:tcPr>
            <w:tcW w:w="1724" w:type="dxa"/>
          </w:tcPr>
          <w:p>
            <w:pPr>
              <w:pStyle w:val="TableParagraph"/>
              <w:spacing w:before="62"/>
              <w:ind w:right="97"/>
              <w:jc w:val="right"/>
              <w:rPr>
                <w:sz w:val="21"/>
              </w:rPr>
            </w:pPr>
            <w:r>
              <w:rPr>
                <w:sz w:val="21"/>
              </w:rPr>
              <w:t>5,895,843.29</w:t>
            </w:r>
          </w:p>
        </w:tc>
        <w:tc>
          <w:tcPr>
            <w:tcW w:w="1514" w:type="dxa"/>
          </w:tcPr>
          <w:p>
            <w:pPr>
              <w:pStyle w:val="TableParagraph"/>
              <w:spacing w:before="62"/>
              <w:ind w:right="97"/>
              <w:jc w:val="right"/>
              <w:rPr>
                <w:sz w:val="21"/>
              </w:rPr>
            </w:pPr>
            <w:r>
              <w:rPr>
                <w:sz w:val="21"/>
              </w:rPr>
              <w:t>0.10</w:t>
            </w:r>
          </w:p>
        </w:tc>
      </w:tr>
      <w:tr>
        <w:trPr>
          <w:trHeight w:val="389" w:hRule="atLeast"/>
        </w:trPr>
        <w:tc>
          <w:tcPr>
            <w:tcW w:w="775" w:type="dxa"/>
          </w:tcPr>
          <w:p>
            <w:pPr>
              <w:pStyle w:val="TableParagraph"/>
              <w:spacing w:before="62"/>
              <w:ind w:left="10"/>
              <w:jc w:val="center"/>
              <w:rPr>
                <w:sz w:val="21"/>
              </w:rPr>
            </w:pPr>
            <w:r>
              <w:rPr>
                <w:sz w:val="21"/>
              </w:rPr>
              <w:t>2</w:t>
            </w:r>
          </w:p>
        </w:tc>
        <w:tc>
          <w:tcPr>
            <w:tcW w:w="1199" w:type="dxa"/>
          </w:tcPr>
          <w:p>
            <w:pPr>
              <w:pStyle w:val="TableParagraph"/>
              <w:spacing w:before="62"/>
              <w:ind w:left="151" w:right="141"/>
              <w:jc w:val="center"/>
              <w:rPr>
                <w:sz w:val="21"/>
              </w:rPr>
            </w:pPr>
            <w:r>
              <w:rPr>
                <w:sz w:val="21"/>
              </w:rPr>
              <w:t>601816</w:t>
            </w:r>
          </w:p>
        </w:tc>
        <w:tc>
          <w:tcPr>
            <w:tcW w:w="1593" w:type="dxa"/>
          </w:tcPr>
          <w:p>
            <w:pPr>
              <w:pStyle w:val="TableParagraph"/>
              <w:spacing w:before="62"/>
              <w:ind w:right="364"/>
              <w:jc w:val="right"/>
              <w:rPr>
                <w:sz w:val="21"/>
              </w:rPr>
            </w:pPr>
            <w:r>
              <w:rPr>
                <w:sz w:val="21"/>
              </w:rPr>
              <w:t>京沪高铁</w:t>
            </w:r>
          </w:p>
        </w:tc>
        <w:tc>
          <w:tcPr>
            <w:tcW w:w="1199" w:type="dxa"/>
          </w:tcPr>
          <w:p>
            <w:pPr>
              <w:pStyle w:val="TableParagraph"/>
              <w:spacing w:before="62"/>
              <w:ind w:right="97"/>
              <w:jc w:val="right"/>
              <w:rPr>
                <w:sz w:val="21"/>
              </w:rPr>
            </w:pPr>
            <w:r>
              <w:rPr>
                <w:sz w:val="21"/>
              </w:rPr>
              <w:t>906,536</w:t>
            </w:r>
          </w:p>
        </w:tc>
        <w:tc>
          <w:tcPr>
            <w:tcW w:w="1724" w:type="dxa"/>
          </w:tcPr>
          <w:p>
            <w:pPr>
              <w:pStyle w:val="TableParagraph"/>
              <w:spacing w:before="62"/>
              <w:ind w:right="97"/>
              <w:jc w:val="right"/>
              <w:rPr>
                <w:sz w:val="21"/>
              </w:rPr>
            </w:pPr>
            <w:r>
              <w:rPr>
                <w:sz w:val="21"/>
              </w:rPr>
              <w:t>5,094,732.32</w:t>
            </w:r>
          </w:p>
        </w:tc>
        <w:tc>
          <w:tcPr>
            <w:tcW w:w="1514" w:type="dxa"/>
          </w:tcPr>
          <w:p>
            <w:pPr>
              <w:pStyle w:val="TableParagraph"/>
              <w:spacing w:before="62"/>
              <w:ind w:right="97"/>
              <w:jc w:val="right"/>
              <w:rPr>
                <w:sz w:val="21"/>
              </w:rPr>
            </w:pPr>
            <w:r>
              <w:rPr>
                <w:sz w:val="21"/>
              </w:rPr>
              <w:t>0.09</w:t>
            </w:r>
          </w:p>
        </w:tc>
      </w:tr>
      <w:tr>
        <w:trPr>
          <w:trHeight w:val="390" w:hRule="atLeast"/>
        </w:trPr>
        <w:tc>
          <w:tcPr>
            <w:tcW w:w="775" w:type="dxa"/>
          </w:tcPr>
          <w:p>
            <w:pPr>
              <w:pStyle w:val="TableParagraph"/>
              <w:spacing w:before="62"/>
              <w:ind w:left="10"/>
              <w:jc w:val="center"/>
              <w:rPr>
                <w:sz w:val="21"/>
              </w:rPr>
            </w:pPr>
            <w:r>
              <w:rPr>
                <w:sz w:val="21"/>
              </w:rPr>
              <w:t>3</w:t>
            </w:r>
          </w:p>
        </w:tc>
        <w:tc>
          <w:tcPr>
            <w:tcW w:w="1199" w:type="dxa"/>
          </w:tcPr>
          <w:p>
            <w:pPr>
              <w:pStyle w:val="TableParagraph"/>
              <w:spacing w:before="62"/>
              <w:ind w:left="151" w:right="141"/>
              <w:jc w:val="center"/>
              <w:rPr>
                <w:sz w:val="21"/>
              </w:rPr>
            </w:pPr>
            <w:r>
              <w:rPr>
                <w:sz w:val="21"/>
              </w:rPr>
              <w:t>600519</w:t>
            </w:r>
          </w:p>
        </w:tc>
        <w:tc>
          <w:tcPr>
            <w:tcW w:w="1593" w:type="dxa"/>
          </w:tcPr>
          <w:p>
            <w:pPr>
              <w:pStyle w:val="TableParagraph"/>
              <w:spacing w:before="62"/>
              <w:ind w:right="364"/>
              <w:jc w:val="right"/>
              <w:rPr>
                <w:sz w:val="21"/>
              </w:rPr>
            </w:pPr>
            <w:r>
              <w:rPr>
                <w:sz w:val="21"/>
              </w:rPr>
              <w:t>贵州茅台</w:t>
            </w:r>
          </w:p>
        </w:tc>
        <w:tc>
          <w:tcPr>
            <w:tcW w:w="1199" w:type="dxa"/>
          </w:tcPr>
          <w:p>
            <w:pPr>
              <w:pStyle w:val="TableParagraph"/>
              <w:spacing w:before="62"/>
              <w:ind w:right="97"/>
              <w:jc w:val="right"/>
              <w:rPr>
                <w:sz w:val="21"/>
              </w:rPr>
            </w:pPr>
            <w:r>
              <w:rPr>
                <w:sz w:val="21"/>
              </w:rPr>
              <w:t>2,925</w:t>
            </w:r>
          </w:p>
        </w:tc>
        <w:tc>
          <w:tcPr>
            <w:tcW w:w="1724" w:type="dxa"/>
          </w:tcPr>
          <w:p>
            <w:pPr>
              <w:pStyle w:val="TableParagraph"/>
              <w:spacing w:before="62"/>
              <w:ind w:right="97"/>
              <w:jc w:val="right"/>
              <w:rPr>
                <w:sz w:val="21"/>
              </w:rPr>
            </w:pPr>
            <w:r>
              <w:rPr>
                <w:sz w:val="21"/>
              </w:rPr>
              <w:t>3,249,675.00</w:t>
            </w:r>
          </w:p>
        </w:tc>
        <w:tc>
          <w:tcPr>
            <w:tcW w:w="1514" w:type="dxa"/>
          </w:tcPr>
          <w:p>
            <w:pPr>
              <w:pStyle w:val="TableParagraph"/>
              <w:spacing w:before="62"/>
              <w:ind w:right="97"/>
              <w:jc w:val="right"/>
              <w:rPr>
                <w:sz w:val="21"/>
              </w:rPr>
            </w:pPr>
            <w:r>
              <w:rPr>
                <w:sz w:val="21"/>
              </w:rPr>
              <w:t>0.05</w:t>
            </w:r>
          </w:p>
        </w:tc>
      </w:tr>
      <w:tr>
        <w:trPr>
          <w:trHeight w:val="390" w:hRule="atLeast"/>
        </w:trPr>
        <w:tc>
          <w:tcPr>
            <w:tcW w:w="775" w:type="dxa"/>
          </w:tcPr>
          <w:p>
            <w:pPr>
              <w:pStyle w:val="TableParagraph"/>
              <w:spacing w:before="62"/>
              <w:ind w:left="10"/>
              <w:jc w:val="center"/>
              <w:rPr>
                <w:sz w:val="21"/>
              </w:rPr>
            </w:pPr>
            <w:r>
              <w:rPr>
                <w:sz w:val="21"/>
              </w:rPr>
              <w:t>4</w:t>
            </w:r>
          </w:p>
        </w:tc>
        <w:tc>
          <w:tcPr>
            <w:tcW w:w="1199" w:type="dxa"/>
          </w:tcPr>
          <w:p>
            <w:pPr>
              <w:pStyle w:val="TableParagraph"/>
              <w:spacing w:before="62"/>
              <w:ind w:left="151" w:right="141"/>
              <w:jc w:val="center"/>
              <w:rPr>
                <w:sz w:val="21"/>
              </w:rPr>
            </w:pPr>
            <w:r>
              <w:rPr>
                <w:sz w:val="21"/>
              </w:rPr>
              <w:t>600036</w:t>
            </w:r>
          </w:p>
        </w:tc>
        <w:tc>
          <w:tcPr>
            <w:tcW w:w="1593" w:type="dxa"/>
          </w:tcPr>
          <w:p>
            <w:pPr>
              <w:pStyle w:val="TableParagraph"/>
              <w:spacing w:before="62"/>
              <w:ind w:right="364"/>
              <w:jc w:val="right"/>
              <w:rPr>
                <w:sz w:val="21"/>
              </w:rPr>
            </w:pPr>
            <w:r>
              <w:rPr>
                <w:sz w:val="21"/>
              </w:rPr>
              <w:t>招商银行</w:t>
            </w:r>
          </w:p>
        </w:tc>
        <w:tc>
          <w:tcPr>
            <w:tcW w:w="1199" w:type="dxa"/>
          </w:tcPr>
          <w:p>
            <w:pPr>
              <w:pStyle w:val="TableParagraph"/>
              <w:spacing w:before="62"/>
              <w:ind w:right="97"/>
              <w:jc w:val="right"/>
              <w:rPr>
                <w:sz w:val="21"/>
              </w:rPr>
            </w:pPr>
            <w:r>
              <w:rPr>
                <w:sz w:val="21"/>
              </w:rPr>
              <w:t>78,265</w:t>
            </w:r>
          </w:p>
        </w:tc>
        <w:tc>
          <w:tcPr>
            <w:tcW w:w="1724" w:type="dxa"/>
          </w:tcPr>
          <w:p>
            <w:pPr>
              <w:pStyle w:val="TableParagraph"/>
              <w:spacing w:before="62"/>
              <w:ind w:right="97"/>
              <w:jc w:val="right"/>
              <w:rPr>
                <w:sz w:val="21"/>
              </w:rPr>
            </w:pPr>
            <w:r>
              <w:rPr>
                <w:sz w:val="21"/>
              </w:rPr>
              <w:t>2,526,394.20</w:t>
            </w:r>
          </w:p>
        </w:tc>
        <w:tc>
          <w:tcPr>
            <w:tcW w:w="1514" w:type="dxa"/>
          </w:tcPr>
          <w:p>
            <w:pPr>
              <w:pStyle w:val="TableParagraph"/>
              <w:spacing w:before="62"/>
              <w:ind w:right="97"/>
              <w:jc w:val="right"/>
              <w:rPr>
                <w:sz w:val="21"/>
              </w:rPr>
            </w:pPr>
            <w:r>
              <w:rPr>
                <w:sz w:val="21"/>
              </w:rPr>
              <w:t>0.04</w:t>
            </w:r>
          </w:p>
        </w:tc>
      </w:tr>
      <w:tr>
        <w:trPr>
          <w:trHeight w:val="390" w:hRule="atLeast"/>
        </w:trPr>
        <w:tc>
          <w:tcPr>
            <w:tcW w:w="775" w:type="dxa"/>
          </w:tcPr>
          <w:p>
            <w:pPr>
              <w:pStyle w:val="TableParagraph"/>
              <w:spacing w:before="62"/>
              <w:ind w:left="10"/>
              <w:jc w:val="center"/>
              <w:rPr>
                <w:sz w:val="21"/>
              </w:rPr>
            </w:pPr>
            <w:r>
              <w:rPr>
                <w:sz w:val="21"/>
              </w:rPr>
              <w:t>5</w:t>
            </w:r>
          </w:p>
        </w:tc>
        <w:tc>
          <w:tcPr>
            <w:tcW w:w="1199" w:type="dxa"/>
          </w:tcPr>
          <w:p>
            <w:pPr>
              <w:pStyle w:val="TableParagraph"/>
              <w:spacing w:before="62"/>
              <w:ind w:left="151" w:right="141"/>
              <w:jc w:val="center"/>
              <w:rPr>
                <w:sz w:val="21"/>
              </w:rPr>
            </w:pPr>
            <w:r>
              <w:rPr>
                <w:sz w:val="21"/>
              </w:rPr>
              <w:t>600276</w:t>
            </w:r>
          </w:p>
        </w:tc>
        <w:tc>
          <w:tcPr>
            <w:tcW w:w="1593" w:type="dxa"/>
          </w:tcPr>
          <w:p>
            <w:pPr>
              <w:pStyle w:val="TableParagraph"/>
              <w:spacing w:before="62"/>
              <w:ind w:right="364"/>
              <w:jc w:val="right"/>
              <w:rPr>
                <w:sz w:val="21"/>
              </w:rPr>
            </w:pPr>
            <w:r>
              <w:rPr>
                <w:sz w:val="21"/>
              </w:rPr>
              <w:t>恒瑞医药</w:t>
            </w:r>
          </w:p>
        </w:tc>
        <w:tc>
          <w:tcPr>
            <w:tcW w:w="1199" w:type="dxa"/>
          </w:tcPr>
          <w:p>
            <w:pPr>
              <w:pStyle w:val="TableParagraph"/>
              <w:spacing w:before="62"/>
              <w:ind w:right="97"/>
              <w:jc w:val="right"/>
              <w:rPr>
                <w:sz w:val="21"/>
              </w:rPr>
            </w:pPr>
            <w:r>
              <w:rPr>
                <w:sz w:val="21"/>
              </w:rPr>
              <w:t>23,212</w:t>
            </w:r>
          </w:p>
        </w:tc>
        <w:tc>
          <w:tcPr>
            <w:tcW w:w="1724" w:type="dxa"/>
          </w:tcPr>
          <w:p>
            <w:pPr>
              <w:pStyle w:val="TableParagraph"/>
              <w:spacing w:before="62"/>
              <w:ind w:right="97"/>
              <w:jc w:val="right"/>
              <w:rPr>
                <w:sz w:val="21"/>
              </w:rPr>
            </w:pPr>
            <w:r>
              <w:rPr>
                <w:sz w:val="21"/>
              </w:rPr>
              <w:t>2,136,200.36</w:t>
            </w:r>
          </w:p>
        </w:tc>
        <w:tc>
          <w:tcPr>
            <w:tcW w:w="1514" w:type="dxa"/>
          </w:tcPr>
          <w:p>
            <w:pPr>
              <w:pStyle w:val="TableParagraph"/>
              <w:spacing w:before="62"/>
              <w:ind w:right="97"/>
              <w:jc w:val="right"/>
              <w:rPr>
                <w:sz w:val="21"/>
              </w:rPr>
            </w:pPr>
            <w:r>
              <w:rPr>
                <w:sz w:val="21"/>
              </w:rPr>
              <w:t>0.04</w:t>
            </w:r>
          </w:p>
        </w:tc>
      </w:tr>
      <w:tr>
        <w:trPr>
          <w:trHeight w:val="390" w:hRule="atLeast"/>
        </w:trPr>
        <w:tc>
          <w:tcPr>
            <w:tcW w:w="775" w:type="dxa"/>
          </w:tcPr>
          <w:p>
            <w:pPr>
              <w:pStyle w:val="TableParagraph"/>
              <w:spacing w:before="62"/>
              <w:ind w:left="10"/>
              <w:jc w:val="center"/>
              <w:rPr>
                <w:sz w:val="21"/>
              </w:rPr>
            </w:pPr>
            <w:r>
              <w:rPr>
                <w:sz w:val="21"/>
              </w:rPr>
              <w:t>6</w:t>
            </w:r>
          </w:p>
        </w:tc>
        <w:tc>
          <w:tcPr>
            <w:tcW w:w="1199" w:type="dxa"/>
          </w:tcPr>
          <w:p>
            <w:pPr>
              <w:pStyle w:val="TableParagraph"/>
              <w:spacing w:before="62"/>
              <w:ind w:left="151" w:right="141"/>
              <w:jc w:val="center"/>
              <w:rPr>
                <w:sz w:val="21"/>
              </w:rPr>
            </w:pPr>
            <w:r>
              <w:rPr>
                <w:sz w:val="21"/>
              </w:rPr>
              <w:t>601166</w:t>
            </w:r>
          </w:p>
        </w:tc>
        <w:tc>
          <w:tcPr>
            <w:tcW w:w="1593" w:type="dxa"/>
          </w:tcPr>
          <w:p>
            <w:pPr>
              <w:pStyle w:val="TableParagraph"/>
              <w:spacing w:before="62"/>
              <w:ind w:right="364"/>
              <w:jc w:val="right"/>
              <w:rPr>
                <w:sz w:val="21"/>
              </w:rPr>
            </w:pPr>
            <w:r>
              <w:rPr>
                <w:sz w:val="21"/>
              </w:rPr>
              <w:t>兴业银行</w:t>
            </w:r>
          </w:p>
        </w:tc>
        <w:tc>
          <w:tcPr>
            <w:tcW w:w="1199" w:type="dxa"/>
          </w:tcPr>
          <w:p>
            <w:pPr>
              <w:pStyle w:val="TableParagraph"/>
              <w:spacing w:before="62"/>
              <w:ind w:right="97"/>
              <w:jc w:val="right"/>
              <w:rPr>
                <w:sz w:val="21"/>
              </w:rPr>
            </w:pPr>
            <w:r>
              <w:rPr>
                <w:sz w:val="21"/>
              </w:rPr>
              <w:t>110,200</w:t>
            </w:r>
          </w:p>
        </w:tc>
        <w:tc>
          <w:tcPr>
            <w:tcW w:w="1724" w:type="dxa"/>
          </w:tcPr>
          <w:p>
            <w:pPr>
              <w:pStyle w:val="TableParagraph"/>
              <w:spacing w:before="62"/>
              <w:ind w:right="97"/>
              <w:jc w:val="right"/>
              <w:rPr>
                <w:sz w:val="21"/>
              </w:rPr>
            </w:pPr>
            <w:r>
              <w:rPr>
                <w:sz w:val="21"/>
              </w:rPr>
              <w:t>1,753,282.00</w:t>
            </w:r>
          </w:p>
        </w:tc>
        <w:tc>
          <w:tcPr>
            <w:tcW w:w="1514" w:type="dxa"/>
          </w:tcPr>
          <w:p>
            <w:pPr>
              <w:pStyle w:val="TableParagraph"/>
              <w:spacing w:before="62"/>
              <w:ind w:right="97"/>
              <w:jc w:val="right"/>
              <w:rPr>
                <w:sz w:val="21"/>
              </w:rPr>
            </w:pPr>
            <w:r>
              <w:rPr>
                <w:sz w:val="21"/>
              </w:rPr>
              <w:t>0.03</w:t>
            </w:r>
          </w:p>
        </w:tc>
      </w:tr>
      <w:tr>
        <w:trPr>
          <w:trHeight w:val="390" w:hRule="atLeast"/>
        </w:trPr>
        <w:tc>
          <w:tcPr>
            <w:tcW w:w="775" w:type="dxa"/>
          </w:tcPr>
          <w:p>
            <w:pPr>
              <w:pStyle w:val="TableParagraph"/>
              <w:spacing w:before="62"/>
              <w:ind w:left="10"/>
              <w:jc w:val="center"/>
              <w:rPr>
                <w:sz w:val="21"/>
              </w:rPr>
            </w:pPr>
            <w:r>
              <w:rPr>
                <w:sz w:val="21"/>
              </w:rPr>
              <w:t>7</w:t>
            </w:r>
          </w:p>
        </w:tc>
        <w:tc>
          <w:tcPr>
            <w:tcW w:w="1199" w:type="dxa"/>
          </w:tcPr>
          <w:p>
            <w:pPr>
              <w:pStyle w:val="TableParagraph"/>
              <w:spacing w:before="62"/>
              <w:ind w:left="151" w:right="141"/>
              <w:jc w:val="center"/>
              <w:rPr>
                <w:sz w:val="21"/>
              </w:rPr>
            </w:pPr>
            <w:r>
              <w:rPr>
                <w:sz w:val="21"/>
              </w:rPr>
              <w:t>600030</w:t>
            </w:r>
          </w:p>
        </w:tc>
        <w:tc>
          <w:tcPr>
            <w:tcW w:w="1593" w:type="dxa"/>
          </w:tcPr>
          <w:p>
            <w:pPr>
              <w:pStyle w:val="TableParagraph"/>
              <w:spacing w:before="62"/>
              <w:ind w:right="364"/>
              <w:jc w:val="right"/>
              <w:rPr>
                <w:sz w:val="21"/>
              </w:rPr>
            </w:pPr>
            <w:r>
              <w:rPr>
                <w:sz w:val="21"/>
              </w:rPr>
              <w:t>中信证券</w:t>
            </w:r>
          </w:p>
        </w:tc>
        <w:tc>
          <w:tcPr>
            <w:tcW w:w="1199" w:type="dxa"/>
          </w:tcPr>
          <w:p>
            <w:pPr>
              <w:pStyle w:val="TableParagraph"/>
              <w:spacing w:before="62"/>
              <w:ind w:right="97"/>
              <w:jc w:val="right"/>
              <w:rPr>
                <w:sz w:val="21"/>
              </w:rPr>
            </w:pPr>
            <w:r>
              <w:rPr>
                <w:sz w:val="21"/>
              </w:rPr>
              <w:t>63,800</w:t>
            </w:r>
          </w:p>
        </w:tc>
        <w:tc>
          <w:tcPr>
            <w:tcW w:w="1724" w:type="dxa"/>
          </w:tcPr>
          <w:p>
            <w:pPr>
              <w:pStyle w:val="TableParagraph"/>
              <w:spacing w:before="62"/>
              <w:ind w:right="97"/>
              <w:jc w:val="right"/>
              <w:rPr>
                <w:sz w:val="21"/>
              </w:rPr>
            </w:pPr>
            <w:r>
              <w:rPr>
                <w:sz w:val="21"/>
              </w:rPr>
              <w:t>1,413,808.00</w:t>
            </w:r>
          </w:p>
        </w:tc>
        <w:tc>
          <w:tcPr>
            <w:tcW w:w="1514" w:type="dxa"/>
          </w:tcPr>
          <w:p>
            <w:pPr>
              <w:pStyle w:val="TableParagraph"/>
              <w:spacing w:before="62"/>
              <w:ind w:right="97"/>
              <w:jc w:val="right"/>
              <w:rPr>
                <w:sz w:val="21"/>
              </w:rPr>
            </w:pPr>
            <w:r>
              <w:rPr>
                <w:sz w:val="21"/>
              </w:rPr>
              <w:t>0.02</w:t>
            </w:r>
          </w:p>
        </w:tc>
      </w:tr>
      <w:tr>
        <w:trPr>
          <w:trHeight w:val="390" w:hRule="atLeast"/>
        </w:trPr>
        <w:tc>
          <w:tcPr>
            <w:tcW w:w="775" w:type="dxa"/>
          </w:tcPr>
          <w:p>
            <w:pPr>
              <w:pStyle w:val="TableParagraph"/>
              <w:spacing w:before="62"/>
              <w:ind w:left="10"/>
              <w:jc w:val="center"/>
              <w:rPr>
                <w:sz w:val="21"/>
              </w:rPr>
            </w:pPr>
            <w:r>
              <w:rPr>
                <w:sz w:val="21"/>
              </w:rPr>
              <w:t>8</w:t>
            </w:r>
          </w:p>
        </w:tc>
        <w:tc>
          <w:tcPr>
            <w:tcW w:w="1199" w:type="dxa"/>
          </w:tcPr>
          <w:p>
            <w:pPr>
              <w:pStyle w:val="TableParagraph"/>
              <w:spacing w:before="62"/>
              <w:ind w:left="151" w:right="141"/>
              <w:jc w:val="center"/>
              <w:rPr>
                <w:sz w:val="21"/>
              </w:rPr>
            </w:pPr>
            <w:r>
              <w:rPr>
                <w:sz w:val="21"/>
              </w:rPr>
              <w:t>600887</w:t>
            </w:r>
          </w:p>
        </w:tc>
        <w:tc>
          <w:tcPr>
            <w:tcW w:w="1593" w:type="dxa"/>
          </w:tcPr>
          <w:p>
            <w:pPr>
              <w:pStyle w:val="TableParagraph"/>
              <w:spacing w:before="62"/>
              <w:ind w:right="364"/>
              <w:jc w:val="right"/>
              <w:rPr>
                <w:sz w:val="21"/>
              </w:rPr>
            </w:pPr>
            <w:r>
              <w:rPr>
                <w:sz w:val="21"/>
              </w:rPr>
              <w:t>伊利股份</w:t>
            </w:r>
          </w:p>
        </w:tc>
        <w:tc>
          <w:tcPr>
            <w:tcW w:w="1199" w:type="dxa"/>
          </w:tcPr>
          <w:p>
            <w:pPr>
              <w:pStyle w:val="TableParagraph"/>
              <w:spacing w:before="62"/>
              <w:ind w:right="97"/>
              <w:jc w:val="right"/>
              <w:rPr>
                <w:sz w:val="21"/>
              </w:rPr>
            </w:pPr>
            <w:r>
              <w:rPr>
                <w:sz w:val="21"/>
              </w:rPr>
              <w:t>46,357</w:t>
            </w:r>
          </w:p>
        </w:tc>
        <w:tc>
          <w:tcPr>
            <w:tcW w:w="1724" w:type="dxa"/>
          </w:tcPr>
          <w:p>
            <w:pPr>
              <w:pStyle w:val="TableParagraph"/>
              <w:spacing w:before="62"/>
              <w:ind w:right="97"/>
              <w:jc w:val="right"/>
              <w:rPr>
                <w:sz w:val="21"/>
              </w:rPr>
            </w:pPr>
            <w:r>
              <w:rPr>
                <w:sz w:val="21"/>
              </w:rPr>
              <w:t>1,384,220.02</w:t>
            </w:r>
          </w:p>
        </w:tc>
        <w:tc>
          <w:tcPr>
            <w:tcW w:w="1514" w:type="dxa"/>
          </w:tcPr>
          <w:p>
            <w:pPr>
              <w:pStyle w:val="TableParagraph"/>
              <w:spacing w:before="62"/>
              <w:ind w:right="97"/>
              <w:jc w:val="right"/>
              <w:rPr>
                <w:sz w:val="21"/>
              </w:rPr>
            </w:pPr>
            <w:r>
              <w:rPr>
                <w:sz w:val="21"/>
              </w:rPr>
              <w:t>0.02</w:t>
            </w:r>
          </w:p>
        </w:tc>
      </w:tr>
      <w:tr>
        <w:trPr>
          <w:trHeight w:val="390" w:hRule="atLeast"/>
        </w:trPr>
        <w:tc>
          <w:tcPr>
            <w:tcW w:w="775" w:type="dxa"/>
          </w:tcPr>
          <w:p>
            <w:pPr>
              <w:pStyle w:val="TableParagraph"/>
              <w:spacing w:before="62"/>
              <w:ind w:left="10"/>
              <w:jc w:val="center"/>
              <w:rPr>
                <w:sz w:val="21"/>
              </w:rPr>
            </w:pPr>
            <w:r>
              <w:rPr>
                <w:sz w:val="21"/>
              </w:rPr>
              <w:t>9</w:t>
            </w:r>
          </w:p>
        </w:tc>
        <w:tc>
          <w:tcPr>
            <w:tcW w:w="1199" w:type="dxa"/>
          </w:tcPr>
          <w:p>
            <w:pPr>
              <w:pStyle w:val="TableParagraph"/>
              <w:spacing w:before="62"/>
              <w:ind w:left="151" w:right="141"/>
              <w:jc w:val="center"/>
              <w:rPr>
                <w:sz w:val="21"/>
              </w:rPr>
            </w:pPr>
            <w:r>
              <w:rPr>
                <w:sz w:val="21"/>
              </w:rPr>
              <w:t>601916</w:t>
            </w:r>
          </w:p>
        </w:tc>
        <w:tc>
          <w:tcPr>
            <w:tcW w:w="1593" w:type="dxa"/>
          </w:tcPr>
          <w:p>
            <w:pPr>
              <w:pStyle w:val="TableParagraph"/>
              <w:spacing w:before="62"/>
              <w:ind w:right="364"/>
              <w:jc w:val="right"/>
              <w:rPr>
                <w:sz w:val="21"/>
              </w:rPr>
            </w:pPr>
            <w:r>
              <w:rPr>
                <w:sz w:val="21"/>
              </w:rPr>
              <w:t>浙商银行</w:t>
            </w:r>
          </w:p>
        </w:tc>
        <w:tc>
          <w:tcPr>
            <w:tcW w:w="1199" w:type="dxa"/>
          </w:tcPr>
          <w:p>
            <w:pPr>
              <w:pStyle w:val="TableParagraph"/>
              <w:spacing w:before="62"/>
              <w:ind w:right="97"/>
              <w:jc w:val="right"/>
              <w:rPr>
                <w:sz w:val="21"/>
              </w:rPr>
            </w:pPr>
            <w:r>
              <w:rPr>
                <w:sz w:val="21"/>
              </w:rPr>
              <w:t>294,195</w:t>
            </w:r>
          </w:p>
        </w:tc>
        <w:tc>
          <w:tcPr>
            <w:tcW w:w="1724" w:type="dxa"/>
          </w:tcPr>
          <w:p>
            <w:pPr>
              <w:pStyle w:val="TableParagraph"/>
              <w:spacing w:before="62"/>
              <w:ind w:right="97"/>
              <w:jc w:val="right"/>
              <w:rPr>
                <w:sz w:val="21"/>
              </w:rPr>
            </w:pPr>
            <w:r>
              <w:rPr>
                <w:sz w:val="21"/>
              </w:rPr>
              <w:t>1,167,954.15</w:t>
            </w:r>
          </w:p>
        </w:tc>
        <w:tc>
          <w:tcPr>
            <w:tcW w:w="1514" w:type="dxa"/>
          </w:tcPr>
          <w:p>
            <w:pPr>
              <w:pStyle w:val="TableParagraph"/>
              <w:spacing w:before="62"/>
              <w:ind w:right="97"/>
              <w:jc w:val="right"/>
              <w:rPr>
                <w:sz w:val="21"/>
              </w:rPr>
            </w:pPr>
            <w:r>
              <w:rPr>
                <w:sz w:val="21"/>
              </w:rPr>
              <w:t>0.02</w:t>
            </w:r>
          </w:p>
        </w:tc>
      </w:tr>
      <w:tr>
        <w:trPr>
          <w:trHeight w:val="390" w:hRule="atLeast"/>
        </w:trPr>
        <w:tc>
          <w:tcPr>
            <w:tcW w:w="775" w:type="dxa"/>
          </w:tcPr>
          <w:p>
            <w:pPr>
              <w:pStyle w:val="TableParagraph"/>
              <w:spacing w:before="62"/>
              <w:ind w:left="149" w:right="139"/>
              <w:jc w:val="center"/>
              <w:rPr>
                <w:sz w:val="21"/>
              </w:rPr>
            </w:pPr>
            <w:r>
              <w:rPr>
                <w:sz w:val="21"/>
              </w:rPr>
              <w:t>10</w:t>
            </w:r>
          </w:p>
        </w:tc>
        <w:tc>
          <w:tcPr>
            <w:tcW w:w="1199" w:type="dxa"/>
          </w:tcPr>
          <w:p>
            <w:pPr>
              <w:pStyle w:val="TableParagraph"/>
              <w:spacing w:before="62"/>
              <w:ind w:left="151" w:right="141"/>
              <w:jc w:val="center"/>
              <w:rPr>
                <w:sz w:val="21"/>
              </w:rPr>
            </w:pPr>
            <w:r>
              <w:rPr>
                <w:sz w:val="21"/>
              </w:rPr>
              <w:t>600900</w:t>
            </w:r>
          </w:p>
        </w:tc>
        <w:tc>
          <w:tcPr>
            <w:tcW w:w="1593" w:type="dxa"/>
          </w:tcPr>
          <w:p>
            <w:pPr>
              <w:pStyle w:val="TableParagraph"/>
              <w:spacing w:before="62"/>
              <w:ind w:right="364"/>
              <w:jc w:val="right"/>
              <w:rPr>
                <w:sz w:val="21"/>
              </w:rPr>
            </w:pPr>
            <w:r>
              <w:rPr>
                <w:sz w:val="21"/>
              </w:rPr>
              <w:t>长江电力</w:t>
            </w:r>
          </w:p>
        </w:tc>
        <w:tc>
          <w:tcPr>
            <w:tcW w:w="1199" w:type="dxa"/>
          </w:tcPr>
          <w:p>
            <w:pPr>
              <w:pStyle w:val="TableParagraph"/>
              <w:spacing w:before="62"/>
              <w:ind w:right="97"/>
              <w:jc w:val="right"/>
              <w:rPr>
                <w:sz w:val="21"/>
              </w:rPr>
            </w:pPr>
            <w:r>
              <w:rPr>
                <w:sz w:val="21"/>
              </w:rPr>
              <w:t>66,700</w:t>
            </w:r>
          </w:p>
        </w:tc>
        <w:tc>
          <w:tcPr>
            <w:tcW w:w="1724" w:type="dxa"/>
          </w:tcPr>
          <w:p>
            <w:pPr>
              <w:pStyle w:val="TableParagraph"/>
              <w:spacing w:before="62"/>
              <w:ind w:right="97"/>
              <w:jc w:val="right"/>
              <w:rPr>
                <w:sz w:val="21"/>
              </w:rPr>
            </w:pPr>
            <w:r>
              <w:rPr>
                <w:sz w:val="21"/>
              </w:rPr>
              <w:t>1,153,243.00</w:t>
            </w:r>
          </w:p>
        </w:tc>
        <w:tc>
          <w:tcPr>
            <w:tcW w:w="1514" w:type="dxa"/>
          </w:tcPr>
          <w:p>
            <w:pPr>
              <w:pStyle w:val="TableParagraph"/>
              <w:spacing w:before="62"/>
              <w:ind w:right="97"/>
              <w:jc w:val="right"/>
              <w:rPr>
                <w:sz w:val="21"/>
              </w:rPr>
            </w:pPr>
            <w:r>
              <w:rPr>
                <w:sz w:val="21"/>
              </w:rPr>
              <w:t>0.02</w:t>
            </w:r>
          </w:p>
        </w:tc>
      </w:tr>
    </w:tbl>
    <w:p>
      <w:pPr>
        <w:pStyle w:val="BodyText"/>
        <w:spacing w:before="3"/>
        <w:ind w:left="833"/>
      </w:pPr>
      <w:r>
        <w:rPr/>
        <w:t>5、报告期末按债券品种分类的债券投资组合</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3051"/>
        <w:gridCol w:w="2260"/>
        <w:gridCol w:w="1916"/>
      </w:tblGrid>
      <w:tr>
        <w:trPr>
          <w:trHeight w:val="809" w:hRule="atLeast"/>
        </w:trPr>
        <w:tc>
          <w:tcPr>
            <w:tcW w:w="777" w:type="dxa"/>
          </w:tcPr>
          <w:p>
            <w:pPr>
              <w:pStyle w:val="TableParagraph"/>
              <w:spacing w:before="4"/>
              <w:rPr>
                <w:sz w:val="22"/>
              </w:rPr>
            </w:pPr>
          </w:p>
          <w:p>
            <w:pPr>
              <w:pStyle w:val="TableParagraph"/>
              <w:ind w:left="167" w:right="140"/>
              <w:jc w:val="center"/>
              <w:rPr>
                <w:sz w:val="21"/>
              </w:rPr>
            </w:pPr>
            <w:r>
              <w:rPr>
                <w:sz w:val="21"/>
              </w:rPr>
              <w:t>序号</w:t>
            </w:r>
          </w:p>
        </w:tc>
        <w:tc>
          <w:tcPr>
            <w:tcW w:w="3051" w:type="dxa"/>
          </w:tcPr>
          <w:p>
            <w:pPr>
              <w:pStyle w:val="TableParagraph"/>
              <w:spacing w:before="4"/>
              <w:rPr>
                <w:sz w:val="22"/>
              </w:rPr>
            </w:pPr>
          </w:p>
          <w:p>
            <w:pPr>
              <w:pStyle w:val="TableParagraph"/>
              <w:ind w:left="1094" w:right="1067"/>
              <w:jc w:val="center"/>
              <w:rPr>
                <w:sz w:val="21"/>
              </w:rPr>
            </w:pPr>
            <w:r>
              <w:rPr>
                <w:sz w:val="21"/>
              </w:rPr>
              <w:t>债券品种</w:t>
            </w:r>
          </w:p>
        </w:tc>
        <w:tc>
          <w:tcPr>
            <w:tcW w:w="2260" w:type="dxa"/>
          </w:tcPr>
          <w:p>
            <w:pPr>
              <w:pStyle w:val="TableParagraph"/>
              <w:spacing w:before="4"/>
              <w:rPr>
                <w:sz w:val="22"/>
              </w:rPr>
            </w:pPr>
          </w:p>
          <w:p>
            <w:pPr>
              <w:pStyle w:val="TableParagraph"/>
              <w:ind w:left="508"/>
              <w:rPr>
                <w:sz w:val="21"/>
              </w:rPr>
            </w:pPr>
            <w:r>
              <w:rPr>
                <w:sz w:val="21"/>
              </w:rPr>
              <w:t>公允价值(元)</w:t>
            </w:r>
          </w:p>
        </w:tc>
        <w:tc>
          <w:tcPr>
            <w:tcW w:w="1916" w:type="dxa"/>
          </w:tcPr>
          <w:p>
            <w:pPr>
              <w:pStyle w:val="TableParagraph"/>
              <w:spacing w:before="91"/>
              <w:ind w:left="106" w:right="80"/>
              <w:jc w:val="center"/>
              <w:rPr>
                <w:sz w:val="21"/>
              </w:rPr>
            </w:pPr>
            <w:r>
              <w:rPr>
                <w:sz w:val="21"/>
              </w:rPr>
              <w:t>占基金资产净值比</w:t>
            </w:r>
          </w:p>
          <w:p>
            <w:pPr>
              <w:pStyle w:val="TableParagraph"/>
              <w:spacing w:before="121"/>
              <w:ind w:left="106" w:right="80"/>
              <w:jc w:val="center"/>
              <w:rPr>
                <w:sz w:val="21"/>
              </w:rPr>
            </w:pPr>
            <w:r>
              <w:rPr>
                <w:sz w:val="21"/>
              </w:rPr>
              <w:t>例(％)</w:t>
            </w:r>
          </w:p>
        </w:tc>
      </w:tr>
      <w:tr>
        <w:trPr>
          <w:trHeight w:val="419" w:hRule="atLeast"/>
        </w:trPr>
        <w:tc>
          <w:tcPr>
            <w:tcW w:w="777" w:type="dxa"/>
          </w:tcPr>
          <w:p>
            <w:pPr>
              <w:pStyle w:val="TableParagraph"/>
              <w:spacing w:before="91"/>
              <w:ind w:left="27"/>
              <w:jc w:val="center"/>
              <w:rPr>
                <w:sz w:val="21"/>
              </w:rPr>
            </w:pPr>
            <w:r>
              <w:rPr>
                <w:sz w:val="21"/>
              </w:rPr>
              <w:t>1</w:t>
            </w:r>
          </w:p>
        </w:tc>
        <w:tc>
          <w:tcPr>
            <w:tcW w:w="3051" w:type="dxa"/>
          </w:tcPr>
          <w:p>
            <w:pPr>
              <w:pStyle w:val="TableParagraph"/>
              <w:spacing w:before="91"/>
              <w:ind w:left="124"/>
              <w:rPr>
                <w:sz w:val="21"/>
              </w:rPr>
            </w:pPr>
            <w:r>
              <w:rPr>
                <w:sz w:val="21"/>
              </w:rPr>
              <w:t>国家债券</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r>
        <w:trPr>
          <w:trHeight w:val="419" w:hRule="atLeast"/>
        </w:trPr>
        <w:tc>
          <w:tcPr>
            <w:tcW w:w="777" w:type="dxa"/>
          </w:tcPr>
          <w:p>
            <w:pPr>
              <w:pStyle w:val="TableParagraph"/>
              <w:spacing w:before="91"/>
              <w:ind w:left="27"/>
              <w:jc w:val="center"/>
              <w:rPr>
                <w:sz w:val="21"/>
              </w:rPr>
            </w:pPr>
            <w:r>
              <w:rPr>
                <w:sz w:val="21"/>
              </w:rPr>
              <w:t>2</w:t>
            </w:r>
          </w:p>
        </w:tc>
        <w:tc>
          <w:tcPr>
            <w:tcW w:w="3051" w:type="dxa"/>
          </w:tcPr>
          <w:p>
            <w:pPr>
              <w:pStyle w:val="TableParagraph"/>
              <w:spacing w:before="91"/>
              <w:ind w:left="124"/>
              <w:rPr>
                <w:sz w:val="21"/>
              </w:rPr>
            </w:pPr>
            <w:r>
              <w:rPr>
                <w:sz w:val="21"/>
              </w:rPr>
              <w:t>央行票据</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3</w:t>
            </w:r>
          </w:p>
        </w:tc>
        <w:tc>
          <w:tcPr>
            <w:tcW w:w="3051" w:type="dxa"/>
          </w:tcPr>
          <w:p>
            <w:pPr>
              <w:pStyle w:val="TableParagraph"/>
              <w:spacing w:before="91"/>
              <w:ind w:left="124"/>
              <w:rPr>
                <w:sz w:val="21"/>
              </w:rPr>
            </w:pPr>
            <w:r>
              <w:rPr>
                <w:sz w:val="21"/>
              </w:rPr>
              <w:t>金融债券</w:t>
            </w:r>
          </w:p>
        </w:tc>
        <w:tc>
          <w:tcPr>
            <w:tcW w:w="2260" w:type="dxa"/>
          </w:tcPr>
          <w:p>
            <w:pPr>
              <w:pStyle w:val="TableParagraph"/>
              <w:spacing w:before="91"/>
              <w:ind w:right="96"/>
              <w:jc w:val="right"/>
              <w:rPr>
                <w:sz w:val="21"/>
              </w:rPr>
            </w:pPr>
            <w:r>
              <w:rPr>
                <w:sz w:val="21"/>
              </w:rPr>
              <w:t>100,280,000.00</w:t>
            </w:r>
          </w:p>
        </w:tc>
        <w:tc>
          <w:tcPr>
            <w:tcW w:w="1916" w:type="dxa"/>
          </w:tcPr>
          <w:p>
            <w:pPr>
              <w:pStyle w:val="TableParagraph"/>
              <w:spacing w:before="91"/>
              <w:ind w:right="96"/>
              <w:jc w:val="right"/>
              <w:rPr>
                <w:sz w:val="21"/>
              </w:rPr>
            </w:pPr>
            <w:r>
              <w:rPr>
                <w:sz w:val="21"/>
              </w:rPr>
              <w:t>1.68</w:t>
            </w:r>
          </w:p>
        </w:tc>
      </w:tr>
      <w:tr>
        <w:trPr>
          <w:trHeight w:val="418" w:hRule="atLeast"/>
        </w:trPr>
        <w:tc>
          <w:tcPr>
            <w:tcW w:w="777" w:type="dxa"/>
          </w:tcPr>
          <w:p>
            <w:pPr>
              <w:pStyle w:val="TableParagraph"/>
              <w:rPr>
                <w:rFonts w:ascii="Times New Roman"/>
                <w:sz w:val="20"/>
              </w:rPr>
            </w:pPr>
          </w:p>
        </w:tc>
        <w:tc>
          <w:tcPr>
            <w:tcW w:w="3051" w:type="dxa"/>
          </w:tcPr>
          <w:p>
            <w:pPr>
              <w:pStyle w:val="TableParagraph"/>
              <w:spacing w:before="91"/>
              <w:ind w:left="124"/>
              <w:rPr>
                <w:sz w:val="21"/>
              </w:rPr>
            </w:pPr>
            <w:r>
              <w:rPr>
                <w:sz w:val="21"/>
              </w:rPr>
              <w:t>其中：政策性金融债</w:t>
            </w:r>
          </w:p>
        </w:tc>
        <w:tc>
          <w:tcPr>
            <w:tcW w:w="2260" w:type="dxa"/>
          </w:tcPr>
          <w:p>
            <w:pPr>
              <w:pStyle w:val="TableParagraph"/>
              <w:spacing w:before="91"/>
              <w:ind w:right="96"/>
              <w:jc w:val="right"/>
              <w:rPr>
                <w:sz w:val="21"/>
              </w:rPr>
            </w:pPr>
            <w:r>
              <w:rPr>
                <w:sz w:val="21"/>
              </w:rPr>
              <w:t>100,280,000.00</w:t>
            </w:r>
          </w:p>
        </w:tc>
        <w:tc>
          <w:tcPr>
            <w:tcW w:w="1916" w:type="dxa"/>
          </w:tcPr>
          <w:p>
            <w:pPr>
              <w:pStyle w:val="TableParagraph"/>
              <w:spacing w:before="91"/>
              <w:ind w:right="96"/>
              <w:jc w:val="right"/>
              <w:rPr>
                <w:sz w:val="21"/>
              </w:rPr>
            </w:pPr>
            <w:r>
              <w:rPr>
                <w:sz w:val="21"/>
              </w:rPr>
              <w:t>1.68</w:t>
            </w:r>
          </w:p>
        </w:tc>
      </w:tr>
      <w:tr>
        <w:trPr>
          <w:trHeight w:val="418" w:hRule="atLeast"/>
        </w:trPr>
        <w:tc>
          <w:tcPr>
            <w:tcW w:w="777" w:type="dxa"/>
          </w:tcPr>
          <w:p>
            <w:pPr>
              <w:pStyle w:val="TableParagraph"/>
              <w:spacing w:before="91"/>
              <w:ind w:left="27"/>
              <w:jc w:val="center"/>
              <w:rPr>
                <w:sz w:val="21"/>
              </w:rPr>
            </w:pPr>
            <w:r>
              <w:rPr>
                <w:sz w:val="21"/>
              </w:rPr>
              <w:t>4</w:t>
            </w:r>
          </w:p>
        </w:tc>
        <w:tc>
          <w:tcPr>
            <w:tcW w:w="3051" w:type="dxa"/>
          </w:tcPr>
          <w:p>
            <w:pPr>
              <w:pStyle w:val="TableParagraph"/>
              <w:spacing w:before="91"/>
              <w:ind w:left="124"/>
              <w:rPr>
                <w:sz w:val="21"/>
              </w:rPr>
            </w:pPr>
            <w:r>
              <w:rPr>
                <w:sz w:val="21"/>
              </w:rPr>
              <w:t>企业债券</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5</w:t>
            </w:r>
          </w:p>
        </w:tc>
        <w:tc>
          <w:tcPr>
            <w:tcW w:w="3051" w:type="dxa"/>
          </w:tcPr>
          <w:p>
            <w:pPr>
              <w:pStyle w:val="TableParagraph"/>
              <w:spacing w:before="91"/>
              <w:ind w:left="124"/>
              <w:rPr>
                <w:sz w:val="21"/>
              </w:rPr>
            </w:pPr>
            <w:r>
              <w:rPr>
                <w:sz w:val="21"/>
              </w:rPr>
              <w:t>企业短期融资券</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6</w:t>
            </w:r>
          </w:p>
        </w:tc>
        <w:tc>
          <w:tcPr>
            <w:tcW w:w="3051" w:type="dxa"/>
          </w:tcPr>
          <w:p>
            <w:pPr>
              <w:pStyle w:val="TableParagraph"/>
              <w:spacing w:before="91"/>
              <w:ind w:left="124"/>
              <w:rPr>
                <w:sz w:val="21"/>
              </w:rPr>
            </w:pPr>
            <w:r>
              <w:rPr>
                <w:sz w:val="21"/>
              </w:rPr>
              <w:t>中期票据</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7</w:t>
            </w:r>
          </w:p>
        </w:tc>
        <w:tc>
          <w:tcPr>
            <w:tcW w:w="3051" w:type="dxa"/>
          </w:tcPr>
          <w:p>
            <w:pPr>
              <w:pStyle w:val="TableParagraph"/>
              <w:spacing w:before="91"/>
              <w:ind w:left="124"/>
              <w:rPr>
                <w:sz w:val="21"/>
              </w:rPr>
            </w:pPr>
            <w:r>
              <w:rPr>
                <w:sz w:val="21"/>
              </w:rPr>
              <w:t>可转债（可交换债）</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8</w:t>
            </w:r>
          </w:p>
        </w:tc>
        <w:tc>
          <w:tcPr>
            <w:tcW w:w="3051" w:type="dxa"/>
          </w:tcPr>
          <w:p>
            <w:pPr>
              <w:pStyle w:val="TableParagraph"/>
              <w:spacing w:before="91"/>
              <w:ind w:left="124"/>
              <w:rPr>
                <w:sz w:val="21"/>
              </w:rPr>
            </w:pPr>
            <w:r>
              <w:rPr>
                <w:sz w:val="21"/>
              </w:rPr>
              <w:t>同业存单</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bl>
    <w:p>
      <w:pPr>
        <w:spacing w:after="0"/>
        <w:jc w:val="right"/>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3051"/>
        <w:gridCol w:w="2260"/>
        <w:gridCol w:w="1916"/>
      </w:tblGrid>
      <w:tr>
        <w:trPr>
          <w:trHeight w:val="419" w:hRule="atLeast"/>
        </w:trPr>
        <w:tc>
          <w:tcPr>
            <w:tcW w:w="777" w:type="dxa"/>
          </w:tcPr>
          <w:p>
            <w:pPr>
              <w:pStyle w:val="TableParagraph"/>
              <w:spacing w:before="91"/>
              <w:ind w:left="344"/>
              <w:rPr>
                <w:sz w:val="21"/>
              </w:rPr>
            </w:pPr>
            <w:r>
              <w:rPr>
                <w:sz w:val="21"/>
              </w:rPr>
              <w:t>9</w:t>
            </w:r>
          </w:p>
        </w:tc>
        <w:tc>
          <w:tcPr>
            <w:tcW w:w="3051" w:type="dxa"/>
          </w:tcPr>
          <w:p>
            <w:pPr>
              <w:pStyle w:val="TableParagraph"/>
              <w:spacing w:before="91"/>
              <w:ind w:left="124"/>
              <w:rPr>
                <w:sz w:val="21"/>
              </w:rPr>
            </w:pPr>
            <w:r>
              <w:rPr>
                <w:sz w:val="21"/>
              </w:rPr>
              <w:t>其他</w:t>
            </w:r>
          </w:p>
        </w:tc>
        <w:tc>
          <w:tcPr>
            <w:tcW w:w="2260" w:type="dxa"/>
          </w:tcPr>
          <w:p>
            <w:pPr>
              <w:pStyle w:val="TableParagraph"/>
              <w:spacing w:before="91"/>
              <w:ind w:right="96"/>
              <w:jc w:val="right"/>
              <w:rPr>
                <w:sz w:val="21"/>
              </w:rPr>
            </w:pPr>
            <w:r>
              <w:rPr>
                <w:sz w:val="21"/>
              </w:rPr>
              <w:t>-</w:t>
            </w:r>
          </w:p>
        </w:tc>
        <w:tc>
          <w:tcPr>
            <w:tcW w:w="1916" w:type="dxa"/>
          </w:tcPr>
          <w:p>
            <w:pPr>
              <w:pStyle w:val="TableParagraph"/>
              <w:spacing w:before="91"/>
              <w:ind w:right="96"/>
              <w:jc w:val="right"/>
              <w:rPr>
                <w:sz w:val="21"/>
              </w:rPr>
            </w:pPr>
            <w:r>
              <w:rPr>
                <w:sz w:val="21"/>
              </w:rPr>
              <w:t>-</w:t>
            </w:r>
          </w:p>
        </w:tc>
      </w:tr>
      <w:tr>
        <w:trPr>
          <w:trHeight w:val="419" w:hRule="atLeast"/>
        </w:trPr>
        <w:tc>
          <w:tcPr>
            <w:tcW w:w="777" w:type="dxa"/>
          </w:tcPr>
          <w:p>
            <w:pPr>
              <w:pStyle w:val="TableParagraph"/>
              <w:spacing w:before="91"/>
              <w:ind w:left="292"/>
              <w:rPr>
                <w:sz w:val="21"/>
              </w:rPr>
            </w:pPr>
            <w:r>
              <w:rPr>
                <w:sz w:val="21"/>
              </w:rPr>
              <w:t>10</w:t>
            </w:r>
          </w:p>
        </w:tc>
        <w:tc>
          <w:tcPr>
            <w:tcW w:w="3051" w:type="dxa"/>
          </w:tcPr>
          <w:p>
            <w:pPr>
              <w:pStyle w:val="TableParagraph"/>
              <w:spacing w:before="91"/>
              <w:ind w:left="124"/>
              <w:rPr>
                <w:sz w:val="21"/>
              </w:rPr>
            </w:pPr>
            <w:r>
              <w:rPr>
                <w:sz w:val="21"/>
              </w:rPr>
              <w:t>合计</w:t>
            </w:r>
          </w:p>
        </w:tc>
        <w:tc>
          <w:tcPr>
            <w:tcW w:w="2260" w:type="dxa"/>
          </w:tcPr>
          <w:p>
            <w:pPr>
              <w:pStyle w:val="TableParagraph"/>
              <w:spacing w:before="91"/>
              <w:ind w:right="96"/>
              <w:jc w:val="right"/>
              <w:rPr>
                <w:sz w:val="21"/>
              </w:rPr>
            </w:pPr>
            <w:r>
              <w:rPr>
                <w:sz w:val="21"/>
              </w:rPr>
              <w:t>100,280,000.00</w:t>
            </w:r>
          </w:p>
        </w:tc>
        <w:tc>
          <w:tcPr>
            <w:tcW w:w="1916" w:type="dxa"/>
          </w:tcPr>
          <w:p>
            <w:pPr>
              <w:pStyle w:val="TableParagraph"/>
              <w:spacing w:before="91"/>
              <w:ind w:right="96"/>
              <w:jc w:val="right"/>
              <w:rPr>
                <w:sz w:val="21"/>
              </w:rPr>
            </w:pPr>
            <w:r>
              <w:rPr>
                <w:sz w:val="21"/>
              </w:rPr>
              <w:t>1.68</w:t>
            </w:r>
          </w:p>
        </w:tc>
      </w:tr>
    </w:tbl>
    <w:p>
      <w:pPr>
        <w:pStyle w:val="BodyText"/>
        <w:spacing w:before="3"/>
        <w:ind w:left="833"/>
      </w:pPr>
      <w:r>
        <w:rPr/>
        <w:t>6、报告期末按公允价值占基金资产净值比例大小排序的前五名债券投资明细</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4"/>
        <w:gridCol w:w="1334"/>
        <w:gridCol w:w="1334"/>
        <w:gridCol w:w="1334"/>
        <w:gridCol w:w="1334"/>
        <w:gridCol w:w="1334"/>
      </w:tblGrid>
      <w:tr>
        <w:trPr>
          <w:trHeight w:val="1199" w:hRule="atLeast"/>
        </w:trPr>
        <w:tc>
          <w:tcPr>
            <w:tcW w:w="1334" w:type="dxa"/>
          </w:tcPr>
          <w:p>
            <w:pPr>
              <w:pStyle w:val="TableParagraph"/>
              <w:rPr>
                <w:sz w:val="20"/>
              </w:rPr>
            </w:pPr>
          </w:p>
          <w:p>
            <w:pPr>
              <w:pStyle w:val="TableParagraph"/>
              <w:spacing w:before="7"/>
              <w:rPr>
                <w:sz w:val="17"/>
              </w:rPr>
            </w:pPr>
          </w:p>
          <w:p>
            <w:pPr>
              <w:pStyle w:val="TableParagraph"/>
              <w:ind w:left="147" w:right="122"/>
              <w:jc w:val="center"/>
              <w:rPr>
                <w:sz w:val="21"/>
              </w:rPr>
            </w:pPr>
            <w:r>
              <w:rPr>
                <w:sz w:val="21"/>
              </w:rPr>
              <w:t>序号</w:t>
            </w:r>
          </w:p>
        </w:tc>
        <w:tc>
          <w:tcPr>
            <w:tcW w:w="1334" w:type="dxa"/>
          </w:tcPr>
          <w:p>
            <w:pPr>
              <w:pStyle w:val="TableParagraph"/>
              <w:rPr>
                <w:sz w:val="20"/>
              </w:rPr>
            </w:pPr>
          </w:p>
          <w:p>
            <w:pPr>
              <w:pStyle w:val="TableParagraph"/>
              <w:spacing w:before="7"/>
              <w:rPr>
                <w:sz w:val="17"/>
              </w:rPr>
            </w:pPr>
          </w:p>
          <w:p>
            <w:pPr>
              <w:pStyle w:val="TableParagraph"/>
              <w:ind w:left="146" w:right="122"/>
              <w:jc w:val="center"/>
              <w:rPr>
                <w:sz w:val="21"/>
              </w:rPr>
            </w:pPr>
            <w:r>
              <w:rPr>
                <w:sz w:val="21"/>
              </w:rPr>
              <w:t>债券代码</w:t>
            </w:r>
          </w:p>
        </w:tc>
        <w:tc>
          <w:tcPr>
            <w:tcW w:w="1334" w:type="dxa"/>
          </w:tcPr>
          <w:p>
            <w:pPr>
              <w:pStyle w:val="TableParagraph"/>
              <w:rPr>
                <w:sz w:val="20"/>
              </w:rPr>
            </w:pPr>
          </w:p>
          <w:p>
            <w:pPr>
              <w:pStyle w:val="TableParagraph"/>
              <w:spacing w:before="7"/>
              <w:rPr>
                <w:sz w:val="17"/>
              </w:rPr>
            </w:pPr>
          </w:p>
          <w:p>
            <w:pPr>
              <w:pStyle w:val="TableParagraph"/>
              <w:ind w:right="227"/>
              <w:jc w:val="right"/>
              <w:rPr>
                <w:sz w:val="21"/>
              </w:rPr>
            </w:pPr>
            <w:r>
              <w:rPr>
                <w:sz w:val="21"/>
              </w:rPr>
              <w:t>债券名称</w:t>
            </w:r>
          </w:p>
        </w:tc>
        <w:tc>
          <w:tcPr>
            <w:tcW w:w="1334" w:type="dxa"/>
          </w:tcPr>
          <w:p>
            <w:pPr>
              <w:pStyle w:val="TableParagraph"/>
              <w:rPr>
                <w:sz w:val="20"/>
              </w:rPr>
            </w:pPr>
          </w:p>
          <w:p>
            <w:pPr>
              <w:pStyle w:val="TableParagraph"/>
              <w:spacing w:before="7"/>
              <w:rPr>
                <w:sz w:val="17"/>
              </w:rPr>
            </w:pPr>
          </w:p>
          <w:p>
            <w:pPr>
              <w:pStyle w:val="TableParagraph"/>
              <w:ind w:right="122"/>
              <w:jc w:val="right"/>
              <w:rPr>
                <w:sz w:val="21"/>
              </w:rPr>
            </w:pPr>
            <w:r>
              <w:rPr>
                <w:sz w:val="21"/>
              </w:rPr>
              <w:t>数量（张）</w:t>
            </w:r>
          </w:p>
        </w:tc>
        <w:tc>
          <w:tcPr>
            <w:tcW w:w="1334" w:type="dxa"/>
          </w:tcPr>
          <w:p>
            <w:pPr>
              <w:pStyle w:val="TableParagraph"/>
              <w:spacing w:before="4"/>
              <w:rPr>
                <w:sz w:val="22"/>
              </w:rPr>
            </w:pPr>
          </w:p>
          <w:p>
            <w:pPr>
              <w:pStyle w:val="TableParagraph"/>
              <w:ind w:left="146" w:right="122"/>
              <w:jc w:val="center"/>
              <w:rPr>
                <w:sz w:val="21"/>
              </w:rPr>
            </w:pPr>
            <w:r>
              <w:rPr>
                <w:sz w:val="21"/>
              </w:rPr>
              <w:t>公允价值</w:t>
            </w:r>
          </w:p>
          <w:p>
            <w:pPr>
              <w:pStyle w:val="TableParagraph"/>
              <w:spacing w:before="121"/>
              <w:ind w:left="146" w:right="122"/>
              <w:jc w:val="center"/>
              <w:rPr>
                <w:sz w:val="21"/>
              </w:rPr>
            </w:pPr>
            <w:r>
              <w:rPr>
                <w:sz w:val="21"/>
              </w:rPr>
              <w:t>(元)</w:t>
            </w:r>
          </w:p>
        </w:tc>
        <w:tc>
          <w:tcPr>
            <w:tcW w:w="1334" w:type="dxa"/>
          </w:tcPr>
          <w:p>
            <w:pPr>
              <w:pStyle w:val="TableParagraph"/>
              <w:spacing w:line="348" w:lineRule="auto" w:before="91"/>
              <w:ind w:left="149" w:right="122"/>
              <w:jc w:val="center"/>
              <w:rPr>
                <w:sz w:val="21"/>
              </w:rPr>
            </w:pPr>
            <w:r>
              <w:rPr>
                <w:sz w:val="21"/>
              </w:rPr>
              <w:t>占基金资产净值比例</w:t>
            </w:r>
          </w:p>
          <w:p>
            <w:pPr>
              <w:pStyle w:val="TableParagraph"/>
              <w:spacing w:line="269" w:lineRule="exact"/>
              <w:ind w:left="147" w:right="122"/>
              <w:jc w:val="center"/>
              <w:rPr>
                <w:sz w:val="21"/>
              </w:rPr>
            </w:pPr>
            <w:r>
              <w:rPr>
                <w:sz w:val="21"/>
              </w:rPr>
              <w:t>（％）</w:t>
            </w:r>
          </w:p>
        </w:tc>
      </w:tr>
      <w:tr>
        <w:trPr>
          <w:trHeight w:val="779" w:hRule="atLeast"/>
        </w:trPr>
        <w:tc>
          <w:tcPr>
            <w:tcW w:w="1334" w:type="dxa"/>
          </w:tcPr>
          <w:p>
            <w:pPr>
              <w:pStyle w:val="TableParagraph"/>
              <w:rPr>
                <w:sz w:val="20"/>
              </w:rPr>
            </w:pPr>
          </w:p>
          <w:p>
            <w:pPr>
              <w:pStyle w:val="TableParagraph"/>
              <w:spacing w:before="1"/>
              <w:ind w:left="10"/>
              <w:jc w:val="center"/>
              <w:rPr>
                <w:sz w:val="21"/>
              </w:rPr>
            </w:pPr>
            <w:r>
              <w:rPr>
                <w:sz w:val="21"/>
              </w:rPr>
              <w:t>1</w:t>
            </w:r>
          </w:p>
        </w:tc>
        <w:tc>
          <w:tcPr>
            <w:tcW w:w="1334" w:type="dxa"/>
          </w:tcPr>
          <w:p>
            <w:pPr>
              <w:pStyle w:val="TableParagraph"/>
              <w:rPr>
                <w:sz w:val="20"/>
              </w:rPr>
            </w:pPr>
          </w:p>
          <w:p>
            <w:pPr>
              <w:pStyle w:val="TableParagraph"/>
              <w:spacing w:before="1"/>
              <w:ind w:left="131" w:right="122"/>
              <w:jc w:val="center"/>
              <w:rPr>
                <w:sz w:val="21"/>
              </w:rPr>
            </w:pPr>
            <w:r>
              <w:rPr>
                <w:sz w:val="21"/>
              </w:rPr>
              <w:t>130310</w:t>
            </w:r>
          </w:p>
        </w:tc>
        <w:tc>
          <w:tcPr>
            <w:tcW w:w="1334" w:type="dxa"/>
          </w:tcPr>
          <w:p>
            <w:pPr>
              <w:pStyle w:val="TableParagraph"/>
              <w:rPr>
                <w:sz w:val="20"/>
              </w:rPr>
            </w:pPr>
          </w:p>
          <w:p>
            <w:pPr>
              <w:pStyle w:val="TableParagraph"/>
              <w:spacing w:before="1"/>
              <w:ind w:right="182"/>
              <w:jc w:val="right"/>
              <w:rPr>
                <w:sz w:val="21"/>
              </w:rPr>
            </w:pPr>
            <w:r>
              <w:rPr>
                <w:sz w:val="21"/>
              </w:rPr>
              <w:t>13 进出 10</w:t>
            </w:r>
          </w:p>
        </w:tc>
        <w:tc>
          <w:tcPr>
            <w:tcW w:w="1334" w:type="dxa"/>
          </w:tcPr>
          <w:p>
            <w:pPr>
              <w:pStyle w:val="TableParagraph"/>
              <w:rPr>
                <w:sz w:val="20"/>
              </w:rPr>
            </w:pPr>
          </w:p>
          <w:p>
            <w:pPr>
              <w:pStyle w:val="TableParagraph"/>
              <w:spacing w:before="1"/>
              <w:ind w:right="97"/>
              <w:jc w:val="right"/>
              <w:rPr>
                <w:sz w:val="21"/>
              </w:rPr>
            </w:pPr>
            <w:r>
              <w:rPr>
                <w:sz w:val="21"/>
              </w:rPr>
              <w:t>600,000</w:t>
            </w:r>
          </w:p>
        </w:tc>
        <w:tc>
          <w:tcPr>
            <w:tcW w:w="1334" w:type="dxa"/>
          </w:tcPr>
          <w:p>
            <w:pPr>
              <w:pStyle w:val="TableParagraph"/>
              <w:spacing w:before="62"/>
              <w:ind w:right="96"/>
              <w:jc w:val="right"/>
              <w:rPr>
                <w:sz w:val="21"/>
              </w:rPr>
            </w:pPr>
            <w:r>
              <w:rPr>
                <w:sz w:val="21"/>
              </w:rPr>
              <w:t>60,228,000</w:t>
            </w:r>
          </w:p>
          <w:p>
            <w:pPr>
              <w:pStyle w:val="TableParagraph"/>
              <w:spacing w:before="121"/>
              <w:ind w:right="96"/>
              <w:jc w:val="right"/>
              <w:rPr>
                <w:sz w:val="21"/>
              </w:rPr>
            </w:pPr>
            <w:r>
              <w:rPr>
                <w:sz w:val="21"/>
              </w:rPr>
              <w:t>.00</w:t>
            </w:r>
          </w:p>
        </w:tc>
        <w:tc>
          <w:tcPr>
            <w:tcW w:w="1334" w:type="dxa"/>
          </w:tcPr>
          <w:p>
            <w:pPr>
              <w:pStyle w:val="TableParagraph"/>
              <w:rPr>
                <w:sz w:val="20"/>
              </w:rPr>
            </w:pPr>
          </w:p>
          <w:p>
            <w:pPr>
              <w:pStyle w:val="TableParagraph"/>
              <w:spacing w:before="1"/>
              <w:ind w:right="97"/>
              <w:jc w:val="right"/>
              <w:rPr>
                <w:sz w:val="21"/>
              </w:rPr>
            </w:pPr>
            <w:r>
              <w:rPr>
                <w:sz w:val="21"/>
              </w:rPr>
              <w:t>1.01</w:t>
            </w:r>
          </w:p>
        </w:tc>
      </w:tr>
      <w:tr>
        <w:trPr>
          <w:trHeight w:val="780" w:hRule="atLeast"/>
        </w:trPr>
        <w:tc>
          <w:tcPr>
            <w:tcW w:w="1334" w:type="dxa"/>
          </w:tcPr>
          <w:p>
            <w:pPr>
              <w:pStyle w:val="TableParagraph"/>
              <w:rPr>
                <w:sz w:val="20"/>
              </w:rPr>
            </w:pPr>
          </w:p>
          <w:p>
            <w:pPr>
              <w:pStyle w:val="TableParagraph"/>
              <w:spacing w:before="1"/>
              <w:ind w:left="10"/>
              <w:jc w:val="center"/>
              <w:rPr>
                <w:sz w:val="21"/>
              </w:rPr>
            </w:pPr>
            <w:r>
              <w:rPr>
                <w:sz w:val="21"/>
              </w:rPr>
              <w:t>2</w:t>
            </w:r>
          </w:p>
        </w:tc>
        <w:tc>
          <w:tcPr>
            <w:tcW w:w="1334" w:type="dxa"/>
          </w:tcPr>
          <w:p>
            <w:pPr>
              <w:pStyle w:val="TableParagraph"/>
              <w:rPr>
                <w:sz w:val="20"/>
              </w:rPr>
            </w:pPr>
          </w:p>
          <w:p>
            <w:pPr>
              <w:pStyle w:val="TableParagraph"/>
              <w:spacing w:before="1"/>
              <w:ind w:left="131" w:right="122"/>
              <w:jc w:val="center"/>
              <w:rPr>
                <w:sz w:val="21"/>
              </w:rPr>
            </w:pPr>
            <w:r>
              <w:rPr>
                <w:sz w:val="21"/>
              </w:rPr>
              <w:t>170205</w:t>
            </w:r>
          </w:p>
        </w:tc>
        <w:tc>
          <w:tcPr>
            <w:tcW w:w="1334" w:type="dxa"/>
          </w:tcPr>
          <w:p>
            <w:pPr>
              <w:pStyle w:val="TableParagraph"/>
              <w:rPr>
                <w:sz w:val="20"/>
              </w:rPr>
            </w:pPr>
          </w:p>
          <w:p>
            <w:pPr>
              <w:pStyle w:val="TableParagraph"/>
              <w:spacing w:before="1"/>
              <w:ind w:right="182"/>
              <w:jc w:val="right"/>
              <w:rPr>
                <w:sz w:val="21"/>
              </w:rPr>
            </w:pPr>
            <w:r>
              <w:rPr>
                <w:sz w:val="21"/>
              </w:rPr>
              <w:t>17 国开 05</w:t>
            </w:r>
          </w:p>
        </w:tc>
        <w:tc>
          <w:tcPr>
            <w:tcW w:w="1334" w:type="dxa"/>
          </w:tcPr>
          <w:p>
            <w:pPr>
              <w:pStyle w:val="TableParagraph"/>
              <w:rPr>
                <w:sz w:val="20"/>
              </w:rPr>
            </w:pPr>
          </w:p>
          <w:p>
            <w:pPr>
              <w:pStyle w:val="TableParagraph"/>
              <w:spacing w:before="1"/>
              <w:ind w:right="97"/>
              <w:jc w:val="right"/>
              <w:rPr>
                <w:sz w:val="21"/>
              </w:rPr>
            </w:pPr>
            <w:r>
              <w:rPr>
                <w:sz w:val="21"/>
              </w:rPr>
              <w:t>400,000</w:t>
            </w:r>
          </w:p>
        </w:tc>
        <w:tc>
          <w:tcPr>
            <w:tcW w:w="1334" w:type="dxa"/>
          </w:tcPr>
          <w:p>
            <w:pPr>
              <w:pStyle w:val="TableParagraph"/>
              <w:spacing w:before="62"/>
              <w:ind w:right="96"/>
              <w:jc w:val="right"/>
              <w:rPr>
                <w:sz w:val="21"/>
              </w:rPr>
            </w:pPr>
            <w:r>
              <w:rPr>
                <w:sz w:val="21"/>
              </w:rPr>
              <w:t>40,052,000</w:t>
            </w:r>
          </w:p>
          <w:p>
            <w:pPr>
              <w:pStyle w:val="TableParagraph"/>
              <w:spacing w:before="121"/>
              <w:ind w:right="96"/>
              <w:jc w:val="right"/>
              <w:rPr>
                <w:sz w:val="21"/>
              </w:rPr>
            </w:pPr>
            <w:r>
              <w:rPr>
                <w:sz w:val="21"/>
              </w:rPr>
              <w:t>.00</w:t>
            </w:r>
          </w:p>
        </w:tc>
        <w:tc>
          <w:tcPr>
            <w:tcW w:w="1334" w:type="dxa"/>
          </w:tcPr>
          <w:p>
            <w:pPr>
              <w:pStyle w:val="TableParagraph"/>
              <w:rPr>
                <w:sz w:val="20"/>
              </w:rPr>
            </w:pPr>
          </w:p>
          <w:p>
            <w:pPr>
              <w:pStyle w:val="TableParagraph"/>
              <w:spacing w:before="1"/>
              <w:ind w:right="97"/>
              <w:jc w:val="right"/>
              <w:rPr>
                <w:sz w:val="21"/>
              </w:rPr>
            </w:pPr>
            <w:r>
              <w:rPr>
                <w:sz w:val="21"/>
              </w:rPr>
              <w:t>0.67</w:t>
            </w:r>
          </w:p>
        </w:tc>
      </w:tr>
    </w:tbl>
    <w:p>
      <w:pPr>
        <w:pStyle w:val="BodyText"/>
        <w:spacing w:before="3"/>
        <w:ind w:left="833"/>
      </w:pPr>
      <w:r>
        <w:rPr/>
        <w:t>7、 报告期末按公允价值占基金资产净值比例大小排序的前十名资产支持证券投资明</w:t>
      </w:r>
    </w:p>
    <w:p>
      <w:pPr>
        <w:pStyle w:val="BodyText"/>
        <w:spacing w:before="139"/>
        <w:ind w:left="413"/>
      </w:pPr>
      <w:r>
        <w:rPr/>
        <w:t>细</w:t>
      </w:r>
    </w:p>
    <w:p>
      <w:pPr>
        <w:pStyle w:val="BodyText"/>
        <w:spacing w:before="140"/>
        <w:ind w:left="833"/>
      </w:pPr>
      <w:r>
        <w:rPr/>
        <w:t>本基金本报告期末未持有资产支持证券。</w:t>
      </w:r>
    </w:p>
    <w:p>
      <w:pPr>
        <w:pStyle w:val="BodyText"/>
        <w:spacing w:line="364" w:lineRule="auto" w:before="139"/>
        <w:ind w:left="833" w:right="2067"/>
      </w:pPr>
      <w:r>
        <w:rPr/>
        <w:t>8、报告期末按公允价值占基金资产净值比例大小排序的前五名贵金属投资明细本基金本报告期末未持有贵金属。</w:t>
      </w:r>
    </w:p>
    <w:p>
      <w:pPr>
        <w:pStyle w:val="BodyText"/>
        <w:spacing w:line="364" w:lineRule="auto"/>
        <w:ind w:left="833" w:right="2277"/>
      </w:pPr>
      <w:r>
        <w:rPr/>
        <w:t>9、报告期末按公允价值占基金资产净值比例大小排序的前五名权证投资明细本基金本报告期末未持有权证。</w:t>
      </w:r>
    </w:p>
    <w:p>
      <w:pPr>
        <w:pStyle w:val="BodyText"/>
        <w:spacing w:line="268" w:lineRule="exact"/>
        <w:ind w:left="833"/>
      </w:pPr>
      <w:r>
        <w:rPr/>
        <w:t>10、报告期末本基金投资的股指期货交易情况说明</w:t>
      </w:r>
    </w:p>
    <w:p>
      <w:pPr>
        <w:pStyle w:val="ListParagraph"/>
        <w:numPr>
          <w:ilvl w:val="0"/>
          <w:numId w:val="24"/>
        </w:numPr>
        <w:tabs>
          <w:tab w:pos="1360" w:val="left" w:leader="none"/>
        </w:tabs>
        <w:spacing w:line="240" w:lineRule="auto" w:before="139" w:after="0"/>
        <w:ind w:left="1360" w:right="0" w:hanging="527"/>
        <w:jc w:val="left"/>
        <w:rPr>
          <w:sz w:val="21"/>
        </w:rPr>
      </w:pPr>
      <w:r>
        <w:rPr>
          <w:sz w:val="21"/>
        </w:rPr>
        <w:t>报告期末本基金投资的股指期货持仓和损益明细</w:t>
      </w:r>
    </w:p>
    <w:p>
      <w:pPr>
        <w:pStyle w:val="BodyText"/>
        <w:spacing w:before="8"/>
        <w:ind w:left="0"/>
        <w:rPr>
          <w:sz w:val="10"/>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3"/>
        <w:gridCol w:w="1182"/>
        <w:gridCol w:w="907"/>
        <w:gridCol w:w="1534"/>
        <w:gridCol w:w="1482"/>
        <w:gridCol w:w="1866"/>
      </w:tblGrid>
      <w:tr>
        <w:trPr>
          <w:trHeight w:val="1403" w:hRule="atLeast"/>
        </w:trPr>
        <w:tc>
          <w:tcPr>
            <w:tcW w:w="1033" w:type="dxa"/>
          </w:tcPr>
          <w:p>
            <w:pPr>
              <w:pStyle w:val="TableParagraph"/>
              <w:spacing w:before="2"/>
              <w:rPr>
                <w:sz w:val="29"/>
              </w:rPr>
            </w:pPr>
          </w:p>
          <w:p>
            <w:pPr>
              <w:pStyle w:val="TableParagraph"/>
              <w:ind w:left="527"/>
              <w:rPr>
                <w:sz w:val="21"/>
              </w:rPr>
            </w:pPr>
            <w:r>
              <w:rPr>
                <w:sz w:val="21"/>
              </w:rPr>
              <w:t>代</w:t>
            </w:r>
          </w:p>
          <w:p>
            <w:pPr>
              <w:pStyle w:val="TableParagraph"/>
              <w:spacing w:before="121"/>
              <w:ind w:left="107"/>
              <w:rPr>
                <w:sz w:val="21"/>
              </w:rPr>
            </w:pPr>
            <w:r>
              <w:rPr>
                <w:sz w:val="21"/>
              </w:rPr>
              <w:t>码</w:t>
            </w:r>
          </w:p>
        </w:tc>
        <w:tc>
          <w:tcPr>
            <w:tcW w:w="1182" w:type="dxa"/>
          </w:tcPr>
          <w:p>
            <w:pPr>
              <w:pStyle w:val="TableParagraph"/>
              <w:spacing w:before="2"/>
              <w:rPr>
                <w:sz w:val="29"/>
              </w:rPr>
            </w:pPr>
          </w:p>
          <w:p>
            <w:pPr>
              <w:pStyle w:val="TableParagraph"/>
              <w:ind w:left="528"/>
              <w:rPr>
                <w:sz w:val="21"/>
              </w:rPr>
            </w:pPr>
            <w:r>
              <w:rPr>
                <w:sz w:val="21"/>
              </w:rPr>
              <w:t>名称</w:t>
            </w:r>
          </w:p>
        </w:tc>
        <w:tc>
          <w:tcPr>
            <w:tcW w:w="907" w:type="dxa"/>
          </w:tcPr>
          <w:p>
            <w:pPr>
              <w:pStyle w:val="TableParagraph"/>
              <w:spacing w:before="2"/>
              <w:rPr>
                <w:sz w:val="29"/>
              </w:rPr>
            </w:pPr>
          </w:p>
          <w:p>
            <w:pPr>
              <w:pStyle w:val="TableParagraph"/>
              <w:spacing w:line="348" w:lineRule="auto"/>
              <w:ind w:left="107" w:right="158" w:firstLine="420"/>
              <w:rPr>
                <w:sz w:val="21"/>
              </w:rPr>
            </w:pPr>
            <w:r>
              <w:rPr>
                <w:sz w:val="21"/>
              </w:rPr>
              <w:t>持仓量</w:t>
            </w:r>
          </w:p>
        </w:tc>
        <w:tc>
          <w:tcPr>
            <w:tcW w:w="1534" w:type="dxa"/>
          </w:tcPr>
          <w:p>
            <w:pPr>
              <w:pStyle w:val="TableParagraph"/>
              <w:spacing w:before="2"/>
              <w:rPr>
                <w:sz w:val="29"/>
              </w:rPr>
            </w:pPr>
          </w:p>
          <w:p>
            <w:pPr>
              <w:pStyle w:val="TableParagraph"/>
              <w:ind w:left="528"/>
              <w:rPr>
                <w:sz w:val="21"/>
              </w:rPr>
            </w:pPr>
            <w:r>
              <w:rPr>
                <w:sz w:val="21"/>
              </w:rPr>
              <w:t>合约市值</w:t>
            </w:r>
          </w:p>
          <w:p>
            <w:pPr>
              <w:pStyle w:val="TableParagraph"/>
              <w:spacing w:before="121"/>
              <w:ind w:left="108"/>
              <w:rPr>
                <w:sz w:val="21"/>
              </w:rPr>
            </w:pPr>
            <w:r>
              <w:rPr>
                <w:sz w:val="21"/>
              </w:rPr>
              <w:t>（元）</w:t>
            </w:r>
          </w:p>
        </w:tc>
        <w:tc>
          <w:tcPr>
            <w:tcW w:w="1482" w:type="dxa"/>
          </w:tcPr>
          <w:p>
            <w:pPr>
              <w:pStyle w:val="TableParagraph"/>
              <w:spacing w:before="2"/>
              <w:rPr>
                <w:sz w:val="29"/>
              </w:rPr>
            </w:pPr>
          </w:p>
          <w:p>
            <w:pPr>
              <w:pStyle w:val="TableParagraph"/>
              <w:spacing w:line="348" w:lineRule="auto"/>
              <w:ind w:left="108" w:right="103" w:firstLine="420"/>
              <w:rPr>
                <w:sz w:val="21"/>
              </w:rPr>
            </w:pPr>
            <w:r>
              <w:rPr>
                <w:sz w:val="21"/>
              </w:rPr>
              <w:t>公允价值变动（元）</w:t>
            </w:r>
          </w:p>
        </w:tc>
        <w:tc>
          <w:tcPr>
            <w:tcW w:w="1866" w:type="dxa"/>
          </w:tcPr>
          <w:p>
            <w:pPr>
              <w:pStyle w:val="TableParagraph"/>
              <w:spacing w:before="2"/>
              <w:rPr>
                <w:sz w:val="29"/>
              </w:rPr>
            </w:pPr>
          </w:p>
          <w:p>
            <w:pPr>
              <w:pStyle w:val="TableParagraph"/>
              <w:ind w:left="722"/>
              <w:rPr>
                <w:sz w:val="21"/>
              </w:rPr>
            </w:pPr>
            <w:r>
              <w:rPr>
                <w:sz w:val="21"/>
              </w:rPr>
              <w:t>风险说明</w:t>
            </w:r>
          </w:p>
        </w:tc>
      </w:tr>
      <w:tr>
        <w:trPr>
          <w:trHeight w:val="3900" w:hRule="atLeast"/>
        </w:trPr>
        <w:tc>
          <w:tcPr>
            <w:tcW w:w="1033"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1"/>
              </w:rPr>
            </w:pPr>
          </w:p>
          <w:p>
            <w:pPr>
              <w:pStyle w:val="TableParagraph"/>
              <w:ind w:left="201"/>
              <w:rPr>
                <w:sz w:val="21"/>
              </w:rPr>
            </w:pPr>
            <w:r>
              <w:rPr>
                <w:sz w:val="21"/>
              </w:rPr>
              <w:t>IF2004</w:t>
            </w:r>
          </w:p>
        </w:tc>
        <w:tc>
          <w:tcPr>
            <w:tcW w:w="118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1"/>
              </w:rPr>
            </w:pPr>
          </w:p>
          <w:p>
            <w:pPr>
              <w:pStyle w:val="TableParagraph"/>
              <w:ind w:left="108"/>
              <w:rPr>
                <w:sz w:val="21"/>
              </w:rPr>
            </w:pPr>
            <w:r>
              <w:rPr>
                <w:sz w:val="21"/>
              </w:rPr>
              <w:t>IF2004</w:t>
            </w:r>
          </w:p>
        </w:tc>
        <w:tc>
          <w:tcPr>
            <w:tcW w:w="90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1"/>
              </w:rPr>
            </w:pPr>
          </w:p>
          <w:p>
            <w:pPr>
              <w:pStyle w:val="TableParagraph"/>
              <w:ind w:left="588"/>
              <w:rPr>
                <w:sz w:val="21"/>
              </w:rPr>
            </w:pPr>
            <w:r>
              <w:rPr>
                <w:sz w:val="21"/>
              </w:rPr>
              <w:t>15</w:t>
            </w:r>
          </w:p>
        </w:tc>
        <w:tc>
          <w:tcPr>
            <w:tcW w:w="153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6"/>
              </w:rPr>
            </w:pPr>
          </w:p>
          <w:p>
            <w:pPr>
              <w:pStyle w:val="TableParagraph"/>
              <w:ind w:right="97"/>
              <w:jc w:val="right"/>
              <w:rPr>
                <w:sz w:val="21"/>
              </w:rPr>
            </w:pPr>
            <w:r>
              <w:rPr>
                <w:sz w:val="21"/>
              </w:rPr>
              <w:t>16,474,500.0</w:t>
            </w:r>
          </w:p>
          <w:p>
            <w:pPr>
              <w:pStyle w:val="TableParagraph"/>
              <w:spacing w:before="121"/>
              <w:ind w:right="97"/>
              <w:jc w:val="right"/>
              <w:rPr>
                <w:sz w:val="21"/>
              </w:rPr>
            </w:pPr>
            <w:r>
              <w:rPr>
                <w:sz w:val="21"/>
              </w:rPr>
              <w:t>0</w:t>
            </w:r>
          </w:p>
        </w:tc>
        <w:tc>
          <w:tcPr>
            <w:tcW w:w="148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1"/>
              </w:rPr>
            </w:pPr>
          </w:p>
          <w:p>
            <w:pPr>
              <w:pStyle w:val="TableParagraph"/>
              <w:ind w:left="324"/>
              <w:rPr>
                <w:sz w:val="21"/>
              </w:rPr>
            </w:pPr>
            <w:r>
              <w:rPr>
                <w:sz w:val="21"/>
              </w:rPr>
              <w:t>319,500.00</w:t>
            </w:r>
          </w:p>
        </w:tc>
        <w:tc>
          <w:tcPr>
            <w:tcW w:w="1866" w:type="dxa"/>
          </w:tcPr>
          <w:p>
            <w:pPr>
              <w:pStyle w:val="TableParagraph"/>
              <w:spacing w:line="348" w:lineRule="auto" w:before="62"/>
              <w:ind w:left="107" w:right="96"/>
              <w:rPr>
                <w:sz w:val="21"/>
              </w:rPr>
            </w:pPr>
            <w:r>
              <w:rPr>
                <w:spacing w:val="-7"/>
                <w:sz w:val="21"/>
              </w:rPr>
              <w:t>在本报告期内，基</w:t>
            </w:r>
            <w:r>
              <w:rPr>
                <w:sz w:val="21"/>
              </w:rPr>
              <w:t>金利用股指期货进行套期保值操</w:t>
            </w:r>
            <w:r>
              <w:rPr>
                <w:spacing w:val="-8"/>
                <w:sz w:val="21"/>
              </w:rPr>
              <w:t>作，以应对基金由</w:t>
            </w:r>
            <w:r>
              <w:rPr>
                <w:sz w:val="21"/>
              </w:rPr>
              <w:t>于大额净申赎等需要及时调整组合市场暴露情况</w:t>
            </w:r>
            <w:r>
              <w:rPr>
                <w:spacing w:val="-8"/>
                <w:sz w:val="21"/>
              </w:rPr>
              <w:t>时，通过股指期货</w:t>
            </w:r>
            <w:r>
              <w:rPr>
                <w:sz w:val="21"/>
              </w:rPr>
              <w:t>套保交易满足基</w:t>
            </w:r>
          </w:p>
          <w:p>
            <w:pPr>
              <w:pStyle w:val="TableParagraph"/>
              <w:spacing w:line="268" w:lineRule="exact"/>
              <w:ind w:left="107"/>
              <w:rPr>
                <w:sz w:val="21"/>
              </w:rPr>
            </w:pPr>
            <w:r>
              <w:rPr>
                <w:sz w:val="21"/>
              </w:rPr>
              <w:t>金的投资替代需</w:t>
            </w:r>
          </w:p>
        </w:tc>
      </w:tr>
    </w:tbl>
    <w:p>
      <w:pPr>
        <w:spacing w:after="0" w:line="268" w:lineRule="exact"/>
        <w:rPr>
          <w:sz w:val="21"/>
        </w:rPr>
        <w:sectPr>
          <w:pgSz w:w="11910" w:h="16840"/>
          <w:pgMar w:header="0" w:footer="1166" w:top="1600" w:bottom="1440" w:left="1400" w:right="360"/>
        </w:sectPr>
      </w:pPr>
    </w:p>
    <w:p>
      <w:pPr>
        <w:pStyle w:val="BodyText"/>
        <w:spacing w:before="9"/>
        <w:ind w:left="0"/>
        <w:rPr>
          <w:rFonts w:ascii="Times New Roman"/>
          <w:sz w:val="8"/>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3"/>
        <w:gridCol w:w="1182"/>
        <w:gridCol w:w="907"/>
        <w:gridCol w:w="1534"/>
        <w:gridCol w:w="1482"/>
        <w:gridCol w:w="1866"/>
      </w:tblGrid>
      <w:tr>
        <w:trPr>
          <w:trHeight w:val="3120" w:hRule="atLeast"/>
        </w:trPr>
        <w:tc>
          <w:tcPr>
            <w:tcW w:w="1033" w:type="dxa"/>
          </w:tcPr>
          <w:p>
            <w:pPr>
              <w:pStyle w:val="TableParagraph"/>
              <w:rPr>
                <w:rFonts w:ascii="Times New Roman"/>
                <w:sz w:val="20"/>
              </w:rPr>
            </w:pPr>
          </w:p>
        </w:tc>
        <w:tc>
          <w:tcPr>
            <w:tcW w:w="1182" w:type="dxa"/>
          </w:tcPr>
          <w:p>
            <w:pPr>
              <w:pStyle w:val="TableParagraph"/>
              <w:rPr>
                <w:rFonts w:ascii="Times New Roman"/>
                <w:sz w:val="20"/>
              </w:rPr>
            </w:pPr>
          </w:p>
        </w:tc>
        <w:tc>
          <w:tcPr>
            <w:tcW w:w="907" w:type="dxa"/>
          </w:tcPr>
          <w:p>
            <w:pPr>
              <w:pStyle w:val="TableParagraph"/>
              <w:rPr>
                <w:rFonts w:ascii="Times New Roman"/>
                <w:sz w:val="20"/>
              </w:rPr>
            </w:pPr>
          </w:p>
        </w:tc>
        <w:tc>
          <w:tcPr>
            <w:tcW w:w="1534" w:type="dxa"/>
          </w:tcPr>
          <w:p>
            <w:pPr>
              <w:pStyle w:val="TableParagraph"/>
              <w:rPr>
                <w:rFonts w:ascii="Times New Roman"/>
                <w:sz w:val="20"/>
              </w:rPr>
            </w:pPr>
          </w:p>
        </w:tc>
        <w:tc>
          <w:tcPr>
            <w:tcW w:w="1482" w:type="dxa"/>
          </w:tcPr>
          <w:p>
            <w:pPr>
              <w:pStyle w:val="TableParagraph"/>
              <w:rPr>
                <w:rFonts w:ascii="Times New Roman"/>
                <w:sz w:val="20"/>
              </w:rPr>
            </w:pPr>
          </w:p>
        </w:tc>
        <w:tc>
          <w:tcPr>
            <w:tcW w:w="1866" w:type="dxa"/>
          </w:tcPr>
          <w:p>
            <w:pPr>
              <w:pStyle w:val="TableParagraph"/>
              <w:spacing w:line="348" w:lineRule="auto" w:before="62"/>
              <w:ind w:left="107" w:right="96"/>
              <w:rPr>
                <w:sz w:val="21"/>
              </w:rPr>
            </w:pPr>
            <w:r>
              <w:rPr>
                <w:sz w:val="21"/>
              </w:rPr>
              <w:t>求和风险对冲需</w:t>
            </w:r>
            <w:r>
              <w:rPr>
                <w:spacing w:val="-8"/>
                <w:sz w:val="21"/>
              </w:rPr>
              <w:t>求，利用股指期货的杠杆作用，降低</w:t>
            </w:r>
            <w:r>
              <w:rPr>
                <w:sz w:val="21"/>
              </w:rPr>
              <w:t>股票仓位频繁调整的交易成本和</w:t>
            </w:r>
            <w:r>
              <w:rPr>
                <w:spacing w:val="-8"/>
                <w:sz w:val="21"/>
              </w:rPr>
              <w:t>跟踪误差，达到有</w:t>
            </w:r>
            <w:r>
              <w:rPr>
                <w:sz w:val="21"/>
              </w:rPr>
              <w:t>效跟踪标的指数</w:t>
            </w:r>
          </w:p>
          <w:p>
            <w:pPr>
              <w:pStyle w:val="TableParagraph"/>
              <w:spacing w:line="268" w:lineRule="exact"/>
              <w:ind w:left="107"/>
              <w:rPr>
                <w:sz w:val="21"/>
              </w:rPr>
            </w:pPr>
            <w:r>
              <w:rPr>
                <w:sz w:val="21"/>
              </w:rPr>
              <w:t>的目的。</w:t>
            </w:r>
          </w:p>
        </w:tc>
      </w:tr>
      <w:tr>
        <w:trPr>
          <w:trHeight w:val="7020" w:hRule="atLeast"/>
        </w:trPr>
        <w:tc>
          <w:tcPr>
            <w:tcW w:w="103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7"/>
              <w:ind w:left="201"/>
              <w:rPr>
                <w:sz w:val="21"/>
              </w:rPr>
            </w:pPr>
            <w:r>
              <w:rPr>
                <w:sz w:val="21"/>
              </w:rPr>
              <w:t>IF2005</w:t>
            </w:r>
          </w:p>
        </w:tc>
        <w:tc>
          <w:tcPr>
            <w:tcW w:w="118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7"/>
              <w:ind w:left="108"/>
              <w:rPr>
                <w:sz w:val="21"/>
              </w:rPr>
            </w:pPr>
            <w:r>
              <w:rPr>
                <w:sz w:val="21"/>
              </w:rPr>
              <w:t>IF2005</w:t>
            </w:r>
          </w:p>
        </w:tc>
        <w:tc>
          <w:tcPr>
            <w:tcW w:w="90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7"/>
              <w:ind w:right="96"/>
              <w:jc w:val="right"/>
              <w:rPr>
                <w:sz w:val="21"/>
              </w:rPr>
            </w:pPr>
            <w:r>
              <w:rPr>
                <w:sz w:val="21"/>
              </w:rPr>
              <w:t>2</w:t>
            </w:r>
          </w:p>
        </w:tc>
        <w:tc>
          <w:tcPr>
            <w:tcW w:w="153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7"/>
              <w:ind w:left="166"/>
              <w:rPr>
                <w:sz w:val="21"/>
              </w:rPr>
            </w:pPr>
            <w:r>
              <w:rPr>
                <w:sz w:val="21"/>
              </w:rPr>
              <w:t>2,188,080.00</w:t>
            </w:r>
          </w:p>
        </w:tc>
        <w:tc>
          <w:tcPr>
            <w:tcW w:w="148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7"/>
              <w:ind w:left="429"/>
              <w:rPr>
                <w:sz w:val="21"/>
              </w:rPr>
            </w:pPr>
            <w:r>
              <w:rPr>
                <w:sz w:val="21"/>
              </w:rPr>
              <w:t>90,480.00</w:t>
            </w:r>
          </w:p>
        </w:tc>
        <w:tc>
          <w:tcPr>
            <w:tcW w:w="1866" w:type="dxa"/>
          </w:tcPr>
          <w:p>
            <w:pPr>
              <w:pStyle w:val="TableParagraph"/>
              <w:spacing w:line="348" w:lineRule="auto" w:before="62"/>
              <w:ind w:left="107" w:right="96"/>
              <w:rPr>
                <w:sz w:val="21"/>
              </w:rPr>
            </w:pPr>
            <w:r>
              <w:rPr>
                <w:spacing w:val="-7"/>
                <w:sz w:val="21"/>
              </w:rPr>
              <w:t>在本报告期内，基</w:t>
            </w:r>
            <w:r>
              <w:rPr>
                <w:sz w:val="21"/>
              </w:rPr>
              <w:t>金利用股指期货进行套期保值操</w:t>
            </w:r>
            <w:r>
              <w:rPr>
                <w:spacing w:val="-8"/>
                <w:sz w:val="21"/>
              </w:rPr>
              <w:t>作，以应对基金由</w:t>
            </w:r>
            <w:r>
              <w:rPr>
                <w:sz w:val="21"/>
              </w:rPr>
              <w:t>于大额净申赎等需要及时调整组合市场暴露情况</w:t>
            </w:r>
            <w:r>
              <w:rPr>
                <w:spacing w:val="-8"/>
                <w:sz w:val="21"/>
              </w:rPr>
              <w:t>时，通过股指期货</w:t>
            </w:r>
            <w:r>
              <w:rPr>
                <w:sz w:val="21"/>
              </w:rPr>
              <w:t>套保交易满足基金的投资替代需求和风险对冲需</w:t>
            </w:r>
            <w:r>
              <w:rPr>
                <w:spacing w:val="-8"/>
                <w:sz w:val="21"/>
              </w:rPr>
              <w:t>求，利用股指期货的杠杆作用，降低</w:t>
            </w:r>
            <w:r>
              <w:rPr>
                <w:sz w:val="21"/>
              </w:rPr>
              <w:t>股票仓位频繁调整的交易成本和</w:t>
            </w:r>
            <w:r>
              <w:rPr>
                <w:spacing w:val="-8"/>
                <w:sz w:val="21"/>
              </w:rPr>
              <w:t>跟踪误差，达到有</w:t>
            </w:r>
            <w:r>
              <w:rPr>
                <w:sz w:val="21"/>
              </w:rPr>
              <w:t>效跟踪标的指数</w:t>
            </w:r>
          </w:p>
          <w:p>
            <w:pPr>
              <w:pStyle w:val="TableParagraph"/>
              <w:spacing w:line="267" w:lineRule="exact"/>
              <w:ind w:left="107"/>
              <w:rPr>
                <w:sz w:val="21"/>
              </w:rPr>
            </w:pPr>
            <w:r>
              <w:rPr>
                <w:sz w:val="21"/>
              </w:rPr>
              <w:t>的目的。</w:t>
            </w:r>
          </w:p>
        </w:tc>
      </w:tr>
      <w:tr>
        <w:trPr>
          <w:trHeight w:val="1014" w:hRule="atLeast"/>
        </w:trPr>
        <w:tc>
          <w:tcPr>
            <w:tcW w:w="6138" w:type="dxa"/>
            <w:gridSpan w:val="5"/>
          </w:tcPr>
          <w:p>
            <w:pPr>
              <w:pStyle w:val="TableParagraph"/>
              <w:rPr>
                <w:rFonts w:ascii="Times New Roman"/>
                <w:sz w:val="20"/>
              </w:rPr>
            </w:pPr>
          </w:p>
          <w:p>
            <w:pPr>
              <w:pStyle w:val="TableParagraph"/>
              <w:spacing w:before="144"/>
              <w:ind w:left="527"/>
              <w:rPr>
                <w:sz w:val="21"/>
              </w:rPr>
            </w:pPr>
            <w:r>
              <w:rPr>
                <w:sz w:val="21"/>
              </w:rPr>
              <w:t>公允价值变动总额合计(元)</w:t>
            </w:r>
          </w:p>
        </w:tc>
        <w:tc>
          <w:tcPr>
            <w:tcW w:w="1866" w:type="dxa"/>
          </w:tcPr>
          <w:p>
            <w:pPr>
              <w:pStyle w:val="TableParagraph"/>
              <w:rPr>
                <w:rFonts w:ascii="Times New Roman"/>
                <w:sz w:val="20"/>
              </w:rPr>
            </w:pPr>
          </w:p>
          <w:p>
            <w:pPr>
              <w:pStyle w:val="TableParagraph"/>
              <w:spacing w:before="144"/>
              <w:ind w:left="707"/>
              <w:rPr>
                <w:sz w:val="21"/>
              </w:rPr>
            </w:pPr>
            <w:r>
              <w:rPr>
                <w:sz w:val="21"/>
              </w:rPr>
              <w:t>409,980.00</w:t>
            </w:r>
          </w:p>
        </w:tc>
      </w:tr>
      <w:tr>
        <w:trPr>
          <w:trHeight w:val="1404" w:hRule="atLeast"/>
        </w:trPr>
        <w:tc>
          <w:tcPr>
            <w:tcW w:w="6138" w:type="dxa"/>
            <w:gridSpan w:val="5"/>
          </w:tcPr>
          <w:p>
            <w:pPr>
              <w:pStyle w:val="TableParagraph"/>
              <w:rPr>
                <w:rFonts w:ascii="Times New Roman"/>
                <w:sz w:val="20"/>
              </w:rPr>
            </w:pPr>
          </w:p>
          <w:p>
            <w:pPr>
              <w:pStyle w:val="TableParagraph"/>
              <w:spacing w:before="144"/>
              <w:ind w:left="527"/>
              <w:rPr>
                <w:sz w:val="21"/>
              </w:rPr>
            </w:pPr>
            <w:r>
              <w:rPr>
                <w:sz w:val="21"/>
              </w:rPr>
              <w:t>股指期货投资本期收益(元)</w:t>
            </w:r>
          </w:p>
        </w:tc>
        <w:tc>
          <w:tcPr>
            <w:tcW w:w="1866" w:type="dxa"/>
          </w:tcPr>
          <w:p>
            <w:pPr>
              <w:pStyle w:val="TableParagraph"/>
              <w:rPr>
                <w:rFonts w:ascii="Times New Roman"/>
                <w:sz w:val="20"/>
              </w:rPr>
            </w:pPr>
          </w:p>
          <w:p>
            <w:pPr>
              <w:pStyle w:val="TableParagraph"/>
              <w:spacing w:before="144"/>
              <w:ind w:right="96"/>
              <w:jc w:val="right"/>
              <w:rPr>
                <w:sz w:val="21"/>
              </w:rPr>
            </w:pPr>
            <w:r>
              <w:rPr>
                <w:sz w:val="21"/>
              </w:rPr>
              <w:t>-2,223,786.</w:t>
            </w:r>
          </w:p>
          <w:p>
            <w:pPr>
              <w:pStyle w:val="TableParagraph"/>
              <w:spacing w:before="121"/>
              <w:ind w:right="96"/>
              <w:jc w:val="right"/>
              <w:rPr>
                <w:sz w:val="21"/>
              </w:rPr>
            </w:pPr>
            <w:r>
              <w:rPr>
                <w:sz w:val="21"/>
              </w:rPr>
              <w:t>41</w:t>
            </w:r>
          </w:p>
        </w:tc>
      </w:tr>
    </w:tbl>
    <w:p>
      <w:pPr>
        <w:spacing w:after="0"/>
        <w:jc w:val="right"/>
        <w:rPr>
          <w:sz w:val="21"/>
        </w:rPr>
        <w:sectPr>
          <w:pgSz w:w="11910" w:h="16840"/>
          <w:pgMar w:header="0" w:footer="1166" w:top="1600" w:bottom="1360" w:left="1400" w:right="360"/>
        </w:sectPr>
      </w:pPr>
    </w:p>
    <w:p>
      <w:pPr>
        <w:pStyle w:val="BodyText"/>
        <w:spacing w:before="9"/>
        <w:ind w:left="0"/>
        <w:rPr>
          <w:rFonts w:ascii="Times New Roman"/>
          <w:sz w:val="8"/>
        </w:rPr>
      </w:pPr>
    </w:p>
    <w:p>
      <w:pPr>
        <w:pStyle w:val="BodyText"/>
        <w:ind w:left="546"/>
        <w:rPr>
          <w:rFonts w:ascii="Times New Roman"/>
          <w:sz w:val="20"/>
        </w:rPr>
      </w:pPr>
      <w:r>
        <w:rPr>
          <w:rFonts w:ascii="Times New Roman"/>
          <w:position w:val="0"/>
          <w:sz w:val="20"/>
        </w:rPr>
        <w:pict>
          <v:shape style="width:306.9pt;height:51.2pt;mso-position-horizontal-relative:char;mso-position-vertical-relative:line" type="#_x0000_t202" filled="false" stroked="true" strokeweight=".5pt" strokecolor="#000000">
            <w10:anchorlock/>
            <v:textbox inset="0,0,0,0">
              <w:txbxContent>
                <w:p>
                  <w:pPr>
                    <w:pStyle w:val="BodyText"/>
                    <w:ind w:left="0"/>
                    <w:rPr>
                      <w:rFonts w:ascii="Times New Roman"/>
                      <w:sz w:val="20"/>
                    </w:rPr>
                  </w:pPr>
                </w:p>
                <w:p>
                  <w:pPr>
                    <w:pStyle w:val="BodyText"/>
                    <w:spacing w:before="144"/>
                    <w:ind w:left="522"/>
                  </w:pPr>
                  <w:r>
                    <w:rPr/>
                    <w:t>股指期货投资本期公允价值变动(元)</w:t>
                  </w:r>
                </w:p>
              </w:txbxContent>
            </v:textbox>
            <v:stroke dashstyle="solid"/>
          </v:shape>
        </w:pict>
      </w:r>
      <w:r>
        <w:rPr>
          <w:rFonts w:ascii="Times New Roman"/>
          <w:position w:val="0"/>
          <w:sz w:val="20"/>
        </w:rPr>
      </w:r>
    </w:p>
    <w:p>
      <w:pPr>
        <w:pStyle w:val="ListParagraph"/>
        <w:numPr>
          <w:ilvl w:val="0"/>
          <w:numId w:val="24"/>
        </w:numPr>
        <w:tabs>
          <w:tab w:pos="1360" w:val="left" w:leader="none"/>
        </w:tabs>
        <w:spacing w:line="246" w:lineRule="exact" w:before="0" w:after="0"/>
        <w:ind w:left="1360" w:right="0" w:hanging="527"/>
        <w:jc w:val="left"/>
        <w:rPr>
          <w:sz w:val="21"/>
        </w:rPr>
      </w:pPr>
      <w:r>
        <w:rPr/>
        <w:pict>
          <v:shape style="position:absolute;margin-left:404.475006pt;margin-top:-52.75pt;width:93.3pt;height:51.2pt;mso-position-horizontal-relative:page;mso-position-vertical-relative:paragraph;z-index:251659264" type="#_x0000_t202" filled="false" stroked="true" strokeweight=".5pt" strokecolor="#000000">
            <v:textbox inset="0,0,0,0">
              <w:txbxContent>
                <w:p>
                  <w:pPr>
                    <w:pStyle w:val="BodyText"/>
                    <w:spacing w:before="2"/>
                    <w:ind w:left="0"/>
                    <w:rPr>
                      <w:sz w:val="29"/>
                    </w:rPr>
                  </w:pPr>
                </w:p>
                <w:p>
                  <w:pPr>
                    <w:pStyle w:val="BodyText"/>
                    <w:ind w:left="702"/>
                  </w:pPr>
                  <w:r>
                    <w:rPr/>
                    <w:t>409,980.00</w:t>
                  </w:r>
                </w:p>
              </w:txbxContent>
            </v:textbox>
            <v:stroke dashstyle="solid"/>
            <w10:wrap type="none"/>
          </v:shape>
        </w:pict>
      </w:r>
      <w:r>
        <w:rPr>
          <w:sz w:val="21"/>
        </w:rPr>
        <w:t>本基金投资股指期货的投资政策</w:t>
      </w:r>
    </w:p>
    <w:p>
      <w:pPr>
        <w:pStyle w:val="BodyText"/>
        <w:spacing w:line="364" w:lineRule="auto" w:before="139"/>
        <w:ind w:left="413" w:right="1452" w:firstLine="420"/>
        <w:jc w:val="both"/>
      </w:pPr>
      <w:r>
        <w:rPr/>
        <w:t>本基金可投资股指期货和其他经中国证监会允许的衍生金融产品。本基金将根据风险管理的原则，以套期保值为目的，按照相关法律法规的有关规定，主要选择流动性好、交易活跃的股指期货合约来进行投资。本基金在出现大额净申赎等需要及时调整组合市场暴露情况时，通过股指期货套保交易满足基金的投资替代需求和风险管理需求。本基金力争利用股指期货的杠杆作用，降低股票仓位频繁调整的交易成本和跟踪误差，达到有效跟踪标的指数的目的。本报告期内，本基金投资股指期货符合既定的投资政策和投资目的。</w:t>
      </w:r>
    </w:p>
    <w:p>
      <w:pPr>
        <w:pStyle w:val="BodyText"/>
        <w:spacing w:line="364" w:lineRule="auto"/>
        <w:ind w:left="833" w:right="4692"/>
      </w:pPr>
      <w:r>
        <w:rPr/>
        <w:t>11、报告期末本基金投资的国债期货交易情况说明本基金本报告期末未投资国债期货。</w:t>
      </w:r>
    </w:p>
    <w:p>
      <w:pPr>
        <w:pStyle w:val="BodyText"/>
        <w:spacing w:line="268" w:lineRule="exact"/>
        <w:ind w:left="833"/>
      </w:pPr>
      <w:r>
        <w:rPr/>
        <w:t>12、投资组合报告附注</w:t>
      </w:r>
    </w:p>
    <w:p>
      <w:pPr>
        <w:pStyle w:val="BodyText"/>
        <w:spacing w:line="364" w:lineRule="auto" w:before="137"/>
        <w:ind w:left="413" w:right="1451" w:firstLine="420"/>
        <w:jc w:val="both"/>
      </w:pPr>
      <w:r>
        <w:rPr>
          <w:spacing w:val="-5"/>
        </w:rPr>
        <w:t>（1）2019</w:t>
      </w:r>
      <w:r>
        <w:rPr>
          <w:spacing w:val="-36"/>
        </w:rPr>
        <w:t> 年 </w:t>
      </w:r>
      <w:r>
        <w:rPr/>
        <w:t>7</w:t>
      </w:r>
      <w:r>
        <w:rPr>
          <w:spacing w:val="-36"/>
        </w:rPr>
        <w:t> 月 </w:t>
      </w:r>
      <w:r>
        <w:rPr/>
        <w:t>8</w:t>
      </w:r>
      <w:r>
        <w:rPr>
          <w:spacing w:val="-11"/>
        </w:rPr>
        <w:t> 日，中国银行保险监督管理委员会上海监管局针对兴业银行股份有</w:t>
      </w:r>
      <w:r>
        <w:rPr>
          <w:spacing w:val="-6"/>
        </w:rPr>
        <w:t>限公司信用卡中心 </w:t>
      </w:r>
      <w:r>
        <w:rPr/>
        <w:t>1</w:t>
      </w:r>
      <w:r>
        <w:rPr>
          <w:spacing w:val="-16"/>
        </w:rPr>
        <w:t>、</w:t>
      </w:r>
      <w:r>
        <w:rPr/>
        <w:t>2016</w:t>
      </w:r>
      <w:r>
        <w:rPr>
          <w:spacing w:val="-36"/>
        </w:rPr>
        <w:t> 年 </w:t>
      </w:r>
      <w:r>
        <w:rPr/>
        <w:t>1</w:t>
      </w:r>
      <w:r>
        <w:rPr>
          <w:spacing w:val="-27"/>
        </w:rPr>
        <w:t> 月至 </w:t>
      </w:r>
      <w:r>
        <w:rPr/>
        <w:t>2018</w:t>
      </w:r>
      <w:r>
        <w:rPr>
          <w:spacing w:val="-36"/>
        </w:rPr>
        <w:t> 年 </w:t>
      </w:r>
      <w:r>
        <w:rPr/>
        <w:t>1</w:t>
      </w:r>
      <w:r>
        <w:rPr>
          <w:spacing w:val="-9"/>
        </w:rPr>
        <w:t> 月在为部分客户办理信用卡业务时未遵守总</w:t>
      </w:r>
      <w:r>
        <w:rPr/>
        <w:t>授信额度管理制度；2、2016</w:t>
      </w:r>
      <w:r>
        <w:rPr>
          <w:spacing w:val="-24"/>
        </w:rPr>
        <w:t> 年至 </w:t>
      </w:r>
      <w:r>
        <w:rPr/>
        <w:t>2018</w:t>
      </w:r>
      <w:r>
        <w:rPr>
          <w:spacing w:val="-32"/>
        </w:rPr>
        <w:t> 年 </w:t>
      </w:r>
      <w:r>
        <w:rPr/>
        <w:t>8</w:t>
      </w:r>
      <w:r>
        <w:rPr>
          <w:spacing w:val="-7"/>
        </w:rPr>
        <w:t> 月对部分信用卡申请人资信水平调查严重不尽</w:t>
      </w:r>
      <w:r>
        <w:rPr>
          <w:spacing w:val="-10"/>
        </w:rPr>
        <w:t>职的违法违规行为，责令改正，并处罚款 </w:t>
      </w:r>
      <w:r>
        <w:rPr/>
        <w:t>40</w:t>
      </w:r>
      <w:r>
        <w:rPr>
          <w:spacing w:val="-14"/>
        </w:rPr>
        <w:t> 万元。</w:t>
      </w:r>
    </w:p>
    <w:p>
      <w:pPr>
        <w:pStyle w:val="BodyText"/>
        <w:spacing w:line="267" w:lineRule="exact"/>
        <w:ind w:left="833"/>
        <w:jc w:val="both"/>
      </w:pPr>
      <w:r>
        <w:rPr/>
        <w:t>2019 年 7 月 8 日，中国银行保险监督管理委员会上海监管局对招商银行股份有限公司</w:t>
      </w:r>
    </w:p>
    <w:p>
      <w:pPr>
        <w:pStyle w:val="BodyText"/>
        <w:spacing w:line="364" w:lineRule="auto" w:before="139"/>
        <w:ind w:left="413" w:right="1452"/>
        <w:jc w:val="both"/>
      </w:pPr>
      <w:r>
        <w:rPr>
          <w:spacing w:val="-8"/>
        </w:rPr>
        <w:t>信用卡中心 </w:t>
      </w:r>
      <w:r>
        <w:rPr/>
        <w:t>2016</w:t>
      </w:r>
      <w:r>
        <w:rPr>
          <w:spacing w:val="-29"/>
        </w:rPr>
        <w:t> 年 </w:t>
      </w:r>
      <w:r>
        <w:rPr/>
        <w:t>9</w:t>
      </w:r>
      <w:r>
        <w:rPr>
          <w:spacing w:val="-22"/>
        </w:rPr>
        <w:t> 月至 </w:t>
      </w:r>
      <w:r>
        <w:rPr/>
        <w:t>2018</w:t>
      </w:r>
      <w:r>
        <w:rPr>
          <w:spacing w:val="-29"/>
        </w:rPr>
        <w:t> 年 </w:t>
      </w:r>
      <w:r>
        <w:rPr/>
        <w:t>6</w:t>
      </w:r>
      <w:r>
        <w:rPr>
          <w:spacing w:val="-7"/>
        </w:rPr>
        <w:t> 月在为部分客户办理信用卡业务时，未遵守总授信额</w:t>
      </w:r>
      <w:r>
        <w:rPr>
          <w:spacing w:val="-9"/>
        </w:rPr>
        <w:t>度管理制度的违法违规事实，责令改正，并处罚款 </w:t>
      </w:r>
      <w:r>
        <w:rPr/>
        <w:t>20</w:t>
      </w:r>
      <w:r>
        <w:rPr>
          <w:spacing w:val="-14"/>
        </w:rPr>
        <w:t> 万元。</w:t>
      </w:r>
    </w:p>
    <w:p>
      <w:pPr>
        <w:pStyle w:val="BodyText"/>
        <w:spacing w:line="364" w:lineRule="auto"/>
        <w:ind w:left="413" w:right="1452" w:firstLine="420"/>
        <w:jc w:val="both"/>
      </w:pPr>
      <w:r>
        <w:rPr/>
        <w:t>2019</w:t>
      </w:r>
      <w:r>
        <w:rPr>
          <w:spacing w:val="-32"/>
        </w:rPr>
        <w:t> 年 </w:t>
      </w:r>
      <w:r>
        <w:rPr/>
        <w:t>11</w:t>
      </w:r>
      <w:r>
        <w:rPr>
          <w:spacing w:val="-31"/>
        </w:rPr>
        <w:t> 月 </w:t>
      </w:r>
      <w:r>
        <w:rPr/>
        <w:t>18</w:t>
      </w:r>
      <w:r>
        <w:rPr>
          <w:spacing w:val="-8"/>
        </w:rPr>
        <w:t> 日，珠海市交通运输局对珠海格力电器股份有限公司违反《超限运输</w:t>
      </w:r>
      <w:r>
        <w:rPr>
          <w:spacing w:val="-3"/>
        </w:rPr>
        <w:t>车辆行驶公路管理规定》第四十三条的行为作出“罚款 </w:t>
      </w:r>
      <w:r>
        <w:rPr/>
        <w:t>4000</w:t>
      </w:r>
      <w:r>
        <w:rPr>
          <w:spacing w:val="-8"/>
        </w:rPr>
        <w:t> 元”的行政处罚决定。</w:t>
      </w:r>
    </w:p>
    <w:p>
      <w:pPr>
        <w:pStyle w:val="BodyText"/>
        <w:spacing w:line="364" w:lineRule="auto"/>
        <w:ind w:left="413" w:right="1451" w:firstLine="420"/>
        <w:jc w:val="both"/>
      </w:pPr>
      <w:r>
        <w:rPr/>
        <w:t>2019</w:t>
      </w:r>
      <w:r>
        <w:rPr>
          <w:spacing w:val="-36"/>
        </w:rPr>
        <w:t> 年 </w:t>
      </w:r>
      <w:r>
        <w:rPr/>
        <w:t>12</w:t>
      </w:r>
      <w:r>
        <w:rPr>
          <w:spacing w:val="-36"/>
        </w:rPr>
        <w:t> 月 </w:t>
      </w:r>
      <w:r>
        <w:rPr/>
        <w:t>4</w:t>
      </w:r>
      <w:r>
        <w:rPr>
          <w:spacing w:val="-12"/>
        </w:rPr>
        <w:t> 日，珠海市交通运输局对珠海格力电器股份有限公司违反《超限运输车</w:t>
      </w:r>
      <w:r>
        <w:rPr>
          <w:spacing w:val="-3"/>
        </w:rPr>
        <w:t>辆行驶公路管理规定》第四十三条的行为作出“罚款 </w:t>
      </w:r>
      <w:r>
        <w:rPr/>
        <w:t>4000</w:t>
      </w:r>
      <w:r>
        <w:rPr>
          <w:spacing w:val="-8"/>
        </w:rPr>
        <w:t> 元”的行政处罚决定。</w:t>
      </w:r>
    </w:p>
    <w:p>
      <w:pPr>
        <w:pStyle w:val="BodyText"/>
        <w:spacing w:line="364" w:lineRule="auto"/>
        <w:ind w:left="413" w:right="1452" w:firstLine="420"/>
        <w:jc w:val="both"/>
      </w:pPr>
      <w:r>
        <w:rPr>
          <w:spacing w:val="-4"/>
        </w:rPr>
        <w:t>本基金为目标 </w:t>
      </w:r>
      <w:r>
        <w:rPr/>
        <w:t>ETF</w:t>
      </w:r>
      <w:r>
        <w:rPr>
          <w:spacing w:val="-5"/>
        </w:rPr>
        <w:t> 的联接基金，上述股票系标的指数成份股，上述股票的投资决策程</w:t>
      </w:r>
      <w:r>
        <w:rPr>
          <w:spacing w:val="-6"/>
        </w:rPr>
        <w:t>序符合公司投资制度的规定。除招商银行、兴业银行、格力电器外，本基金的目标 </w:t>
      </w:r>
      <w:r>
        <w:rPr/>
        <w:t>ETF</w:t>
      </w:r>
      <w:r>
        <w:rPr>
          <w:spacing w:val="-11"/>
        </w:rPr>
        <w:t> 投资的前十名证券的发行主体本期没有出现被监管部门立案调查，或在报告编制日前一年内受到公开谴责、处罚的情形。除招商银行、兴业银行外，本基金投资的前十名证券的发行主体本期没有出现被监管部门立案调查，或在报告编制日前一年内受到公开谴责、处罚的情形。</w:t>
      </w:r>
    </w:p>
    <w:p>
      <w:pPr>
        <w:pStyle w:val="ListParagraph"/>
        <w:numPr>
          <w:ilvl w:val="0"/>
          <w:numId w:val="25"/>
        </w:numPr>
        <w:tabs>
          <w:tab w:pos="1360" w:val="left" w:leader="none"/>
        </w:tabs>
        <w:spacing w:line="266" w:lineRule="exact" w:before="0" w:after="0"/>
        <w:ind w:left="1360" w:right="0" w:hanging="527"/>
        <w:jc w:val="left"/>
        <w:rPr>
          <w:sz w:val="21"/>
        </w:rPr>
      </w:pPr>
      <w:r>
        <w:rPr>
          <w:sz w:val="21"/>
        </w:rPr>
        <w:t>本基金投资的前十名股票没有超出基金合同规定的备选股票库。</w:t>
      </w:r>
    </w:p>
    <w:p>
      <w:pPr>
        <w:pStyle w:val="ListParagraph"/>
        <w:numPr>
          <w:ilvl w:val="0"/>
          <w:numId w:val="25"/>
        </w:numPr>
        <w:tabs>
          <w:tab w:pos="1360" w:val="left" w:leader="none"/>
        </w:tabs>
        <w:spacing w:line="240" w:lineRule="auto" w:before="137" w:after="0"/>
        <w:ind w:left="1360" w:right="0" w:hanging="527"/>
        <w:jc w:val="left"/>
        <w:rPr>
          <w:sz w:val="21"/>
        </w:rPr>
      </w:pPr>
      <w:r>
        <w:rPr>
          <w:sz w:val="21"/>
        </w:rPr>
        <w:t>其他各项资产构成</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
        <w:gridCol w:w="2564"/>
        <w:gridCol w:w="4535"/>
      </w:tblGrid>
      <w:tr>
        <w:trPr>
          <w:trHeight w:val="419" w:hRule="atLeast"/>
        </w:trPr>
        <w:tc>
          <w:tcPr>
            <w:tcW w:w="901" w:type="dxa"/>
          </w:tcPr>
          <w:p>
            <w:pPr>
              <w:pStyle w:val="TableParagraph"/>
              <w:spacing w:before="91"/>
              <w:ind w:left="248"/>
              <w:rPr>
                <w:sz w:val="21"/>
              </w:rPr>
            </w:pPr>
            <w:r>
              <w:rPr>
                <w:sz w:val="21"/>
              </w:rPr>
              <w:t>序号</w:t>
            </w:r>
          </w:p>
        </w:tc>
        <w:tc>
          <w:tcPr>
            <w:tcW w:w="2564" w:type="dxa"/>
          </w:tcPr>
          <w:p>
            <w:pPr>
              <w:pStyle w:val="TableParagraph"/>
              <w:spacing w:before="91"/>
              <w:ind w:left="1060" w:right="1033"/>
              <w:jc w:val="center"/>
              <w:rPr>
                <w:sz w:val="21"/>
              </w:rPr>
            </w:pPr>
            <w:r>
              <w:rPr>
                <w:sz w:val="21"/>
              </w:rPr>
              <w:t>名称</w:t>
            </w:r>
          </w:p>
        </w:tc>
        <w:tc>
          <w:tcPr>
            <w:tcW w:w="4535" w:type="dxa"/>
          </w:tcPr>
          <w:p>
            <w:pPr>
              <w:pStyle w:val="TableParagraph"/>
              <w:spacing w:before="91"/>
              <w:ind w:left="1836" w:right="1809"/>
              <w:jc w:val="center"/>
              <w:rPr>
                <w:sz w:val="21"/>
              </w:rPr>
            </w:pPr>
            <w:r>
              <w:rPr>
                <w:sz w:val="21"/>
              </w:rPr>
              <w:t>金额(元)</w:t>
            </w:r>
          </w:p>
        </w:tc>
      </w:tr>
    </w:tbl>
    <w:p>
      <w:pPr>
        <w:spacing w:after="0"/>
        <w:jc w:val="center"/>
        <w:rPr>
          <w:sz w:val="21"/>
        </w:rPr>
        <w:sectPr>
          <w:pgSz w:w="11910" w:h="16840"/>
          <w:pgMar w:header="0" w:footer="1166" w:top="1600" w:bottom="1360" w:left="1400" w:right="360"/>
        </w:sectPr>
      </w:pPr>
    </w:p>
    <w:p>
      <w:pPr>
        <w:pStyle w:val="BodyText"/>
        <w:spacing w:before="11"/>
        <w:ind w:left="0"/>
        <w:rPr>
          <w:sz w:val="7"/>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
        <w:gridCol w:w="2564"/>
        <w:gridCol w:w="4535"/>
      </w:tblGrid>
      <w:tr>
        <w:trPr>
          <w:trHeight w:val="419" w:hRule="atLeast"/>
        </w:trPr>
        <w:tc>
          <w:tcPr>
            <w:tcW w:w="901" w:type="dxa"/>
          </w:tcPr>
          <w:p>
            <w:pPr>
              <w:pStyle w:val="TableParagraph"/>
              <w:spacing w:before="91"/>
              <w:ind w:left="25"/>
              <w:jc w:val="center"/>
              <w:rPr>
                <w:sz w:val="21"/>
              </w:rPr>
            </w:pPr>
            <w:r>
              <w:rPr>
                <w:sz w:val="21"/>
              </w:rPr>
              <w:t>1</w:t>
            </w:r>
          </w:p>
        </w:tc>
        <w:tc>
          <w:tcPr>
            <w:tcW w:w="2564" w:type="dxa"/>
          </w:tcPr>
          <w:p>
            <w:pPr>
              <w:pStyle w:val="TableParagraph"/>
              <w:spacing w:before="91"/>
              <w:ind w:left="122"/>
              <w:rPr>
                <w:sz w:val="21"/>
              </w:rPr>
            </w:pPr>
            <w:r>
              <w:rPr>
                <w:sz w:val="21"/>
              </w:rPr>
              <w:t>存出保证金</w:t>
            </w:r>
          </w:p>
        </w:tc>
        <w:tc>
          <w:tcPr>
            <w:tcW w:w="4535" w:type="dxa"/>
          </w:tcPr>
          <w:p>
            <w:pPr>
              <w:pStyle w:val="TableParagraph"/>
              <w:spacing w:before="91"/>
              <w:ind w:right="97"/>
              <w:jc w:val="right"/>
              <w:rPr>
                <w:sz w:val="21"/>
              </w:rPr>
            </w:pPr>
            <w:r>
              <w:rPr>
                <w:sz w:val="21"/>
              </w:rPr>
              <w:t>2,867,104.29</w:t>
            </w:r>
          </w:p>
        </w:tc>
      </w:tr>
      <w:tr>
        <w:trPr>
          <w:trHeight w:val="419" w:hRule="atLeast"/>
        </w:trPr>
        <w:tc>
          <w:tcPr>
            <w:tcW w:w="901" w:type="dxa"/>
          </w:tcPr>
          <w:p>
            <w:pPr>
              <w:pStyle w:val="TableParagraph"/>
              <w:spacing w:before="91"/>
              <w:ind w:left="25"/>
              <w:jc w:val="center"/>
              <w:rPr>
                <w:sz w:val="21"/>
              </w:rPr>
            </w:pPr>
            <w:r>
              <w:rPr>
                <w:sz w:val="21"/>
              </w:rPr>
              <w:t>2</w:t>
            </w:r>
          </w:p>
        </w:tc>
        <w:tc>
          <w:tcPr>
            <w:tcW w:w="2564" w:type="dxa"/>
          </w:tcPr>
          <w:p>
            <w:pPr>
              <w:pStyle w:val="TableParagraph"/>
              <w:spacing w:before="91"/>
              <w:ind w:left="122"/>
              <w:rPr>
                <w:sz w:val="21"/>
              </w:rPr>
            </w:pPr>
            <w:r>
              <w:rPr>
                <w:sz w:val="21"/>
              </w:rPr>
              <w:t>应收证券清算款</w:t>
            </w:r>
          </w:p>
        </w:tc>
        <w:tc>
          <w:tcPr>
            <w:tcW w:w="4535" w:type="dxa"/>
          </w:tcPr>
          <w:p>
            <w:pPr>
              <w:pStyle w:val="TableParagraph"/>
              <w:spacing w:before="91"/>
              <w:ind w:right="96"/>
              <w:jc w:val="right"/>
              <w:rPr>
                <w:sz w:val="21"/>
              </w:rPr>
            </w:pPr>
            <w:r>
              <w:rPr>
                <w:sz w:val="21"/>
              </w:rPr>
              <w:t>290,846.64</w:t>
            </w:r>
          </w:p>
        </w:tc>
      </w:tr>
      <w:tr>
        <w:trPr>
          <w:trHeight w:val="419" w:hRule="atLeast"/>
        </w:trPr>
        <w:tc>
          <w:tcPr>
            <w:tcW w:w="901" w:type="dxa"/>
          </w:tcPr>
          <w:p>
            <w:pPr>
              <w:pStyle w:val="TableParagraph"/>
              <w:spacing w:before="91"/>
              <w:ind w:left="25"/>
              <w:jc w:val="center"/>
              <w:rPr>
                <w:sz w:val="21"/>
              </w:rPr>
            </w:pPr>
            <w:r>
              <w:rPr>
                <w:sz w:val="21"/>
              </w:rPr>
              <w:t>3</w:t>
            </w:r>
          </w:p>
        </w:tc>
        <w:tc>
          <w:tcPr>
            <w:tcW w:w="2564" w:type="dxa"/>
          </w:tcPr>
          <w:p>
            <w:pPr>
              <w:pStyle w:val="TableParagraph"/>
              <w:spacing w:before="91"/>
              <w:ind w:left="122"/>
              <w:rPr>
                <w:sz w:val="21"/>
              </w:rPr>
            </w:pPr>
            <w:r>
              <w:rPr>
                <w:sz w:val="21"/>
              </w:rPr>
              <w:t>应收股利</w:t>
            </w:r>
          </w:p>
        </w:tc>
        <w:tc>
          <w:tcPr>
            <w:tcW w:w="4535"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4</w:t>
            </w:r>
          </w:p>
        </w:tc>
        <w:tc>
          <w:tcPr>
            <w:tcW w:w="2564" w:type="dxa"/>
          </w:tcPr>
          <w:p>
            <w:pPr>
              <w:pStyle w:val="TableParagraph"/>
              <w:spacing w:before="91"/>
              <w:ind w:left="122"/>
              <w:rPr>
                <w:sz w:val="21"/>
              </w:rPr>
            </w:pPr>
            <w:r>
              <w:rPr>
                <w:sz w:val="21"/>
              </w:rPr>
              <w:t>应收利息</w:t>
            </w:r>
          </w:p>
        </w:tc>
        <w:tc>
          <w:tcPr>
            <w:tcW w:w="4535" w:type="dxa"/>
          </w:tcPr>
          <w:p>
            <w:pPr>
              <w:pStyle w:val="TableParagraph"/>
              <w:spacing w:before="91"/>
              <w:ind w:right="97"/>
              <w:jc w:val="right"/>
              <w:rPr>
                <w:sz w:val="21"/>
              </w:rPr>
            </w:pPr>
            <w:r>
              <w:rPr>
                <w:sz w:val="21"/>
              </w:rPr>
              <w:t>3,539,012.62</w:t>
            </w:r>
          </w:p>
        </w:tc>
      </w:tr>
      <w:tr>
        <w:trPr>
          <w:trHeight w:val="418" w:hRule="atLeast"/>
        </w:trPr>
        <w:tc>
          <w:tcPr>
            <w:tcW w:w="901" w:type="dxa"/>
          </w:tcPr>
          <w:p>
            <w:pPr>
              <w:pStyle w:val="TableParagraph"/>
              <w:spacing w:before="91"/>
              <w:ind w:left="25"/>
              <w:jc w:val="center"/>
              <w:rPr>
                <w:sz w:val="21"/>
              </w:rPr>
            </w:pPr>
            <w:r>
              <w:rPr>
                <w:sz w:val="21"/>
              </w:rPr>
              <w:t>5</w:t>
            </w:r>
          </w:p>
        </w:tc>
        <w:tc>
          <w:tcPr>
            <w:tcW w:w="2564" w:type="dxa"/>
          </w:tcPr>
          <w:p>
            <w:pPr>
              <w:pStyle w:val="TableParagraph"/>
              <w:spacing w:before="91"/>
              <w:ind w:left="122"/>
              <w:rPr>
                <w:sz w:val="21"/>
              </w:rPr>
            </w:pPr>
            <w:r>
              <w:rPr>
                <w:sz w:val="21"/>
              </w:rPr>
              <w:t>应收申购款</w:t>
            </w:r>
          </w:p>
        </w:tc>
        <w:tc>
          <w:tcPr>
            <w:tcW w:w="4535" w:type="dxa"/>
          </w:tcPr>
          <w:p>
            <w:pPr>
              <w:pStyle w:val="TableParagraph"/>
              <w:spacing w:before="91"/>
              <w:ind w:right="97"/>
              <w:jc w:val="right"/>
              <w:rPr>
                <w:sz w:val="21"/>
              </w:rPr>
            </w:pPr>
            <w:r>
              <w:rPr>
                <w:sz w:val="21"/>
              </w:rPr>
              <w:t>24,532,835.04</w:t>
            </w:r>
          </w:p>
        </w:tc>
      </w:tr>
      <w:tr>
        <w:trPr>
          <w:trHeight w:val="418" w:hRule="atLeast"/>
        </w:trPr>
        <w:tc>
          <w:tcPr>
            <w:tcW w:w="901" w:type="dxa"/>
          </w:tcPr>
          <w:p>
            <w:pPr>
              <w:pStyle w:val="TableParagraph"/>
              <w:spacing w:before="91"/>
              <w:ind w:left="25"/>
              <w:jc w:val="center"/>
              <w:rPr>
                <w:sz w:val="21"/>
              </w:rPr>
            </w:pPr>
            <w:r>
              <w:rPr>
                <w:sz w:val="21"/>
              </w:rPr>
              <w:t>6</w:t>
            </w:r>
          </w:p>
        </w:tc>
        <w:tc>
          <w:tcPr>
            <w:tcW w:w="2564" w:type="dxa"/>
          </w:tcPr>
          <w:p>
            <w:pPr>
              <w:pStyle w:val="TableParagraph"/>
              <w:spacing w:before="91"/>
              <w:ind w:left="122"/>
              <w:rPr>
                <w:sz w:val="21"/>
              </w:rPr>
            </w:pPr>
            <w:r>
              <w:rPr>
                <w:sz w:val="21"/>
              </w:rPr>
              <w:t>其他应收款</w:t>
            </w:r>
          </w:p>
        </w:tc>
        <w:tc>
          <w:tcPr>
            <w:tcW w:w="4535" w:type="dxa"/>
          </w:tcPr>
          <w:p>
            <w:pPr>
              <w:pStyle w:val="TableParagraph"/>
              <w:spacing w:before="91"/>
              <w:ind w:right="96"/>
              <w:jc w:val="right"/>
              <w:rPr>
                <w:sz w:val="21"/>
              </w:rPr>
            </w:pPr>
            <w:r>
              <w:rPr>
                <w:sz w:val="21"/>
              </w:rPr>
              <w:t>898,532.78</w:t>
            </w:r>
          </w:p>
        </w:tc>
      </w:tr>
      <w:tr>
        <w:trPr>
          <w:trHeight w:val="418" w:hRule="atLeast"/>
        </w:trPr>
        <w:tc>
          <w:tcPr>
            <w:tcW w:w="901" w:type="dxa"/>
          </w:tcPr>
          <w:p>
            <w:pPr>
              <w:pStyle w:val="TableParagraph"/>
              <w:spacing w:before="91"/>
              <w:ind w:left="25"/>
              <w:jc w:val="center"/>
              <w:rPr>
                <w:sz w:val="21"/>
              </w:rPr>
            </w:pPr>
            <w:r>
              <w:rPr>
                <w:sz w:val="21"/>
              </w:rPr>
              <w:t>7</w:t>
            </w:r>
          </w:p>
        </w:tc>
        <w:tc>
          <w:tcPr>
            <w:tcW w:w="2564" w:type="dxa"/>
          </w:tcPr>
          <w:p>
            <w:pPr>
              <w:pStyle w:val="TableParagraph"/>
              <w:spacing w:before="91"/>
              <w:ind w:left="122"/>
              <w:rPr>
                <w:sz w:val="21"/>
              </w:rPr>
            </w:pPr>
            <w:r>
              <w:rPr>
                <w:sz w:val="21"/>
              </w:rPr>
              <w:t>待摊费用</w:t>
            </w:r>
          </w:p>
        </w:tc>
        <w:tc>
          <w:tcPr>
            <w:tcW w:w="4535"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8</w:t>
            </w:r>
          </w:p>
        </w:tc>
        <w:tc>
          <w:tcPr>
            <w:tcW w:w="2564" w:type="dxa"/>
          </w:tcPr>
          <w:p>
            <w:pPr>
              <w:pStyle w:val="TableParagraph"/>
              <w:spacing w:before="91"/>
              <w:ind w:left="122"/>
              <w:rPr>
                <w:sz w:val="21"/>
              </w:rPr>
            </w:pPr>
            <w:r>
              <w:rPr>
                <w:sz w:val="21"/>
              </w:rPr>
              <w:t>其他</w:t>
            </w:r>
          </w:p>
        </w:tc>
        <w:tc>
          <w:tcPr>
            <w:tcW w:w="4535"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9</w:t>
            </w:r>
          </w:p>
        </w:tc>
        <w:tc>
          <w:tcPr>
            <w:tcW w:w="2564" w:type="dxa"/>
          </w:tcPr>
          <w:p>
            <w:pPr>
              <w:pStyle w:val="TableParagraph"/>
              <w:spacing w:before="91"/>
              <w:ind w:left="122"/>
              <w:rPr>
                <w:sz w:val="21"/>
              </w:rPr>
            </w:pPr>
            <w:r>
              <w:rPr>
                <w:sz w:val="21"/>
              </w:rPr>
              <w:t>合计</w:t>
            </w:r>
          </w:p>
        </w:tc>
        <w:tc>
          <w:tcPr>
            <w:tcW w:w="4535" w:type="dxa"/>
          </w:tcPr>
          <w:p>
            <w:pPr>
              <w:pStyle w:val="TableParagraph"/>
              <w:spacing w:before="91"/>
              <w:ind w:right="97"/>
              <w:jc w:val="right"/>
              <w:rPr>
                <w:sz w:val="21"/>
              </w:rPr>
            </w:pPr>
            <w:r>
              <w:rPr>
                <w:sz w:val="21"/>
              </w:rPr>
              <w:t>32,128,331.37</w:t>
            </w:r>
          </w:p>
        </w:tc>
      </w:tr>
    </w:tbl>
    <w:p>
      <w:pPr>
        <w:pStyle w:val="ListParagraph"/>
        <w:numPr>
          <w:ilvl w:val="0"/>
          <w:numId w:val="25"/>
        </w:numPr>
        <w:tabs>
          <w:tab w:pos="1360" w:val="left" w:leader="none"/>
        </w:tabs>
        <w:spacing w:line="364" w:lineRule="auto" w:before="3" w:after="0"/>
        <w:ind w:left="833" w:right="4482"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5"/>
        </w:numPr>
        <w:tabs>
          <w:tab w:pos="1360" w:val="left" w:leader="none"/>
        </w:tabs>
        <w:spacing w:line="268" w:lineRule="exact" w:before="0" w:after="0"/>
        <w:ind w:left="1360" w:right="0" w:hanging="527"/>
        <w:jc w:val="left"/>
        <w:rPr>
          <w:sz w:val="21"/>
        </w:rPr>
      </w:pPr>
      <w:r>
        <w:rPr>
          <w:sz w:val="21"/>
        </w:rPr>
        <w:t>报告期末前十名股票中存在流通受限情况的说明</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1226"/>
        <w:gridCol w:w="1225"/>
        <w:gridCol w:w="1692"/>
        <w:gridCol w:w="1553"/>
        <w:gridCol w:w="1286"/>
      </w:tblGrid>
      <w:tr>
        <w:trPr>
          <w:trHeight w:val="809" w:hRule="atLeast"/>
        </w:trPr>
        <w:tc>
          <w:tcPr>
            <w:tcW w:w="1022" w:type="dxa"/>
          </w:tcPr>
          <w:p>
            <w:pPr>
              <w:pStyle w:val="TableParagraph"/>
              <w:spacing w:before="4"/>
              <w:rPr>
                <w:sz w:val="22"/>
              </w:rPr>
            </w:pPr>
          </w:p>
          <w:p>
            <w:pPr>
              <w:pStyle w:val="TableParagraph"/>
              <w:ind w:left="289" w:right="262"/>
              <w:jc w:val="center"/>
              <w:rPr>
                <w:sz w:val="21"/>
              </w:rPr>
            </w:pPr>
            <w:r>
              <w:rPr>
                <w:sz w:val="21"/>
              </w:rPr>
              <w:t>序号</w:t>
            </w:r>
          </w:p>
        </w:tc>
        <w:tc>
          <w:tcPr>
            <w:tcW w:w="1226" w:type="dxa"/>
          </w:tcPr>
          <w:p>
            <w:pPr>
              <w:pStyle w:val="TableParagraph"/>
              <w:spacing w:before="4"/>
              <w:rPr>
                <w:sz w:val="22"/>
              </w:rPr>
            </w:pPr>
          </w:p>
          <w:p>
            <w:pPr>
              <w:pStyle w:val="TableParagraph"/>
              <w:ind w:left="181" w:right="155"/>
              <w:jc w:val="center"/>
              <w:rPr>
                <w:sz w:val="21"/>
              </w:rPr>
            </w:pPr>
            <w:r>
              <w:rPr>
                <w:sz w:val="21"/>
              </w:rPr>
              <w:t>股票代码</w:t>
            </w:r>
          </w:p>
        </w:tc>
        <w:tc>
          <w:tcPr>
            <w:tcW w:w="1225" w:type="dxa"/>
          </w:tcPr>
          <w:p>
            <w:pPr>
              <w:pStyle w:val="TableParagraph"/>
              <w:spacing w:before="4"/>
              <w:rPr>
                <w:sz w:val="22"/>
              </w:rPr>
            </w:pPr>
          </w:p>
          <w:p>
            <w:pPr>
              <w:pStyle w:val="TableParagraph"/>
              <w:ind w:left="172" w:right="145"/>
              <w:jc w:val="center"/>
              <w:rPr>
                <w:sz w:val="21"/>
              </w:rPr>
            </w:pPr>
            <w:r>
              <w:rPr>
                <w:sz w:val="21"/>
              </w:rPr>
              <w:t>股票名称</w:t>
            </w:r>
          </w:p>
        </w:tc>
        <w:tc>
          <w:tcPr>
            <w:tcW w:w="1692" w:type="dxa"/>
          </w:tcPr>
          <w:p>
            <w:pPr>
              <w:pStyle w:val="TableParagraph"/>
              <w:spacing w:before="91"/>
              <w:ind w:left="224"/>
              <w:rPr>
                <w:sz w:val="21"/>
              </w:rPr>
            </w:pPr>
            <w:r>
              <w:rPr>
                <w:sz w:val="21"/>
              </w:rPr>
              <w:t>流通受限部分</w:t>
            </w:r>
          </w:p>
          <w:p>
            <w:pPr>
              <w:pStyle w:val="TableParagraph"/>
              <w:spacing w:before="121"/>
              <w:ind w:left="124"/>
              <w:rPr>
                <w:sz w:val="21"/>
              </w:rPr>
            </w:pPr>
            <w:r>
              <w:rPr>
                <w:spacing w:val="-3"/>
                <w:sz w:val="21"/>
              </w:rPr>
              <w:t>的公允价值(元)</w:t>
            </w:r>
          </w:p>
        </w:tc>
        <w:tc>
          <w:tcPr>
            <w:tcW w:w="1553" w:type="dxa"/>
          </w:tcPr>
          <w:p>
            <w:pPr>
              <w:pStyle w:val="TableParagraph"/>
              <w:spacing w:before="91"/>
              <w:ind w:left="135" w:right="108"/>
              <w:jc w:val="center"/>
              <w:rPr>
                <w:sz w:val="21"/>
              </w:rPr>
            </w:pPr>
            <w:r>
              <w:rPr>
                <w:sz w:val="21"/>
              </w:rPr>
              <w:t>占基金资产净</w:t>
            </w:r>
          </w:p>
          <w:p>
            <w:pPr>
              <w:pStyle w:val="TableParagraph"/>
              <w:spacing w:before="121"/>
              <w:ind w:left="135" w:right="108"/>
              <w:jc w:val="center"/>
              <w:rPr>
                <w:sz w:val="21"/>
              </w:rPr>
            </w:pPr>
            <w:r>
              <w:rPr>
                <w:sz w:val="21"/>
              </w:rPr>
              <w:t>值比例(%)</w:t>
            </w:r>
          </w:p>
        </w:tc>
        <w:tc>
          <w:tcPr>
            <w:tcW w:w="1286" w:type="dxa"/>
          </w:tcPr>
          <w:p>
            <w:pPr>
              <w:pStyle w:val="TableParagraph"/>
              <w:spacing w:before="91"/>
              <w:ind w:left="106" w:right="80"/>
              <w:jc w:val="center"/>
              <w:rPr>
                <w:sz w:val="21"/>
              </w:rPr>
            </w:pPr>
            <w:r>
              <w:rPr>
                <w:sz w:val="21"/>
              </w:rPr>
              <w:t>流通受限情</w:t>
            </w:r>
          </w:p>
          <w:p>
            <w:pPr>
              <w:pStyle w:val="TableParagraph"/>
              <w:spacing w:before="121"/>
              <w:ind w:left="106" w:right="80"/>
              <w:jc w:val="center"/>
              <w:rPr>
                <w:sz w:val="21"/>
              </w:rPr>
            </w:pPr>
            <w:r>
              <w:rPr>
                <w:sz w:val="21"/>
              </w:rPr>
              <w:t>况说明</w:t>
            </w:r>
          </w:p>
        </w:tc>
      </w:tr>
      <w:tr>
        <w:trPr>
          <w:trHeight w:val="779" w:hRule="atLeast"/>
        </w:trPr>
        <w:tc>
          <w:tcPr>
            <w:tcW w:w="1022" w:type="dxa"/>
          </w:tcPr>
          <w:p>
            <w:pPr>
              <w:pStyle w:val="TableParagraph"/>
              <w:rPr>
                <w:sz w:val="20"/>
              </w:rPr>
            </w:pPr>
          </w:p>
          <w:p>
            <w:pPr>
              <w:pStyle w:val="TableParagraph"/>
              <w:spacing w:before="1"/>
              <w:ind w:left="9"/>
              <w:jc w:val="center"/>
              <w:rPr>
                <w:sz w:val="21"/>
              </w:rPr>
            </w:pPr>
            <w:r>
              <w:rPr>
                <w:sz w:val="21"/>
              </w:rPr>
              <w:t>1</w:t>
            </w:r>
          </w:p>
        </w:tc>
        <w:tc>
          <w:tcPr>
            <w:tcW w:w="1226" w:type="dxa"/>
          </w:tcPr>
          <w:p>
            <w:pPr>
              <w:pStyle w:val="TableParagraph"/>
              <w:rPr>
                <w:sz w:val="20"/>
              </w:rPr>
            </w:pPr>
          </w:p>
          <w:p>
            <w:pPr>
              <w:pStyle w:val="TableParagraph"/>
              <w:spacing w:before="1"/>
              <w:ind w:left="164" w:right="155"/>
              <w:jc w:val="center"/>
              <w:rPr>
                <w:sz w:val="21"/>
              </w:rPr>
            </w:pPr>
            <w:r>
              <w:rPr>
                <w:sz w:val="21"/>
              </w:rPr>
              <w:t>601816</w:t>
            </w:r>
          </w:p>
        </w:tc>
        <w:tc>
          <w:tcPr>
            <w:tcW w:w="1225" w:type="dxa"/>
          </w:tcPr>
          <w:p>
            <w:pPr>
              <w:pStyle w:val="TableParagraph"/>
              <w:rPr>
                <w:sz w:val="20"/>
              </w:rPr>
            </w:pPr>
          </w:p>
          <w:p>
            <w:pPr>
              <w:pStyle w:val="TableParagraph"/>
              <w:spacing w:before="1"/>
              <w:ind w:left="164" w:right="154"/>
              <w:jc w:val="center"/>
              <w:rPr>
                <w:sz w:val="21"/>
              </w:rPr>
            </w:pPr>
            <w:r>
              <w:rPr>
                <w:sz w:val="21"/>
              </w:rPr>
              <w:t>京沪高铁</w:t>
            </w:r>
          </w:p>
        </w:tc>
        <w:tc>
          <w:tcPr>
            <w:tcW w:w="1692" w:type="dxa"/>
          </w:tcPr>
          <w:p>
            <w:pPr>
              <w:pStyle w:val="TableParagraph"/>
              <w:rPr>
                <w:sz w:val="20"/>
              </w:rPr>
            </w:pPr>
          </w:p>
          <w:p>
            <w:pPr>
              <w:pStyle w:val="TableParagraph"/>
              <w:spacing w:before="1"/>
              <w:ind w:right="96"/>
              <w:jc w:val="right"/>
              <w:rPr>
                <w:sz w:val="21"/>
              </w:rPr>
            </w:pPr>
            <w:r>
              <w:rPr>
                <w:sz w:val="21"/>
              </w:rPr>
              <w:t>5,094,732.32</w:t>
            </w:r>
          </w:p>
        </w:tc>
        <w:tc>
          <w:tcPr>
            <w:tcW w:w="1553" w:type="dxa"/>
          </w:tcPr>
          <w:p>
            <w:pPr>
              <w:pStyle w:val="TableParagraph"/>
              <w:rPr>
                <w:sz w:val="20"/>
              </w:rPr>
            </w:pPr>
          </w:p>
          <w:p>
            <w:pPr>
              <w:pStyle w:val="TableParagraph"/>
              <w:spacing w:before="1"/>
              <w:ind w:right="96"/>
              <w:jc w:val="right"/>
              <w:rPr>
                <w:sz w:val="21"/>
              </w:rPr>
            </w:pPr>
            <w:r>
              <w:rPr>
                <w:sz w:val="21"/>
              </w:rPr>
              <w:t>0.09</w:t>
            </w:r>
          </w:p>
        </w:tc>
        <w:tc>
          <w:tcPr>
            <w:tcW w:w="1286" w:type="dxa"/>
          </w:tcPr>
          <w:p>
            <w:pPr>
              <w:pStyle w:val="TableParagraph"/>
              <w:spacing w:before="62"/>
              <w:ind w:right="96"/>
              <w:jc w:val="right"/>
              <w:rPr>
                <w:sz w:val="21"/>
              </w:rPr>
            </w:pPr>
            <w:r>
              <w:rPr>
                <w:sz w:val="21"/>
              </w:rPr>
              <w:t>新股流通受</w:t>
            </w:r>
          </w:p>
          <w:p>
            <w:pPr>
              <w:pStyle w:val="TableParagraph"/>
              <w:spacing w:before="121"/>
              <w:ind w:right="96"/>
              <w:jc w:val="right"/>
              <w:rPr>
                <w:sz w:val="21"/>
              </w:rPr>
            </w:pPr>
            <w:r>
              <w:rPr>
                <w:sz w:val="21"/>
              </w:rPr>
              <w:t>限</w:t>
            </w:r>
          </w:p>
        </w:tc>
      </w:tr>
      <w:tr>
        <w:trPr>
          <w:trHeight w:val="780" w:hRule="atLeast"/>
        </w:trPr>
        <w:tc>
          <w:tcPr>
            <w:tcW w:w="1022" w:type="dxa"/>
          </w:tcPr>
          <w:p>
            <w:pPr>
              <w:pStyle w:val="TableParagraph"/>
              <w:rPr>
                <w:sz w:val="20"/>
              </w:rPr>
            </w:pPr>
          </w:p>
          <w:p>
            <w:pPr>
              <w:pStyle w:val="TableParagraph"/>
              <w:spacing w:before="1"/>
              <w:ind w:left="9"/>
              <w:jc w:val="center"/>
              <w:rPr>
                <w:sz w:val="21"/>
              </w:rPr>
            </w:pPr>
            <w:r>
              <w:rPr>
                <w:sz w:val="21"/>
              </w:rPr>
              <w:t>2</w:t>
            </w:r>
          </w:p>
        </w:tc>
        <w:tc>
          <w:tcPr>
            <w:tcW w:w="1226" w:type="dxa"/>
          </w:tcPr>
          <w:p>
            <w:pPr>
              <w:pStyle w:val="TableParagraph"/>
              <w:rPr>
                <w:sz w:val="20"/>
              </w:rPr>
            </w:pPr>
          </w:p>
          <w:p>
            <w:pPr>
              <w:pStyle w:val="TableParagraph"/>
              <w:spacing w:before="1"/>
              <w:ind w:left="164" w:right="155"/>
              <w:jc w:val="center"/>
              <w:rPr>
                <w:sz w:val="21"/>
              </w:rPr>
            </w:pPr>
            <w:r>
              <w:rPr>
                <w:sz w:val="21"/>
              </w:rPr>
              <w:t>601916</w:t>
            </w:r>
          </w:p>
        </w:tc>
        <w:tc>
          <w:tcPr>
            <w:tcW w:w="1225" w:type="dxa"/>
          </w:tcPr>
          <w:p>
            <w:pPr>
              <w:pStyle w:val="TableParagraph"/>
              <w:rPr>
                <w:sz w:val="20"/>
              </w:rPr>
            </w:pPr>
          </w:p>
          <w:p>
            <w:pPr>
              <w:pStyle w:val="TableParagraph"/>
              <w:spacing w:before="1"/>
              <w:ind w:left="164" w:right="154"/>
              <w:jc w:val="center"/>
              <w:rPr>
                <w:sz w:val="21"/>
              </w:rPr>
            </w:pPr>
            <w:r>
              <w:rPr>
                <w:sz w:val="21"/>
              </w:rPr>
              <w:t>浙商银行</w:t>
            </w:r>
          </w:p>
        </w:tc>
        <w:tc>
          <w:tcPr>
            <w:tcW w:w="1692" w:type="dxa"/>
          </w:tcPr>
          <w:p>
            <w:pPr>
              <w:pStyle w:val="TableParagraph"/>
              <w:rPr>
                <w:sz w:val="20"/>
              </w:rPr>
            </w:pPr>
          </w:p>
          <w:p>
            <w:pPr>
              <w:pStyle w:val="TableParagraph"/>
              <w:spacing w:before="1"/>
              <w:ind w:right="96"/>
              <w:jc w:val="right"/>
              <w:rPr>
                <w:sz w:val="21"/>
              </w:rPr>
            </w:pPr>
            <w:r>
              <w:rPr>
                <w:sz w:val="21"/>
              </w:rPr>
              <w:t>1,167,954.15</w:t>
            </w:r>
          </w:p>
        </w:tc>
        <w:tc>
          <w:tcPr>
            <w:tcW w:w="1553" w:type="dxa"/>
          </w:tcPr>
          <w:p>
            <w:pPr>
              <w:pStyle w:val="TableParagraph"/>
              <w:rPr>
                <w:sz w:val="20"/>
              </w:rPr>
            </w:pPr>
          </w:p>
          <w:p>
            <w:pPr>
              <w:pStyle w:val="TableParagraph"/>
              <w:spacing w:before="1"/>
              <w:ind w:right="96"/>
              <w:jc w:val="right"/>
              <w:rPr>
                <w:sz w:val="21"/>
              </w:rPr>
            </w:pPr>
            <w:r>
              <w:rPr>
                <w:sz w:val="21"/>
              </w:rPr>
              <w:t>0.02</w:t>
            </w:r>
          </w:p>
        </w:tc>
        <w:tc>
          <w:tcPr>
            <w:tcW w:w="1286" w:type="dxa"/>
          </w:tcPr>
          <w:p>
            <w:pPr>
              <w:pStyle w:val="TableParagraph"/>
              <w:spacing w:before="62"/>
              <w:ind w:right="96"/>
              <w:jc w:val="right"/>
              <w:rPr>
                <w:sz w:val="21"/>
              </w:rPr>
            </w:pPr>
            <w:r>
              <w:rPr>
                <w:sz w:val="21"/>
              </w:rPr>
              <w:t>新股流通受</w:t>
            </w:r>
          </w:p>
          <w:p>
            <w:pPr>
              <w:pStyle w:val="TableParagraph"/>
              <w:spacing w:before="121"/>
              <w:ind w:right="96"/>
              <w:jc w:val="right"/>
              <w:rPr>
                <w:sz w:val="21"/>
              </w:rPr>
            </w:pPr>
            <w:r>
              <w:rPr>
                <w:sz w:val="21"/>
              </w:rPr>
              <w:t>限</w:t>
            </w:r>
          </w:p>
        </w:tc>
      </w:tr>
    </w:tbl>
    <w:p>
      <w:pPr>
        <w:spacing w:after="0"/>
        <w:jc w:val="right"/>
        <w:rPr>
          <w:sz w:val="21"/>
        </w:rPr>
        <w:sectPr>
          <w:pgSz w:w="11910" w:h="16840"/>
          <w:pgMar w:header="0" w:footer="1166" w:top="1600" w:bottom="1440" w:left="1400" w:right="360"/>
        </w:sectPr>
      </w:pPr>
    </w:p>
    <w:p>
      <w:pPr>
        <w:pStyle w:val="BodyText"/>
        <w:ind w:left="0"/>
        <w:rPr>
          <w:sz w:val="20"/>
        </w:rPr>
      </w:pPr>
    </w:p>
    <w:p>
      <w:pPr>
        <w:pStyle w:val="BodyText"/>
        <w:spacing w:before="5"/>
        <w:ind w:left="0"/>
        <w:rPr>
          <w:sz w:val="14"/>
        </w:rPr>
      </w:pPr>
    </w:p>
    <w:p>
      <w:pPr>
        <w:pStyle w:val="Heading1"/>
        <w:spacing w:line="538" w:lineRule="exact"/>
        <w:ind w:left="3268"/>
      </w:pPr>
      <w:bookmarkStart w:name="_bookmark55" w:id="56"/>
      <w:bookmarkEnd w:id="56"/>
      <w:r>
        <w:rPr>
          <w:b w:val="0"/>
        </w:rPr>
      </w:r>
      <w:r>
        <w:rPr/>
        <w:t>十二、基金的业绩</w:t>
      </w:r>
    </w:p>
    <w:p>
      <w:pPr>
        <w:pStyle w:val="BodyText"/>
        <w:spacing w:line="364" w:lineRule="auto" w:before="138"/>
        <w:ind w:left="413" w:right="1242" w:firstLine="420"/>
      </w:pPr>
      <w:r>
        <w:rPr/>
        <w:t>基金管理人依照恪尽职守、诚实信用、谨慎勤勉的原则管理和运用基金财产，但不保 证基金一定盈利，也不保证最低收益。基金的过往业绩并不代表其未来表现。投资有风险， 投资者在作出投资决策前应仔细阅读本基金的招募说明书。</w:t>
      </w:r>
    </w:p>
    <w:p>
      <w:pPr>
        <w:pStyle w:val="BodyText"/>
        <w:spacing w:line="364" w:lineRule="auto"/>
        <w:ind w:left="413" w:right="1452" w:firstLine="420"/>
      </w:pPr>
      <w:r>
        <w:rPr>
          <w:spacing w:val="-5"/>
        </w:rPr>
        <w:t>基金合同生效日为 </w:t>
      </w:r>
      <w:r>
        <w:rPr/>
        <w:t>2009</w:t>
      </w:r>
      <w:r>
        <w:rPr>
          <w:spacing w:val="-28"/>
        </w:rPr>
        <w:t> 年 </w:t>
      </w:r>
      <w:r>
        <w:rPr/>
        <w:t>8</w:t>
      </w:r>
      <w:r>
        <w:rPr>
          <w:spacing w:val="-28"/>
        </w:rPr>
        <w:t> 月 </w:t>
      </w:r>
      <w:r>
        <w:rPr/>
        <w:t>26</w:t>
      </w:r>
      <w:r>
        <w:rPr>
          <w:spacing w:val="-7"/>
        </w:rPr>
        <w:t> 日，本基金的投资业绩及与同期基准的比较如下表所示：</w:t>
      </w:r>
    </w:p>
    <w:p>
      <w:pPr>
        <w:pStyle w:val="BodyText"/>
        <w:spacing w:line="268" w:lineRule="exact"/>
        <w:ind w:left="833"/>
      </w:pPr>
      <w:r>
        <w:rPr/>
        <w:t>1、易方达沪深 300ETF 发起式联接 A 类基金份额最近十个完整会计年度及截至 2020 年</w:t>
      </w:r>
    </w:p>
    <w:p>
      <w:pPr>
        <w:pStyle w:val="BodyText"/>
        <w:spacing w:before="138"/>
        <w:ind w:left="413"/>
      </w:pPr>
      <w:r>
        <w:rPr/>
        <w:t>6 月 30 日的净值增长率与同期业绩比较基准收益率比较</w:t>
      </w:r>
    </w:p>
    <w:p>
      <w:pPr>
        <w:pStyle w:val="BodyText"/>
        <w:spacing w:before="8"/>
        <w:ind w:left="0"/>
        <w:rPr>
          <w:sz w:val="10"/>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960"/>
        <w:gridCol w:w="1079"/>
        <w:gridCol w:w="1439"/>
        <w:gridCol w:w="1338"/>
        <w:gridCol w:w="1133"/>
        <w:gridCol w:w="1266"/>
      </w:tblGrid>
      <w:tr>
        <w:trPr>
          <w:trHeight w:val="1225" w:hRule="atLeast"/>
        </w:trPr>
        <w:tc>
          <w:tcPr>
            <w:tcW w:w="1560" w:type="dxa"/>
          </w:tcPr>
          <w:p>
            <w:pPr>
              <w:pStyle w:val="TableParagraph"/>
              <w:rPr>
                <w:sz w:val="20"/>
              </w:rPr>
            </w:pPr>
          </w:p>
          <w:p>
            <w:pPr>
              <w:pStyle w:val="TableParagraph"/>
              <w:spacing w:before="155"/>
              <w:ind w:left="550" w:right="540"/>
              <w:jc w:val="center"/>
              <w:rPr>
                <w:sz w:val="21"/>
              </w:rPr>
            </w:pPr>
            <w:r>
              <w:rPr>
                <w:sz w:val="21"/>
              </w:rPr>
              <w:t>阶段</w:t>
            </w:r>
          </w:p>
        </w:tc>
        <w:tc>
          <w:tcPr>
            <w:tcW w:w="960" w:type="dxa"/>
          </w:tcPr>
          <w:p>
            <w:pPr>
              <w:pStyle w:val="TableParagraph"/>
              <w:spacing w:before="2"/>
              <w:rPr>
                <w:sz w:val="16"/>
              </w:rPr>
            </w:pPr>
          </w:p>
          <w:p>
            <w:pPr>
              <w:pStyle w:val="TableParagraph"/>
              <w:spacing w:line="364" w:lineRule="auto"/>
              <w:ind w:left="108" w:right="-15" w:firstLine="57"/>
              <w:rPr>
                <w:sz w:val="21"/>
              </w:rPr>
            </w:pPr>
            <w:r>
              <w:rPr>
                <w:sz w:val="21"/>
              </w:rPr>
              <w:t>净值增</w:t>
            </w:r>
            <w:r>
              <w:rPr>
                <w:spacing w:val="-48"/>
                <w:sz w:val="21"/>
              </w:rPr>
              <w:t>长率</w:t>
            </w:r>
            <w:r>
              <w:rPr>
                <w:spacing w:val="-4"/>
                <w:sz w:val="21"/>
              </w:rPr>
              <w:t>（1）</w:t>
            </w:r>
          </w:p>
        </w:tc>
        <w:tc>
          <w:tcPr>
            <w:tcW w:w="1079" w:type="dxa"/>
          </w:tcPr>
          <w:p>
            <w:pPr>
              <w:pStyle w:val="TableParagraph"/>
              <w:spacing w:line="364" w:lineRule="auto" w:before="3"/>
              <w:ind w:left="119" w:right="107"/>
              <w:jc w:val="center"/>
              <w:rPr>
                <w:sz w:val="21"/>
              </w:rPr>
            </w:pPr>
            <w:r>
              <w:rPr>
                <w:sz w:val="21"/>
              </w:rPr>
              <w:t>净值增长率标准差</w:t>
            </w:r>
          </w:p>
          <w:p>
            <w:pPr>
              <w:pStyle w:val="TableParagraph"/>
              <w:spacing w:line="268" w:lineRule="exact"/>
              <w:ind w:left="117" w:right="107"/>
              <w:jc w:val="center"/>
              <w:rPr>
                <w:sz w:val="21"/>
              </w:rPr>
            </w:pPr>
            <w:r>
              <w:rPr>
                <w:sz w:val="21"/>
              </w:rPr>
              <w:t>（2）</w:t>
            </w:r>
          </w:p>
        </w:tc>
        <w:tc>
          <w:tcPr>
            <w:tcW w:w="1439" w:type="dxa"/>
          </w:tcPr>
          <w:p>
            <w:pPr>
              <w:pStyle w:val="TableParagraph"/>
              <w:spacing w:before="2"/>
              <w:rPr>
                <w:sz w:val="16"/>
              </w:rPr>
            </w:pPr>
          </w:p>
          <w:p>
            <w:pPr>
              <w:pStyle w:val="TableParagraph"/>
              <w:spacing w:line="364" w:lineRule="auto"/>
              <w:ind w:left="107" w:right="-15" w:firstLine="86"/>
              <w:rPr>
                <w:sz w:val="21"/>
              </w:rPr>
            </w:pPr>
            <w:r>
              <w:rPr>
                <w:sz w:val="21"/>
              </w:rPr>
              <w:t>业绩比较基</w:t>
            </w:r>
            <w:r>
              <w:rPr>
                <w:spacing w:val="-10"/>
                <w:sz w:val="21"/>
              </w:rPr>
              <w:t>准收益率</w:t>
            </w:r>
            <w:r>
              <w:rPr>
                <w:spacing w:val="-4"/>
                <w:sz w:val="21"/>
              </w:rPr>
              <w:t>（3）</w:t>
            </w:r>
          </w:p>
        </w:tc>
        <w:tc>
          <w:tcPr>
            <w:tcW w:w="1338" w:type="dxa"/>
          </w:tcPr>
          <w:p>
            <w:pPr>
              <w:pStyle w:val="TableParagraph"/>
              <w:spacing w:line="364" w:lineRule="auto" w:before="3"/>
              <w:ind w:left="143" w:right="132"/>
              <w:rPr>
                <w:sz w:val="21"/>
              </w:rPr>
            </w:pPr>
            <w:r>
              <w:rPr>
                <w:spacing w:val="-4"/>
                <w:sz w:val="21"/>
              </w:rPr>
              <w:t>业绩比较基准收益率标</w:t>
            </w:r>
          </w:p>
          <w:p>
            <w:pPr>
              <w:pStyle w:val="TableParagraph"/>
              <w:spacing w:line="268" w:lineRule="exact"/>
              <w:ind w:left="196"/>
              <w:rPr>
                <w:sz w:val="21"/>
              </w:rPr>
            </w:pPr>
            <w:r>
              <w:rPr>
                <w:sz w:val="21"/>
              </w:rPr>
              <w:t>准差（4）</w:t>
            </w:r>
          </w:p>
        </w:tc>
        <w:tc>
          <w:tcPr>
            <w:tcW w:w="1133" w:type="dxa"/>
          </w:tcPr>
          <w:p>
            <w:pPr>
              <w:pStyle w:val="TableParagraph"/>
              <w:rPr>
                <w:sz w:val="20"/>
              </w:rPr>
            </w:pPr>
          </w:p>
          <w:p>
            <w:pPr>
              <w:pStyle w:val="TableParagraph"/>
              <w:spacing w:before="155"/>
              <w:ind w:right="-15"/>
              <w:rPr>
                <w:sz w:val="21"/>
              </w:rPr>
            </w:pPr>
            <w:r>
              <w:rPr>
                <w:spacing w:val="-3"/>
                <w:sz w:val="21"/>
              </w:rPr>
              <w:t>（1）-（3）</w:t>
            </w:r>
          </w:p>
        </w:tc>
        <w:tc>
          <w:tcPr>
            <w:tcW w:w="1266" w:type="dxa"/>
          </w:tcPr>
          <w:p>
            <w:pPr>
              <w:pStyle w:val="TableParagraph"/>
              <w:rPr>
                <w:sz w:val="20"/>
              </w:rPr>
            </w:pPr>
          </w:p>
          <w:p>
            <w:pPr>
              <w:pStyle w:val="TableParagraph"/>
              <w:spacing w:before="155"/>
              <w:ind w:right="98"/>
              <w:jc w:val="right"/>
              <w:rPr>
                <w:sz w:val="21"/>
              </w:rPr>
            </w:pPr>
            <w:r>
              <w:rPr>
                <w:sz w:val="21"/>
              </w:rPr>
              <w:t>（2）-（4）</w:t>
            </w:r>
          </w:p>
        </w:tc>
      </w:tr>
      <w:tr>
        <w:trPr>
          <w:trHeight w:val="1225" w:hRule="atLeast"/>
        </w:trPr>
        <w:tc>
          <w:tcPr>
            <w:tcW w:w="1560" w:type="dxa"/>
          </w:tcPr>
          <w:p>
            <w:pPr>
              <w:pStyle w:val="TableParagraph"/>
              <w:spacing w:before="3"/>
              <w:ind w:right="-15"/>
              <w:rPr>
                <w:sz w:val="21"/>
              </w:rPr>
            </w:pPr>
            <w:r>
              <w:rPr>
                <w:sz w:val="21"/>
              </w:rPr>
              <w:t>2010</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2010</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-11.85%</w:t>
            </w:r>
          </w:p>
        </w:tc>
        <w:tc>
          <w:tcPr>
            <w:tcW w:w="1079" w:type="dxa"/>
          </w:tcPr>
          <w:p>
            <w:pPr>
              <w:pStyle w:val="TableParagraph"/>
              <w:rPr>
                <w:sz w:val="20"/>
              </w:rPr>
            </w:pPr>
          </w:p>
          <w:p>
            <w:pPr>
              <w:pStyle w:val="TableParagraph"/>
              <w:spacing w:before="155"/>
              <w:ind w:right="97"/>
              <w:jc w:val="right"/>
              <w:rPr>
                <w:sz w:val="21"/>
              </w:rPr>
            </w:pPr>
            <w:r>
              <w:rPr>
                <w:sz w:val="21"/>
              </w:rPr>
              <w:t>1.51%</w:t>
            </w:r>
          </w:p>
        </w:tc>
        <w:tc>
          <w:tcPr>
            <w:tcW w:w="1439" w:type="dxa"/>
          </w:tcPr>
          <w:p>
            <w:pPr>
              <w:pStyle w:val="TableParagraph"/>
              <w:rPr>
                <w:sz w:val="20"/>
              </w:rPr>
            </w:pPr>
          </w:p>
          <w:p>
            <w:pPr>
              <w:pStyle w:val="TableParagraph"/>
              <w:spacing w:before="155"/>
              <w:ind w:right="96"/>
              <w:jc w:val="right"/>
              <w:rPr>
                <w:sz w:val="21"/>
              </w:rPr>
            </w:pPr>
            <w:r>
              <w:rPr>
                <w:sz w:val="21"/>
              </w:rPr>
              <w:t>-11.78%</w:t>
            </w:r>
          </w:p>
        </w:tc>
        <w:tc>
          <w:tcPr>
            <w:tcW w:w="1338" w:type="dxa"/>
          </w:tcPr>
          <w:p>
            <w:pPr>
              <w:pStyle w:val="TableParagraph"/>
              <w:rPr>
                <w:sz w:val="20"/>
              </w:rPr>
            </w:pPr>
          </w:p>
          <w:p>
            <w:pPr>
              <w:pStyle w:val="TableParagraph"/>
              <w:spacing w:before="155"/>
              <w:ind w:right="96"/>
              <w:jc w:val="right"/>
              <w:rPr>
                <w:sz w:val="21"/>
              </w:rPr>
            </w:pPr>
            <w:r>
              <w:rPr>
                <w:sz w:val="21"/>
              </w:rPr>
              <w:t>1.50%</w:t>
            </w:r>
          </w:p>
        </w:tc>
        <w:tc>
          <w:tcPr>
            <w:tcW w:w="1133" w:type="dxa"/>
          </w:tcPr>
          <w:p>
            <w:pPr>
              <w:pStyle w:val="TableParagraph"/>
              <w:rPr>
                <w:sz w:val="20"/>
              </w:rPr>
            </w:pPr>
          </w:p>
          <w:p>
            <w:pPr>
              <w:pStyle w:val="TableParagraph"/>
              <w:spacing w:before="155"/>
              <w:ind w:left="394"/>
              <w:rPr>
                <w:sz w:val="21"/>
              </w:rPr>
            </w:pPr>
            <w:r>
              <w:rPr>
                <w:sz w:val="21"/>
              </w:rPr>
              <w:t>-0.07%</w:t>
            </w:r>
          </w:p>
        </w:tc>
        <w:tc>
          <w:tcPr>
            <w:tcW w:w="1266" w:type="dxa"/>
          </w:tcPr>
          <w:p>
            <w:pPr>
              <w:pStyle w:val="TableParagraph"/>
              <w:rPr>
                <w:sz w:val="20"/>
              </w:rPr>
            </w:pPr>
          </w:p>
          <w:p>
            <w:pPr>
              <w:pStyle w:val="TableParagraph"/>
              <w:spacing w:before="155"/>
              <w:ind w:right="97"/>
              <w:jc w:val="right"/>
              <w:rPr>
                <w:sz w:val="21"/>
              </w:rPr>
            </w:pPr>
            <w:r>
              <w:rPr>
                <w:sz w:val="21"/>
              </w:rPr>
              <w:t>0.01%</w:t>
            </w:r>
          </w:p>
        </w:tc>
      </w:tr>
      <w:tr>
        <w:trPr>
          <w:trHeight w:val="1225" w:hRule="atLeast"/>
        </w:trPr>
        <w:tc>
          <w:tcPr>
            <w:tcW w:w="1560" w:type="dxa"/>
          </w:tcPr>
          <w:p>
            <w:pPr>
              <w:pStyle w:val="TableParagraph"/>
              <w:spacing w:before="3"/>
              <w:ind w:right="-15"/>
              <w:rPr>
                <w:sz w:val="21"/>
              </w:rPr>
            </w:pPr>
            <w:r>
              <w:rPr>
                <w:sz w:val="21"/>
              </w:rPr>
              <w:t>2011</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2011</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-23.02%</w:t>
            </w:r>
          </w:p>
        </w:tc>
        <w:tc>
          <w:tcPr>
            <w:tcW w:w="1079" w:type="dxa"/>
          </w:tcPr>
          <w:p>
            <w:pPr>
              <w:pStyle w:val="TableParagraph"/>
              <w:rPr>
                <w:sz w:val="20"/>
              </w:rPr>
            </w:pPr>
          </w:p>
          <w:p>
            <w:pPr>
              <w:pStyle w:val="TableParagraph"/>
              <w:spacing w:before="155"/>
              <w:ind w:right="97"/>
              <w:jc w:val="right"/>
              <w:rPr>
                <w:sz w:val="21"/>
              </w:rPr>
            </w:pPr>
            <w:r>
              <w:rPr>
                <w:sz w:val="21"/>
              </w:rPr>
              <w:t>1.22%</w:t>
            </w:r>
          </w:p>
        </w:tc>
        <w:tc>
          <w:tcPr>
            <w:tcW w:w="1439" w:type="dxa"/>
          </w:tcPr>
          <w:p>
            <w:pPr>
              <w:pStyle w:val="TableParagraph"/>
              <w:rPr>
                <w:sz w:val="20"/>
              </w:rPr>
            </w:pPr>
          </w:p>
          <w:p>
            <w:pPr>
              <w:pStyle w:val="TableParagraph"/>
              <w:spacing w:before="155"/>
              <w:ind w:right="96"/>
              <w:jc w:val="right"/>
              <w:rPr>
                <w:sz w:val="21"/>
              </w:rPr>
            </w:pPr>
            <w:r>
              <w:rPr>
                <w:sz w:val="21"/>
              </w:rPr>
              <w:t>-23.83%</w:t>
            </w:r>
          </w:p>
        </w:tc>
        <w:tc>
          <w:tcPr>
            <w:tcW w:w="1338" w:type="dxa"/>
          </w:tcPr>
          <w:p>
            <w:pPr>
              <w:pStyle w:val="TableParagraph"/>
              <w:rPr>
                <w:sz w:val="20"/>
              </w:rPr>
            </w:pPr>
          </w:p>
          <w:p>
            <w:pPr>
              <w:pStyle w:val="TableParagraph"/>
              <w:spacing w:before="155"/>
              <w:ind w:right="96"/>
              <w:jc w:val="right"/>
              <w:rPr>
                <w:sz w:val="21"/>
              </w:rPr>
            </w:pPr>
            <w:r>
              <w:rPr>
                <w:sz w:val="21"/>
              </w:rPr>
              <w:t>1.23%</w:t>
            </w:r>
          </w:p>
        </w:tc>
        <w:tc>
          <w:tcPr>
            <w:tcW w:w="1133" w:type="dxa"/>
          </w:tcPr>
          <w:p>
            <w:pPr>
              <w:pStyle w:val="TableParagraph"/>
              <w:rPr>
                <w:sz w:val="20"/>
              </w:rPr>
            </w:pPr>
          </w:p>
          <w:p>
            <w:pPr>
              <w:pStyle w:val="TableParagraph"/>
              <w:spacing w:before="155"/>
              <w:ind w:left="499"/>
              <w:rPr>
                <w:sz w:val="21"/>
              </w:rPr>
            </w:pPr>
            <w:r>
              <w:rPr>
                <w:sz w:val="21"/>
              </w:rPr>
              <w:t>0.81%</w:t>
            </w:r>
          </w:p>
        </w:tc>
        <w:tc>
          <w:tcPr>
            <w:tcW w:w="1266" w:type="dxa"/>
          </w:tcPr>
          <w:p>
            <w:pPr>
              <w:pStyle w:val="TableParagraph"/>
              <w:rPr>
                <w:sz w:val="20"/>
              </w:rPr>
            </w:pPr>
          </w:p>
          <w:p>
            <w:pPr>
              <w:pStyle w:val="TableParagraph"/>
              <w:spacing w:before="155"/>
              <w:ind w:right="97"/>
              <w:jc w:val="right"/>
              <w:rPr>
                <w:sz w:val="21"/>
              </w:rPr>
            </w:pPr>
            <w:r>
              <w:rPr>
                <w:sz w:val="21"/>
              </w:rPr>
              <w:t>-0.01%</w:t>
            </w:r>
          </w:p>
        </w:tc>
      </w:tr>
      <w:tr>
        <w:trPr>
          <w:trHeight w:val="1225" w:hRule="atLeast"/>
        </w:trPr>
        <w:tc>
          <w:tcPr>
            <w:tcW w:w="1560" w:type="dxa"/>
          </w:tcPr>
          <w:p>
            <w:pPr>
              <w:pStyle w:val="TableParagraph"/>
              <w:spacing w:before="3"/>
              <w:ind w:right="-15"/>
              <w:rPr>
                <w:sz w:val="21"/>
              </w:rPr>
            </w:pPr>
            <w:r>
              <w:rPr>
                <w:sz w:val="21"/>
              </w:rPr>
              <w:t>2012</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2012</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8.27%</w:t>
            </w:r>
          </w:p>
        </w:tc>
        <w:tc>
          <w:tcPr>
            <w:tcW w:w="1079" w:type="dxa"/>
          </w:tcPr>
          <w:p>
            <w:pPr>
              <w:pStyle w:val="TableParagraph"/>
              <w:rPr>
                <w:sz w:val="20"/>
              </w:rPr>
            </w:pPr>
          </w:p>
          <w:p>
            <w:pPr>
              <w:pStyle w:val="TableParagraph"/>
              <w:spacing w:before="155"/>
              <w:ind w:right="97"/>
              <w:jc w:val="right"/>
              <w:rPr>
                <w:sz w:val="21"/>
              </w:rPr>
            </w:pPr>
            <w:r>
              <w:rPr>
                <w:sz w:val="21"/>
              </w:rPr>
              <w:t>1.19%</w:t>
            </w:r>
          </w:p>
        </w:tc>
        <w:tc>
          <w:tcPr>
            <w:tcW w:w="1439" w:type="dxa"/>
          </w:tcPr>
          <w:p>
            <w:pPr>
              <w:pStyle w:val="TableParagraph"/>
              <w:rPr>
                <w:sz w:val="20"/>
              </w:rPr>
            </w:pPr>
          </w:p>
          <w:p>
            <w:pPr>
              <w:pStyle w:val="TableParagraph"/>
              <w:spacing w:before="155"/>
              <w:ind w:right="96"/>
              <w:jc w:val="right"/>
              <w:rPr>
                <w:sz w:val="21"/>
              </w:rPr>
            </w:pPr>
            <w:r>
              <w:rPr>
                <w:sz w:val="21"/>
              </w:rPr>
              <w:t>7.29%</w:t>
            </w:r>
          </w:p>
        </w:tc>
        <w:tc>
          <w:tcPr>
            <w:tcW w:w="1338" w:type="dxa"/>
          </w:tcPr>
          <w:p>
            <w:pPr>
              <w:pStyle w:val="TableParagraph"/>
              <w:rPr>
                <w:sz w:val="20"/>
              </w:rPr>
            </w:pPr>
          </w:p>
          <w:p>
            <w:pPr>
              <w:pStyle w:val="TableParagraph"/>
              <w:spacing w:before="155"/>
              <w:ind w:right="96"/>
              <w:jc w:val="right"/>
              <w:rPr>
                <w:sz w:val="21"/>
              </w:rPr>
            </w:pPr>
            <w:r>
              <w:rPr>
                <w:sz w:val="21"/>
              </w:rPr>
              <w:t>1.22%</w:t>
            </w:r>
          </w:p>
        </w:tc>
        <w:tc>
          <w:tcPr>
            <w:tcW w:w="1133" w:type="dxa"/>
          </w:tcPr>
          <w:p>
            <w:pPr>
              <w:pStyle w:val="TableParagraph"/>
              <w:rPr>
                <w:sz w:val="20"/>
              </w:rPr>
            </w:pPr>
          </w:p>
          <w:p>
            <w:pPr>
              <w:pStyle w:val="TableParagraph"/>
              <w:spacing w:before="155"/>
              <w:ind w:left="499"/>
              <w:rPr>
                <w:sz w:val="21"/>
              </w:rPr>
            </w:pPr>
            <w:r>
              <w:rPr>
                <w:sz w:val="21"/>
              </w:rPr>
              <w:t>0.98%</w:t>
            </w:r>
          </w:p>
        </w:tc>
        <w:tc>
          <w:tcPr>
            <w:tcW w:w="1266" w:type="dxa"/>
          </w:tcPr>
          <w:p>
            <w:pPr>
              <w:pStyle w:val="TableParagraph"/>
              <w:rPr>
                <w:sz w:val="20"/>
              </w:rPr>
            </w:pPr>
          </w:p>
          <w:p>
            <w:pPr>
              <w:pStyle w:val="TableParagraph"/>
              <w:spacing w:before="155"/>
              <w:ind w:right="97"/>
              <w:jc w:val="right"/>
              <w:rPr>
                <w:sz w:val="21"/>
              </w:rPr>
            </w:pPr>
            <w:r>
              <w:rPr>
                <w:sz w:val="21"/>
              </w:rPr>
              <w:t>-0.03%</w:t>
            </w:r>
          </w:p>
        </w:tc>
      </w:tr>
      <w:tr>
        <w:trPr>
          <w:trHeight w:val="1225" w:hRule="atLeast"/>
        </w:trPr>
        <w:tc>
          <w:tcPr>
            <w:tcW w:w="1560" w:type="dxa"/>
          </w:tcPr>
          <w:p>
            <w:pPr>
              <w:pStyle w:val="TableParagraph"/>
              <w:spacing w:before="3"/>
              <w:ind w:right="-15"/>
              <w:rPr>
                <w:sz w:val="21"/>
              </w:rPr>
            </w:pPr>
            <w:r>
              <w:rPr>
                <w:sz w:val="21"/>
              </w:rPr>
              <w:t>2013</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2013</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-5.80%</w:t>
            </w:r>
          </w:p>
        </w:tc>
        <w:tc>
          <w:tcPr>
            <w:tcW w:w="1079" w:type="dxa"/>
          </w:tcPr>
          <w:p>
            <w:pPr>
              <w:pStyle w:val="TableParagraph"/>
              <w:rPr>
                <w:sz w:val="20"/>
              </w:rPr>
            </w:pPr>
          </w:p>
          <w:p>
            <w:pPr>
              <w:pStyle w:val="TableParagraph"/>
              <w:spacing w:before="155"/>
              <w:ind w:right="97"/>
              <w:jc w:val="right"/>
              <w:rPr>
                <w:sz w:val="21"/>
              </w:rPr>
            </w:pPr>
            <w:r>
              <w:rPr>
                <w:sz w:val="21"/>
              </w:rPr>
              <w:t>1.32%</w:t>
            </w:r>
          </w:p>
        </w:tc>
        <w:tc>
          <w:tcPr>
            <w:tcW w:w="1439" w:type="dxa"/>
          </w:tcPr>
          <w:p>
            <w:pPr>
              <w:pStyle w:val="TableParagraph"/>
              <w:rPr>
                <w:sz w:val="20"/>
              </w:rPr>
            </w:pPr>
          </w:p>
          <w:p>
            <w:pPr>
              <w:pStyle w:val="TableParagraph"/>
              <w:spacing w:before="155"/>
              <w:ind w:right="96"/>
              <w:jc w:val="right"/>
              <w:rPr>
                <w:sz w:val="21"/>
              </w:rPr>
            </w:pPr>
            <w:r>
              <w:rPr>
                <w:sz w:val="21"/>
              </w:rPr>
              <w:t>-7.16%</w:t>
            </w:r>
          </w:p>
        </w:tc>
        <w:tc>
          <w:tcPr>
            <w:tcW w:w="1338" w:type="dxa"/>
          </w:tcPr>
          <w:p>
            <w:pPr>
              <w:pStyle w:val="TableParagraph"/>
              <w:rPr>
                <w:sz w:val="20"/>
              </w:rPr>
            </w:pPr>
          </w:p>
          <w:p>
            <w:pPr>
              <w:pStyle w:val="TableParagraph"/>
              <w:spacing w:before="155"/>
              <w:ind w:right="96"/>
              <w:jc w:val="right"/>
              <w:rPr>
                <w:sz w:val="21"/>
              </w:rPr>
            </w:pPr>
            <w:r>
              <w:rPr>
                <w:sz w:val="21"/>
              </w:rPr>
              <w:t>1.32%</w:t>
            </w:r>
          </w:p>
        </w:tc>
        <w:tc>
          <w:tcPr>
            <w:tcW w:w="1133" w:type="dxa"/>
          </w:tcPr>
          <w:p>
            <w:pPr>
              <w:pStyle w:val="TableParagraph"/>
              <w:rPr>
                <w:sz w:val="20"/>
              </w:rPr>
            </w:pPr>
          </w:p>
          <w:p>
            <w:pPr>
              <w:pStyle w:val="TableParagraph"/>
              <w:spacing w:before="155"/>
              <w:ind w:left="499"/>
              <w:rPr>
                <w:sz w:val="21"/>
              </w:rPr>
            </w:pPr>
            <w:r>
              <w:rPr>
                <w:sz w:val="21"/>
              </w:rPr>
              <w:t>1.36%</w:t>
            </w:r>
          </w:p>
        </w:tc>
        <w:tc>
          <w:tcPr>
            <w:tcW w:w="1266" w:type="dxa"/>
          </w:tcPr>
          <w:p>
            <w:pPr>
              <w:pStyle w:val="TableParagraph"/>
              <w:rPr>
                <w:sz w:val="20"/>
              </w:rPr>
            </w:pPr>
          </w:p>
          <w:p>
            <w:pPr>
              <w:pStyle w:val="TableParagraph"/>
              <w:spacing w:before="155"/>
              <w:ind w:right="97"/>
              <w:jc w:val="right"/>
              <w:rPr>
                <w:sz w:val="21"/>
              </w:rPr>
            </w:pPr>
            <w:r>
              <w:rPr>
                <w:sz w:val="21"/>
              </w:rPr>
              <w:t>0.00%</w:t>
            </w:r>
          </w:p>
        </w:tc>
      </w:tr>
      <w:tr>
        <w:trPr>
          <w:trHeight w:val="1225" w:hRule="atLeast"/>
        </w:trPr>
        <w:tc>
          <w:tcPr>
            <w:tcW w:w="1560" w:type="dxa"/>
          </w:tcPr>
          <w:p>
            <w:pPr>
              <w:pStyle w:val="TableParagraph"/>
              <w:spacing w:before="3"/>
              <w:ind w:right="-15"/>
              <w:rPr>
                <w:sz w:val="21"/>
              </w:rPr>
            </w:pPr>
            <w:r>
              <w:rPr>
                <w:sz w:val="21"/>
              </w:rPr>
              <w:t>2014</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2014</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50.93%</w:t>
            </w:r>
          </w:p>
        </w:tc>
        <w:tc>
          <w:tcPr>
            <w:tcW w:w="1079" w:type="dxa"/>
          </w:tcPr>
          <w:p>
            <w:pPr>
              <w:pStyle w:val="TableParagraph"/>
              <w:rPr>
                <w:sz w:val="20"/>
              </w:rPr>
            </w:pPr>
          </w:p>
          <w:p>
            <w:pPr>
              <w:pStyle w:val="TableParagraph"/>
              <w:spacing w:before="155"/>
              <w:ind w:right="97"/>
              <w:jc w:val="right"/>
              <w:rPr>
                <w:sz w:val="21"/>
              </w:rPr>
            </w:pPr>
            <w:r>
              <w:rPr>
                <w:sz w:val="21"/>
              </w:rPr>
              <w:t>1.14%</w:t>
            </w:r>
          </w:p>
        </w:tc>
        <w:tc>
          <w:tcPr>
            <w:tcW w:w="1439" w:type="dxa"/>
          </w:tcPr>
          <w:p>
            <w:pPr>
              <w:pStyle w:val="TableParagraph"/>
              <w:rPr>
                <w:sz w:val="20"/>
              </w:rPr>
            </w:pPr>
          </w:p>
          <w:p>
            <w:pPr>
              <w:pStyle w:val="TableParagraph"/>
              <w:spacing w:before="155"/>
              <w:ind w:right="96"/>
              <w:jc w:val="right"/>
              <w:rPr>
                <w:sz w:val="21"/>
              </w:rPr>
            </w:pPr>
            <w:r>
              <w:rPr>
                <w:sz w:val="21"/>
              </w:rPr>
              <w:t>48.69%</w:t>
            </w:r>
          </w:p>
        </w:tc>
        <w:tc>
          <w:tcPr>
            <w:tcW w:w="1338" w:type="dxa"/>
          </w:tcPr>
          <w:p>
            <w:pPr>
              <w:pStyle w:val="TableParagraph"/>
              <w:rPr>
                <w:sz w:val="20"/>
              </w:rPr>
            </w:pPr>
          </w:p>
          <w:p>
            <w:pPr>
              <w:pStyle w:val="TableParagraph"/>
              <w:spacing w:before="155"/>
              <w:ind w:right="96"/>
              <w:jc w:val="right"/>
              <w:rPr>
                <w:sz w:val="21"/>
              </w:rPr>
            </w:pPr>
            <w:r>
              <w:rPr>
                <w:sz w:val="21"/>
              </w:rPr>
              <w:t>1.15%</w:t>
            </w:r>
          </w:p>
        </w:tc>
        <w:tc>
          <w:tcPr>
            <w:tcW w:w="1133" w:type="dxa"/>
          </w:tcPr>
          <w:p>
            <w:pPr>
              <w:pStyle w:val="TableParagraph"/>
              <w:rPr>
                <w:sz w:val="20"/>
              </w:rPr>
            </w:pPr>
          </w:p>
          <w:p>
            <w:pPr>
              <w:pStyle w:val="TableParagraph"/>
              <w:spacing w:before="155"/>
              <w:ind w:left="499"/>
              <w:rPr>
                <w:sz w:val="21"/>
              </w:rPr>
            </w:pPr>
            <w:r>
              <w:rPr>
                <w:sz w:val="21"/>
              </w:rPr>
              <w:t>2.24%</w:t>
            </w:r>
          </w:p>
        </w:tc>
        <w:tc>
          <w:tcPr>
            <w:tcW w:w="1266" w:type="dxa"/>
          </w:tcPr>
          <w:p>
            <w:pPr>
              <w:pStyle w:val="TableParagraph"/>
              <w:rPr>
                <w:sz w:val="20"/>
              </w:rPr>
            </w:pPr>
          </w:p>
          <w:p>
            <w:pPr>
              <w:pStyle w:val="TableParagraph"/>
              <w:spacing w:before="155"/>
              <w:ind w:right="97"/>
              <w:jc w:val="right"/>
              <w:rPr>
                <w:sz w:val="21"/>
              </w:rPr>
            </w:pPr>
            <w:r>
              <w:rPr>
                <w:sz w:val="21"/>
              </w:rPr>
              <w:t>-0.01%</w:t>
            </w:r>
          </w:p>
        </w:tc>
      </w:tr>
      <w:tr>
        <w:trPr>
          <w:trHeight w:val="1225" w:hRule="atLeast"/>
        </w:trPr>
        <w:tc>
          <w:tcPr>
            <w:tcW w:w="1560" w:type="dxa"/>
          </w:tcPr>
          <w:p>
            <w:pPr>
              <w:pStyle w:val="TableParagraph"/>
              <w:spacing w:before="3"/>
              <w:ind w:right="-15"/>
              <w:rPr>
                <w:sz w:val="21"/>
              </w:rPr>
            </w:pPr>
            <w:r>
              <w:rPr>
                <w:sz w:val="21"/>
              </w:rPr>
              <w:t>2015</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2015</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6.73%</w:t>
            </w:r>
          </w:p>
        </w:tc>
        <w:tc>
          <w:tcPr>
            <w:tcW w:w="1079" w:type="dxa"/>
          </w:tcPr>
          <w:p>
            <w:pPr>
              <w:pStyle w:val="TableParagraph"/>
              <w:rPr>
                <w:sz w:val="20"/>
              </w:rPr>
            </w:pPr>
          </w:p>
          <w:p>
            <w:pPr>
              <w:pStyle w:val="TableParagraph"/>
              <w:spacing w:before="155"/>
              <w:ind w:right="97"/>
              <w:jc w:val="right"/>
              <w:rPr>
                <w:sz w:val="21"/>
              </w:rPr>
            </w:pPr>
            <w:r>
              <w:rPr>
                <w:sz w:val="21"/>
              </w:rPr>
              <w:t>2.30%</w:t>
            </w:r>
          </w:p>
        </w:tc>
        <w:tc>
          <w:tcPr>
            <w:tcW w:w="1439" w:type="dxa"/>
          </w:tcPr>
          <w:p>
            <w:pPr>
              <w:pStyle w:val="TableParagraph"/>
              <w:rPr>
                <w:sz w:val="20"/>
              </w:rPr>
            </w:pPr>
          </w:p>
          <w:p>
            <w:pPr>
              <w:pStyle w:val="TableParagraph"/>
              <w:spacing w:before="155"/>
              <w:ind w:right="96"/>
              <w:jc w:val="right"/>
              <w:rPr>
                <w:sz w:val="21"/>
              </w:rPr>
            </w:pPr>
            <w:r>
              <w:rPr>
                <w:sz w:val="21"/>
              </w:rPr>
              <w:t>5.70%</w:t>
            </w:r>
          </w:p>
        </w:tc>
        <w:tc>
          <w:tcPr>
            <w:tcW w:w="1338" w:type="dxa"/>
          </w:tcPr>
          <w:p>
            <w:pPr>
              <w:pStyle w:val="TableParagraph"/>
              <w:rPr>
                <w:sz w:val="20"/>
              </w:rPr>
            </w:pPr>
          </w:p>
          <w:p>
            <w:pPr>
              <w:pStyle w:val="TableParagraph"/>
              <w:spacing w:before="155"/>
              <w:ind w:right="96"/>
              <w:jc w:val="right"/>
              <w:rPr>
                <w:sz w:val="21"/>
              </w:rPr>
            </w:pPr>
            <w:r>
              <w:rPr>
                <w:sz w:val="21"/>
              </w:rPr>
              <w:t>2.36%</w:t>
            </w:r>
          </w:p>
        </w:tc>
        <w:tc>
          <w:tcPr>
            <w:tcW w:w="1133" w:type="dxa"/>
          </w:tcPr>
          <w:p>
            <w:pPr>
              <w:pStyle w:val="TableParagraph"/>
              <w:rPr>
                <w:sz w:val="20"/>
              </w:rPr>
            </w:pPr>
          </w:p>
          <w:p>
            <w:pPr>
              <w:pStyle w:val="TableParagraph"/>
              <w:spacing w:before="155"/>
              <w:ind w:left="499"/>
              <w:rPr>
                <w:sz w:val="21"/>
              </w:rPr>
            </w:pPr>
            <w:r>
              <w:rPr>
                <w:sz w:val="21"/>
              </w:rPr>
              <w:t>1.03%</w:t>
            </w:r>
          </w:p>
        </w:tc>
        <w:tc>
          <w:tcPr>
            <w:tcW w:w="1266" w:type="dxa"/>
          </w:tcPr>
          <w:p>
            <w:pPr>
              <w:pStyle w:val="TableParagraph"/>
              <w:rPr>
                <w:sz w:val="20"/>
              </w:rPr>
            </w:pPr>
          </w:p>
          <w:p>
            <w:pPr>
              <w:pStyle w:val="TableParagraph"/>
              <w:spacing w:before="155"/>
              <w:ind w:right="97"/>
              <w:jc w:val="right"/>
              <w:rPr>
                <w:sz w:val="21"/>
              </w:rPr>
            </w:pPr>
            <w:r>
              <w:rPr>
                <w:sz w:val="21"/>
              </w:rPr>
              <w:t>-0.06%</w:t>
            </w:r>
          </w:p>
        </w:tc>
      </w:tr>
      <w:tr>
        <w:trPr>
          <w:trHeight w:val="817" w:hRule="atLeast"/>
        </w:trPr>
        <w:tc>
          <w:tcPr>
            <w:tcW w:w="1560" w:type="dxa"/>
          </w:tcPr>
          <w:p>
            <w:pPr>
              <w:pStyle w:val="TableParagraph"/>
              <w:spacing w:before="3"/>
              <w:ind w:right="-15"/>
              <w:rPr>
                <w:sz w:val="21"/>
              </w:rPr>
            </w:pPr>
            <w:r>
              <w:rPr>
                <w:sz w:val="21"/>
              </w:rPr>
              <w:t>2016</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2016</w:t>
            </w:r>
            <w:r>
              <w:rPr>
                <w:spacing w:val="-30"/>
                <w:sz w:val="21"/>
              </w:rPr>
              <w:t> 年 </w:t>
            </w:r>
            <w:r>
              <w:rPr>
                <w:sz w:val="21"/>
              </w:rPr>
              <w:t>12</w:t>
            </w:r>
            <w:r>
              <w:rPr>
                <w:spacing w:val="-22"/>
                <w:sz w:val="21"/>
              </w:rPr>
              <w:t> 月</w:t>
            </w:r>
          </w:p>
        </w:tc>
        <w:tc>
          <w:tcPr>
            <w:tcW w:w="960" w:type="dxa"/>
          </w:tcPr>
          <w:p>
            <w:pPr>
              <w:pStyle w:val="TableParagraph"/>
              <w:spacing w:before="2"/>
              <w:rPr>
                <w:sz w:val="16"/>
              </w:rPr>
            </w:pPr>
          </w:p>
          <w:p>
            <w:pPr>
              <w:pStyle w:val="TableParagraph"/>
              <w:ind w:right="97"/>
              <w:jc w:val="right"/>
              <w:rPr>
                <w:sz w:val="21"/>
              </w:rPr>
            </w:pPr>
            <w:r>
              <w:rPr>
                <w:sz w:val="21"/>
              </w:rPr>
              <w:t>-8.04%</w:t>
            </w:r>
          </w:p>
        </w:tc>
        <w:tc>
          <w:tcPr>
            <w:tcW w:w="1079" w:type="dxa"/>
          </w:tcPr>
          <w:p>
            <w:pPr>
              <w:pStyle w:val="TableParagraph"/>
              <w:spacing w:before="2"/>
              <w:rPr>
                <w:sz w:val="16"/>
              </w:rPr>
            </w:pPr>
          </w:p>
          <w:p>
            <w:pPr>
              <w:pStyle w:val="TableParagraph"/>
              <w:ind w:right="97"/>
              <w:jc w:val="right"/>
              <w:rPr>
                <w:sz w:val="21"/>
              </w:rPr>
            </w:pPr>
            <w:r>
              <w:rPr>
                <w:sz w:val="21"/>
              </w:rPr>
              <w:t>1.31%</w:t>
            </w:r>
          </w:p>
        </w:tc>
        <w:tc>
          <w:tcPr>
            <w:tcW w:w="1439" w:type="dxa"/>
          </w:tcPr>
          <w:p>
            <w:pPr>
              <w:pStyle w:val="TableParagraph"/>
              <w:spacing w:before="2"/>
              <w:rPr>
                <w:sz w:val="16"/>
              </w:rPr>
            </w:pPr>
          </w:p>
          <w:p>
            <w:pPr>
              <w:pStyle w:val="TableParagraph"/>
              <w:ind w:right="96"/>
              <w:jc w:val="right"/>
              <w:rPr>
                <w:sz w:val="21"/>
              </w:rPr>
            </w:pPr>
            <w:r>
              <w:rPr>
                <w:sz w:val="21"/>
              </w:rPr>
              <w:t>-10.63%</w:t>
            </w:r>
          </w:p>
        </w:tc>
        <w:tc>
          <w:tcPr>
            <w:tcW w:w="1338" w:type="dxa"/>
          </w:tcPr>
          <w:p>
            <w:pPr>
              <w:pStyle w:val="TableParagraph"/>
              <w:spacing w:before="2"/>
              <w:rPr>
                <w:sz w:val="16"/>
              </w:rPr>
            </w:pPr>
          </w:p>
          <w:p>
            <w:pPr>
              <w:pStyle w:val="TableParagraph"/>
              <w:ind w:right="96"/>
              <w:jc w:val="right"/>
              <w:rPr>
                <w:sz w:val="21"/>
              </w:rPr>
            </w:pPr>
            <w:r>
              <w:rPr>
                <w:sz w:val="21"/>
              </w:rPr>
              <w:t>1.33%</w:t>
            </w:r>
          </w:p>
        </w:tc>
        <w:tc>
          <w:tcPr>
            <w:tcW w:w="1133" w:type="dxa"/>
          </w:tcPr>
          <w:p>
            <w:pPr>
              <w:pStyle w:val="TableParagraph"/>
              <w:spacing w:before="2"/>
              <w:rPr>
                <w:sz w:val="16"/>
              </w:rPr>
            </w:pPr>
          </w:p>
          <w:p>
            <w:pPr>
              <w:pStyle w:val="TableParagraph"/>
              <w:ind w:left="499"/>
              <w:rPr>
                <w:sz w:val="21"/>
              </w:rPr>
            </w:pPr>
            <w:r>
              <w:rPr>
                <w:sz w:val="21"/>
              </w:rPr>
              <w:t>2.59%</w:t>
            </w:r>
          </w:p>
        </w:tc>
        <w:tc>
          <w:tcPr>
            <w:tcW w:w="1266" w:type="dxa"/>
          </w:tcPr>
          <w:p>
            <w:pPr>
              <w:pStyle w:val="TableParagraph"/>
              <w:spacing w:before="2"/>
              <w:rPr>
                <w:sz w:val="16"/>
              </w:rPr>
            </w:pPr>
          </w:p>
          <w:p>
            <w:pPr>
              <w:pStyle w:val="TableParagraph"/>
              <w:ind w:right="97"/>
              <w:jc w:val="right"/>
              <w:rPr>
                <w:sz w:val="21"/>
              </w:rPr>
            </w:pPr>
            <w:r>
              <w:rPr>
                <w:sz w:val="21"/>
              </w:rPr>
              <w:t>-0.02%</w:t>
            </w:r>
          </w:p>
        </w:tc>
      </w:tr>
    </w:tbl>
    <w:p>
      <w:pPr>
        <w:spacing w:after="0"/>
        <w:jc w:val="right"/>
        <w:rPr>
          <w:sz w:val="21"/>
        </w:rPr>
        <w:sectPr>
          <w:pgSz w:w="11910" w:h="16840"/>
          <w:pgMar w:header="0" w:footer="1166" w:top="1600" w:bottom="1440" w:left="1400" w:right="360"/>
        </w:sectPr>
      </w:pPr>
    </w:p>
    <w:p>
      <w:pPr>
        <w:pStyle w:val="BodyText"/>
        <w:spacing w:before="11"/>
        <w:ind w:left="0"/>
        <w:rPr>
          <w:sz w:val="7"/>
        </w:rPr>
      </w:pP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960"/>
        <w:gridCol w:w="1079"/>
        <w:gridCol w:w="1439"/>
        <w:gridCol w:w="1338"/>
        <w:gridCol w:w="1133"/>
        <w:gridCol w:w="1266"/>
      </w:tblGrid>
      <w:tr>
        <w:trPr>
          <w:trHeight w:val="408" w:hRule="atLeast"/>
        </w:trPr>
        <w:tc>
          <w:tcPr>
            <w:tcW w:w="1560" w:type="dxa"/>
          </w:tcPr>
          <w:p>
            <w:pPr>
              <w:pStyle w:val="TableParagraph"/>
              <w:spacing w:before="3"/>
              <w:rPr>
                <w:sz w:val="21"/>
              </w:rPr>
            </w:pPr>
            <w:r>
              <w:rPr>
                <w:sz w:val="21"/>
              </w:rPr>
              <w:t>31 日</w:t>
            </w:r>
          </w:p>
        </w:tc>
        <w:tc>
          <w:tcPr>
            <w:tcW w:w="960" w:type="dxa"/>
          </w:tcPr>
          <w:p>
            <w:pPr>
              <w:pStyle w:val="TableParagraph"/>
              <w:rPr>
                <w:rFonts w:ascii="Times New Roman"/>
                <w:sz w:val="20"/>
              </w:rPr>
            </w:pPr>
          </w:p>
        </w:tc>
        <w:tc>
          <w:tcPr>
            <w:tcW w:w="1079" w:type="dxa"/>
          </w:tcPr>
          <w:p>
            <w:pPr>
              <w:pStyle w:val="TableParagraph"/>
              <w:rPr>
                <w:rFonts w:ascii="Times New Roman"/>
                <w:sz w:val="20"/>
              </w:rPr>
            </w:pPr>
          </w:p>
        </w:tc>
        <w:tc>
          <w:tcPr>
            <w:tcW w:w="1439" w:type="dxa"/>
          </w:tcPr>
          <w:p>
            <w:pPr>
              <w:pStyle w:val="TableParagraph"/>
              <w:rPr>
                <w:rFonts w:ascii="Times New Roman"/>
                <w:sz w:val="20"/>
              </w:rPr>
            </w:pPr>
          </w:p>
        </w:tc>
        <w:tc>
          <w:tcPr>
            <w:tcW w:w="1338" w:type="dxa"/>
          </w:tcPr>
          <w:p>
            <w:pPr>
              <w:pStyle w:val="TableParagraph"/>
              <w:rPr>
                <w:rFonts w:ascii="Times New Roman"/>
                <w:sz w:val="20"/>
              </w:rPr>
            </w:pPr>
          </w:p>
        </w:tc>
        <w:tc>
          <w:tcPr>
            <w:tcW w:w="1133" w:type="dxa"/>
          </w:tcPr>
          <w:p>
            <w:pPr>
              <w:pStyle w:val="TableParagraph"/>
              <w:rPr>
                <w:rFonts w:ascii="Times New Roman"/>
                <w:sz w:val="20"/>
              </w:rPr>
            </w:pPr>
          </w:p>
        </w:tc>
        <w:tc>
          <w:tcPr>
            <w:tcW w:w="1266" w:type="dxa"/>
          </w:tcPr>
          <w:p>
            <w:pPr>
              <w:pStyle w:val="TableParagraph"/>
              <w:rPr>
                <w:rFonts w:ascii="Times New Roman"/>
                <w:sz w:val="20"/>
              </w:rPr>
            </w:pPr>
          </w:p>
        </w:tc>
      </w:tr>
      <w:tr>
        <w:trPr>
          <w:trHeight w:val="1225" w:hRule="atLeast"/>
        </w:trPr>
        <w:tc>
          <w:tcPr>
            <w:tcW w:w="1560" w:type="dxa"/>
          </w:tcPr>
          <w:p>
            <w:pPr>
              <w:pStyle w:val="TableParagraph"/>
              <w:spacing w:before="3"/>
              <w:ind w:right="-15"/>
              <w:rPr>
                <w:sz w:val="21"/>
              </w:rPr>
            </w:pPr>
            <w:r>
              <w:rPr>
                <w:sz w:val="21"/>
              </w:rPr>
              <w:t>2017</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2017</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22.63%</w:t>
            </w:r>
          </w:p>
        </w:tc>
        <w:tc>
          <w:tcPr>
            <w:tcW w:w="1079" w:type="dxa"/>
          </w:tcPr>
          <w:p>
            <w:pPr>
              <w:pStyle w:val="TableParagraph"/>
              <w:rPr>
                <w:sz w:val="20"/>
              </w:rPr>
            </w:pPr>
          </w:p>
          <w:p>
            <w:pPr>
              <w:pStyle w:val="TableParagraph"/>
              <w:spacing w:before="155"/>
              <w:ind w:right="97"/>
              <w:jc w:val="right"/>
              <w:rPr>
                <w:sz w:val="21"/>
              </w:rPr>
            </w:pPr>
            <w:r>
              <w:rPr>
                <w:sz w:val="21"/>
              </w:rPr>
              <w:t>0.60%</w:t>
            </w:r>
          </w:p>
        </w:tc>
        <w:tc>
          <w:tcPr>
            <w:tcW w:w="1439" w:type="dxa"/>
          </w:tcPr>
          <w:p>
            <w:pPr>
              <w:pStyle w:val="TableParagraph"/>
              <w:rPr>
                <w:sz w:val="20"/>
              </w:rPr>
            </w:pPr>
          </w:p>
          <w:p>
            <w:pPr>
              <w:pStyle w:val="TableParagraph"/>
              <w:spacing w:before="155"/>
              <w:ind w:right="96"/>
              <w:jc w:val="right"/>
              <w:rPr>
                <w:sz w:val="21"/>
              </w:rPr>
            </w:pPr>
            <w:r>
              <w:rPr>
                <w:sz w:val="21"/>
              </w:rPr>
              <w:t>20.63%</w:t>
            </w:r>
          </w:p>
        </w:tc>
        <w:tc>
          <w:tcPr>
            <w:tcW w:w="1338" w:type="dxa"/>
          </w:tcPr>
          <w:p>
            <w:pPr>
              <w:pStyle w:val="TableParagraph"/>
              <w:rPr>
                <w:sz w:val="20"/>
              </w:rPr>
            </w:pPr>
          </w:p>
          <w:p>
            <w:pPr>
              <w:pStyle w:val="TableParagraph"/>
              <w:spacing w:before="155"/>
              <w:ind w:right="96"/>
              <w:jc w:val="right"/>
              <w:rPr>
                <w:sz w:val="21"/>
              </w:rPr>
            </w:pPr>
            <w:r>
              <w:rPr>
                <w:sz w:val="21"/>
              </w:rPr>
              <w:t>0.60%</w:t>
            </w:r>
          </w:p>
        </w:tc>
        <w:tc>
          <w:tcPr>
            <w:tcW w:w="1133" w:type="dxa"/>
          </w:tcPr>
          <w:p>
            <w:pPr>
              <w:pStyle w:val="TableParagraph"/>
              <w:rPr>
                <w:sz w:val="20"/>
              </w:rPr>
            </w:pPr>
          </w:p>
          <w:p>
            <w:pPr>
              <w:pStyle w:val="TableParagraph"/>
              <w:spacing w:before="155"/>
              <w:ind w:right="96"/>
              <w:jc w:val="right"/>
              <w:rPr>
                <w:sz w:val="21"/>
              </w:rPr>
            </w:pPr>
            <w:r>
              <w:rPr>
                <w:sz w:val="21"/>
              </w:rPr>
              <w:t>2.00%</w:t>
            </w:r>
          </w:p>
        </w:tc>
        <w:tc>
          <w:tcPr>
            <w:tcW w:w="1266" w:type="dxa"/>
          </w:tcPr>
          <w:p>
            <w:pPr>
              <w:pStyle w:val="TableParagraph"/>
              <w:rPr>
                <w:sz w:val="20"/>
              </w:rPr>
            </w:pPr>
          </w:p>
          <w:p>
            <w:pPr>
              <w:pStyle w:val="TableParagraph"/>
              <w:spacing w:before="155"/>
              <w:ind w:right="97"/>
              <w:jc w:val="right"/>
              <w:rPr>
                <w:sz w:val="21"/>
              </w:rPr>
            </w:pPr>
            <w:r>
              <w:rPr>
                <w:sz w:val="21"/>
              </w:rPr>
              <w:t>0.00%</w:t>
            </w:r>
          </w:p>
        </w:tc>
      </w:tr>
      <w:tr>
        <w:trPr>
          <w:trHeight w:val="1225" w:hRule="atLeast"/>
        </w:trPr>
        <w:tc>
          <w:tcPr>
            <w:tcW w:w="1560" w:type="dxa"/>
          </w:tcPr>
          <w:p>
            <w:pPr>
              <w:pStyle w:val="TableParagraph"/>
              <w:spacing w:before="3"/>
              <w:ind w:right="-15"/>
              <w:rPr>
                <w:sz w:val="21"/>
              </w:rPr>
            </w:pPr>
            <w:r>
              <w:rPr>
                <w:sz w:val="21"/>
              </w:rPr>
              <w:t>2018</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2018</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-22.20%</w:t>
            </w:r>
          </w:p>
        </w:tc>
        <w:tc>
          <w:tcPr>
            <w:tcW w:w="1079" w:type="dxa"/>
          </w:tcPr>
          <w:p>
            <w:pPr>
              <w:pStyle w:val="TableParagraph"/>
              <w:rPr>
                <w:sz w:val="20"/>
              </w:rPr>
            </w:pPr>
          </w:p>
          <w:p>
            <w:pPr>
              <w:pStyle w:val="TableParagraph"/>
              <w:spacing w:before="155"/>
              <w:ind w:right="97"/>
              <w:jc w:val="right"/>
              <w:rPr>
                <w:sz w:val="21"/>
              </w:rPr>
            </w:pPr>
            <w:r>
              <w:rPr>
                <w:sz w:val="21"/>
              </w:rPr>
              <w:t>1.25%</w:t>
            </w:r>
          </w:p>
        </w:tc>
        <w:tc>
          <w:tcPr>
            <w:tcW w:w="1439" w:type="dxa"/>
          </w:tcPr>
          <w:p>
            <w:pPr>
              <w:pStyle w:val="TableParagraph"/>
              <w:rPr>
                <w:sz w:val="20"/>
              </w:rPr>
            </w:pPr>
          </w:p>
          <w:p>
            <w:pPr>
              <w:pStyle w:val="TableParagraph"/>
              <w:spacing w:before="155"/>
              <w:ind w:right="96"/>
              <w:jc w:val="right"/>
              <w:rPr>
                <w:sz w:val="21"/>
              </w:rPr>
            </w:pPr>
            <w:r>
              <w:rPr>
                <w:sz w:val="21"/>
              </w:rPr>
              <w:t>-24.12%</w:t>
            </w:r>
          </w:p>
        </w:tc>
        <w:tc>
          <w:tcPr>
            <w:tcW w:w="1338" w:type="dxa"/>
          </w:tcPr>
          <w:p>
            <w:pPr>
              <w:pStyle w:val="TableParagraph"/>
              <w:rPr>
                <w:sz w:val="20"/>
              </w:rPr>
            </w:pPr>
          </w:p>
          <w:p>
            <w:pPr>
              <w:pStyle w:val="TableParagraph"/>
              <w:spacing w:before="155"/>
              <w:ind w:right="96"/>
              <w:jc w:val="right"/>
              <w:rPr>
                <w:sz w:val="21"/>
              </w:rPr>
            </w:pPr>
            <w:r>
              <w:rPr>
                <w:sz w:val="21"/>
              </w:rPr>
              <w:t>1.27%</w:t>
            </w:r>
          </w:p>
        </w:tc>
        <w:tc>
          <w:tcPr>
            <w:tcW w:w="1133" w:type="dxa"/>
          </w:tcPr>
          <w:p>
            <w:pPr>
              <w:pStyle w:val="TableParagraph"/>
              <w:rPr>
                <w:sz w:val="20"/>
              </w:rPr>
            </w:pPr>
          </w:p>
          <w:p>
            <w:pPr>
              <w:pStyle w:val="TableParagraph"/>
              <w:spacing w:before="155"/>
              <w:ind w:right="96"/>
              <w:jc w:val="right"/>
              <w:rPr>
                <w:sz w:val="21"/>
              </w:rPr>
            </w:pPr>
            <w:r>
              <w:rPr>
                <w:sz w:val="21"/>
              </w:rPr>
              <w:t>1.92%</w:t>
            </w:r>
          </w:p>
        </w:tc>
        <w:tc>
          <w:tcPr>
            <w:tcW w:w="1266" w:type="dxa"/>
          </w:tcPr>
          <w:p>
            <w:pPr>
              <w:pStyle w:val="TableParagraph"/>
              <w:rPr>
                <w:sz w:val="20"/>
              </w:rPr>
            </w:pPr>
          </w:p>
          <w:p>
            <w:pPr>
              <w:pStyle w:val="TableParagraph"/>
              <w:spacing w:before="155"/>
              <w:ind w:right="97"/>
              <w:jc w:val="right"/>
              <w:rPr>
                <w:sz w:val="21"/>
              </w:rPr>
            </w:pPr>
            <w:r>
              <w:rPr>
                <w:sz w:val="21"/>
              </w:rPr>
              <w:t>-0.02%</w:t>
            </w:r>
          </w:p>
        </w:tc>
      </w:tr>
      <w:tr>
        <w:trPr>
          <w:trHeight w:val="1225" w:hRule="atLeast"/>
        </w:trPr>
        <w:tc>
          <w:tcPr>
            <w:tcW w:w="1560" w:type="dxa"/>
          </w:tcPr>
          <w:p>
            <w:pPr>
              <w:pStyle w:val="TableParagraph"/>
              <w:spacing w:before="3"/>
              <w:ind w:right="-15"/>
              <w:rPr>
                <w:sz w:val="21"/>
              </w:rPr>
            </w:pPr>
            <w:r>
              <w:rPr>
                <w:sz w:val="21"/>
              </w:rPr>
              <w:t>2019</w:t>
            </w:r>
            <w:r>
              <w:rPr>
                <w:spacing w:val="-31"/>
                <w:sz w:val="21"/>
              </w:rPr>
              <w:t> 年 </w:t>
            </w:r>
            <w:r>
              <w:rPr>
                <w:sz w:val="21"/>
              </w:rPr>
              <w:t>1</w:t>
            </w:r>
            <w:r>
              <w:rPr>
                <w:spacing w:val="-31"/>
                <w:sz w:val="21"/>
              </w:rPr>
              <w:t> 月 </w:t>
            </w:r>
            <w:r>
              <w:rPr>
                <w:sz w:val="21"/>
              </w:rPr>
              <w:t>1</w:t>
            </w:r>
            <w:r>
              <w:rPr>
                <w:spacing w:val="-23"/>
                <w:sz w:val="21"/>
              </w:rPr>
              <w:t> 日</w:t>
            </w:r>
          </w:p>
          <w:p>
            <w:pPr>
              <w:pStyle w:val="TableParagraph"/>
              <w:spacing w:before="139"/>
              <w:rPr>
                <w:sz w:val="21"/>
              </w:rPr>
            </w:pPr>
            <w:r>
              <w:rPr>
                <w:spacing w:val="-22"/>
                <w:sz w:val="21"/>
              </w:rPr>
              <w:t>至 </w:t>
            </w:r>
            <w:r>
              <w:rPr>
                <w:sz w:val="21"/>
              </w:rPr>
              <w:t>2019</w:t>
            </w:r>
            <w:r>
              <w:rPr>
                <w:spacing w:val="-30"/>
                <w:sz w:val="21"/>
              </w:rPr>
              <w:t> 年 </w:t>
            </w:r>
            <w:r>
              <w:rPr>
                <w:sz w:val="21"/>
              </w:rPr>
              <w:t>12</w:t>
            </w:r>
            <w:r>
              <w:rPr>
                <w:spacing w:val="-22"/>
                <w:sz w:val="21"/>
              </w:rPr>
              <w:t> 月</w:t>
            </w:r>
          </w:p>
          <w:p>
            <w:pPr>
              <w:pStyle w:val="TableParagraph"/>
              <w:spacing w:before="140"/>
              <w:rPr>
                <w:sz w:val="21"/>
              </w:rPr>
            </w:pPr>
            <w:r>
              <w:rPr>
                <w:sz w:val="21"/>
              </w:rPr>
              <w:t>31 日</w:t>
            </w:r>
          </w:p>
        </w:tc>
        <w:tc>
          <w:tcPr>
            <w:tcW w:w="960" w:type="dxa"/>
          </w:tcPr>
          <w:p>
            <w:pPr>
              <w:pStyle w:val="TableParagraph"/>
              <w:rPr>
                <w:sz w:val="20"/>
              </w:rPr>
            </w:pPr>
          </w:p>
          <w:p>
            <w:pPr>
              <w:pStyle w:val="TableParagraph"/>
              <w:spacing w:before="155"/>
              <w:ind w:right="97"/>
              <w:jc w:val="right"/>
              <w:rPr>
                <w:sz w:val="21"/>
              </w:rPr>
            </w:pPr>
            <w:r>
              <w:rPr>
                <w:sz w:val="21"/>
              </w:rPr>
              <w:t>35.81%</w:t>
            </w:r>
          </w:p>
        </w:tc>
        <w:tc>
          <w:tcPr>
            <w:tcW w:w="1079" w:type="dxa"/>
          </w:tcPr>
          <w:p>
            <w:pPr>
              <w:pStyle w:val="TableParagraph"/>
              <w:rPr>
                <w:sz w:val="20"/>
              </w:rPr>
            </w:pPr>
          </w:p>
          <w:p>
            <w:pPr>
              <w:pStyle w:val="TableParagraph"/>
              <w:spacing w:before="155"/>
              <w:ind w:right="97"/>
              <w:jc w:val="right"/>
              <w:rPr>
                <w:sz w:val="21"/>
              </w:rPr>
            </w:pPr>
            <w:r>
              <w:rPr>
                <w:sz w:val="21"/>
              </w:rPr>
              <w:t>1.17%</w:t>
            </w:r>
          </w:p>
        </w:tc>
        <w:tc>
          <w:tcPr>
            <w:tcW w:w="1439" w:type="dxa"/>
          </w:tcPr>
          <w:p>
            <w:pPr>
              <w:pStyle w:val="TableParagraph"/>
              <w:rPr>
                <w:sz w:val="20"/>
              </w:rPr>
            </w:pPr>
          </w:p>
          <w:p>
            <w:pPr>
              <w:pStyle w:val="TableParagraph"/>
              <w:spacing w:before="155"/>
              <w:ind w:right="96"/>
              <w:jc w:val="right"/>
              <w:rPr>
                <w:sz w:val="21"/>
              </w:rPr>
            </w:pPr>
            <w:r>
              <w:rPr>
                <w:sz w:val="21"/>
              </w:rPr>
              <w:t>34.14%</w:t>
            </w:r>
          </w:p>
        </w:tc>
        <w:tc>
          <w:tcPr>
            <w:tcW w:w="1338" w:type="dxa"/>
          </w:tcPr>
          <w:p>
            <w:pPr>
              <w:pStyle w:val="TableParagraph"/>
              <w:rPr>
                <w:sz w:val="20"/>
              </w:rPr>
            </w:pPr>
          </w:p>
          <w:p>
            <w:pPr>
              <w:pStyle w:val="TableParagraph"/>
              <w:spacing w:before="155"/>
              <w:ind w:right="96"/>
              <w:jc w:val="right"/>
              <w:rPr>
                <w:sz w:val="21"/>
              </w:rPr>
            </w:pPr>
            <w:r>
              <w:rPr>
                <w:sz w:val="21"/>
              </w:rPr>
              <w:t>1.18%</w:t>
            </w:r>
          </w:p>
        </w:tc>
        <w:tc>
          <w:tcPr>
            <w:tcW w:w="1133" w:type="dxa"/>
          </w:tcPr>
          <w:p>
            <w:pPr>
              <w:pStyle w:val="TableParagraph"/>
              <w:rPr>
                <w:sz w:val="20"/>
              </w:rPr>
            </w:pPr>
          </w:p>
          <w:p>
            <w:pPr>
              <w:pStyle w:val="TableParagraph"/>
              <w:spacing w:before="155"/>
              <w:ind w:right="96"/>
              <w:jc w:val="right"/>
              <w:rPr>
                <w:sz w:val="21"/>
              </w:rPr>
            </w:pPr>
            <w:r>
              <w:rPr>
                <w:sz w:val="21"/>
              </w:rPr>
              <w:t>1.67%</w:t>
            </w:r>
          </w:p>
        </w:tc>
        <w:tc>
          <w:tcPr>
            <w:tcW w:w="1266" w:type="dxa"/>
          </w:tcPr>
          <w:p>
            <w:pPr>
              <w:pStyle w:val="TableParagraph"/>
              <w:rPr>
                <w:sz w:val="20"/>
              </w:rPr>
            </w:pPr>
          </w:p>
          <w:p>
            <w:pPr>
              <w:pStyle w:val="TableParagraph"/>
              <w:spacing w:before="155"/>
              <w:ind w:right="97"/>
              <w:jc w:val="right"/>
              <w:rPr>
                <w:sz w:val="21"/>
              </w:rPr>
            </w:pPr>
            <w:r>
              <w:rPr>
                <w:sz w:val="21"/>
              </w:rPr>
              <w:t>-0.01%</w:t>
            </w:r>
          </w:p>
        </w:tc>
      </w:tr>
      <w:tr>
        <w:trPr>
          <w:trHeight w:val="1225" w:hRule="atLeast"/>
        </w:trPr>
        <w:tc>
          <w:tcPr>
            <w:tcW w:w="1560" w:type="dxa"/>
          </w:tcPr>
          <w:p>
            <w:pPr>
              <w:pStyle w:val="TableParagraph"/>
              <w:spacing w:line="364" w:lineRule="auto" w:before="3"/>
              <w:ind w:right="-15"/>
              <w:rPr>
                <w:sz w:val="21"/>
              </w:rPr>
            </w:pPr>
            <w:r>
              <w:rPr>
                <w:sz w:val="21"/>
              </w:rPr>
              <w:t>2020</w:t>
            </w:r>
            <w:r>
              <w:rPr>
                <w:spacing w:val="-31"/>
                <w:sz w:val="21"/>
              </w:rPr>
              <w:t> 年 </w:t>
            </w:r>
            <w:r>
              <w:rPr>
                <w:sz w:val="21"/>
              </w:rPr>
              <w:t>1</w:t>
            </w:r>
            <w:r>
              <w:rPr>
                <w:spacing w:val="-31"/>
                <w:sz w:val="21"/>
              </w:rPr>
              <w:t> 月 </w:t>
            </w:r>
            <w:r>
              <w:rPr>
                <w:sz w:val="21"/>
              </w:rPr>
              <w:t>1</w:t>
            </w:r>
            <w:r>
              <w:rPr>
                <w:spacing w:val="-23"/>
                <w:sz w:val="21"/>
              </w:rPr>
              <w:t> 日</w:t>
            </w:r>
            <w:r>
              <w:rPr>
                <w:spacing w:val="-45"/>
                <w:sz w:val="21"/>
              </w:rPr>
              <w:t>至 </w:t>
            </w:r>
            <w:r>
              <w:rPr>
                <w:sz w:val="21"/>
              </w:rPr>
              <w:t>2020</w:t>
            </w:r>
            <w:r>
              <w:rPr>
                <w:spacing w:val="-45"/>
                <w:sz w:val="21"/>
              </w:rPr>
              <w:t> 年 </w:t>
            </w:r>
            <w:r>
              <w:rPr>
                <w:sz w:val="21"/>
              </w:rPr>
              <w:t>6</w:t>
            </w:r>
            <w:r>
              <w:rPr>
                <w:spacing w:val="-45"/>
                <w:sz w:val="21"/>
              </w:rPr>
              <w:t> 月 </w:t>
            </w:r>
            <w:r>
              <w:rPr>
                <w:sz w:val="21"/>
              </w:rPr>
              <w:t>30</w:t>
            </w:r>
          </w:p>
          <w:p>
            <w:pPr>
              <w:pStyle w:val="TableParagraph"/>
              <w:spacing w:line="268" w:lineRule="exact"/>
              <w:rPr>
                <w:sz w:val="21"/>
              </w:rPr>
            </w:pPr>
            <w:r>
              <w:rPr>
                <w:sz w:val="21"/>
              </w:rPr>
              <w:t>日</w:t>
            </w:r>
          </w:p>
        </w:tc>
        <w:tc>
          <w:tcPr>
            <w:tcW w:w="960" w:type="dxa"/>
          </w:tcPr>
          <w:p>
            <w:pPr>
              <w:pStyle w:val="TableParagraph"/>
              <w:rPr>
                <w:sz w:val="20"/>
              </w:rPr>
            </w:pPr>
          </w:p>
          <w:p>
            <w:pPr>
              <w:pStyle w:val="TableParagraph"/>
              <w:spacing w:before="155"/>
              <w:ind w:right="97"/>
              <w:jc w:val="right"/>
              <w:rPr>
                <w:sz w:val="21"/>
              </w:rPr>
            </w:pPr>
            <w:r>
              <w:rPr>
                <w:sz w:val="21"/>
              </w:rPr>
              <w:t>2.87%</w:t>
            </w:r>
          </w:p>
        </w:tc>
        <w:tc>
          <w:tcPr>
            <w:tcW w:w="1079" w:type="dxa"/>
          </w:tcPr>
          <w:p>
            <w:pPr>
              <w:pStyle w:val="TableParagraph"/>
              <w:rPr>
                <w:sz w:val="20"/>
              </w:rPr>
            </w:pPr>
          </w:p>
          <w:p>
            <w:pPr>
              <w:pStyle w:val="TableParagraph"/>
              <w:spacing w:before="155"/>
              <w:ind w:right="97"/>
              <w:jc w:val="right"/>
              <w:rPr>
                <w:sz w:val="21"/>
              </w:rPr>
            </w:pPr>
            <w:r>
              <w:rPr>
                <w:sz w:val="21"/>
              </w:rPr>
              <w:t>1.43%</w:t>
            </w:r>
          </w:p>
        </w:tc>
        <w:tc>
          <w:tcPr>
            <w:tcW w:w="1439" w:type="dxa"/>
          </w:tcPr>
          <w:p>
            <w:pPr>
              <w:pStyle w:val="TableParagraph"/>
              <w:rPr>
                <w:sz w:val="20"/>
              </w:rPr>
            </w:pPr>
          </w:p>
          <w:p>
            <w:pPr>
              <w:pStyle w:val="TableParagraph"/>
              <w:spacing w:before="155"/>
              <w:ind w:right="96"/>
              <w:jc w:val="right"/>
              <w:rPr>
                <w:sz w:val="21"/>
              </w:rPr>
            </w:pPr>
            <w:r>
              <w:rPr>
                <w:sz w:val="21"/>
              </w:rPr>
              <w:t>1.64%</w:t>
            </w:r>
          </w:p>
        </w:tc>
        <w:tc>
          <w:tcPr>
            <w:tcW w:w="1338" w:type="dxa"/>
          </w:tcPr>
          <w:p>
            <w:pPr>
              <w:pStyle w:val="TableParagraph"/>
              <w:rPr>
                <w:sz w:val="20"/>
              </w:rPr>
            </w:pPr>
          </w:p>
          <w:p>
            <w:pPr>
              <w:pStyle w:val="TableParagraph"/>
              <w:spacing w:before="155"/>
              <w:ind w:right="96"/>
              <w:jc w:val="right"/>
              <w:rPr>
                <w:sz w:val="21"/>
              </w:rPr>
            </w:pPr>
            <w:r>
              <w:rPr>
                <w:sz w:val="21"/>
              </w:rPr>
              <w:t>1.45%</w:t>
            </w:r>
          </w:p>
        </w:tc>
        <w:tc>
          <w:tcPr>
            <w:tcW w:w="1133" w:type="dxa"/>
          </w:tcPr>
          <w:p>
            <w:pPr>
              <w:pStyle w:val="TableParagraph"/>
              <w:rPr>
                <w:sz w:val="20"/>
              </w:rPr>
            </w:pPr>
          </w:p>
          <w:p>
            <w:pPr>
              <w:pStyle w:val="TableParagraph"/>
              <w:spacing w:before="155"/>
              <w:ind w:right="96"/>
              <w:jc w:val="right"/>
              <w:rPr>
                <w:sz w:val="21"/>
              </w:rPr>
            </w:pPr>
            <w:r>
              <w:rPr>
                <w:sz w:val="21"/>
              </w:rPr>
              <w:t>1.23%</w:t>
            </w:r>
          </w:p>
        </w:tc>
        <w:tc>
          <w:tcPr>
            <w:tcW w:w="1266" w:type="dxa"/>
          </w:tcPr>
          <w:p>
            <w:pPr>
              <w:pStyle w:val="TableParagraph"/>
              <w:rPr>
                <w:sz w:val="20"/>
              </w:rPr>
            </w:pPr>
          </w:p>
          <w:p>
            <w:pPr>
              <w:pStyle w:val="TableParagraph"/>
              <w:spacing w:before="155"/>
              <w:ind w:right="97"/>
              <w:jc w:val="right"/>
              <w:rPr>
                <w:sz w:val="21"/>
              </w:rPr>
            </w:pPr>
            <w:r>
              <w:rPr>
                <w:sz w:val="21"/>
              </w:rPr>
              <w:t>-0.02%</w:t>
            </w:r>
          </w:p>
        </w:tc>
      </w:tr>
    </w:tbl>
    <w:p>
      <w:pPr>
        <w:pStyle w:val="BodyText"/>
        <w:spacing w:line="364" w:lineRule="auto" w:before="3"/>
        <w:ind w:left="413" w:right="1451" w:firstLine="420"/>
        <w:jc w:val="both"/>
      </w:pPr>
      <w:r>
        <w:rPr/>
        <w:t>2</w:t>
      </w:r>
      <w:r>
        <w:rPr>
          <w:spacing w:val="-7"/>
        </w:rPr>
        <w:t>、易方达沪深 </w:t>
      </w:r>
      <w:r>
        <w:rPr/>
        <w:t>300ETF</w:t>
      </w:r>
      <w:r>
        <w:rPr>
          <w:spacing w:val="-15"/>
        </w:rPr>
        <w:t> 发起式联接 </w:t>
      </w:r>
      <w:r>
        <w:rPr/>
        <w:t>C</w:t>
      </w:r>
      <w:r>
        <w:rPr>
          <w:spacing w:val="-12"/>
        </w:rPr>
        <w:t> 类基金份额截至 </w:t>
      </w:r>
      <w:r>
        <w:rPr/>
        <w:t>2020</w:t>
      </w:r>
      <w:r>
        <w:rPr>
          <w:spacing w:val="-31"/>
        </w:rPr>
        <w:t> 年 </w:t>
      </w:r>
      <w:r>
        <w:rPr/>
        <w:t>6</w:t>
      </w:r>
      <w:r>
        <w:rPr>
          <w:spacing w:val="-31"/>
        </w:rPr>
        <w:t> 月 </w:t>
      </w:r>
      <w:r>
        <w:rPr/>
        <w:t>30</w:t>
      </w:r>
      <w:r>
        <w:rPr>
          <w:spacing w:val="-7"/>
        </w:rPr>
        <w:t> 日的净值增长率与同期业绩比较基准收益率比较</w:t>
      </w:r>
    </w:p>
    <w:tbl>
      <w:tblPr>
        <w:tblW w:w="0" w:type="auto"/>
        <w:jc w:val="lef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960"/>
        <w:gridCol w:w="1079"/>
        <w:gridCol w:w="1439"/>
        <w:gridCol w:w="1338"/>
        <w:gridCol w:w="1133"/>
        <w:gridCol w:w="1266"/>
      </w:tblGrid>
      <w:tr>
        <w:trPr>
          <w:trHeight w:val="1225" w:hRule="atLeast"/>
        </w:trPr>
        <w:tc>
          <w:tcPr>
            <w:tcW w:w="1560" w:type="dxa"/>
          </w:tcPr>
          <w:p>
            <w:pPr>
              <w:pStyle w:val="TableParagraph"/>
              <w:rPr>
                <w:sz w:val="20"/>
              </w:rPr>
            </w:pPr>
          </w:p>
          <w:p>
            <w:pPr>
              <w:pStyle w:val="TableParagraph"/>
              <w:spacing w:before="151"/>
              <w:ind w:left="550" w:right="540"/>
              <w:jc w:val="center"/>
              <w:rPr>
                <w:sz w:val="21"/>
              </w:rPr>
            </w:pPr>
            <w:r>
              <w:rPr>
                <w:sz w:val="21"/>
              </w:rPr>
              <w:t>阶段</w:t>
            </w:r>
          </w:p>
        </w:tc>
        <w:tc>
          <w:tcPr>
            <w:tcW w:w="960" w:type="dxa"/>
          </w:tcPr>
          <w:p>
            <w:pPr>
              <w:pStyle w:val="TableParagraph"/>
              <w:spacing w:before="11"/>
              <w:rPr>
                <w:sz w:val="15"/>
              </w:rPr>
            </w:pPr>
          </w:p>
          <w:p>
            <w:pPr>
              <w:pStyle w:val="TableParagraph"/>
              <w:spacing w:line="364" w:lineRule="auto"/>
              <w:ind w:left="108" w:right="-15" w:firstLine="57"/>
              <w:rPr>
                <w:sz w:val="21"/>
              </w:rPr>
            </w:pPr>
            <w:r>
              <w:rPr>
                <w:sz w:val="21"/>
              </w:rPr>
              <w:t>净值增</w:t>
            </w:r>
            <w:r>
              <w:rPr>
                <w:spacing w:val="-48"/>
                <w:sz w:val="21"/>
              </w:rPr>
              <w:t>长率</w:t>
            </w:r>
            <w:r>
              <w:rPr>
                <w:spacing w:val="-4"/>
                <w:sz w:val="21"/>
              </w:rPr>
              <w:t>（1）</w:t>
            </w:r>
          </w:p>
        </w:tc>
        <w:tc>
          <w:tcPr>
            <w:tcW w:w="1079" w:type="dxa"/>
          </w:tcPr>
          <w:p>
            <w:pPr>
              <w:pStyle w:val="TableParagraph"/>
              <w:spacing w:line="364" w:lineRule="auto"/>
              <w:ind w:left="119" w:right="107"/>
              <w:jc w:val="center"/>
              <w:rPr>
                <w:sz w:val="21"/>
              </w:rPr>
            </w:pPr>
            <w:r>
              <w:rPr>
                <w:sz w:val="21"/>
              </w:rPr>
              <w:t>净值增长率标准差</w:t>
            </w:r>
          </w:p>
          <w:p>
            <w:pPr>
              <w:pStyle w:val="TableParagraph"/>
              <w:spacing w:line="268" w:lineRule="exact"/>
              <w:ind w:left="117" w:right="107"/>
              <w:jc w:val="center"/>
              <w:rPr>
                <w:sz w:val="21"/>
              </w:rPr>
            </w:pPr>
            <w:r>
              <w:rPr>
                <w:sz w:val="21"/>
              </w:rPr>
              <w:t>（2）</w:t>
            </w:r>
          </w:p>
        </w:tc>
        <w:tc>
          <w:tcPr>
            <w:tcW w:w="1439" w:type="dxa"/>
          </w:tcPr>
          <w:p>
            <w:pPr>
              <w:pStyle w:val="TableParagraph"/>
              <w:spacing w:before="11"/>
              <w:rPr>
                <w:sz w:val="15"/>
              </w:rPr>
            </w:pPr>
          </w:p>
          <w:p>
            <w:pPr>
              <w:pStyle w:val="TableParagraph"/>
              <w:spacing w:line="364" w:lineRule="auto"/>
              <w:ind w:left="107" w:right="-15" w:firstLine="86"/>
              <w:rPr>
                <w:sz w:val="21"/>
              </w:rPr>
            </w:pPr>
            <w:r>
              <w:rPr>
                <w:sz w:val="21"/>
              </w:rPr>
              <w:t>业绩比较基</w:t>
            </w:r>
            <w:r>
              <w:rPr>
                <w:spacing w:val="-10"/>
                <w:sz w:val="21"/>
              </w:rPr>
              <w:t>准收益率</w:t>
            </w:r>
            <w:r>
              <w:rPr>
                <w:spacing w:val="-4"/>
                <w:sz w:val="21"/>
              </w:rPr>
              <w:t>（3）</w:t>
            </w:r>
          </w:p>
        </w:tc>
        <w:tc>
          <w:tcPr>
            <w:tcW w:w="1338" w:type="dxa"/>
          </w:tcPr>
          <w:p>
            <w:pPr>
              <w:pStyle w:val="TableParagraph"/>
              <w:spacing w:line="268" w:lineRule="exact"/>
              <w:ind w:left="143"/>
              <w:rPr>
                <w:sz w:val="21"/>
              </w:rPr>
            </w:pPr>
            <w:r>
              <w:rPr>
                <w:sz w:val="21"/>
              </w:rPr>
              <w:t>业绩比较基</w:t>
            </w:r>
          </w:p>
          <w:p>
            <w:pPr>
              <w:pStyle w:val="TableParagraph"/>
              <w:spacing w:line="410" w:lineRule="atLeast"/>
              <w:ind w:left="196" w:right="132" w:hanging="53"/>
              <w:rPr>
                <w:sz w:val="21"/>
              </w:rPr>
            </w:pPr>
            <w:r>
              <w:rPr>
                <w:spacing w:val="-4"/>
                <w:sz w:val="21"/>
              </w:rPr>
              <w:t>准收益率标</w:t>
            </w:r>
            <w:r>
              <w:rPr>
                <w:sz w:val="21"/>
              </w:rPr>
              <w:t>准差（4）</w:t>
            </w:r>
          </w:p>
        </w:tc>
        <w:tc>
          <w:tcPr>
            <w:tcW w:w="1133" w:type="dxa"/>
          </w:tcPr>
          <w:p>
            <w:pPr>
              <w:pStyle w:val="TableParagraph"/>
              <w:rPr>
                <w:sz w:val="20"/>
              </w:rPr>
            </w:pPr>
          </w:p>
          <w:p>
            <w:pPr>
              <w:pStyle w:val="TableParagraph"/>
              <w:spacing w:before="151"/>
              <w:ind w:right="-15"/>
              <w:rPr>
                <w:sz w:val="21"/>
              </w:rPr>
            </w:pPr>
            <w:r>
              <w:rPr>
                <w:spacing w:val="-3"/>
                <w:sz w:val="21"/>
              </w:rPr>
              <w:t>（1）-（3）</w:t>
            </w:r>
          </w:p>
        </w:tc>
        <w:tc>
          <w:tcPr>
            <w:tcW w:w="1266" w:type="dxa"/>
          </w:tcPr>
          <w:p>
            <w:pPr>
              <w:pStyle w:val="TableParagraph"/>
              <w:rPr>
                <w:sz w:val="20"/>
              </w:rPr>
            </w:pPr>
          </w:p>
          <w:p>
            <w:pPr>
              <w:pStyle w:val="TableParagraph"/>
              <w:spacing w:before="151"/>
              <w:ind w:right="98"/>
              <w:jc w:val="right"/>
              <w:rPr>
                <w:sz w:val="21"/>
              </w:rPr>
            </w:pPr>
            <w:r>
              <w:rPr>
                <w:sz w:val="21"/>
              </w:rPr>
              <w:t>（2）-（4）</w:t>
            </w:r>
          </w:p>
        </w:tc>
      </w:tr>
      <w:tr>
        <w:trPr>
          <w:trHeight w:val="1225" w:hRule="atLeast"/>
        </w:trPr>
        <w:tc>
          <w:tcPr>
            <w:tcW w:w="1560" w:type="dxa"/>
          </w:tcPr>
          <w:p>
            <w:pPr>
              <w:pStyle w:val="TableParagraph"/>
              <w:spacing w:line="364" w:lineRule="auto"/>
              <w:ind w:right="-15"/>
              <w:rPr>
                <w:sz w:val="21"/>
              </w:rPr>
            </w:pPr>
            <w:r>
              <w:rPr>
                <w:sz w:val="21"/>
              </w:rPr>
              <w:t>2019</w:t>
            </w:r>
            <w:r>
              <w:rPr>
                <w:spacing w:val="-45"/>
                <w:sz w:val="21"/>
              </w:rPr>
              <w:t> 年 </w:t>
            </w:r>
            <w:r>
              <w:rPr>
                <w:sz w:val="21"/>
              </w:rPr>
              <w:t>4</w:t>
            </w:r>
            <w:r>
              <w:rPr>
                <w:spacing w:val="-45"/>
                <w:sz w:val="21"/>
              </w:rPr>
              <w:t> 月 </w:t>
            </w:r>
            <w:r>
              <w:rPr>
                <w:sz w:val="21"/>
              </w:rPr>
              <w:t>26</w:t>
            </w:r>
            <w:r>
              <w:rPr>
                <w:spacing w:val="-34"/>
                <w:sz w:val="21"/>
              </w:rPr>
              <w:t> 日</w:t>
            </w:r>
            <w:r>
              <w:rPr>
                <w:spacing w:val="-40"/>
                <w:sz w:val="21"/>
              </w:rPr>
              <w:t>至 </w:t>
            </w:r>
            <w:r>
              <w:rPr>
                <w:sz w:val="21"/>
              </w:rPr>
              <w:t>2019</w:t>
            </w:r>
            <w:r>
              <w:rPr>
                <w:spacing w:val="-30"/>
                <w:sz w:val="21"/>
              </w:rPr>
              <w:t> 年 </w:t>
            </w:r>
            <w:r>
              <w:rPr>
                <w:sz w:val="21"/>
              </w:rPr>
              <w:t>12</w:t>
            </w:r>
            <w:r>
              <w:rPr>
                <w:spacing w:val="-22"/>
                <w:sz w:val="21"/>
              </w:rPr>
              <w:t> 月</w:t>
            </w:r>
          </w:p>
          <w:p>
            <w:pPr>
              <w:pStyle w:val="TableParagraph"/>
              <w:spacing w:line="268" w:lineRule="exact"/>
              <w:rPr>
                <w:sz w:val="21"/>
              </w:rPr>
            </w:pPr>
            <w:r>
              <w:rPr>
                <w:sz w:val="21"/>
              </w:rPr>
              <w:t>31 日</w:t>
            </w:r>
          </w:p>
        </w:tc>
        <w:tc>
          <w:tcPr>
            <w:tcW w:w="960" w:type="dxa"/>
          </w:tcPr>
          <w:p>
            <w:pPr>
              <w:pStyle w:val="TableParagraph"/>
              <w:rPr>
                <w:sz w:val="20"/>
              </w:rPr>
            </w:pPr>
          </w:p>
          <w:p>
            <w:pPr>
              <w:pStyle w:val="TableParagraph"/>
              <w:spacing w:before="151"/>
              <w:ind w:right="97"/>
              <w:jc w:val="right"/>
              <w:rPr>
                <w:sz w:val="21"/>
              </w:rPr>
            </w:pPr>
            <w:r>
              <w:rPr>
                <w:sz w:val="21"/>
              </w:rPr>
              <w:t>5.57%</w:t>
            </w:r>
          </w:p>
        </w:tc>
        <w:tc>
          <w:tcPr>
            <w:tcW w:w="1079" w:type="dxa"/>
          </w:tcPr>
          <w:p>
            <w:pPr>
              <w:pStyle w:val="TableParagraph"/>
              <w:rPr>
                <w:sz w:val="20"/>
              </w:rPr>
            </w:pPr>
          </w:p>
          <w:p>
            <w:pPr>
              <w:pStyle w:val="TableParagraph"/>
              <w:spacing w:before="151"/>
              <w:ind w:right="97"/>
              <w:jc w:val="right"/>
              <w:rPr>
                <w:sz w:val="21"/>
              </w:rPr>
            </w:pPr>
            <w:r>
              <w:rPr>
                <w:sz w:val="21"/>
              </w:rPr>
              <w:t>1.02%</w:t>
            </w:r>
          </w:p>
        </w:tc>
        <w:tc>
          <w:tcPr>
            <w:tcW w:w="1439" w:type="dxa"/>
          </w:tcPr>
          <w:p>
            <w:pPr>
              <w:pStyle w:val="TableParagraph"/>
              <w:rPr>
                <w:sz w:val="20"/>
              </w:rPr>
            </w:pPr>
          </w:p>
          <w:p>
            <w:pPr>
              <w:pStyle w:val="TableParagraph"/>
              <w:spacing w:before="151"/>
              <w:ind w:right="96"/>
              <w:jc w:val="right"/>
              <w:rPr>
                <w:sz w:val="21"/>
              </w:rPr>
            </w:pPr>
            <w:r>
              <w:rPr>
                <w:sz w:val="21"/>
              </w:rPr>
              <w:t>3.79%</w:t>
            </w:r>
          </w:p>
        </w:tc>
        <w:tc>
          <w:tcPr>
            <w:tcW w:w="1338" w:type="dxa"/>
          </w:tcPr>
          <w:p>
            <w:pPr>
              <w:pStyle w:val="TableParagraph"/>
              <w:rPr>
                <w:sz w:val="20"/>
              </w:rPr>
            </w:pPr>
          </w:p>
          <w:p>
            <w:pPr>
              <w:pStyle w:val="TableParagraph"/>
              <w:spacing w:before="151"/>
              <w:ind w:right="96"/>
              <w:jc w:val="right"/>
              <w:rPr>
                <w:sz w:val="21"/>
              </w:rPr>
            </w:pPr>
            <w:r>
              <w:rPr>
                <w:sz w:val="21"/>
              </w:rPr>
              <w:t>1.03%</w:t>
            </w:r>
          </w:p>
        </w:tc>
        <w:tc>
          <w:tcPr>
            <w:tcW w:w="1133" w:type="dxa"/>
          </w:tcPr>
          <w:p>
            <w:pPr>
              <w:pStyle w:val="TableParagraph"/>
              <w:rPr>
                <w:sz w:val="20"/>
              </w:rPr>
            </w:pPr>
          </w:p>
          <w:p>
            <w:pPr>
              <w:pStyle w:val="TableParagraph"/>
              <w:spacing w:before="151"/>
              <w:ind w:left="499"/>
              <w:rPr>
                <w:sz w:val="21"/>
              </w:rPr>
            </w:pPr>
            <w:r>
              <w:rPr>
                <w:sz w:val="21"/>
              </w:rPr>
              <w:t>1.78%</w:t>
            </w:r>
          </w:p>
        </w:tc>
        <w:tc>
          <w:tcPr>
            <w:tcW w:w="1266" w:type="dxa"/>
          </w:tcPr>
          <w:p>
            <w:pPr>
              <w:pStyle w:val="TableParagraph"/>
              <w:rPr>
                <w:sz w:val="20"/>
              </w:rPr>
            </w:pPr>
          </w:p>
          <w:p>
            <w:pPr>
              <w:pStyle w:val="TableParagraph"/>
              <w:spacing w:before="151"/>
              <w:ind w:right="97"/>
              <w:jc w:val="right"/>
              <w:rPr>
                <w:sz w:val="21"/>
              </w:rPr>
            </w:pPr>
            <w:r>
              <w:rPr>
                <w:sz w:val="21"/>
              </w:rPr>
              <w:t>-0.01%</w:t>
            </w:r>
          </w:p>
        </w:tc>
      </w:tr>
      <w:tr>
        <w:trPr>
          <w:trHeight w:val="1225" w:hRule="atLeast"/>
        </w:trPr>
        <w:tc>
          <w:tcPr>
            <w:tcW w:w="1560" w:type="dxa"/>
          </w:tcPr>
          <w:p>
            <w:pPr>
              <w:pStyle w:val="TableParagraph"/>
              <w:spacing w:line="364" w:lineRule="auto"/>
              <w:ind w:right="-15"/>
              <w:rPr>
                <w:sz w:val="21"/>
              </w:rPr>
            </w:pPr>
            <w:r>
              <w:rPr>
                <w:sz w:val="21"/>
              </w:rPr>
              <w:t>2020</w:t>
            </w:r>
            <w:r>
              <w:rPr>
                <w:spacing w:val="-31"/>
                <w:sz w:val="21"/>
              </w:rPr>
              <w:t> 年 </w:t>
            </w:r>
            <w:r>
              <w:rPr>
                <w:sz w:val="21"/>
              </w:rPr>
              <w:t>1</w:t>
            </w:r>
            <w:r>
              <w:rPr>
                <w:spacing w:val="-31"/>
                <w:sz w:val="21"/>
              </w:rPr>
              <w:t> 月 </w:t>
            </w:r>
            <w:r>
              <w:rPr>
                <w:sz w:val="21"/>
              </w:rPr>
              <w:t>1</w:t>
            </w:r>
            <w:r>
              <w:rPr>
                <w:spacing w:val="-23"/>
                <w:sz w:val="21"/>
              </w:rPr>
              <w:t> 日</w:t>
            </w:r>
            <w:r>
              <w:rPr>
                <w:spacing w:val="-45"/>
                <w:sz w:val="21"/>
              </w:rPr>
              <w:t>至 </w:t>
            </w:r>
            <w:r>
              <w:rPr>
                <w:sz w:val="21"/>
              </w:rPr>
              <w:t>2020</w:t>
            </w:r>
            <w:r>
              <w:rPr>
                <w:spacing w:val="-45"/>
                <w:sz w:val="21"/>
              </w:rPr>
              <w:t> 年 </w:t>
            </w:r>
            <w:r>
              <w:rPr>
                <w:sz w:val="21"/>
              </w:rPr>
              <w:t>6</w:t>
            </w:r>
            <w:r>
              <w:rPr>
                <w:spacing w:val="-45"/>
                <w:sz w:val="21"/>
              </w:rPr>
              <w:t> 月 </w:t>
            </w:r>
            <w:r>
              <w:rPr>
                <w:sz w:val="21"/>
              </w:rPr>
              <w:t>30</w:t>
            </w:r>
          </w:p>
          <w:p>
            <w:pPr>
              <w:pStyle w:val="TableParagraph"/>
              <w:spacing w:line="268" w:lineRule="exact"/>
              <w:rPr>
                <w:sz w:val="21"/>
              </w:rPr>
            </w:pPr>
            <w:r>
              <w:rPr>
                <w:sz w:val="21"/>
              </w:rPr>
              <w:t>日</w:t>
            </w:r>
          </w:p>
        </w:tc>
        <w:tc>
          <w:tcPr>
            <w:tcW w:w="960" w:type="dxa"/>
          </w:tcPr>
          <w:p>
            <w:pPr>
              <w:pStyle w:val="TableParagraph"/>
              <w:rPr>
                <w:sz w:val="20"/>
              </w:rPr>
            </w:pPr>
          </w:p>
          <w:p>
            <w:pPr>
              <w:pStyle w:val="TableParagraph"/>
              <w:spacing w:before="151"/>
              <w:ind w:right="97"/>
              <w:jc w:val="right"/>
              <w:rPr>
                <w:sz w:val="21"/>
              </w:rPr>
            </w:pPr>
            <w:r>
              <w:rPr>
                <w:sz w:val="21"/>
              </w:rPr>
              <w:t>2.76%</w:t>
            </w:r>
          </w:p>
        </w:tc>
        <w:tc>
          <w:tcPr>
            <w:tcW w:w="1079" w:type="dxa"/>
          </w:tcPr>
          <w:p>
            <w:pPr>
              <w:pStyle w:val="TableParagraph"/>
              <w:rPr>
                <w:sz w:val="20"/>
              </w:rPr>
            </w:pPr>
          </w:p>
          <w:p>
            <w:pPr>
              <w:pStyle w:val="TableParagraph"/>
              <w:spacing w:before="151"/>
              <w:ind w:right="97"/>
              <w:jc w:val="right"/>
              <w:rPr>
                <w:sz w:val="21"/>
              </w:rPr>
            </w:pPr>
            <w:r>
              <w:rPr>
                <w:sz w:val="21"/>
              </w:rPr>
              <w:t>1.43%</w:t>
            </w:r>
          </w:p>
        </w:tc>
        <w:tc>
          <w:tcPr>
            <w:tcW w:w="1439" w:type="dxa"/>
          </w:tcPr>
          <w:p>
            <w:pPr>
              <w:pStyle w:val="TableParagraph"/>
              <w:rPr>
                <w:sz w:val="20"/>
              </w:rPr>
            </w:pPr>
          </w:p>
          <w:p>
            <w:pPr>
              <w:pStyle w:val="TableParagraph"/>
              <w:spacing w:before="151"/>
              <w:ind w:right="96"/>
              <w:jc w:val="right"/>
              <w:rPr>
                <w:sz w:val="21"/>
              </w:rPr>
            </w:pPr>
            <w:r>
              <w:rPr>
                <w:sz w:val="21"/>
              </w:rPr>
              <w:t>1.64%</w:t>
            </w:r>
          </w:p>
        </w:tc>
        <w:tc>
          <w:tcPr>
            <w:tcW w:w="1338" w:type="dxa"/>
          </w:tcPr>
          <w:p>
            <w:pPr>
              <w:pStyle w:val="TableParagraph"/>
              <w:rPr>
                <w:sz w:val="20"/>
              </w:rPr>
            </w:pPr>
          </w:p>
          <w:p>
            <w:pPr>
              <w:pStyle w:val="TableParagraph"/>
              <w:spacing w:before="151"/>
              <w:ind w:right="96"/>
              <w:jc w:val="right"/>
              <w:rPr>
                <w:sz w:val="21"/>
              </w:rPr>
            </w:pPr>
            <w:r>
              <w:rPr>
                <w:sz w:val="21"/>
              </w:rPr>
              <w:t>1.45%</w:t>
            </w:r>
          </w:p>
        </w:tc>
        <w:tc>
          <w:tcPr>
            <w:tcW w:w="1133" w:type="dxa"/>
          </w:tcPr>
          <w:p>
            <w:pPr>
              <w:pStyle w:val="TableParagraph"/>
              <w:rPr>
                <w:sz w:val="20"/>
              </w:rPr>
            </w:pPr>
          </w:p>
          <w:p>
            <w:pPr>
              <w:pStyle w:val="TableParagraph"/>
              <w:spacing w:before="151"/>
              <w:ind w:left="499"/>
              <w:rPr>
                <w:sz w:val="21"/>
              </w:rPr>
            </w:pPr>
            <w:r>
              <w:rPr>
                <w:sz w:val="21"/>
              </w:rPr>
              <w:t>1.12%</w:t>
            </w:r>
          </w:p>
        </w:tc>
        <w:tc>
          <w:tcPr>
            <w:tcW w:w="1266" w:type="dxa"/>
          </w:tcPr>
          <w:p>
            <w:pPr>
              <w:pStyle w:val="TableParagraph"/>
              <w:rPr>
                <w:sz w:val="20"/>
              </w:rPr>
            </w:pPr>
          </w:p>
          <w:p>
            <w:pPr>
              <w:pStyle w:val="TableParagraph"/>
              <w:spacing w:before="151"/>
              <w:ind w:right="97"/>
              <w:jc w:val="right"/>
              <w:rPr>
                <w:sz w:val="21"/>
              </w:rPr>
            </w:pPr>
            <w:r>
              <w:rPr>
                <w:sz w:val="21"/>
              </w:rPr>
              <w:t>-0.02%</w:t>
            </w:r>
          </w:p>
        </w:tc>
      </w:tr>
      <w:tr>
        <w:trPr>
          <w:trHeight w:val="1225" w:hRule="atLeast"/>
        </w:trPr>
        <w:tc>
          <w:tcPr>
            <w:tcW w:w="1560" w:type="dxa"/>
          </w:tcPr>
          <w:p>
            <w:pPr>
              <w:pStyle w:val="TableParagraph"/>
              <w:spacing w:line="364" w:lineRule="auto"/>
              <w:ind w:right="-15"/>
              <w:rPr>
                <w:sz w:val="21"/>
              </w:rPr>
            </w:pPr>
            <w:r>
              <w:rPr>
                <w:sz w:val="21"/>
              </w:rPr>
              <w:t>2019</w:t>
            </w:r>
            <w:r>
              <w:rPr>
                <w:spacing w:val="-45"/>
                <w:sz w:val="21"/>
              </w:rPr>
              <w:t> 年 </w:t>
            </w:r>
            <w:r>
              <w:rPr>
                <w:sz w:val="21"/>
              </w:rPr>
              <w:t>4</w:t>
            </w:r>
            <w:r>
              <w:rPr>
                <w:spacing w:val="-45"/>
                <w:sz w:val="21"/>
              </w:rPr>
              <w:t> 月 </w:t>
            </w:r>
            <w:r>
              <w:rPr>
                <w:sz w:val="21"/>
              </w:rPr>
              <w:t>26</w:t>
            </w:r>
            <w:r>
              <w:rPr>
                <w:spacing w:val="-34"/>
                <w:sz w:val="21"/>
              </w:rPr>
              <w:t> 日</w:t>
            </w:r>
            <w:r>
              <w:rPr>
                <w:spacing w:val="-51"/>
                <w:sz w:val="21"/>
              </w:rPr>
              <w:t>至 </w:t>
            </w:r>
            <w:r>
              <w:rPr>
                <w:sz w:val="21"/>
              </w:rPr>
              <w:t>2020</w:t>
            </w:r>
            <w:r>
              <w:rPr>
                <w:spacing w:val="-45"/>
                <w:sz w:val="21"/>
              </w:rPr>
              <w:t> 年 </w:t>
            </w:r>
            <w:r>
              <w:rPr>
                <w:sz w:val="21"/>
              </w:rPr>
              <w:t>6</w:t>
            </w:r>
            <w:r>
              <w:rPr>
                <w:spacing w:val="-45"/>
                <w:sz w:val="21"/>
              </w:rPr>
              <w:t> 月 </w:t>
            </w:r>
            <w:r>
              <w:rPr>
                <w:sz w:val="21"/>
              </w:rPr>
              <w:t>30</w:t>
            </w:r>
          </w:p>
          <w:p>
            <w:pPr>
              <w:pStyle w:val="TableParagraph"/>
              <w:spacing w:line="268" w:lineRule="exact"/>
              <w:rPr>
                <w:sz w:val="21"/>
              </w:rPr>
            </w:pPr>
            <w:r>
              <w:rPr>
                <w:sz w:val="21"/>
              </w:rPr>
              <w:t>日</w:t>
            </w:r>
          </w:p>
        </w:tc>
        <w:tc>
          <w:tcPr>
            <w:tcW w:w="960" w:type="dxa"/>
          </w:tcPr>
          <w:p>
            <w:pPr>
              <w:pStyle w:val="TableParagraph"/>
              <w:rPr>
                <w:sz w:val="20"/>
              </w:rPr>
            </w:pPr>
          </w:p>
          <w:p>
            <w:pPr>
              <w:pStyle w:val="TableParagraph"/>
              <w:spacing w:before="151"/>
              <w:ind w:right="97"/>
              <w:jc w:val="right"/>
              <w:rPr>
                <w:sz w:val="21"/>
              </w:rPr>
            </w:pPr>
            <w:r>
              <w:rPr>
                <w:sz w:val="21"/>
              </w:rPr>
              <w:t>8.49%</w:t>
            </w:r>
          </w:p>
        </w:tc>
        <w:tc>
          <w:tcPr>
            <w:tcW w:w="1079" w:type="dxa"/>
          </w:tcPr>
          <w:p>
            <w:pPr>
              <w:pStyle w:val="TableParagraph"/>
              <w:rPr>
                <w:sz w:val="20"/>
              </w:rPr>
            </w:pPr>
          </w:p>
          <w:p>
            <w:pPr>
              <w:pStyle w:val="TableParagraph"/>
              <w:spacing w:before="151"/>
              <w:ind w:right="97"/>
              <w:jc w:val="right"/>
              <w:rPr>
                <w:sz w:val="21"/>
              </w:rPr>
            </w:pPr>
            <w:r>
              <w:rPr>
                <w:sz w:val="21"/>
              </w:rPr>
              <w:t>1.20%</w:t>
            </w:r>
          </w:p>
        </w:tc>
        <w:tc>
          <w:tcPr>
            <w:tcW w:w="1439" w:type="dxa"/>
          </w:tcPr>
          <w:p>
            <w:pPr>
              <w:pStyle w:val="TableParagraph"/>
              <w:rPr>
                <w:sz w:val="20"/>
              </w:rPr>
            </w:pPr>
          </w:p>
          <w:p>
            <w:pPr>
              <w:pStyle w:val="TableParagraph"/>
              <w:spacing w:before="151"/>
              <w:ind w:right="96"/>
              <w:jc w:val="right"/>
              <w:rPr>
                <w:sz w:val="21"/>
              </w:rPr>
            </w:pPr>
            <w:r>
              <w:rPr>
                <w:sz w:val="21"/>
              </w:rPr>
              <w:t>5.49%</w:t>
            </w:r>
          </w:p>
        </w:tc>
        <w:tc>
          <w:tcPr>
            <w:tcW w:w="1338" w:type="dxa"/>
          </w:tcPr>
          <w:p>
            <w:pPr>
              <w:pStyle w:val="TableParagraph"/>
              <w:rPr>
                <w:sz w:val="20"/>
              </w:rPr>
            </w:pPr>
          </w:p>
          <w:p>
            <w:pPr>
              <w:pStyle w:val="TableParagraph"/>
              <w:spacing w:before="151"/>
              <w:ind w:right="96"/>
              <w:jc w:val="right"/>
              <w:rPr>
                <w:sz w:val="21"/>
              </w:rPr>
            </w:pPr>
            <w:r>
              <w:rPr>
                <w:sz w:val="21"/>
              </w:rPr>
              <w:t>1.22%</w:t>
            </w:r>
          </w:p>
        </w:tc>
        <w:tc>
          <w:tcPr>
            <w:tcW w:w="1133" w:type="dxa"/>
          </w:tcPr>
          <w:p>
            <w:pPr>
              <w:pStyle w:val="TableParagraph"/>
              <w:rPr>
                <w:sz w:val="20"/>
              </w:rPr>
            </w:pPr>
          </w:p>
          <w:p>
            <w:pPr>
              <w:pStyle w:val="TableParagraph"/>
              <w:spacing w:before="151"/>
              <w:ind w:left="499"/>
              <w:rPr>
                <w:sz w:val="21"/>
              </w:rPr>
            </w:pPr>
            <w:r>
              <w:rPr>
                <w:sz w:val="21"/>
              </w:rPr>
              <w:t>3.00%</w:t>
            </w:r>
          </w:p>
        </w:tc>
        <w:tc>
          <w:tcPr>
            <w:tcW w:w="1266" w:type="dxa"/>
          </w:tcPr>
          <w:p>
            <w:pPr>
              <w:pStyle w:val="TableParagraph"/>
              <w:rPr>
                <w:sz w:val="20"/>
              </w:rPr>
            </w:pPr>
          </w:p>
          <w:p>
            <w:pPr>
              <w:pStyle w:val="TableParagraph"/>
              <w:spacing w:before="151"/>
              <w:ind w:right="97"/>
              <w:jc w:val="right"/>
              <w:rPr>
                <w:sz w:val="21"/>
              </w:rPr>
            </w:pPr>
            <w:r>
              <w:rPr>
                <w:sz w:val="21"/>
              </w:rPr>
              <w:t>-0.02%</w:t>
            </w:r>
          </w:p>
        </w:tc>
      </w:tr>
    </w:tbl>
    <w:p>
      <w:pPr>
        <w:pStyle w:val="BodyText"/>
        <w:spacing w:line="364" w:lineRule="auto"/>
        <w:ind w:left="413" w:right="1451" w:firstLine="420"/>
        <w:jc w:val="both"/>
      </w:pPr>
      <w:r>
        <w:rPr>
          <w:spacing w:val="-4"/>
        </w:rPr>
        <w:t>注：</w:t>
      </w:r>
      <w:r>
        <w:rPr/>
        <w:t>（1）</w:t>
      </w:r>
      <w:r>
        <w:rPr>
          <w:spacing w:val="-7"/>
        </w:rPr>
        <w:t>根据中国证监会 </w:t>
      </w:r>
      <w:r>
        <w:rPr/>
        <w:t>2013</w:t>
      </w:r>
      <w:r>
        <w:rPr>
          <w:spacing w:val="-36"/>
        </w:rPr>
        <w:t> 年 </w:t>
      </w:r>
      <w:r>
        <w:rPr/>
        <w:t>9</w:t>
      </w:r>
      <w:r>
        <w:rPr>
          <w:spacing w:val="-36"/>
        </w:rPr>
        <w:t> 月 </w:t>
      </w:r>
      <w:r>
        <w:rPr/>
        <w:t>17</w:t>
      </w:r>
      <w:r>
        <w:rPr>
          <w:spacing w:val="-12"/>
        </w:rPr>
        <w:t> 日下发的《关于易方达沪深 </w:t>
      </w:r>
      <w:r>
        <w:rPr/>
        <w:t>300</w:t>
      </w:r>
      <w:r>
        <w:rPr>
          <w:spacing w:val="-12"/>
        </w:rPr>
        <w:t> 指数证券投</w:t>
      </w:r>
      <w:r>
        <w:rPr>
          <w:spacing w:val="-6"/>
        </w:rPr>
        <w:t>资基金基金份额持有人大会决议备案的回函》</w:t>
      </w:r>
      <w:r>
        <w:rPr/>
        <w:t>（基金部函[2013]812</w:t>
      </w:r>
      <w:r>
        <w:rPr>
          <w:spacing w:val="-27"/>
        </w:rPr>
        <w:t> 号</w:t>
      </w:r>
      <w:r>
        <w:rPr>
          <w:spacing w:val="-87"/>
        </w:rPr>
        <w:t>）</w:t>
      </w:r>
      <w:r>
        <w:rPr>
          <w:spacing w:val="-22"/>
        </w:rPr>
        <w:t>，易方达沪深 </w:t>
      </w:r>
      <w:r>
        <w:rPr/>
        <w:t>300</w:t>
      </w:r>
      <w:r>
        <w:rPr>
          <w:spacing w:val="-34"/>
        </w:rPr>
        <w:t> 指</w:t>
      </w:r>
      <w:r>
        <w:rPr>
          <w:spacing w:val="-5"/>
        </w:rPr>
        <w:t>数证券投资基金自 </w:t>
      </w:r>
      <w:r>
        <w:rPr/>
        <w:t>2013</w:t>
      </w:r>
      <w:r>
        <w:rPr>
          <w:spacing w:val="-29"/>
        </w:rPr>
        <w:t> 年 </w:t>
      </w:r>
      <w:r>
        <w:rPr/>
        <w:t>9</w:t>
      </w:r>
      <w:r>
        <w:rPr>
          <w:spacing w:val="-29"/>
        </w:rPr>
        <w:t> 月 </w:t>
      </w:r>
      <w:r>
        <w:rPr/>
        <w:t>17</w:t>
      </w:r>
      <w:r>
        <w:rPr>
          <w:spacing w:val="-10"/>
        </w:rPr>
        <w:t> 日起变更为易方达沪深 </w:t>
      </w:r>
      <w:r>
        <w:rPr/>
        <w:t>300</w:t>
      </w:r>
      <w:r>
        <w:rPr>
          <w:spacing w:val="-7"/>
        </w:rPr>
        <w:t> 交易型开放式指数发起式证券投资基金联接基金，修改基金合同中基金的名称、投资范围、基金份额申购和赎回、基</w:t>
      </w:r>
      <w:r>
        <w:rPr>
          <w:spacing w:val="-8"/>
        </w:rPr>
        <w:t>金的投资和估值、基金的费用、基金份额持有人大会等条款。修订后的《易方达沪深 </w:t>
      </w:r>
      <w:r>
        <w:rPr/>
        <w:t>300</w:t>
      </w:r>
    </w:p>
    <w:p>
      <w:pPr>
        <w:spacing w:after="0" w:line="364" w:lineRule="auto"/>
        <w:jc w:val="both"/>
        <w:sectPr>
          <w:pgSz w:w="11910" w:h="16840"/>
          <w:pgMar w:header="0" w:footer="1166" w:top="1600" w:bottom="1440" w:left="1400" w:right="360"/>
        </w:sectPr>
      </w:pPr>
    </w:p>
    <w:p>
      <w:pPr>
        <w:pStyle w:val="BodyText"/>
        <w:spacing w:before="104"/>
        <w:ind w:left="413"/>
      </w:pPr>
      <w:r>
        <w:rPr/>
        <w:t>交易型开放式指数发起式证券投资基金联接基金基金合同》于 2013 年 9 月 17 日生效。</w:t>
      </w:r>
    </w:p>
    <w:p>
      <w:pPr>
        <w:pStyle w:val="BodyText"/>
        <w:spacing w:before="139"/>
        <w:ind w:left="833"/>
      </w:pPr>
      <w:r>
        <w:rPr/>
        <w:t>（2）自 2019 年 4 月 25 日起，本基金增设 C 类份额类别，份额首次确认日为 2019 年 4</w:t>
      </w:r>
    </w:p>
    <w:p>
      <w:pPr>
        <w:pStyle w:val="BodyText"/>
        <w:spacing w:before="140"/>
        <w:ind w:left="413"/>
      </w:pPr>
      <w:r>
        <w:rPr/>
        <w:t>月 26 日。</w:t>
      </w:r>
    </w:p>
    <w:p>
      <w:pPr>
        <w:spacing w:after="0"/>
        <w:sectPr>
          <w:pgSz w:w="11910" w:h="16840"/>
          <w:pgMar w:header="0" w:footer="1166" w:top="1600" w:bottom="1440" w:left="1400" w:right="360"/>
        </w:sectPr>
      </w:pPr>
    </w:p>
    <w:p>
      <w:pPr>
        <w:pStyle w:val="Heading1"/>
        <w:ind w:left="3268"/>
      </w:pPr>
      <w:bookmarkStart w:name="_bookmark56" w:id="57"/>
      <w:bookmarkEnd w:id="57"/>
      <w:r>
        <w:rPr>
          <w:b w:val="0"/>
        </w:rPr>
      </w:r>
      <w:r>
        <w:rPr/>
        <w:t>十三、基金的财产</w:t>
      </w:r>
    </w:p>
    <w:p>
      <w:pPr>
        <w:pStyle w:val="Heading3"/>
        <w:spacing w:before="139"/>
      </w:pPr>
      <w:bookmarkStart w:name="_bookmark57" w:id="58"/>
      <w:bookmarkEnd w:id="58"/>
      <w:r>
        <w:rPr/>
      </w:r>
      <w:r>
        <w:rPr/>
        <w:t>（一）基金资产总值</w:t>
      </w:r>
    </w:p>
    <w:p>
      <w:pPr>
        <w:pStyle w:val="BodyText"/>
        <w:spacing w:line="364" w:lineRule="auto" w:before="185"/>
        <w:ind w:left="413" w:right="1452" w:firstLine="420"/>
      </w:pPr>
      <w:r>
        <w:rPr/>
        <w:t>基金资产总值是指基金拥有的各类有价证券、银行存款本息、基金应收申购款以及其他资产的价值总和。</w:t>
      </w:r>
    </w:p>
    <w:p>
      <w:pPr>
        <w:pStyle w:val="Heading3"/>
      </w:pPr>
      <w:bookmarkStart w:name="_bookmark58" w:id="59"/>
      <w:bookmarkEnd w:id="59"/>
      <w:r>
        <w:rPr/>
      </w:r>
      <w:r>
        <w:rPr/>
        <w:t>（二）基金资产净值</w:t>
      </w:r>
    </w:p>
    <w:p>
      <w:pPr>
        <w:pStyle w:val="BodyText"/>
        <w:spacing w:before="185"/>
        <w:ind w:left="833"/>
      </w:pPr>
      <w:r>
        <w:rPr/>
        <w:t>基金资产净值是指基金资产总值减去负债后的价值。</w:t>
      </w:r>
    </w:p>
    <w:p>
      <w:pPr>
        <w:pStyle w:val="Heading3"/>
        <w:spacing w:before="140"/>
      </w:pPr>
      <w:bookmarkStart w:name="_bookmark59" w:id="60"/>
      <w:bookmarkEnd w:id="60"/>
      <w:r>
        <w:rPr/>
      </w:r>
      <w:r>
        <w:rPr/>
        <w:t>（三）基金财产的账户</w:t>
      </w:r>
    </w:p>
    <w:p>
      <w:pPr>
        <w:pStyle w:val="BodyText"/>
        <w:spacing w:line="364" w:lineRule="auto" w:before="185"/>
        <w:ind w:left="413" w:right="1452" w:firstLine="420"/>
        <w:jc w:val="both"/>
      </w:pPr>
      <w:r>
        <w:rPr/>
        <w:t>本基金财产以本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pPr>
        <w:pStyle w:val="Heading3"/>
        <w:spacing w:line="358" w:lineRule="exact"/>
      </w:pPr>
      <w:bookmarkStart w:name="_bookmark60" w:id="61"/>
      <w:bookmarkEnd w:id="61"/>
      <w:r>
        <w:rPr/>
      </w:r>
      <w:r>
        <w:rPr/>
        <w:t>（四）基金财产的处分</w:t>
      </w:r>
    </w:p>
    <w:p>
      <w:pPr>
        <w:pStyle w:val="BodyText"/>
        <w:spacing w:line="364" w:lineRule="auto" w:before="185"/>
        <w:ind w:left="413" w:right="1452" w:firstLine="420"/>
        <w:jc w:val="both"/>
      </w:pPr>
      <w:r>
        <w:rPr/>
        <w:t>基金财产独立于基金管理人、基金托管人和非直销销售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pPr>
        <w:pStyle w:val="BodyText"/>
        <w:spacing w:line="364" w:lineRule="auto"/>
        <w:ind w:left="413" w:right="1452" w:firstLine="420"/>
      </w:pPr>
      <w:r>
        <w:rPr/>
        <w:t>基金管理人、基金托管人因依法解散、被依法撤销或者被依法宣告破产等原因进行清算的，基金财产不属于其清算财产。</w:t>
      </w:r>
    </w:p>
    <w:p>
      <w:pPr>
        <w:pStyle w:val="BodyText"/>
        <w:spacing w:line="364" w:lineRule="auto"/>
        <w:ind w:left="413" w:right="1451" w:firstLine="420"/>
      </w:pPr>
      <w:r>
        <w:rPr>
          <w:spacing w:val="-12"/>
        </w:rPr>
        <w:t>除依据《基金法》、基金合同及其他有关规定处分外，基金财产不得被处分。非因基金</w:t>
      </w:r>
      <w:r>
        <w:rPr/>
        <w:t>财产本身承担的债务，不得对基金财产强制执行。</w:t>
      </w:r>
    </w:p>
    <w:p>
      <w:pPr>
        <w:spacing w:after="0" w:line="364" w:lineRule="auto"/>
        <w:sectPr>
          <w:pgSz w:w="11910" w:h="16840"/>
          <w:pgMar w:header="0" w:footer="1166" w:top="1600" w:bottom="1440" w:left="1400" w:right="360"/>
        </w:sectPr>
      </w:pPr>
    </w:p>
    <w:p>
      <w:pPr>
        <w:pStyle w:val="Heading1"/>
        <w:ind w:left="3107"/>
      </w:pPr>
      <w:bookmarkStart w:name="_bookmark61" w:id="62"/>
      <w:bookmarkEnd w:id="62"/>
      <w:r>
        <w:rPr>
          <w:b w:val="0"/>
        </w:rPr>
      </w:r>
      <w:r>
        <w:rPr/>
        <w:t>十四、基金资产估值</w:t>
      </w:r>
    </w:p>
    <w:p>
      <w:pPr>
        <w:pStyle w:val="Heading3"/>
        <w:spacing w:before="139"/>
      </w:pPr>
      <w:bookmarkStart w:name="_bookmark62" w:id="63"/>
      <w:bookmarkEnd w:id="63"/>
      <w:r>
        <w:rPr/>
      </w:r>
      <w:r>
        <w:rPr/>
        <w:t>（一）估值日</w:t>
      </w:r>
    </w:p>
    <w:p>
      <w:pPr>
        <w:pStyle w:val="BodyText"/>
        <w:spacing w:line="364" w:lineRule="auto" w:before="185"/>
        <w:ind w:left="413" w:right="1452" w:firstLine="420"/>
      </w:pPr>
      <w:r>
        <w:rPr/>
        <w:t>本基金的估值日为本基金相关的证券交易场所的正常营业日以及国家法律法规规定需要对外披露基金净值的非营业日。</w:t>
      </w:r>
    </w:p>
    <w:p>
      <w:pPr>
        <w:pStyle w:val="Heading3"/>
      </w:pPr>
      <w:bookmarkStart w:name="_bookmark63" w:id="64"/>
      <w:bookmarkEnd w:id="64"/>
      <w:r>
        <w:rPr/>
      </w:r>
      <w:r>
        <w:rPr/>
        <w:t>（二）估值方法</w:t>
      </w:r>
    </w:p>
    <w:p>
      <w:pPr>
        <w:pStyle w:val="BodyText"/>
        <w:spacing w:before="185"/>
        <w:ind w:left="833"/>
      </w:pPr>
      <w:r>
        <w:rPr/>
        <w:t>1、证券交易所上市的有价证券的估值</w:t>
      </w:r>
    </w:p>
    <w:p>
      <w:pPr>
        <w:pStyle w:val="ListParagraph"/>
        <w:numPr>
          <w:ilvl w:val="0"/>
          <w:numId w:val="26"/>
        </w:numPr>
        <w:tabs>
          <w:tab w:pos="1360" w:val="left" w:leader="none"/>
        </w:tabs>
        <w:spacing w:line="364" w:lineRule="auto" w:before="139" w:after="0"/>
        <w:ind w:left="413" w:right="1451" w:firstLine="420"/>
        <w:jc w:val="both"/>
        <w:rPr>
          <w:sz w:val="21"/>
        </w:rPr>
      </w:pPr>
      <w:r>
        <w:rPr>
          <w:spacing w:val="-3"/>
          <w:sz w:val="21"/>
        </w:rPr>
        <w:t>交易所上市的股票、权证等，以其估值日在证券交易所挂牌的收盘价估值；估值</w:t>
      </w:r>
      <w:r>
        <w:rPr>
          <w:sz w:val="21"/>
        </w:rPr>
        <w:t>日无交易，但最近交易日后经济环境未发生重大变化且证券发行机构未发生影响证券价格的重大事件的，以最近交易日的收盘价估值；估值日无交易，且最近交易日后经济环境发生了重大变化或证券发行机构发生了影响证券价格的重大事件，可参考类似投资品种的现行市价及重大变化因素，调整最近交易日收盘价，确定公允价值。</w:t>
      </w:r>
    </w:p>
    <w:p>
      <w:pPr>
        <w:pStyle w:val="ListParagraph"/>
        <w:numPr>
          <w:ilvl w:val="0"/>
          <w:numId w:val="26"/>
        </w:numPr>
        <w:tabs>
          <w:tab w:pos="1360" w:val="left" w:leader="none"/>
        </w:tabs>
        <w:spacing w:line="364" w:lineRule="auto" w:before="0" w:after="0"/>
        <w:ind w:left="413" w:right="1451" w:firstLine="420"/>
        <w:jc w:val="both"/>
        <w:rPr>
          <w:sz w:val="21"/>
        </w:rPr>
      </w:pPr>
      <w:r>
        <w:rPr>
          <w:spacing w:val="-3"/>
          <w:sz w:val="21"/>
        </w:rPr>
        <w:t>交易所上市实行净价交易的债券按估值日收盘价估值，估值日无交易，但最近交</w:t>
      </w:r>
      <w:r>
        <w:rPr>
          <w:sz w:val="21"/>
        </w:rPr>
        <w:t>易日后经济环境未发生重大变化且证券发行机构未发生影响证券价格的重大事件的，按最近交易日的收盘价估值；估值日无交易，且最近交易日后经济环境发生了重大变化或证券发行机构发生了影响证券价格的重大事件，可参考类似投资品种的现行市价及重大变化因素，调整最近交易日收盘价，确定公允价值。</w:t>
      </w:r>
    </w:p>
    <w:p>
      <w:pPr>
        <w:pStyle w:val="ListParagraph"/>
        <w:numPr>
          <w:ilvl w:val="0"/>
          <w:numId w:val="26"/>
        </w:numPr>
        <w:tabs>
          <w:tab w:pos="1360" w:val="left" w:leader="none"/>
        </w:tabs>
        <w:spacing w:line="364" w:lineRule="auto" w:before="0" w:after="0"/>
        <w:ind w:left="413" w:right="1451" w:firstLine="420"/>
        <w:jc w:val="both"/>
        <w:rPr>
          <w:sz w:val="21"/>
        </w:rPr>
      </w:pPr>
      <w:r>
        <w:rPr>
          <w:spacing w:val="-1"/>
          <w:sz w:val="21"/>
        </w:rPr>
        <w:t>交易所上市未实行净价交易的债券按估值日收盘价减去债券收盘价中所含的债券</w:t>
      </w:r>
      <w:r>
        <w:rPr>
          <w:sz w:val="21"/>
        </w:rPr>
        <w:t>应收利息得到的净价进行估值；估值日无交易，但最近交易日后经济环境未发生重大变化且证券发行机构未发生影响证券价格的重大事件的，按有交易的最近交易日所采用的净价估值；估值日无交易，且最近交易日后经济环境发生了重大变化或证券发行机构发生了影响证券价格的重大事件，可参考类似投资品种的现行市价及重大变化因素，调整最近交易日所采用的净价，确定公允价值。</w:t>
      </w:r>
    </w:p>
    <w:p>
      <w:pPr>
        <w:pStyle w:val="ListParagraph"/>
        <w:numPr>
          <w:ilvl w:val="0"/>
          <w:numId w:val="26"/>
        </w:numPr>
        <w:tabs>
          <w:tab w:pos="1360" w:val="left" w:leader="none"/>
        </w:tabs>
        <w:spacing w:line="364" w:lineRule="auto" w:before="0" w:after="0"/>
        <w:ind w:left="413" w:right="1451" w:firstLine="420"/>
        <w:jc w:val="left"/>
        <w:rPr>
          <w:sz w:val="21"/>
        </w:rPr>
      </w:pPr>
      <w:r>
        <w:rPr>
          <w:spacing w:val="-3"/>
          <w:sz w:val="21"/>
        </w:rPr>
        <w:t>交易所以大宗交易方式交易的资产支持证券，采用估值技术确定公允价值，在估</w:t>
      </w:r>
      <w:r>
        <w:rPr>
          <w:sz w:val="21"/>
        </w:rPr>
        <w:t>值技术难以可靠计量公允价值的情况下，按成本估值。</w:t>
      </w:r>
    </w:p>
    <w:p>
      <w:pPr>
        <w:pStyle w:val="ListParagraph"/>
        <w:numPr>
          <w:ilvl w:val="0"/>
          <w:numId w:val="26"/>
        </w:numPr>
        <w:tabs>
          <w:tab w:pos="1360" w:val="left" w:leader="none"/>
        </w:tabs>
        <w:spacing w:line="268" w:lineRule="exact" w:before="0" w:after="0"/>
        <w:ind w:left="1360" w:right="0" w:hanging="527"/>
        <w:jc w:val="left"/>
        <w:rPr>
          <w:sz w:val="21"/>
        </w:rPr>
      </w:pPr>
      <w:r>
        <w:rPr>
          <w:sz w:val="21"/>
        </w:rPr>
        <w:t>交易所上市不存在活跃市场的其他有价证券，采用估值技术确定公允价值。</w:t>
      </w:r>
    </w:p>
    <w:p>
      <w:pPr>
        <w:pStyle w:val="BodyText"/>
        <w:spacing w:before="132"/>
        <w:ind w:left="833"/>
      </w:pPr>
      <w:r>
        <w:rPr/>
        <w:t>2、处于未上市期间的有价证券应区分如下情况处理：</w:t>
      </w:r>
    </w:p>
    <w:p>
      <w:pPr>
        <w:pStyle w:val="ListParagraph"/>
        <w:numPr>
          <w:ilvl w:val="0"/>
          <w:numId w:val="27"/>
        </w:numPr>
        <w:tabs>
          <w:tab w:pos="1360" w:val="left" w:leader="none"/>
        </w:tabs>
        <w:spacing w:line="364" w:lineRule="auto" w:before="140" w:after="0"/>
        <w:ind w:left="413" w:right="1451" w:firstLine="420"/>
        <w:jc w:val="left"/>
        <w:rPr>
          <w:sz w:val="21"/>
        </w:rPr>
      </w:pPr>
      <w:r>
        <w:rPr>
          <w:spacing w:val="-5"/>
          <w:sz w:val="21"/>
        </w:rPr>
        <w:t>送股、转增股、配股和公开增发的新股，按估值日在证券交易所挂牌的同一股票</w:t>
      </w:r>
      <w:r>
        <w:rPr>
          <w:sz w:val="21"/>
        </w:rPr>
        <w:t>的估值价格估值；</w:t>
      </w:r>
    </w:p>
    <w:p>
      <w:pPr>
        <w:pStyle w:val="ListParagraph"/>
        <w:numPr>
          <w:ilvl w:val="0"/>
          <w:numId w:val="27"/>
        </w:numPr>
        <w:tabs>
          <w:tab w:pos="1360" w:val="left" w:leader="none"/>
        </w:tabs>
        <w:spacing w:line="364" w:lineRule="auto" w:before="0" w:after="0"/>
        <w:ind w:left="413" w:right="1451" w:firstLine="420"/>
        <w:jc w:val="left"/>
        <w:rPr>
          <w:sz w:val="21"/>
        </w:rPr>
      </w:pPr>
      <w:r>
        <w:rPr>
          <w:spacing w:val="-4"/>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27"/>
        </w:numPr>
        <w:tabs>
          <w:tab w:pos="1360" w:val="left" w:leader="none"/>
        </w:tabs>
        <w:spacing w:line="364" w:lineRule="auto" w:before="0" w:after="0"/>
        <w:ind w:left="413" w:right="1451" w:firstLine="420"/>
        <w:jc w:val="left"/>
        <w:rPr>
          <w:sz w:val="21"/>
        </w:rPr>
      </w:pPr>
      <w:r>
        <w:rPr>
          <w:spacing w:val="-3"/>
          <w:sz w:val="21"/>
        </w:rPr>
        <w:t>首次公开发行有明确锁定期的股票，同一股票在交易所上市后，按估值日在证券</w:t>
      </w:r>
      <w:r>
        <w:rPr>
          <w:sz w:val="21"/>
        </w:rPr>
        <w:t>交易所挂牌的同一股票的估值价格估值；非公开发行有明确锁定期的股票，按监管机构或</w:t>
      </w:r>
    </w:p>
    <w:p>
      <w:pPr>
        <w:spacing w:after="0" w:line="364" w:lineRule="auto"/>
        <w:jc w:val="left"/>
        <w:rPr>
          <w:sz w:val="21"/>
        </w:rPr>
        <w:sectPr>
          <w:pgSz w:w="11910" w:h="16840"/>
          <w:pgMar w:header="0" w:footer="1166" w:top="1600" w:bottom="1440" w:left="1400" w:right="360"/>
        </w:sectPr>
      </w:pPr>
    </w:p>
    <w:p>
      <w:pPr>
        <w:pStyle w:val="BodyText"/>
        <w:spacing w:before="104"/>
        <w:ind w:left="413"/>
      </w:pPr>
      <w:r>
        <w:rPr/>
        <w:t>行业协会有关规定确定公允价值。</w:t>
      </w:r>
    </w:p>
    <w:p>
      <w:pPr>
        <w:pStyle w:val="BodyText"/>
        <w:spacing w:before="139"/>
        <w:ind w:left="833"/>
      </w:pPr>
      <w:r>
        <w:rPr/>
        <w:t>3、对持有的目标 ETF 基金，按估值日目标 ETF 基金的份额净值估值。</w:t>
      </w:r>
    </w:p>
    <w:p>
      <w:pPr>
        <w:pStyle w:val="BodyText"/>
        <w:spacing w:line="364" w:lineRule="auto" w:before="140"/>
        <w:ind w:left="413" w:right="1429" w:firstLine="420"/>
      </w:pPr>
      <w:r>
        <w:rPr/>
        <w:t>4、因持有股票而享有的配股权，以及停止交易、但未行权的权证，采用估值技术确定公允价值。</w:t>
      </w:r>
    </w:p>
    <w:p>
      <w:pPr>
        <w:pStyle w:val="BodyText"/>
        <w:spacing w:line="364" w:lineRule="auto"/>
        <w:ind w:left="413" w:right="1429" w:firstLine="420"/>
      </w:pPr>
      <w:r>
        <w:rPr/>
        <w:t>5、全国银行间债券市场交易的债券、资产支持证券等固定收益品种，采用估值技术确定公允价值。</w:t>
      </w:r>
    </w:p>
    <w:p>
      <w:pPr>
        <w:pStyle w:val="BodyText"/>
        <w:spacing w:line="364" w:lineRule="auto"/>
        <w:ind w:left="413" w:right="1429" w:firstLine="420"/>
      </w:pPr>
      <w:r>
        <w:rPr/>
        <w:t>6、股指期货合约一般以估值当日结算价进行估值，估值当日无结算价的，且最近交易日后经济环境未发生重大变化的，采用最近交易日结算价估值。</w:t>
      </w:r>
    </w:p>
    <w:p>
      <w:pPr>
        <w:pStyle w:val="BodyText"/>
        <w:spacing w:line="268" w:lineRule="exact"/>
        <w:ind w:left="833"/>
      </w:pPr>
      <w:r>
        <w:rPr/>
        <w:t>7、本基金投资存托凭证的估值核算，依照境内上市交易的股票执行。</w:t>
      </w:r>
    </w:p>
    <w:p>
      <w:pPr>
        <w:pStyle w:val="BodyText"/>
        <w:spacing w:line="364" w:lineRule="auto" w:before="137"/>
        <w:ind w:left="413" w:right="1429" w:firstLine="420"/>
      </w:pPr>
      <w:r>
        <w:rPr/>
        <w:t>8、如有确凿证据表明按上述方法进行估值不能客观反映其公允价值的，基金管理人可根据具体情况与基金托管人商定后，按最能反映公允价值的价格估值。</w:t>
      </w:r>
    </w:p>
    <w:p>
      <w:pPr>
        <w:pStyle w:val="BodyText"/>
        <w:spacing w:line="364" w:lineRule="auto"/>
        <w:ind w:left="413" w:right="1451" w:firstLine="420"/>
      </w:pPr>
      <w:r>
        <w:rPr/>
        <w:t>9</w:t>
      </w:r>
      <w:r>
        <w:rPr>
          <w:spacing w:val="-5"/>
        </w:rPr>
        <w:t>、相关法律法规以及监管部门有强制规定的，从其规定。如有新增事项，按国家最新</w:t>
      </w:r>
      <w:r>
        <w:rPr/>
        <w:t>规定估值。</w:t>
      </w:r>
    </w:p>
    <w:p>
      <w:pPr>
        <w:pStyle w:val="BodyText"/>
        <w:spacing w:line="364" w:lineRule="auto"/>
        <w:ind w:left="413" w:right="1451" w:firstLine="420"/>
        <w:jc w:val="both"/>
      </w:pPr>
      <w:r>
        <w:rPr>
          <w:spacing w:val="-13"/>
        </w:rPr>
        <w:t>根据《基金法》，基金管理人计算并公告基金资产净值，基金托管人复核、审查基金管</w:t>
      </w:r>
      <w:r>
        <w:rPr/>
        <w:t>理人计算的基金资产净值。因此，就与本基金有关的会计问题，如经相关各方在平等基础上充分讨论后，仍无法达成一致的意见，按照基金管理人对基金资产净值的计算结果对外予以公布。</w:t>
      </w:r>
    </w:p>
    <w:p>
      <w:pPr>
        <w:pStyle w:val="Heading3"/>
        <w:spacing w:line="358" w:lineRule="exact"/>
      </w:pPr>
      <w:bookmarkStart w:name="_bookmark64" w:id="65"/>
      <w:bookmarkEnd w:id="65"/>
      <w:r>
        <w:rPr/>
      </w:r>
      <w:r>
        <w:rPr/>
        <w:t>（三）估值对象</w:t>
      </w:r>
    </w:p>
    <w:p>
      <w:pPr>
        <w:pStyle w:val="BodyText"/>
        <w:spacing w:line="364" w:lineRule="auto" w:before="183"/>
        <w:ind w:left="413" w:right="1452" w:firstLine="420"/>
      </w:pPr>
      <w:r>
        <w:rPr/>
        <w:t>基金所拥有的股票、基金、权证、债券、股指期货和银行存款本息、应收款项、其它投资等资产。</w:t>
      </w:r>
    </w:p>
    <w:p>
      <w:pPr>
        <w:pStyle w:val="Heading3"/>
      </w:pPr>
      <w:bookmarkStart w:name="_bookmark65" w:id="66"/>
      <w:bookmarkEnd w:id="66"/>
      <w:r>
        <w:rPr/>
      </w:r>
      <w:r>
        <w:rPr/>
        <w:t>（四）估值程序</w:t>
      </w:r>
    </w:p>
    <w:p>
      <w:pPr>
        <w:pStyle w:val="BodyText"/>
        <w:spacing w:line="364" w:lineRule="auto" w:before="185"/>
        <w:ind w:left="413" w:right="1451" w:firstLine="420"/>
        <w:jc w:val="both"/>
      </w:pPr>
      <w:r>
        <w:rPr/>
        <w:t>1</w:t>
      </w:r>
      <w:r>
        <w:rPr>
          <w:spacing w:val="-5"/>
        </w:rPr>
        <w:t>、各类基金份额净值是按照每个工作日闭市后，该类基金资产净值除以当日该类基金份额的余额数量计算，精确到 </w:t>
      </w:r>
      <w:r>
        <w:rPr/>
        <w:t>0.0001</w:t>
      </w:r>
      <w:r>
        <w:rPr>
          <w:spacing w:val="-9"/>
        </w:rPr>
        <w:t> 元，小数点后第五位四舍五入。国家另有规定的，从</w:t>
      </w:r>
      <w:r>
        <w:rPr/>
        <w:t>其规定。</w:t>
      </w:r>
    </w:p>
    <w:p>
      <w:pPr>
        <w:pStyle w:val="BodyText"/>
        <w:spacing w:line="268" w:lineRule="exact"/>
        <w:ind w:left="833"/>
      </w:pPr>
      <w:r>
        <w:rPr/>
        <w:t>基金管理人每个工作日计算基金资产净值及各类基金份额净值，并按规定公告。</w:t>
      </w:r>
    </w:p>
    <w:p>
      <w:pPr>
        <w:pStyle w:val="BodyText"/>
        <w:spacing w:line="364" w:lineRule="auto" w:before="140"/>
        <w:ind w:left="413" w:right="1451" w:firstLine="420"/>
        <w:jc w:val="both"/>
      </w:pPr>
      <w:r>
        <w:rPr/>
        <w:t>2</w:t>
      </w:r>
      <w:r>
        <w:rPr>
          <w:spacing w:val="-5"/>
        </w:rPr>
        <w:t>、基金管理人应每个工作日对基金资产估值。基金管理人每个工作日对基金资产估值</w:t>
      </w:r>
      <w:r>
        <w:rPr/>
        <w:t>后，将各类基金份额净值结果发送基金托管人，经基金托管人复核无误后，由基金管理人对外公布。月末、年中和年末估值复核与基金会计账目的核对同时进行。</w:t>
      </w:r>
    </w:p>
    <w:p>
      <w:pPr>
        <w:pStyle w:val="Heading3"/>
        <w:spacing w:line="358" w:lineRule="exact"/>
      </w:pPr>
      <w:bookmarkStart w:name="_bookmark66" w:id="67"/>
      <w:bookmarkEnd w:id="67"/>
      <w:r>
        <w:rPr/>
      </w:r>
      <w:r>
        <w:rPr/>
        <w:t>（五）估值错误的处理</w:t>
      </w:r>
    </w:p>
    <w:p>
      <w:pPr>
        <w:pStyle w:val="BodyText"/>
        <w:spacing w:line="364" w:lineRule="auto" w:before="185"/>
        <w:ind w:left="413" w:right="1242" w:firstLine="420"/>
      </w:pPr>
      <w:r>
        <w:rPr/>
        <w:t>基金管理人和基金托管人将采取必要、适当、合理的措施确保基金资产估值的准确性、</w:t>
      </w:r>
      <w:r>
        <w:rPr>
          <w:spacing w:val="-2"/>
        </w:rPr>
        <w:t>及时性。当基金份额净值小数点后 </w:t>
      </w:r>
      <w:r>
        <w:rPr/>
        <w:t>4</w:t>
      </w:r>
      <w:r>
        <w:rPr>
          <w:spacing w:val="-9"/>
        </w:rPr>
        <w:t> 位以内(含第 </w:t>
      </w:r>
      <w:r>
        <w:rPr/>
        <w:t>4</w:t>
      </w:r>
      <w:r>
        <w:rPr>
          <w:spacing w:val="-6"/>
        </w:rPr>
        <w:t> 位)发生差错时，视为基金份额净值错误。</w:t>
      </w:r>
    </w:p>
    <w:p>
      <w:pPr>
        <w:spacing w:after="0" w:line="364" w:lineRule="auto"/>
        <w:sectPr>
          <w:pgSz w:w="11910" w:h="16840"/>
          <w:pgMar w:header="0" w:footer="1166" w:top="1600" w:bottom="1440" w:left="1400" w:right="360"/>
        </w:sectPr>
      </w:pPr>
    </w:p>
    <w:p>
      <w:pPr>
        <w:pStyle w:val="BodyText"/>
        <w:spacing w:before="104"/>
        <w:ind w:left="833"/>
      </w:pPr>
      <w:r>
        <w:rPr/>
        <w:t>基金合同的当事人应按照以下约定处理：</w:t>
      </w:r>
    </w:p>
    <w:p>
      <w:pPr>
        <w:pStyle w:val="BodyText"/>
        <w:spacing w:before="139"/>
        <w:ind w:left="833"/>
      </w:pPr>
      <w:r>
        <w:rPr/>
        <w:t>1、差错类型</w:t>
      </w:r>
    </w:p>
    <w:p>
      <w:pPr>
        <w:pStyle w:val="BodyText"/>
        <w:spacing w:line="364" w:lineRule="auto" w:before="140"/>
        <w:ind w:left="413" w:right="1452" w:firstLine="420"/>
        <w:jc w:val="both"/>
      </w:pPr>
      <w:r>
        <w:rPr/>
        <w:t>本基金运作过程中，如果由于基金管理人或基金托管人、或注册登记机构、或非直销销售机构、或投资人自身的过错造成差错，导致其他当事人遭受损失的，过错的责任人应当对由于该差错遭受损失当事人(“受损方”)的直接损失按下述“差错处理原则”给予赔偿，承担赔偿责任。</w:t>
      </w:r>
    </w:p>
    <w:p>
      <w:pPr>
        <w:pStyle w:val="BodyText"/>
        <w:spacing w:line="364" w:lineRule="auto"/>
        <w:ind w:left="413" w:right="1452" w:firstLine="420"/>
        <w:jc w:val="both"/>
      </w:pPr>
      <w:r>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pStyle w:val="BodyText"/>
        <w:spacing w:line="364" w:lineRule="auto"/>
        <w:ind w:left="413" w:right="1452" w:firstLine="420"/>
        <w:jc w:val="both"/>
      </w:pPr>
      <w:r>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pPr>
        <w:pStyle w:val="BodyText"/>
        <w:spacing w:line="268" w:lineRule="exact"/>
        <w:ind w:left="833"/>
      </w:pPr>
      <w:r>
        <w:rPr/>
        <w:t>2、差错处理原则</w:t>
      </w:r>
    </w:p>
    <w:p>
      <w:pPr>
        <w:pStyle w:val="ListParagraph"/>
        <w:numPr>
          <w:ilvl w:val="0"/>
          <w:numId w:val="28"/>
        </w:numPr>
        <w:tabs>
          <w:tab w:pos="1360" w:val="left" w:leader="none"/>
        </w:tabs>
        <w:spacing w:line="364" w:lineRule="auto" w:before="136" w:after="0"/>
        <w:ind w:left="413" w:right="1451" w:firstLine="420"/>
        <w:jc w:val="both"/>
        <w:rPr>
          <w:sz w:val="21"/>
        </w:rPr>
      </w:pPr>
      <w:r>
        <w:rPr>
          <w:spacing w:val="-4"/>
          <w:sz w:val="21"/>
        </w:rPr>
        <w:t>差错已发生，但尚未给当事人造成损失时，差错责任方应及时协调各方，及时进</w:t>
      </w:r>
      <w:r>
        <w:rPr>
          <w:sz w:val="21"/>
        </w:rPr>
        <w:t>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pPr>
        <w:pStyle w:val="ListParagraph"/>
        <w:numPr>
          <w:ilvl w:val="0"/>
          <w:numId w:val="28"/>
        </w:numPr>
        <w:tabs>
          <w:tab w:pos="1360" w:val="left" w:leader="none"/>
        </w:tabs>
        <w:spacing w:line="364" w:lineRule="auto" w:before="0" w:after="0"/>
        <w:ind w:left="413" w:right="1451" w:firstLine="420"/>
        <w:jc w:val="left"/>
        <w:rPr>
          <w:sz w:val="21"/>
        </w:rPr>
      </w:pPr>
      <w:r>
        <w:rPr>
          <w:spacing w:val="-3"/>
          <w:sz w:val="21"/>
        </w:rPr>
        <w:t>差错的责任方对有关当事人的直接损失负责，不对间接损失负责，并且仅对差错</w:t>
      </w:r>
      <w:r>
        <w:rPr>
          <w:sz w:val="21"/>
        </w:rPr>
        <w:t>的有关直接当事人负责，不对第三方负责。</w:t>
      </w:r>
    </w:p>
    <w:p>
      <w:pPr>
        <w:pStyle w:val="ListParagraph"/>
        <w:numPr>
          <w:ilvl w:val="0"/>
          <w:numId w:val="28"/>
        </w:numPr>
        <w:tabs>
          <w:tab w:pos="1360" w:val="left" w:leader="none"/>
        </w:tabs>
        <w:spacing w:line="364" w:lineRule="auto" w:before="0" w:after="0"/>
        <w:ind w:left="413" w:right="1451" w:firstLine="420"/>
        <w:jc w:val="both"/>
        <w:rPr>
          <w:sz w:val="21"/>
        </w:rPr>
      </w:pPr>
      <w:r>
        <w:rPr>
          <w:spacing w:val="-2"/>
          <w:sz w:val="21"/>
        </w:rPr>
        <w:t>因差错而获得不当得利的当事人负有及时返还不当得利的义务。但差错责任方仍</w:t>
      </w:r>
      <w:r>
        <w:rPr>
          <w:sz w:val="21"/>
        </w:rPr>
        <w:t>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pStyle w:val="ListParagraph"/>
        <w:numPr>
          <w:ilvl w:val="0"/>
          <w:numId w:val="28"/>
        </w:numPr>
        <w:tabs>
          <w:tab w:pos="1360" w:val="left" w:leader="none"/>
        </w:tabs>
        <w:spacing w:line="266" w:lineRule="exact" w:before="0" w:after="0"/>
        <w:ind w:left="1360" w:right="0" w:hanging="527"/>
        <w:jc w:val="left"/>
        <w:rPr>
          <w:sz w:val="21"/>
        </w:rPr>
      </w:pPr>
      <w:r>
        <w:rPr>
          <w:sz w:val="21"/>
        </w:rPr>
        <w:t>差错调整采用尽量恢复至假设未发生差错的正确情形的方式。</w:t>
      </w:r>
    </w:p>
    <w:p>
      <w:pPr>
        <w:pStyle w:val="ListParagraph"/>
        <w:numPr>
          <w:ilvl w:val="0"/>
          <w:numId w:val="28"/>
        </w:numPr>
        <w:tabs>
          <w:tab w:pos="1360" w:val="left" w:leader="none"/>
        </w:tabs>
        <w:spacing w:line="364" w:lineRule="auto" w:before="136" w:after="0"/>
        <w:ind w:left="413" w:right="1451" w:firstLine="420"/>
        <w:jc w:val="both"/>
        <w:rPr>
          <w:sz w:val="21"/>
        </w:rPr>
      </w:pPr>
      <w:r>
        <w:rPr>
          <w:spacing w:val="-3"/>
          <w:sz w:val="21"/>
        </w:rPr>
        <w:t>差错责任方拒绝进行赔偿时，如果因基金管理人过错造成基金财产损失时，基金</w:t>
      </w:r>
      <w:r>
        <w:rPr>
          <w:sz w:val="21"/>
        </w:rPr>
        <w:t>托管人应为基金的利益向基金管理人追偿，如果因基金托管人过错造成基金财产损失时， 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pPr>
        <w:pStyle w:val="ListParagraph"/>
        <w:numPr>
          <w:ilvl w:val="0"/>
          <w:numId w:val="28"/>
        </w:numPr>
        <w:tabs>
          <w:tab w:pos="1360" w:val="left" w:leader="none"/>
        </w:tabs>
        <w:spacing w:line="267" w:lineRule="exact" w:before="0" w:after="0"/>
        <w:ind w:left="1360" w:right="0" w:hanging="527"/>
        <w:jc w:val="left"/>
        <w:rPr>
          <w:sz w:val="21"/>
        </w:rPr>
      </w:pPr>
      <w:r>
        <w:rPr>
          <w:spacing w:val="-2"/>
          <w:sz w:val="21"/>
        </w:rPr>
        <w:t>如果出现差错的当事人未按规定对受损方进行赔偿，并且依据法律法规、基金合</w:t>
      </w:r>
    </w:p>
    <w:p>
      <w:pPr>
        <w:spacing w:after="0" w:line="267" w:lineRule="exact"/>
        <w:jc w:val="left"/>
        <w:rPr>
          <w:sz w:val="21"/>
        </w:rPr>
        <w:sectPr>
          <w:pgSz w:w="11910" w:h="16840"/>
          <w:pgMar w:header="0" w:footer="1166" w:top="1600" w:bottom="1440" w:left="1400" w:right="360"/>
        </w:sectPr>
      </w:pPr>
    </w:p>
    <w:p>
      <w:pPr>
        <w:pStyle w:val="BodyText"/>
        <w:spacing w:line="364" w:lineRule="auto" w:before="104"/>
        <w:ind w:left="413" w:right="1452"/>
        <w:jc w:val="both"/>
      </w:pPr>
      <w:r>
        <w:rPr/>
        <w:t>同或其他规定，基金管理人自行或依据法院判决、仲裁裁决对受损方承担了赔偿责任，则基金管理人有权向出现过错的当事人进行追索，并有权要求其赔偿或补偿由此发生的费用和遭受的直接损失。</w:t>
      </w:r>
    </w:p>
    <w:p>
      <w:pPr>
        <w:pStyle w:val="ListParagraph"/>
        <w:numPr>
          <w:ilvl w:val="0"/>
          <w:numId w:val="28"/>
        </w:numPr>
        <w:tabs>
          <w:tab w:pos="1360" w:val="left" w:leader="none"/>
        </w:tabs>
        <w:spacing w:line="268" w:lineRule="exact" w:before="0" w:after="0"/>
        <w:ind w:left="1360" w:right="0" w:hanging="527"/>
        <w:jc w:val="left"/>
        <w:rPr>
          <w:sz w:val="21"/>
        </w:rPr>
      </w:pPr>
      <w:r>
        <w:rPr>
          <w:sz w:val="21"/>
        </w:rPr>
        <w:t>按法律法规规定的其他原则处理差错。</w:t>
      </w:r>
    </w:p>
    <w:p>
      <w:pPr>
        <w:pStyle w:val="BodyText"/>
        <w:spacing w:before="139"/>
        <w:ind w:left="833"/>
      </w:pPr>
      <w:r>
        <w:rPr/>
        <w:t>3、差错处理程序</w:t>
      </w:r>
    </w:p>
    <w:p>
      <w:pPr>
        <w:pStyle w:val="BodyText"/>
        <w:spacing w:before="140"/>
        <w:ind w:left="833"/>
      </w:pPr>
      <w:r>
        <w:rPr/>
        <w:t>差错被发现后，有关的当事人应当及时进行处理，处理的程序如下：</w:t>
      </w:r>
    </w:p>
    <w:p>
      <w:pPr>
        <w:pStyle w:val="ListParagraph"/>
        <w:numPr>
          <w:ilvl w:val="0"/>
          <w:numId w:val="29"/>
        </w:numPr>
        <w:tabs>
          <w:tab w:pos="1360" w:val="left" w:leader="none"/>
        </w:tabs>
        <w:spacing w:line="364" w:lineRule="auto" w:before="139" w:after="0"/>
        <w:ind w:left="413" w:right="1451" w:firstLine="420"/>
        <w:jc w:val="left"/>
        <w:rPr>
          <w:sz w:val="21"/>
        </w:rPr>
      </w:pPr>
      <w:r>
        <w:rPr>
          <w:spacing w:val="-3"/>
          <w:sz w:val="21"/>
        </w:rPr>
        <w:t>查明差错发生的原因，列明所有的当事人，并根据差错发生的原因确定差错的责</w:t>
      </w:r>
      <w:r>
        <w:rPr>
          <w:sz w:val="21"/>
        </w:rPr>
        <w:t>任方；</w:t>
      </w:r>
    </w:p>
    <w:p>
      <w:pPr>
        <w:pStyle w:val="ListParagraph"/>
        <w:numPr>
          <w:ilvl w:val="0"/>
          <w:numId w:val="29"/>
        </w:numPr>
        <w:tabs>
          <w:tab w:pos="1360" w:val="left" w:leader="none"/>
        </w:tabs>
        <w:spacing w:line="268" w:lineRule="exact" w:before="0" w:after="0"/>
        <w:ind w:left="1360" w:right="0" w:hanging="527"/>
        <w:jc w:val="left"/>
        <w:rPr>
          <w:sz w:val="21"/>
        </w:rPr>
      </w:pPr>
      <w:r>
        <w:rPr>
          <w:sz w:val="21"/>
        </w:rPr>
        <w:t>根据差错处理原则或当事人协商的方法对因差错造成的损失进行评估；</w:t>
      </w:r>
    </w:p>
    <w:p>
      <w:pPr>
        <w:pStyle w:val="ListParagraph"/>
        <w:numPr>
          <w:ilvl w:val="0"/>
          <w:numId w:val="29"/>
        </w:numPr>
        <w:tabs>
          <w:tab w:pos="1360" w:val="left" w:leader="none"/>
        </w:tabs>
        <w:spacing w:line="240" w:lineRule="auto" w:before="140" w:after="0"/>
        <w:ind w:left="1360" w:right="0" w:hanging="527"/>
        <w:jc w:val="left"/>
        <w:rPr>
          <w:sz w:val="21"/>
        </w:rPr>
      </w:pPr>
      <w:r>
        <w:rPr>
          <w:sz w:val="21"/>
        </w:rPr>
        <w:t>根据差错处理原则或当事人协商的方法由差错的责任方进行更正和赔偿损失；</w:t>
      </w:r>
    </w:p>
    <w:p>
      <w:pPr>
        <w:pStyle w:val="ListParagraph"/>
        <w:numPr>
          <w:ilvl w:val="0"/>
          <w:numId w:val="29"/>
        </w:numPr>
        <w:tabs>
          <w:tab w:pos="1360" w:val="left" w:leader="none"/>
        </w:tabs>
        <w:spacing w:line="364" w:lineRule="auto" w:before="139" w:after="0"/>
        <w:ind w:left="413" w:right="1451" w:firstLine="420"/>
        <w:jc w:val="left"/>
        <w:rPr>
          <w:sz w:val="21"/>
        </w:rPr>
      </w:pPr>
      <w:r>
        <w:rPr>
          <w:spacing w:val="-3"/>
          <w:sz w:val="21"/>
        </w:rPr>
        <w:t>根据差错处理的方法，需要修改基金注册登记机构交易数据的，由基金注册登记</w:t>
      </w:r>
      <w:r>
        <w:rPr>
          <w:sz w:val="21"/>
        </w:rPr>
        <w:t>机构进行更正，并就差错的更正向有关当事人进行确认。</w:t>
      </w:r>
    </w:p>
    <w:p>
      <w:pPr>
        <w:pStyle w:val="BodyText"/>
        <w:spacing w:line="268" w:lineRule="exact"/>
        <w:ind w:left="833"/>
      </w:pPr>
      <w:r>
        <w:rPr/>
        <w:t>4、基金份额净值差错处理的原则和方法如下：</w:t>
      </w:r>
    </w:p>
    <w:p>
      <w:pPr>
        <w:pStyle w:val="ListParagraph"/>
        <w:numPr>
          <w:ilvl w:val="0"/>
          <w:numId w:val="30"/>
        </w:numPr>
        <w:tabs>
          <w:tab w:pos="1360" w:val="left" w:leader="none"/>
        </w:tabs>
        <w:spacing w:line="364" w:lineRule="auto" w:before="140" w:after="0"/>
        <w:ind w:left="413" w:right="1346" w:firstLine="420"/>
        <w:jc w:val="left"/>
        <w:rPr>
          <w:sz w:val="21"/>
        </w:rPr>
      </w:pPr>
      <w:r>
        <w:rPr>
          <w:spacing w:val="-5"/>
          <w:sz w:val="21"/>
        </w:rPr>
        <w:t>基金份额净值计算出现错误时，基金管理人应当立即予以纠正，通报基金托管人</w:t>
      </w:r>
      <w:r>
        <w:rPr>
          <w:spacing w:val="-4"/>
          <w:sz w:val="21"/>
        </w:rPr>
        <w:t>，并采取合理的措施防止损失进一步扩大。</w:t>
      </w:r>
    </w:p>
    <w:p>
      <w:pPr>
        <w:pStyle w:val="ListParagraph"/>
        <w:numPr>
          <w:ilvl w:val="0"/>
          <w:numId w:val="30"/>
        </w:numPr>
        <w:tabs>
          <w:tab w:pos="1363" w:val="left" w:leader="none"/>
        </w:tabs>
        <w:spacing w:line="364" w:lineRule="auto" w:before="0" w:after="0"/>
        <w:ind w:left="413" w:right="1452" w:firstLine="420"/>
        <w:jc w:val="left"/>
        <w:rPr>
          <w:sz w:val="21"/>
        </w:rPr>
      </w:pPr>
      <w:r>
        <w:rPr>
          <w:spacing w:val="-3"/>
          <w:sz w:val="21"/>
        </w:rPr>
        <w:t>错误偏差达到基金份额净值的 </w:t>
      </w:r>
      <w:r>
        <w:rPr>
          <w:sz w:val="21"/>
        </w:rPr>
        <w:t>0.25</w:t>
      </w:r>
      <w:r>
        <w:rPr>
          <w:spacing w:val="-1"/>
          <w:sz w:val="21"/>
        </w:rPr>
        <w:t>%时，基金管理人应当通报基金托管人并报中</w:t>
      </w:r>
      <w:r>
        <w:rPr>
          <w:spacing w:val="-3"/>
          <w:sz w:val="21"/>
        </w:rPr>
        <w:t>国证监会备案；错误偏差达到基金份额净值的 </w:t>
      </w:r>
      <w:r>
        <w:rPr>
          <w:sz w:val="21"/>
        </w:rPr>
        <w:t>0.5%时，基金管理人应当公告。</w:t>
      </w:r>
    </w:p>
    <w:p>
      <w:pPr>
        <w:pStyle w:val="ListParagraph"/>
        <w:numPr>
          <w:ilvl w:val="0"/>
          <w:numId w:val="30"/>
        </w:numPr>
        <w:tabs>
          <w:tab w:pos="1360" w:val="left" w:leader="none"/>
        </w:tabs>
        <w:spacing w:line="364" w:lineRule="auto" w:before="0" w:after="0"/>
        <w:ind w:left="413" w:right="1451" w:firstLine="420"/>
        <w:jc w:val="left"/>
        <w:rPr>
          <w:sz w:val="21"/>
        </w:rPr>
      </w:pPr>
      <w:r>
        <w:rPr>
          <w:spacing w:val="-3"/>
          <w:sz w:val="21"/>
        </w:rPr>
        <w:t>因基金份额净值计算错误，给基金或基金份额持有人造成损失的，应由基金管理</w:t>
      </w:r>
      <w:r>
        <w:rPr>
          <w:sz w:val="21"/>
        </w:rPr>
        <w:t>人先行赔付，基金管理人按差错情形，有权向其他当事人追偿。</w:t>
      </w:r>
    </w:p>
    <w:p>
      <w:pPr>
        <w:pStyle w:val="ListParagraph"/>
        <w:numPr>
          <w:ilvl w:val="0"/>
          <w:numId w:val="30"/>
        </w:numPr>
        <w:tabs>
          <w:tab w:pos="1360" w:val="left" w:leader="none"/>
        </w:tabs>
        <w:spacing w:line="364" w:lineRule="auto" w:before="0" w:after="0"/>
        <w:ind w:left="413" w:right="1451" w:firstLine="420"/>
        <w:jc w:val="left"/>
        <w:rPr>
          <w:sz w:val="21"/>
        </w:rPr>
      </w:pPr>
      <w:r>
        <w:rPr>
          <w:spacing w:val="-2"/>
          <w:sz w:val="21"/>
        </w:rPr>
        <w:t>基金管理人和基金托管人由于各自技术系统设置而产生的净值计算尾差，以基金</w:t>
      </w:r>
      <w:r>
        <w:rPr>
          <w:sz w:val="21"/>
        </w:rPr>
        <w:t>管理人计算结果为准。</w:t>
      </w:r>
    </w:p>
    <w:p>
      <w:pPr>
        <w:pStyle w:val="ListParagraph"/>
        <w:numPr>
          <w:ilvl w:val="0"/>
          <w:numId w:val="30"/>
        </w:numPr>
        <w:tabs>
          <w:tab w:pos="1360" w:val="left" w:leader="none"/>
        </w:tabs>
        <w:spacing w:line="268" w:lineRule="exact" w:before="0" w:after="0"/>
        <w:ind w:left="1360" w:right="0" w:hanging="527"/>
        <w:jc w:val="left"/>
        <w:rPr>
          <w:sz w:val="21"/>
        </w:rPr>
      </w:pPr>
      <w:r>
        <w:rPr>
          <w:sz w:val="21"/>
        </w:rPr>
        <w:t>前述内容如法律法规或监管机关另有规定的，从其规定处理。</w:t>
      </w:r>
    </w:p>
    <w:p>
      <w:pPr>
        <w:pStyle w:val="Heading3"/>
        <w:spacing w:before="137"/>
      </w:pPr>
      <w:bookmarkStart w:name="_bookmark67" w:id="68"/>
      <w:bookmarkEnd w:id="68"/>
      <w:r>
        <w:rPr/>
      </w:r>
      <w:r>
        <w:rPr/>
        <w:t>（六）暂停估值的情形</w:t>
      </w:r>
    </w:p>
    <w:p>
      <w:pPr>
        <w:pStyle w:val="BodyText"/>
        <w:spacing w:before="185"/>
        <w:ind w:left="833"/>
      </w:pPr>
      <w:r>
        <w:rPr/>
        <w:t>1、基金投资所涉及的证券交易市场遇法定节假日或因其他原因暂停营业时；</w:t>
      </w:r>
    </w:p>
    <w:p>
      <w:pPr>
        <w:pStyle w:val="BodyText"/>
        <w:spacing w:before="140"/>
        <w:ind w:left="833"/>
      </w:pPr>
      <w:r>
        <w:rPr/>
        <w:t>2、因不可抗力或其它情形致使基金管理人、基金托管人无法准确评估基金资产价值时；</w:t>
      </w:r>
    </w:p>
    <w:p>
      <w:pPr>
        <w:pStyle w:val="BodyText"/>
        <w:spacing w:before="139"/>
        <w:ind w:left="833"/>
      </w:pPr>
      <w:r>
        <w:rPr/>
        <w:t>3、本基金所投资的目标 ETF 发生暂停估值与暂停公告基金份额净值的情形；</w:t>
      </w:r>
    </w:p>
    <w:p>
      <w:pPr>
        <w:pStyle w:val="BodyText"/>
        <w:spacing w:line="364" w:lineRule="auto" w:before="139"/>
        <w:ind w:left="413" w:right="1429" w:firstLine="420"/>
      </w:pPr>
      <w:r>
        <w:rPr/>
        <w:t>4、占基金相当比例的投资品种的估值出现重大转变，而基金管理人为保障投资人的利益，已决定延迟估值；</w:t>
      </w:r>
    </w:p>
    <w:p>
      <w:pPr>
        <w:pStyle w:val="BodyText"/>
        <w:spacing w:line="364" w:lineRule="auto"/>
        <w:ind w:left="413" w:right="1407" w:firstLine="420"/>
      </w:pPr>
      <w:r>
        <w:rPr/>
        <w:t>5、当前一估值日基金资产净值 50%以上的资产出现无可参考的活跃市场价格且采用估值技术仍导致公允价值存在重大不确定性时，经与基金托管人协商一致的；</w:t>
      </w:r>
    </w:p>
    <w:p>
      <w:pPr>
        <w:pStyle w:val="BodyText"/>
        <w:spacing w:line="268" w:lineRule="exact"/>
        <w:ind w:left="833"/>
      </w:pPr>
      <w:r>
        <w:rPr/>
        <w:t>6、中国证监会和基金合同认定的其它情形。</w:t>
      </w:r>
    </w:p>
    <w:p>
      <w:pPr>
        <w:spacing w:after="0" w:line="268" w:lineRule="exact"/>
        <w:sectPr>
          <w:pgSz w:w="11910" w:h="16840"/>
          <w:pgMar w:header="0" w:footer="1166" w:top="1600" w:bottom="1440" w:left="1400" w:right="360"/>
        </w:sectPr>
      </w:pPr>
    </w:p>
    <w:p>
      <w:pPr>
        <w:pStyle w:val="Heading3"/>
        <w:spacing w:before="105"/>
      </w:pPr>
      <w:bookmarkStart w:name="_bookmark68" w:id="69"/>
      <w:bookmarkEnd w:id="69"/>
      <w:r>
        <w:rPr/>
      </w:r>
      <w:r>
        <w:rPr/>
        <w:t>（七）基金净值的确认</w:t>
      </w:r>
    </w:p>
    <w:p>
      <w:pPr>
        <w:pStyle w:val="BodyText"/>
        <w:spacing w:line="364" w:lineRule="auto" w:before="185"/>
        <w:ind w:left="413" w:right="1452" w:firstLine="420"/>
        <w:jc w:val="both"/>
      </w:pPr>
      <w:r>
        <w:rPr/>
        <w:t>用于基金信息披露的基金资产净值和各类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pPr>
        <w:pStyle w:val="BodyText"/>
        <w:spacing w:line="267" w:lineRule="exact"/>
        <w:ind w:left="833"/>
      </w:pPr>
      <w:r>
        <w:rPr/>
        <w:t>本基金各类基金份额将分别计算基金份额净值。</w:t>
      </w:r>
    </w:p>
    <w:p>
      <w:pPr>
        <w:pStyle w:val="Heading3"/>
        <w:spacing w:before="140"/>
      </w:pPr>
      <w:bookmarkStart w:name="_bookmark69" w:id="70"/>
      <w:bookmarkEnd w:id="70"/>
      <w:r>
        <w:rPr/>
      </w:r>
      <w:r>
        <w:rPr/>
        <w:t>（八）特殊情况的处理</w:t>
      </w:r>
    </w:p>
    <w:p>
      <w:pPr>
        <w:pStyle w:val="BodyText"/>
        <w:spacing w:line="364" w:lineRule="auto" w:before="185"/>
        <w:ind w:left="413" w:right="1451" w:firstLine="420"/>
        <w:jc w:val="both"/>
      </w:pPr>
      <w:r>
        <w:rPr/>
        <w:t>1</w:t>
      </w:r>
      <w:r>
        <w:rPr>
          <w:spacing w:val="-6"/>
        </w:rPr>
        <w:t>、基金管理人或基金托管人按估值方法的第 </w:t>
      </w:r>
      <w:r>
        <w:rPr/>
        <w:t>8</w:t>
      </w:r>
      <w:r>
        <w:rPr>
          <w:spacing w:val="-9"/>
        </w:rPr>
        <w:t> 项进行估值时，所造成的误差不作为基</w:t>
      </w:r>
      <w:r>
        <w:rPr/>
        <w:t>金资产估值错误处理。</w:t>
      </w:r>
    </w:p>
    <w:p>
      <w:pPr>
        <w:pStyle w:val="BodyText"/>
        <w:spacing w:line="364" w:lineRule="auto"/>
        <w:ind w:left="413" w:right="1451" w:firstLine="420"/>
        <w:jc w:val="both"/>
      </w:pPr>
      <w:r>
        <w:rPr/>
        <w:t>2</w:t>
      </w:r>
      <w:r>
        <w:rPr>
          <w:spacing w:val="-5"/>
        </w:rPr>
        <w:t>、由于不可抗力原因，或由于证券交易所、期货交易所、指数编制机构及登记结算公</w:t>
      </w:r>
      <w:r>
        <w:rPr/>
        <w:t>司等第三方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pPr>
        <w:spacing w:after="0" w:line="364" w:lineRule="auto"/>
        <w:jc w:val="both"/>
        <w:sectPr>
          <w:pgSz w:w="11910" w:h="16840"/>
          <w:pgMar w:header="0" w:footer="1166" w:top="1600" w:bottom="1440" w:left="1400" w:right="360"/>
        </w:sectPr>
      </w:pPr>
    </w:p>
    <w:p>
      <w:pPr>
        <w:pStyle w:val="Heading1"/>
        <w:ind w:left="2786"/>
      </w:pPr>
      <w:bookmarkStart w:name="_bookmark70" w:id="71"/>
      <w:bookmarkEnd w:id="71"/>
      <w:r>
        <w:rPr>
          <w:b w:val="0"/>
        </w:rPr>
      </w:r>
      <w:r>
        <w:rPr/>
        <w:t>十五、基金的收益与分配</w:t>
      </w:r>
    </w:p>
    <w:p>
      <w:pPr>
        <w:pStyle w:val="Heading3"/>
        <w:spacing w:before="139"/>
      </w:pPr>
      <w:bookmarkStart w:name="_bookmark71" w:id="72"/>
      <w:bookmarkEnd w:id="72"/>
      <w:r>
        <w:rPr/>
      </w:r>
      <w:r>
        <w:rPr/>
        <w:t>（一）基金利润的构成</w:t>
      </w:r>
    </w:p>
    <w:p>
      <w:pPr>
        <w:pStyle w:val="BodyText"/>
        <w:spacing w:line="364" w:lineRule="auto" w:before="185"/>
        <w:ind w:left="413" w:right="1452" w:firstLine="420"/>
      </w:pPr>
      <w:r>
        <w:rPr/>
        <w:t>基金利润指基金利息收入、投资收益、公允价值变动收益和其他收入扣除相关费用后的余额；基金已实现收益指基金利润减去公允价值变动收益后的余额。</w:t>
      </w:r>
    </w:p>
    <w:p>
      <w:pPr>
        <w:pStyle w:val="Heading3"/>
      </w:pPr>
      <w:bookmarkStart w:name="_bookmark72" w:id="73"/>
      <w:bookmarkEnd w:id="73"/>
      <w:r>
        <w:rPr/>
      </w:r>
      <w:r>
        <w:rPr/>
        <w:t>（二）基金可供分配利润</w:t>
      </w:r>
    </w:p>
    <w:p>
      <w:pPr>
        <w:pStyle w:val="BodyText"/>
        <w:spacing w:line="364" w:lineRule="auto" w:before="185"/>
        <w:ind w:left="413" w:right="1452" w:firstLine="420"/>
      </w:pPr>
      <w:r>
        <w:rPr/>
        <w:t>基金可供分配利润指截至收益分配基准日基金未分配利润与未分配利润中已实现收益的孰低数。</w:t>
      </w:r>
    </w:p>
    <w:p>
      <w:pPr>
        <w:pStyle w:val="Heading3"/>
      </w:pPr>
      <w:bookmarkStart w:name="_bookmark73" w:id="74"/>
      <w:bookmarkEnd w:id="74"/>
      <w:r>
        <w:rPr/>
      </w:r>
      <w:r>
        <w:rPr/>
        <w:t>（三）收益分配原则</w:t>
      </w:r>
    </w:p>
    <w:p>
      <w:pPr>
        <w:pStyle w:val="BodyText"/>
        <w:spacing w:before="185"/>
        <w:ind w:left="833"/>
      </w:pPr>
      <w:r>
        <w:rPr/>
        <w:t>本基金收益分配应遵循下列原则：</w:t>
      </w:r>
    </w:p>
    <w:p>
      <w:pPr>
        <w:pStyle w:val="BodyText"/>
        <w:spacing w:line="364" w:lineRule="auto" w:before="139"/>
        <w:ind w:left="413" w:right="1429" w:firstLine="420"/>
      </w:pPr>
      <w:r>
        <w:rPr/>
        <w:t>1、本基金各基金份额类别在费用收取上不同，其对应的可分配收益可能有所不同。同一类别的本基金的每份基金份额享有同等分配权；</w:t>
      </w:r>
    </w:p>
    <w:p>
      <w:pPr>
        <w:pStyle w:val="BodyText"/>
        <w:spacing w:line="364" w:lineRule="auto"/>
        <w:ind w:left="413" w:right="1451" w:firstLine="420"/>
        <w:jc w:val="both"/>
      </w:pPr>
      <w:r>
        <w:rPr/>
        <w:t>2</w:t>
      </w:r>
      <w:r>
        <w:rPr>
          <w:spacing w:val="-5"/>
        </w:rPr>
        <w:t>、收益分配时所发生的银行转账或其他手续费用由投资人自行承担。当投资人的现金</w:t>
      </w:r>
      <w:r>
        <w:rPr/>
        <w:t>红利小于一定金额，不足以支付银行转账或其他手续费用时，基金注册登记机构可将投资人的现金红利自动转为相应类别的基金份额；</w:t>
      </w:r>
    </w:p>
    <w:p>
      <w:pPr>
        <w:pStyle w:val="BodyText"/>
        <w:spacing w:line="364" w:lineRule="auto"/>
        <w:ind w:left="413" w:right="1452" w:firstLine="420"/>
        <w:jc w:val="both"/>
      </w:pPr>
      <w:r>
        <w:rPr/>
        <w:t>3</w:t>
      </w:r>
      <w:r>
        <w:rPr>
          <w:spacing w:val="-1"/>
        </w:rPr>
        <w:t>、在符合有关基金分红条件的前提下，本基金收益每年最多分配 </w:t>
      </w:r>
      <w:r>
        <w:rPr/>
        <w:t>12</w:t>
      </w:r>
      <w:r>
        <w:rPr>
          <w:spacing w:val="-5"/>
        </w:rPr>
        <w:t> 次，每份基金份</w:t>
      </w:r>
      <w:r>
        <w:rPr>
          <w:spacing w:val="-7"/>
        </w:rPr>
        <w:t>额每次收益分配比例不低于收益分配基准日每份基金份额可供分配利润的 </w:t>
      </w:r>
      <w:r>
        <w:rPr/>
        <w:t>10%；</w:t>
      </w:r>
    </w:p>
    <w:p>
      <w:pPr>
        <w:pStyle w:val="BodyText"/>
        <w:spacing w:line="268" w:lineRule="exact"/>
        <w:ind w:left="833"/>
      </w:pPr>
      <w:r>
        <w:rPr/>
        <w:t>4、若基金合同生效不满3个月则可不进行收益分配；</w:t>
      </w:r>
    </w:p>
    <w:p>
      <w:pPr>
        <w:pStyle w:val="BodyText"/>
        <w:spacing w:line="364" w:lineRule="auto" w:before="137"/>
        <w:ind w:left="413" w:right="1451" w:firstLine="420"/>
        <w:jc w:val="both"/>
      </w:pPr>
      <w:r>
        <w:rPr/>
        <w:t>5</w:t>
      </w:r>
      <w:r>
        <w:rPr>
          <w:spacing w:val="-3"/>
        </w:rPr>
        <w:t>、本基金收益分配方式分为两种：现金分红与红利再投资，投资人可选择现金红利或</w:t>
      </w:r>
      <w:r>
        <w:rPr/>
        <w:t>将现金红利自动转为对应类别的基金份额进行再投资；若投资人不选择，本基金默认的收益分配方式是现金分红；</w:t>
      </w:r>
    </w:p>
    <w:p>
      <w:pPr>
        <w:pStyle w:val="BodyText"/>
        <w:spacing w:line="364" w:lineRule="auto"/>
        <w:ind w:left="413" w:right="1451" w:firstLine="420"/>
        <w:jc w:val="both"/>
      </w:pPr>
      <w:r>
        <w:rPr/>
        <w:t>6</w:t>
      </w:r>
      <w:r>
        <w:rPr>
          <w:spacing w:val="-3"/>
        </w:rPr>
        <w:t>、基金红利发放日距离收益分配基准日</w:t>
      </w:r>
      <w:r>
        <w:rPr/>
        <w:t>（即可供分配利润计算截止日</w:t>
      </w:r>
      <w:r>
        <w:rPr>
          <w:spacing w:val="-6"/>
        </w:rPr>
        <w:t>）</w:t>
      </w:r>
      <w:r>
        <w:rPr>
          <w:spacing w:val="-3"/>
        </w:rPr>
        <w:t>的时间不得超</w:t>
      </w:r>
      <w:r>
        <w:rPr>
          <w:spacing w:val="-27"/>
        </w:rPr>
        <w:t>过 </w:t>
      </w:r>
      <w:r>
        <w:rPr/>
        <w:t>15</w:t>
      </w:r>
      <w:r>
        <w:rPr>
          <w:spacing w:val="-10"/>
        </w:rPr>
        <w:t> 个工作日；</w:t>
      </w:r>
    </w:p>
    <w:p>
      <w:pPr>
        <w:pStyle w:val="BodyText"/>
        <w:spacing w:line="364" w:lineRule="auto"/>
        <w:ind w:left="413" w:right="1429" w:firstLine="420"/>
      </w:pPr>
      <w:r>
        <w:rPr/>
        <w:t>7、基金收益分配后每一基金份额净值不能低于面值，即基金收益分配基准日的基金份额净值减去每单位基金份额收益分配金额后不能低于面值；</w:t>
      </w:r>
    </w:p>
    <w:p>
      <w:pPr>
        <w:pStyle w:val="BodyText"/>
        <w:spacing w:line="268" w:lineRule="exact"/>
        <w:ind w:left="833"/>
      </w:pPr>
      <w:r>
        <w:rPr/>
        <w:t>8、法律法规或监管机构另有规定的从其规定。</w:t>
      </w:r>
    </w:p>
    <w:p>
      <w:pPr>
        <w:pStyle w:val="Heading3"/>
        <w:spacing w:before="139"/>
      </w:pPr>
      <w:bookmarkStart w:name="_bookmark74" w:id="75"/>
      <w:bookmarkEnd w:id="75"/>
      <w:r>
        <w:rPr/>
      </w:r>
      <w:r>
        <w:rPr/>
        <w:t>（四）收益分配方案</w:t>
      </w:r>
    </w:p>
    <w:p>
      <w:pPr>
        <w:pStyle w:val="BodyText"/>
        <w:spacing w:line="364" w:lineRule="auto" w:before="184"/>
        <w:ind w:left="413" w:right="1452" w:firstLine="420"/>
      </w:pPr>
      <w:r>
        <w:rPr/>
        <w:t>基金收益分配方案中应载明收益分配基准日以及该日的可供分配利润、基金收益分配对象、分配原则、分配时间、分配数额及比例、分配方式、支付方式等内容。</w:t>
      </w:r>
    </w:p>
    <w:p>
      <w:pPr>
        <w:pStyle w:val="Heading3"/>
        <w:spacing w:before="1"/>
      </w:pPr>
      <w:bookmarkStart w:name="_bookmark75" w:id="76"/>
      <w:bookmarkEnd w:id="76"/>
      <w:r>
        <w:rPr/>
      </w:r>
      <w:r>
        <w:rPr/>
        <w:t>（五）收益分配的时间和程序</w:t>
      </w:r>
    </w:p>
    <w:p>
      <w:pPr>
        <w:pStyle w:val="BodyText"/>
        <w:spacing w:line="364" w:lineRule="auto" w:before="184"/>
        <w:ind w:left="413" w:right="1242" w:firstLine="420"/>
      </w:pPr>
      <w:r>
        <w:rPr/>
        <w:t>1、基金收益分配方案由基金管理人拟订，由基金托管人复核，依照《信息披露办法》的有关规定在指定媒介上公告；</w:t>
      </w:r>
    </w:p>
    <w:p>
      <w:pPr>
        <w:spacing w:after="0" w:line="364" w:lineRule="auto"/>
        <w:sectPr>
          <w:pgSz w:w="11910" w:h="16840"/>
          <w:pgMar w:header="0" w:footer="1166" w:top="1600" w:bottom="1440" w:left="1400" w:right="360"/>
        </w:sectPr>
      </w:pPr>
    </w:p>
    <w:p>
      <w:pPr>
        <w:pStyle w:val="BodyText"/>
        <w:spacing w:line="364" w:lineRule="auto" w:before="104"/>
        <w:ind w:left="413" w:right="1429" w:firstLine="420"/>
      </w:pPr>
      <w:r>
        <w:rPr/>
        <w:t>2、在收益分配方案公布后，基金管理人依据具体方案的规定就支付的现金红利向基金托管人发送划款指令，基金托管人按照基金管理人的指令及时进行分红资金的划付。</w:t>
      </w:r>
    </w:p>
    <w:p>
      <w:pPr>
        <w:spacing w:after="0" w:line="364" w:lineRule="auto"/>
        <w:sectPr>
          <w:pgSz w:w="11910" w:h="16840"/>
          <w:pgMar w:header="0" w:footer="1166" w:top="1600" w:bottom="1440" w:left="1400" w:right="360"/>
        </w:sectPr>
      </w:pPr>
    </w:p>
    <w:p>
      <w:pPr>
        <w:pStyle w:val="Heading1"/>
        <w:ind w:left="2786"/>
      </w:pPr>
      <w:bookmarkStart w:name="_bookmark76" w:id="77"/>
      <w:bookmarkEnd w:id="77"/>
      <w:r>
        <w:rPr>
          <w:b w:val="0"/>
        </w:rPr>
      </w:r>
      <w:r>
        <w:rPr/>
        <w:t>十六、基金的费用与税收</w:t>
      </w:r>
    </w:p>
    <w:p>
      <w:pPr>
        <w:pStyle w:val="Heading3"/>
        <w:spacing w:before="139"/>
      </w:pPr>
      <w:bookmarkStart w:name="_bookmark77" w:id="78"/>
      <w:bookmarkEnd w:id="78"/>
      <w:r>
        <w:rPr/>
      </w:r>
      <w:r>
        <w:rPr/>
        <w:t>（一）与基金运作相关的费用</w:t>
      </w:r>
    </w:p>
    <w:p>
      <w:pPr>
        <w:pStyle w:val="BodyText"/>
        <w:spacing w:before="185"/>
        <w:ind w:left="833"/>
      </w:pPr>
      <w:r>
        <w:rPr/>
        <w:t>1、基金费用的种类</w:t>
      </w:r>
    </w:p>
    <w:p>
      <w:pPr>
        <w:pStyle w:val="ListParagraph"/>
        <w:numPr>
          <w:ilvl w:val="0"/>
          <w:numId w:val="31"/>
        </w:numPr>
        <w:tabs>
          <w:tab w:pos="1360" w:val="left" w:leader="none"/>
        </w:tabs>
        <w:spacing w:line="240" w:lineRule="auto" w:before="139" w:after="0"/>
        <w:ind w:left="1360" w:right="0" w:hanging="527"/>
        <w:jc w:val="left"/>
        <w:rPr>
          <w:sz w:val="21"/>
        </w:rPr>
      </w:pPr>
      <w:r>
        <w:rPr>
          <w:sz w:val="21"/>
        </w:rPr>
        <w:t>基金管理人的管理费；</w:t>
      </w:r>
    </w:p>
    <w:p>
      <w:pPr>
        <w:pStyle w:val="ListParagraph"/>
        <w:numPr>
          <w:ilvl w:val="0"/>
          <w:numId w:val="31"/>
        </w:numPr>
        <w:tabs>
          <w:tab w:pos="1360" w:val="left" w:leader="none"/>
        </w:tabs>
        <w:spacing w:line="240" w:lineRule="auto" w:before="140" w:after="0"/>
        <w:ind w:left="1360" w:right="0" w:hanging="527"/>
        <w:jc w:val="left"/>
        <w:rPr>
          <w:sz w:val="21"/>
        </w:rPr>
      </w:pPr>
      <w:r>
        <w:rPr>
          <w:sz w:val="21"/>
        </w:rPr>
        <w:t>基金托管人的托管费；</w:t>
      </w:r>
    </w:p>
    <w:p>
      <w:pPr>
        <w:pStyle w:val="ListParagraph"/>
        <w:numPr>
          <w:ilvl w:val="0"/>
          <w:numId w:val="31"/>
        </w:numPr>
        <w:tabs>
          <w:tab w:pos="1360" w:val="left" w:leader="none"/>
        </w:tabs>
        <w:spacing w:line="240" w:lineRule="auto" w:before="139" w:after="0"/>
        <w:ind w:left="1360" w:right="0" w:hanging="527"/>
        <w:jc w:val="left"/>
        <w:rPr>
          <w:sz w:val="21"/>
        </w:rPr>
      </w:pPr>
      <w:r>
        <w:rPr>
          <w:sz w:val="21"/>
        </w:rPr>
        <w:t>基金财产拨划支付的银行费用；</w:t>
      </w:r>
    </w:p>
    <w:p>
      <w:pPr>
        <w:pStyle w:val="ListParagraph"/>
        <w:numPr>
          <w:ilvl w:val="0"/>
          <w:numId w:val="31"/>
        </w:numPr>
        <w:tabs>
          <w:tab w:pos="1360" w:val="left" w:leader="none"/>
        </w:tabs>
        <w:spacing w:line="240" w:lineRule="auto" w:before="140" w:after="0"/>
        <w:ind w:left="1360" w:right="0" w:hanging="527"/>
        <w:jc w:val="left"/>
        <w:rPr>
          <w:sz w:val="21"/>
        </w:rPr>
      </w:pPr>
      <w:r>
        <w:rPr>
          <w:sz w:val="21"/>
        </w:rPr>
        <w:t>基金合同生效后的基金信息披露费用；</w:t>
      </w:r>
    </w:p>
    <w:p>
      <w:pPr>
        <w:pStyle w:val="ListParagraph"/>
        <w:numPr>
          <w:ilvl w:val="0"/>
          <w:numId w:val="31"/>
        </w:numPr>
        <w:tabs>
          <w:tab w:pos="1360" w:val="left" w:leader="none"/>
        </w:tabs>
        <w:spacing w:line="240" w:lineRule="auto" w:before="139" w:after="0"/>
        <w:ind w:left="1360" w:right="0" w:hanging="527"/>
        <w:jc w:val="left"/>
        <w:rPr>
          <w:sz w:val="21"/>
        </w:rPr>
      </w:pPr>
      <w:r>
        <w:rPr>
          <w:sz w:val="21"/>
        </w:rPr>
        <w:t>基金份额持有人大会费用；</w:t>
      </w:r>
    </w:p>
    <w:p>
      <w:pPr>
        <w:pStyle w:val="ListParagraph"/>
        <w:numPr>
          <w:ilvl w:val="0"/>
          <w:numId w:val="31"/>
        </w:numPr>
        <w:tabs>
          <w:tab w:pos="1360" w:val="left" w:leader="none"/>
        </w:tabs>
        <w:spacing w:line="240" w:lineRule="auto" w:before="140" w:after="0"/>
        <w:ind w:left="1360" w:right="0" w:hanging="527"/>
        <w:jc w:val="left"/>
        <w:rPr>
          <w:sz w:val="21"/>
        </w:rPr>
      </w:pPr>
      <w:r>
        <w:rPr>
          <w:sz w:val="21"/>
        </w:rPr>
        <w:t>基金合同生效后与基金有关的会计师费和律师费；</w:t>
      </w:r>
    </w:p>
    <w:p>
      <w:pPr>
        <w:pStyle w:val="ListParagraph"/>
        <w:numPr>
          <w:ilvl w:val="0"/>
          <w:numId w:val="31"/>
        </w:numPr>
        <w:tabs>
          <w:tab w:pos="1360" w:val="left" w:leader="none"/>
        </w:tabs>
        <w:spacing w:line="240" w:lineRule="auto" w:before="139" w:after="0"/>
        <w:ind w:left="1360" w:right="0" w:hanging="527"/>
        <w:jc w:val="left"/>
        <w:rPr>
          <w:sz w:val="21"/>
        </w:rPr>
      </w:pPr>
      <w:r>
        <w:rPr>
          <w:sz w:val="21"/>
        </w:rPr>
        <w:t>基金的证券交易费用；</w:t>
      </w:r>
    </w:p>
    <w:p>
      <w:pPr>
        <w:pStyle w:val="ListParagraph"/>
        <w:numPr>
          <w:ilvl w:val="0"/>
          <w:numId w:val="31"/>
        </w:numPr>
        <w:tabs>
          <w:tab w:pos="1360" w:val="left" w:leader="none"/>
        </w:tabs>
        <w:spacing w:line="240" w:lineRule="auto" w:before="139" w:after="0"/>
        <w:ind w:left="1360" w:right="0" w:hanging="527"/>
        <w:jc w:val="left"/>
        <w:rPr>
          <w:sz w:val="21"/>
        </w:rPr>
      </w:pPr>
      <w:r>
        <w:rPr>
          <w:sz w:val="21"/>
        </w:rPr>
        <w:t>基金的指数使用费；</w:t>
      </w:r>
    </w:p>
    <w:p>
      <w:pPr>
        <w:pStyle w:val="BodyText"/>
        <w:spacing w:before="140"/>
        <w:ind w:left="833"/>
      </w:pPr>
      <w:r>
        <w:rPr/>
        <w:t>（9）C 类基金份额的销售服务费；</w:t>
      </w:r>
    </w:p>
    <w:p>
      <w:pPr>
        <w:pStyle w:val="BodyText"/>
        <w:spacing w:before="139"/>
        <w:ind w:left="833"/>
      </w:pPr>
      <w:r>
        <w:rPr/>
        <w:t>（10）依法可以在基金财产中列支的其他费用。</w:t>
      </w:r>
    </w:p>
    <w:p>
      <w:pPr>
        <w:pStyle w:val="BodyText"/>
        <w:spacing w:line="364" w:lineRule="auto" w:before="140"/>
        <w:ind w:left="413" w:right="1429" w:firstLine="420"/>
      </w:pPr>
      <w:r>
        <w:rPr/>
        <w:t>2、上述基金费用由基金管理人在法律规定的范围内参照公允的市场价格确定，法律法规另有规定时从其规定。</w:t>
      </w:r>
    </w:p>
    <w:p>
      <w:pPr>
        <w:pStyle w:val="BodyText"/>
        <w:spacing w:line="268" w:lineRule="exact"/>
        <w:ind w:left="833"/>
      </w:pPr>
      <w:r>
        <w:rPr/>
        <w:t>3、基金费用计提方法、计提标准和支付方式</w:t>
      </w:r>
    </w:p>
    <w:p>
      <w:pPr>
        <w:pStyle w:val="BodyText"/>
        <w:spacing w:line="364" w:lineRule="auto" w:before="139"/>
        <w:ind w:left="413" w:right="1451" w:firstLine="420"/>
        <w:jc w:val="both"/>
      </w:pPr>
      <w:r>
        <w:rPr/>
        <w:t>由于本基金管理人和基金托管人同时为目标ETF</w:t>
      </w:r>
      <w:r>
        <w:rPr>
          <w:spacing w:val="-3"/>
        </w:rPr>
        <w:t>的基金管理人与基金托管人，为避免重复收费，本基金管理人、基金托管人不对基金财产中投资于目标</w:t>
      </w:r>
      <w:r>
        <w:rPr/>
        <w:t>ETF</w:t>
      </w:r>
      <w:r>
        <w:rPr>
          <w:spacing w:val="-3"/>
        </w:rPr>
        <w:t>的部分计提管理费、托</w:t>
      </w:r>
      <w:r>
        <w:rPr/>
        <w:t>管费。本基金制定了以下的收费标准。</w:t>
      </w:r>
    </w:p>
    <w:p>
      <w:pPr>
        <w:pStyle w:val="ListParagraph"/>
        <w:numPr>
          <w:ilvl w:val="0"/>
          <w:numId w:val="32"/>
        </w:numPr>
        <w:tabs>
          <w:tab w:pos="1360" w:val="left" w:leader="none"/>
        </w:tabs>
        <w:spacing w:line="268" w:lineRule="exact" w:before="0" w:after="0"/>
        <w:ind w:left="1360" w:right="0" w:hanging="527"/>
        <w:jc w:val="left"/>
        <w:rPr>
          <w:sz w:val="21"/>
        </w:rPr>
      </w:pPr>
      <w:r>
        <w:rPr>
          <w:sz w:val="21"/>
        </w:rPr>
        <w:t>基金管理人的管理费</w:t>
      </w:r>
    </w:p>
    <w:p>
      <w:pPr>
        <w:pStyle w:val="BodyText"/>
        <w:spacing w:line="364" w:lineRule="auto" w:before="140"/>
        <w:ind w:left="413" w:right="1406" w:firstLine="420"/>
      </w:pPr>
      <w:r>
        <w:rPr/>
        <w:t>本基金管理费按前一日基金资产净值扣除前一日所持有目标ETF公允价值后的余额（若为负数，则取0）的0.15%年费率计提。管理费的计算方法如下：</w:t>
      </w:r>
    </w:p>
    <w:p>
      <w:pPr>
        <w:pStyle w:val="BodyText"/>
        <w:spacing w:line="268" w:lineRule="exact"/>
        <w:ind w:left="833"/>
      </w:pPr>
      <w:r>
        <w:rPr/>
        <w:t>H＝E×0.15%÷当年天数</w:t>
      </w:r>
    </w:p>
    <w:p>
      <w:pPr>
        <w:pStyle w:val="BodyText"/>
        <w:spacing w:before="139"/>
        <w:ind w:left="833"/>
      </w:pPr>
      <w:r>
        <w:rPr/>
        <w:t>H为每日应计提的基金管理费</w:t>
      </w:r>
    </w:p>
    <w:p>
      <w:pPr>
        <w:pStyle w:val="BodyText"/>
        <w:spacing w:before="140"/>
        <w:ind w:left="833"/>
      </w:pPr>
      <w:r>
        <w:rPr/>
        <w:t>E为前一日基金资产净值扣除前一日所持有目标ETF公允价值后的余额，若为负数，则E</w:t>
      </w:r>
    </w:p>
    <w:p>
      <w:pPr>
        <w:pStyle w:val="BodyText"/>
        <w:spacing w:before="139"/>
        <w:ind w:left="413"/>
      </w:pPr>
      <w:r>
        <w:rPr/>
        <w:t>取0.</w:t>
      </w:r>
    </w:p>
    <w:p>
      <w:pPr>
        <w:pStyle w:val="BodyText"/>
        <w:spacing w:line="364" w:lineRule="auto" w:before="139"/>
        <w:ind w:left="413" w:right="1242" w:firstLine="420"/>
      </w:pPr>
      <w:r>
        <w:rPr/>
        <w:t>基金管理人的管理费每日计提，按月支付。由基金托管人根据与基金管理人核对一致 的财务数据，自动在月初五个工作日内、按照指定的帐户路径进行资金支付，基金管理人 无需再出具资金划拨指令。若遇法定节假日、休息日等，支付日期顺延。费用自动扣划后， 基金管理人如发现数据不符，及时联系基金托管人协商解决。</w:t>
      </w:r>
    </w:p>
    <w:p>
      <w:pPr>
        <w:pStyle w:val="ListParagraph"/>
        <w:numPr>
          <w:ilvl w:val="0"/>
          <w:numId w:val="32"/>
        </w:numPr>
        <w:tabs>
          <w:tab w:pos="1360" w:val="left" w:leader="none"/>
        </w:tabs>
        <w:spacing w:line="267" w:lineRule="exact" w:before="0" w:after="0"/>
        <w:ind w:left="1360" w:right="0" w:hanging="527"/>
        <w:jc w:val="left"/>
        <w:rPr>
          <w:sz w:val="21"/>
        </w:rPr>
      </w:pPr>
      <w:r>
        <w:rPr>
          <w:sz w:val="21"/>
        </w:rPr>
        <w:t>基金托管人的托管费</w:t>
      </w:r>
    </w:p>
    <w:p>
      <w:pPr>
        <w:pStyle w:val="BodyText"/>
        <w:spacing w:before="140"/>
        <w:ind w:left="833"/>
      </w:pPr>
      <w:r>
        <w:rPr/>
        <w:t>本基金托管费按前一日基金资产净值扣除前一日所持有目标 ETF 公允价值后的余额（若</w:t>
      </w:r>
    </w:p>
    <w:p>
      <w:pPr>
        <w:spacing w:after="0"/>
        <w:sectPr>
          <w:pgSz w:w="11910" w:h="16840"/>
          <w:pgMar w:header="0" w:footer="1166" w:top="1600" w:bottom="1440" w:left="1400" w:right="360"/>
        </w:sectPr>
      </w:pPr>
    </w:p>
    <w:p>
      <w:pPr>
        <w:pStyle w:val="BodyText"/>
        <w:spacing w:line="364" w:lineRule="auto" w:before="104"/>
        <w:ind w:left="833" w:right="3747" w:hanging="420"/>
      </w:pPr>
      <w:r>
        <w:rPr>
          <w:spacing w:val="-8"/>
        </w:rPr>
        <w:t>为负数，则取 </w:t>
      </w:r>
      <w:r>
        <w:rPr/>
        <w:t>0）</w:t>
      </w:r>
      <w:r>
        <w:rPr>
          <w:spacing w:val="-27"/>
        </w:rPr>
        <w:t>的 </w:t>
      </w:r>
      <w:r>
        <w:rPr/>
        <w:t>0.05%</w:t>
      </w:r>
      <w:r>
        <w:rPr>
          <w:spacing w:val="-1"/>
        </w:rPr>
        <w:t>年费率计提。托管费的计算方法如下： </w:t>
      </w:r>
      <w:r>
        <w:rPr/>
        <w:t>H＝E×0.05%÷当年天数</w:t>
      </w:r>
    </w:p>
    <w:p>
      <w:pPr>
        <w:pStyle w:val="BodyText"/>
        <w:spacing w:line="268" w:lineRule="exact"/>
        <w:ind w:left="833"/>
      </w:pPr>
      <w:r>
        <w:rPr/>
        <w:t>H 为每日应计提的基金托管费</w:t>
      </w:r>
    </w:p>
    <w:p>
      <w:pPr>
        <w:pStyle w:val="BodyText"/>
        <w:spacing w:line="364" w:lineRule="auto" w:before="139"/>
        <w:ind w:left="413" w:right="1452" w:firstLine="420"/>
        <w:jc w:val="both"/>
      </w:pPr>
      <w:r>
        <w:rPr/>
        <w:t>E</w:t>
      </w:r>
      <w:r>
        <w:rPr>
          <w:spacing w:val="-7"/>
        </w:rPr>
        <w:t> 为前一日基金资产净值扣除前一日所持有目标 </w:t>
      </w:r>
      <w:r>
        <w:rPr/>
        <w:t>ETF</w:t>
      </w:r>
      <w:r>
        <w:rPr>
          <w:spacing w:val="-5"/>
        </w:rPr>
        <w:t> 公允价值后的余额，若为负数， </w:t>
      </w:r>
      <w:r>
        <w:rPr>
          <w:spacing w:val="-27"/>
        </w:rPr>
        <w:t>则 </w:t>
      </w:r>
      <w:r>
        <w:rPr/>
        <w:t>E</w:t>
      </w:r>
      <w:r>
        <w:rPr>
          <w:spacing w:val="-36"/>
        </w:rPr>
        <w:t> 取 </w:t>
      </w:r>
      <w:r>
        <w:rPr/>
        <w:t>0。</w:t>
      </w:r>
    </w:p>
    <w:p>
      <w:pPr>
        <w:pStyle w:val="BodyText"/>
        <w:spacing w:line="364" w:lineRule="auto"/>
        <w:ind w:left="413" w:right="1452" w:firstLine="420"/>
        <w:jc w:val="both"/>
      </w:pPr>
      <w:r>
        <w:rPr/>
        <w:t>基金托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如发现数据不符，及时联系基金托管人协商解决。</w:t>
      </w:r>
    </w:p>
    <w:p>
      <w:pPr>
        <w:pStyle w:val="ListParagraph"/>
        <w:numPr>
          <w:ilvl w:val="0"/>
          <w:numId w:val="32"/>
        </w:numPr>
        <w:tabs>
          <w:tab w:pos="1360" w:val="left" w:leader="none"/>
        </w:tabs>
        <w:spacing w:line="267" w:lineRule="exact" w:before="0" w:after="0"/>
        <w:ind w:left="1360" w:right="0" w:hanging="527"/>
        <w:jc w:val="left"/>
        <w:rPr>
          <w:sz w:val="21"/>
        </w:rPr>
      </w:pPr>
      <w:r>
        <w:rPr>
          <w:sz w:val="21"/>
        </w:rPr>
        <w:t>基金的指数使用费</w:t>
      </w:r>
    </w:p>
    <w:p>
      <w:pPr>
        <w:pStyle w:val="BodyText"/>
        <w:spacing w:line="364" w:lineRule="auto" w:before="139"/>
        <w:ind w:left="413" w:right="1242" w:firstLine="420"/>
      </w:pPr>
      <w:r>
        <w:rPr>
          <w:spacing w:val="-1"/>
        </w:rPr>
        <w:t>根据本基金管理人与沪深 </w:t>
      </w:r>
      <w:r>
        <w:rPr/>
        <w:t>300</w:t>
      </w:r>
      <w:r>
        <w:rPr>
          <w:spacing w:val="-2"/>
        </w:rPr>
        <w:t> 指数所有人中证指数有限公司签署的指数使用许可协议的约定，因本基金为指数基金变更而来，自基金合同生效之日起，至本基金资产中投资于 目</w:t>
      </w:r>
      <w:r>
        <w:rPr>
          <w:spacing w:val="-27"/>
        </w:rPr>
        <w:t>标 </w:t>
      </w:r>
      <w:r>
        <w:rPr/>
        <w:t>ETF</w:t>
      </w:r>
      <w:r>
        <w:rPr>
          <w:spacing w:val="-11"/>
        </w:rPr>
        <w:t> 的比例不低于基金资产净值的 </w:t>
      </w:r>
      <w:r>
        <w:rPr/>
        <w:t>90%</w:t>
      </w:r>
      <w:r>
        <w:rPr>
          <w:spacing w:val="-9"/>
        </w:rPr>
        <w:t>之日止，中证指数有限公司就本基金收取指数许可使用费。该指数许可使用费按本基金当日持有的股票资产总市值的万分之二</w:t>
      </w:r>
      <w:r>
        <w:rPr/>
        <w:t>（2</w:t>
      </w:r>
      <w:r>
        <w:rPr>
          <w:spacing w:val="-11"/>
        </w:rPr>
        <w:t> 个基点</w:t>
      </w:r>
      <w:r>
        <w:rPr/>
        <w:t>） </w:t>
      </w:r>
      <w:r>
        <w:rPr>
          <w:spacing w:val="-1"/>
        </w:rPr>
        <w:t>的年费率计提，每日计算，逐日累计。自本基金达到基金合同所规定的 </w:t>
      </w:r>
      <w:r>
        <w:rPr/>
        <w:t>ETF</w:t>
      </w:r>
      <w:r>
        <w:rPr>
          <w:spacing w:val="-2"/>
        </w:rPr>
        <w:t> 投资比例下限之日起，不再收取指数许可使用费。指数使用费的计算方法如下：</w:t>
      </w:r>
    </w:p>
    <w:p>
      <w:pPr>
        <w:pStyle w:val="BodyText"/>
        <w:spacing w:line="364" w:lineRule="auto"/>
        <w:ind w:left="833" w:right="6843"/>
      </w:pPr>
      <w:r>
        <w:rPr/>
        <w:t>H=E×万分之二/当年天数 H</w:t>
      </w:r>
      <w:r>
        <w:rPr>
          <w:spacing w:val="-9"/>
        </w:rPr>
        <w:t> 为每日计提的指数使用费</w:t>
      </w:r>
    </w:p>
    <w:p>
      <w:pPr>
        <w:pStyle w:val="BodyText"/>
        <w:spacing w:line="268" w:lineRule="exact"/>
        <w:ind w:left="833"/>
      </w:pPr>
      <w:r>
        <w:rPr/>
        <w:t>E 为基金当日持有的股票资产总市值</w:t>
      </w:r>
    </w:p>
    <w:p>
      <w:pPr>
        <w:pStyle w:val="BodyText"/>
        <w:spacing w:line="364" w:lineRule="auto" w:before="136"/>
        <w:ind w:left="413" w:right="1452" w:firstLine="420"/>
      </w:pPr>
      <w:r>
        <w:rPr/>
        <w:t>指数使用费的支付由基金管理人向基金托管人发送划付指令，经基金托管人复核后于次季初 10 个工作日内从基金财产中一次性支付给中证指数有限公司。</w:t>
      </w:r>
    </w:p>
    <w:p>
      <w:pPr>
        <w:pStyle w:val="BodyText"/>
        <w:spacing w:line="364" w:lineRule="auto"/>
        <w:ind w:left="413" w:right="1242" w:firstLine="420"/>
      </w:pPr>
      <w:r>
        <w:rPr/>
        <w:t>如果指数使用费的计算方法和费率等发生调整，本基金将采用调整后的方法或费率计 算指数使用费。基金管理人应及时按照《信息披露管理办法》的规定在指定媒介进行公告。此项调整无需召开基金份额持有人大会。</w:t>
      </w:r>
    </w:p>
    <w:p>
      <w:pPr>
        <w:pStyle w:val="ListParagraph"/>
        <w:numPr>
          <w:ilvl w:val="0"/>
          <w:numId w:val="32"/>
        </w:numPr>
        <w:tabs>
          <w:tab w:pos="1360" w:val="left" w:leader="none"/>
        </w:tabs>
        <w:spacing w:line="268" w:lineRule="exact" w:before="0" w:after="0"/>
        <w:ind w:left="1360" w:right="0" w:hanging="527"/>
        <w:jc w:val="left"/>
        <w:rPr>
          <w:sz w:val="21"/>
        </w:rPr>
      </w:pPr>
      <w:r>
        <w:rPr>
          <w:sz w:val="21"/>
        </w:rPr>
        <w:t>C类基金份额的的销售服务费</w:t>
      </w:r>
    </w:p>
    <w:p>
      <w:pPr>
        <w:pStyle w:val="BodyText"/>
        <w:spacing w:line="364" w:lineRule="auto" w:before="139"/>
        <w:ind w:left="413" w:right="1452" w:firstLine="420"/>
      </w:pPr>
      <w:r>
        <w:rPr>
          <w:spacing w:val="-9"/>
        </w:rPr>
        <w:t>本基金 </w:t>
      </w:r>
      <w:r>
        <w:rPr/>
        <w:t>A</w:t>
      </w:r>
      <w:r>
        <w:rPr>
          <w:spacing w:val="-6"/>
        </w:rPr>
        <w:t> 类基金份额不收取销售服务费，</w:t>
      </w:r>
      <w:r>
        <w:rPr/>
        <w:t>C</w:t>
      </w:r>
      <w:r>
        <w:rPr>
          <w:spacing w:val="-8"/>
        </w:rPr>
        <w:t> 类基金份额的销售服务费年费率为 </w:t>
      </w:r>
      <w:r>
        <w:rPr/>
        <w:t>0.2%， </w:t>
      </w:r>
      <w:r>
        <w:rPr>
          <w:spacing w:val="-11"/>
        </w:rPr>
        <w:t>按前一日 </w:t>
      </w:r>
      <w:r>
        <w:rPr/>
        <w:t>C</w:t>
      </w:r>
      <w:r>
        <w:rPr>
          <w:spacing w:val="-13"/>
        </w:rPr>
        <w:t> 类基金资产净值的 </w:t>
      </w:r>
      <w:r>
        <w:rPr/>
        <w:t>0.2%年费率计提。</w:t>
      </w:r>
    </w:p>
    <w:p>
      <w:pPr>
        <w:pStyle w:val="BodyText"/>
        <w:spacing w:line="268" w:lineRule="exact"/>
        <w:ind w:left="833"/>
      </w:pPr>
      <w:r>
        <w:rPr/>
        <w:t>销售服务费的计算方法如下：</w:t>
      </w:r>
    </w:p>
    <w:p>
      <w:pPr>
        <w:pStyle w:val="BodyText"/>
        <w:spacing w:before="139"/>
        <w:ind w:left="833"/>
      </w:pPr>
      <w:r>
        <w:rPr/>
        <w:t>H＝E×0.2%÷当年天数</w:t>
      </w:r>
    </w:p>
    <w:p>
      <w:pPr>
        <w:pStyle w:val="BodyText"/>
        <w:spacing w:line="364" w:lineRule="auto" w:before="140"/>
        <w:ind w:left="833" w:right="4953"/>
      </w:pPr>
      <w:r>
        <w:rPr/>
        <w:t>H</w:t>
      </w:r>
      <w:r>
        <w:rPr>
          <w:spacing w:val="-36"/>
        </w:rPr>
        <w:t> 为 </w:t>
      </w:r>
      <w:r>
        <w:rPr/>
        <w:t>C</w:t>
      </w:r>
      <w:r>
        <w:rPr>
          <w:spacing w:val="-9"/>
        </w:rPr>
        <w:t> 类基金份额每日应计提的基金销售服务费</w:t>
      </w:r>
      <w:r>
        <w:rPr/>
        <w:t>E</w:t>
      </w:r>
      <w:r>
        <w:rPr>
          <w:spacing w:val="-36"/>
        </w:rPr>
        <w:t> 为 </w:t>
      </w:r>
      <w:r>
        <w:rPr/>
        <w:t>C</w:t>
      </w:r>
      <w:r>
        <w:rPr>
          <w:spacing w:val="-8"/>
        </w:rPr>
        <w:t> 类基金份额前一日基金资产净值</w:t>
      </w:r>
    </w:p>
    <w:p>
      <w:pPr>
        <w:pStyle w:val="BodyText"/>
        <w:spacing w:line="364" w:lineRule="auto"/>
        <w:ind w:left="413" w:right="1346" w:firstLine="420"/>
      </w:pPr>
      <w:r>
        <w:rPr/>
        <w:t>C</w:t>
      </w:r>
      <w:r>
        <w:rPr>
          <w:spacing w:val="-17"/>
        </w:rPr>
        <w:t> 类基金份额的销售服务费每日计提，按月支付。基金管理人和基金托管人核对一致后， </w:t>
      </w:r>
      <w:r>
        <w:rPr>
          <w:spacing w:val="-4"/>
        </w:rPr>
        <w:t>由基金托管人于次月前 </w:t>
      </w:r>
      <w:r>
        <w:rPr/>
        <w:t>3</w:t>
      </w:r>
      <w:r>
        <w:rPr>
          <w:spacing w:val="-6"/>
        </w:rPr>
        <w:t> 个工作日内从基金资产中划出，经注册登记机构分别支付给各个</w:t>
      </w:r>
    </w:p>
    <w:p>
      <w:pPr>
        <w:spacing w:after="0" w:line="364" w:lineRule="auto"/>
        <w:sectPr>
          <w:pgSz w:w="11910" w:h="16840"/>
          <w:pgMar w:header="0" w:footer="1166" w:top="1600" w:bottom="1440" w:left="1400" w:right="360"/>
        </w:sectPr>
      </w:pPr>
    </w:p>
    <w:p>
      <w:pPr>
        <w:pStyle w:val="BodyText"/>
        <w:spacing w:before="104"/>
        <w:ind w:left="413"/>
      </w:pPr>
      <w:r>
        <w:rPr/>
        <w:t>基金销售机构。若遇法定节假日、公休日或不可抗力等，支付日期顺延。</w:t>
      </w:r>
    </w:p>
    <w:p>
      <w:pPr>
        <w:pStyle w:val="BodyText"/>
        <w:spacing w:before="139"/>
        <w:ind w:left="833"/>
      </w:pPr>
      <w:r>
        <w:rPr/>
        <w:t>销售服务费可用于本基金市场推广、销售以及基金份额持有人服务等各项费用。</w:t>
      </w:r>
    </w:p>
    <w:p>
      <w:pPr>
        <w:pStyle w:val="ListParagraph"/>
        <w:numPr>
          <w:ilvl w:val="0"/>
          <w:numId w:val="32"/>
        </w:numPr>
        <w:tabs>
          <w:tab w:pos="1360" w:val="left" w:leader="none"/>
        </w:tabs>
        <w:spacing w:line="364" w:lineRule="auto" w:before="140" w:after="0"/>
        <w:ind w:left="413" w:right="1451" w:firstLine="420"/>
        <w:jc w:val="left"/>
        <w:rPr>
          <w:sz w:val="21"/>
        </w:rPr>
      </w:pPr>
      <w:r>
        <w:rPr>
          <w:spacing w:val="-4"/>
          <w:sz w:val="21"/>
        </w:rPr>
        <w:t>除管理费、托管费、指数使用费和销售服务费之外的基金费用，由基金托管人根</w:t>
      </w:r>
      <w:r>
        <w:rPr>
          <w:sz w:val="21"/>
        </w:rPr>
        <w:t>据其他有关法规及相应协议的规定，按费用支出金额支付，列入或摊入当期基金费用。</w:t>
      </w:r>
    </w:p>
    <w:p>
      <w:pPr>
        <w:pStyle w:val="BodyText"/>
        <w:spacing w:line="268" w:lineRule="exact"/>
        <w:ind w:left="833"/>
      </w:pPr>
      <w:r>
        <w:rPr/>
        <w:t>4、不列入基金费用的项目</w:t>
      </w:r>
    </w:p>
    <w:p>
      <w:pPr>
        <w:pStyle w:val="BodyText"/>
        <w:spacing w:line="364" w:lineRule="auto" w:before="139"/>
        <w:ind w:left="413" w:right="1452" w:firstLine="420"/>
        <w:jc w:val="both"/>
      </w:pPr>
      <w:r>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pPr>
        <w:pStyle w:val="BodyText"/>
        <w:spacing w:line="364" w:lineRule="auto"/>
        <w:ind w:left="413" w:right="1451" w:firstLine="420"/>
        <w:jc w:val="both"/>
      </w:pPr>
      <w:r>
        <w:rPr/>
        <w:t>5</w:t>
      </w:r>
      <w:r>
        <w:rPr>
          <w:spacing w:val="-5"/>
        </w:rPr>
        <w:t>、基金管理人和基金托管人可根据基金发展情况调整基金管理费率和基金托管费率等</w:t>
      </w:r>
      <w:r>
        <w:rPr/>
        <w:t>相关费率。基金管理人必须按照《信息披露办法》或其他相关规定于新的费率实施前在指定媒介上刊登公告。</w:t>
      </w:r>
    </w:p>
    <w:p>
      <w:pPr>
        <w:pStyle w:val="Heading3"/>
        <w:spacing w:line="358" w:lineRule="exact"/>
      </w:pPr>
      <w:bookmarkStart w:name="_bookmark78" w:id="79"/>
      <w:bookmarkEnd w:id="79"/>
      <w:r>
        <w:rPr/>
      </w:r>
      <w:r>
        <w:rPr/>
        <w:t>（二）与基金销售有关的费用</w:t>
      </w:r>
    </w:p>
    <w:p>
      <w:pPr>
        <w:pStyle w:val="BodyText"/>
        <w:spacing w:line="364" w:lineRule="auto" w:before="184"/>
        <w:ind w:left="413" w:right="1242" w:firstLine="420"/>
      </w:pPr>
      <w:r>
        <w:rPr/>
        <w:t>1、本基金申购费、赎回费的费率水平、收取方式和计算公式详见本招募说明书“八、基金份额的申购、赎回”中的“（七）申购、赎回的费率”和“（八）申购份额、赎回金 额的计算方式”的相关规定。</w:t>
      </w:r>
    </w:p>
    <w:p>
      <w:pPr>
        <w:pStyle w:val="BodyText"/>
        <w:spacing w:line="268" w:lineRule="exact"/>
        <w:ind w:left="833"/>
      </w:pPr>
      <w:r>
        <w:rPr/>
        <w:t>2、转换费率</w:t>
      </w:r>
    </w:p>
    <w:p>
      <w:pPr>
        <w:pStyle w:val="BodyText"/>
        <w:spacing w:line="364" w:lineRule="auto" w:before="139"/>
        <w:ind w:left="413" w:right="1451" w:firstLine="420"/>
        <w:jc w:val="both"/>
      </w:pPr>
      <w:r>
        <w:rPr/>
        <w:t>目前，基金管理人已开通了本基金与旗下部分开放式基金之间的转换业务，具体实施办法和转换费率详见相关公告。基金转换费用由投资者承担，基金转换费用由转出基金赎</w:t>
      </w:r>
      <w:r>
        <w:rPr>
          <w:spacing w:val="-7"/>
        </w:rPr>
        <w:t>回费用和基金申购补差费用构成，其中转出基金赎回费按照各基金的《基金合同》、更新的</w:t>
      </w:r>
    </w:p>
    <w:p>
      <w:pPr>
        <w:pStyle w:val="BodyText"/>
        <w:spacing w:line="364" w:lineRule="auto"/>
        <w:ind w:left="413" w:right="1452"/>
        <w:jc w:val="both"/>
      </w:pPr>
      <w:r>
        <w:rPr/>
        <w:t>《招募说明书》及最新的相关公告约定的比例归入基金财产，其余部分用于支付注册登记费等相关手续费。转换费用以人民币元为单位，计算结果按照四舍五入方法，保留小数点后两位。</w:t>
      </w:r>
    </w:p>
    <w:p>
      <w:pPr>
        <w:pStyle w:val="BodyText"/>
        <w:spacing w:line="364" w:lineRule="auto"/>
        <w:ind w:left="413" w:right="1452" w:firstLine="420"/>
      </w:pPr>
      <w:r>
        <w:rPr/>
        <w:t>3、投资者通过本公司网上交易系统（</w:t>
      </w:r>
      <w:hyperlink r:id="rId7">
        <w:r>
          <w:rPr/>
          <w:t>www.efunds.com.cn</w:t>
        </w:r>
      </w:hyperlink>
      <w:r>
        <w:rPr/>
        <w:t>）进行申购、赎回和转换的交易费率的查询，请具体参照我公司网站上的相关说明。</w:t>
      </w:r>
    </w:p>
    <w:p>
      <w:pPr>
        <w:pStyle w:val="BodyText"/>
        <w:spacing w:line="364" w:lineRule="auto"/>
        <w:ind w:left="413" w:right="1451" w:firstLine="420"/>
        <w:jc w:val="both"/>
      </w:pPr>
      <w:r>
        <w:rPr/>
        <w:t>4</w:t>
      </w:r>
      <w:r>
        <w:rPr>
          <w:spacing w:val="-5"/>
        </w:rPr>
        <w:t>、基金管理人可以在基金合同规定的范围内调整上述费率。上述费率如发生变更，基</w:t>
      </w:r>
      <w:r>
        <w:rPr/>
        <w:t>金管理人应按照《信息披露办法》或其他相关规定于新的费率实施前在至少一种指定媒介公告。</w:t>
      </w:r>
    </w:p>
    <w:p>
      <w:pPr>
        <w:pStyle w:val="BodyText"/>
        <w:spacing w:line="364" w:lineRule="auto"/>
        <w:ind w:left="413" w:right="1242" w:firstLine="420"/>
      </w:pPr>
      <w:r>
        <w:rPr/>
        <w:t>5</w:t>
      </w:r>
      <w:r>
        <w:rPr>
          <w:spacing w:val="-4"/>
        </w:rPr>
        <w:t>、基金管理人可以在不违反法律法规规定及基金合同约定的情况下根据市场情况制定 基金促销计划，针对基金投资者定期和不定期地开展基金促销活动。在基金促销活动期间， 基金管理人可以适当调低基金销售费率，或针对特定渠道、特定投资群体开展有差别的费 率优惠活动。</w:t>
      </w:r>
    </w:p>
    <w:p>
      <w:pPr>
        <w:spacing w:after="0" w:line="364" w:lineRule="auto"/>
        <w:sectPr>
          <w:pgSz w:w="11910" w:h="16840"/>
          <w:pgMar w:header="0" w:footer="1166" w:top="1600" w:bottom="1440" w:left="1400" w:right="360"/>
        </w:sectPr>
      </w:pPr>
    </w:p>
    <w:p>
      <w:pPr>
        <w:pStyle w:val="Heading3"/>
        <w:spacing w:before="105"/>
      </w:pPr>
      <w:bookmarkStart w:name="_bookmark79" w:id="80"/>
      <w:bookmarkEnd w:id="80"/>
      <w:r>
        <w:rPr/>
      </w:r>
      <w:r>
        <w:rPr/>
        <w:t>（三）基金税收</w:t>
      </w:r>
    </w:p>
    <w:p>
      <w:pPr>
        <w:pStyle w:val="BodyText"/>
        <w:spacing w:before="185"/>
        <w:ind w:left="833"/>
      </w:pPr>
      <w:r>
        <w:rPr/>
        <w:t>基金和基金份额持有人根据国家法律法规的规定，履行纳税义务。</w:t>
      </w:r>
    </w:p>
    <w:p>
      <w:pPr>
        <w:spacing w:after="0"/>
        <w:sectPr>
          <w:pgSz w:w="11910" w:h="16840"/>
          <w:pgMar w:header="0" w:footer="1166" w:top="1600" w:bottom="1440" w:left="1400" w:right="360"/>
        </w:sectPr>
      </w:pPr>
    </w:p>
    <w:p>
      <w:pPr>
        <w:pStyle w:val="Heading1"/>
        <w:ind w:left="2786"/>
      </w:pPr>
      <w:bookmarkStart w:name="_bookmark80" w:id="81"/>
      <w:bookmarkEnd w:id="81"/>
      <w:r>
        <w:rPr>
          <w:b w:val="0"/>
        </w:rPr>
      </w:r>
      <w:r>
        <w:rPr/>
        <w:t>十七、基金的会计与审计</w:t>
      </w:r>
    </w:p>
    <w:p>
      <w:pPr>
        <w:pStyle w:val="Heading3"/>
        <w:spacing w:before="139"/>
      </w:pPr>
      <w:bookmarkStart w:name="_bookmark81" w:id="82"/>
      <w:bookmarkEnd w:id="82"/>
      <w:r>
        <w:rPr/>
      </w:r>
      <w:r>
        <w:rPr/>
        <w:t>（一）基金的会计政策</w:t>
      </w:r>
    </w:p>
    <w:p>
      <w:pPr>
        <w:pStyle w:val="BodyText"/>
        <w:spacing w:before="185"/>
        <w:ind w:left="833"/>
      </w:pPr>
      <w:r>
        <w:rPr/>
        <w:t>1、基金管理人为本基金的会计责任方；</w:t>
      </w:r>
    </w:p>
    <w:p>
      <w:pPr>
        <w:pStyle w:val="BodyText"/>
        <w:spacing w:before="139"/>
        <w:ind w:left="833"/>
      </w:pPr>
      <w:r>
        <w:rPr/>
        <w:t>2、本基金的会计年度为公历每年的1月1日至12月31日；</w:t>
      </w:r>
    </w:p>
    <w:p>
      <w:pPr>
        <w:pStyle w:val="BodyText"/>
        <w:spacing w:before="140"/>
        <w:ind w:left="833"/>
      </w:pPr>
      <w:r>
        <w:rPr/>
        <w:t>3、本基金的会计核算以人民币为记账本位币，以人民币元为记账单位；</w:t>
      </w:r>
    </w:p>
    <w:p>
      <w:pPr>
        <w:pStyle w:val="BodyText"/>
        <w:spacing w:before="139"/>
        <w:ind w:left="833"/>
      </w:pPr>
      <w:r>
        <w:rPr/>
        <w:t>4、会计制度执行国家有关的会计制度；</w:t>
      </w:r>
    </w:p>
    <w:p>
      <w:pPr>
        <w:pStyle w:val="BodyText"/>
        <w:spacing w:before="140"/>
        <w:ind w:left="833"/>
      </w:pPr>
      <w:r>
        <w:rPr/>
        <w:t>5、本基金独立建账、独立核算；</w:t>
      </w:r>
    </w:p>
    <w:p>
      <w:pPr>
        <w:pStyle w:val="BodyText"/>
        <w:spacing w:line="364" w:lineRule="auto" w:before="139"/>
        <w:ind w:left="413" w:right="1429" w:firstLine="420"/>
      </w:pPr>
      <w:r>
        <w:rPr/>
        <w:t>6、基金管理人保留完整的会计账目、凭证并进行日常的会计核算，按照有关规定编制基金会计报表；</w:t>
      </w:r>
    </w:p>
    <w:p>
      <w:pPr>
        <w:pStyle w:val="BodyText"/>
        <w:spacing w:line="268" w:lineRule="exact"/>
        <w:ind w:left="833"/>
      </w:pPr>
      <w:r>
        <w:rPr/>
        <w:t>7、基金托管人定期与基金管理人就基金的会计核算、报表编制等进行核对并书面确认。</w:t>
      </w:r>
    </w:p>
    <w:p>
      <w:pPr>
        <w:pStyle w:val="Heading3"/>
        <w:spacing w:before="141"/>
      </w:pPr>
      <w:bookmarkStart w:name="_bookmark82" w:id="83"/>
      <w:bookmarkEnd w:id="83"/>
      <w:r>
        <w:rPr/>
      </w:r>
      <w:r>
        <w:rPr/>
        <w:t>（二）基金的审计</w:t>
      </w:r>
    </w:p>
    <w:p>
      <w:pPr>
        <w:pStyle w:val="BodyText"/>
        <w:spacing w:line="364" w:lineRule="auto" w:before="185"/>
        <w:ind w:left="413" w:right="1451" w:firstLine="420"/>
        <w:jc w:val="both"/>
      </w:pPr>
      <w:r>
        <w:rPr/>
        <w:t>1</w:t>
      </w:r>
      <w:r>
        <w:rPr>
          <w:spacing w:val="-5"/>
        </w:rPr>
        <w:t>、基金管理人聘请具有从事证券、期货相关业务资格的会计师事务所及其注册会计师</w:t>
      </w:r>
      <w:r>
        <w:rPr/>
        <w:t>对本基金年度财务报表及其他规定事项进行审计。会计师事务所及其注册会计师与基金管理人、基金托管人相互独立。</w:t>
      </w:r>
    </w:p>
    <w:p>
      <w:pPr>
        <w:pStyle w:val="BodyText"/>
        <w:spacing w:line="268" w:lineRule="exact"/>
        <w:ind w:left="833"/>
      </w:pPr>
      <w:r>
        <w:rPr/>
        <w:t>2、会计师事务所更换经办注册会计师时，应事先征得基金管理人同意。</w:t>
      </w:r>
    </w:p>
    <w:p>
      <w:pPr>
        <w:pStyle w:val="BodyText"/>
        <w:spacing w:line="364" w:lineRule="auto" w:before="139"/>
        <w:ind w:left="413" w:right="1346" w:firstLine="420"/>
      </w:pPr>
      <w:r>
        <w:rPr/>
        <w:t>3、基金管理人(或基金托管人)认为有充足理由更换会计师事务所，经基金托管人(或</w:t>
      </w:r>
      <w:r>
        <w:rPr>
          <w:spacing w:val="-8"/>
        </w:rPr>
        <w:t>基金管理人)同意后可以更换。就更换会计师事务所，基金管理人应当依照《信息披露办法》</w:t>
      </w:r>
      <w:r>
        <w:rPr/>
        <w:t>的有关规定在指定媒介上公告。</w:t>
      </w:r>
    </w:p>
    <w:p>
      <w:pPr>
        <w:spacing w:after="0" w:line="364" w:lineRule="auto"/>
        <w:sectPr>
          <w:pgSz w:w="11910" w:h="16840"/>
          <w:pgMar w:header="0" w:footer="1166" w:top="1600" w:bottom="1440" w:left="1400" w:right="360"/>
        </w:sectPr>
      </w:pPr>
    </w:p>
    <w:p>
      <w:pPr>
        <w:pStyle w:val="Heading1"/>
        <w:ind w:left="2947"/>
      </w:pPr>
      <w:bookmarkStart w:name="_bookmark83" w:id="84"/>
      <w:bookmarkEnd w:id="84"/>
      <w:r>
        <w:rPr>
          <w:b w:val="0"/>
        </w:rPr>
      </w:r>
      <w:r>
        <w:rPr/>
        <w:t>十八、基金的信息披露</w:t>
      </w:r>
    </w:p>
    <w:p>
      <w:pPr>
        <w:pStyle w:val="BodyText"/>
        <w:spacing w:line="364" w:lineRule="auto" w:before="138"/>
        <w:ind w:left="413" w:right="1242" w:firstLine="420"/>
      </w:pPr>
      <w:r>
        <w:rPr>
          <w:spacing w:val="-26"/>
        </w:rPr>
        <w:t>基金的信息披露应符合《基金法》、《运作办法》、《信息披露办法》、基金合同及其他有 关规定。相关法律法规关于信息披露的披露方式、登载媒介、报备方式等规定发生变化时， 本基金从其最新规定。基金管理人、基金托管人和其他基金信息披露义务人应当依法披露 基金信息，并保证所披露信息的真实性、准确性和完整性。</w:t>
      </w:r>
    </w:p>
    <w:p>
      <w:pPr>
        <w:pStyle w:val="BodyText"/>
        <w:spacing w:line="364" w:lineRule="auto"/>
        <w:ind w:left="413" w:right="1452" w:firstLine="420"/>
        <w:jc w:val="both"/>
      </w:pPr>
      <w:r>
        <w:rPr/>
        <w:t>本基金信息披露义务人包括基金管理人、基金托管人、召集基金份额持有人大会的基金份额持有人等法律、行政法规和中国证监会规定的自然人、法人和非法人组织。基金管理人、基金托管人和其他基金信息披露义务人应按规定将应予披露的基金信息披露事项在规定时间内通过中国证监会指定的媒介披露。</w:t>
      </w:r>
    </w:p>
    <w:p>
      <w:pPr>
        <w:pStyle w:val="BodyText"/>
        <w:spacing w:line="364" w:lineRule="auto"/>
        <w:ind w:left="413" w:right="1452" w:firstLine="420"/>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268" w:lineRule="exact"/>
        <w:ind w:left="833"/>
      </w:pPr>
      <w:r>
        <w:rPr/>
        <w:t>本基金信息披露义务人承诺公开披露的基金信息，不得有下列行为：</w:t>
      </w:r>
    </w:p>
    <w:p>
      <w:pPr>
        <w:pStyle w:val="BodyText"/>
        <w:spacing w:before="136"/>
        <w:ind w:left="833"/>
      </w:pPr>
      <w:r>
        <w:rPr/>
        <w:t>1、虚假记载、误导性陈述或者重大遗漏；</w:t>
      </w:r>
    </w:p>
    <w:p>
      <w:pPr>
        <w:pStyle w:val="BodyText"/>
        <w:spacing w:before="139"/>
        <w:ind w:left="833"/>
      </w:pPr>
      <w:r>
        <w:rPr/>
        <w:t>2、对证券投资业绩进行预测；</w:t>
      </w:r>
    </w:p>
    <w:p>
      <w:pPr>
        <w:pStyle w:val="BodyText"/>
        <w:spacing w:before="140"/>
        <w:ind w:left="833"/>
      </w:pPr>
      <w:r>
        <w:rPr/>
        <w:t>3、违规承诺收益或者承担损失；</w:t>
      </w:r>
    </w:p>
    <w:p>
      <w:pPr>
        <w:pStyle w:val="BodyText"/>
        <w:spacing w:before="139"/>
        <w:ind w:left="833"/>
      </w:pPr>
      <w:r>
        <w:rPr/>
        <w:t>4、诋毁其他基金管理人、基金托管人；</w:t>
      </w:r>
    </w:p>
    <w:p>
      <w:pPr>
        <w:pStyle w:val="BodyText"/>
        <w:spacing w:before="139"/>
        <w:ind w:left="833"/>
      </w:pPr>
      <w:r>
        <w:rPr/>
        <w:t>5、登载任何自然人、法人和非法人组织的祝贺性、恭维性或推荐性的文字；</w:t>
      </w:r>
    </w:p>
    <w:p>
      <w:pPr>
        <w:pStyle w:val="BodyText"/>
        <w:spacing w:before="140"/>
        <w:ind w:left="833"/>
      </w:pPr>
      <w:r>
        <w:rPr/>
        <w:t>6、中国证监会禁止的其他行为。</w:t>
      </w:r>
    </w:p>
    <w:p>
      <w:pPr>
        <w:pStyle w:val="BodyText"/>
        <w:spacing w:line="364" w:lineRule="auto" w:before="139"/>
        <w:ind w:left="413" w:right="1452" w:firstLine="420"/>
      </w:pPr>
      <w:r>
        <w:rPr/>
        <w:t>本基金公开披露的信息应采用中文文本。如同时采用外文文本的，基金信息披露义务人应保证不同文本的内容一致。不同文本发生歧义的，以中文文本为准。</w:t>
      </w:r>
    </w:p>
    <w:p>
      <w:pPr>
        <w:pStyle w:val="BodyText"/>
        <w:spacing w:line="364" w:lineRule="auto"/>
        <w:ind w:left="833" w:right="1962"/>
      </w:pPr>
      <w:r>
        <w:rPr/>
        <w:t>本基金公开披露的信息采用阿拉伯数字；除特别说明外，货币单位为人民币元。公开披露的基金信息包括：</w:t>
      </w:r>
    </w:p>
    <w:p>
      <w:pPr>
        <w:pStyle w:val="BodyText"/>
        <w:spacing w:line="268" w:lineRule="exact"/>
        <w:ind w:left="833"/>
      </w:pPr>
      <w:r>
        <w:rPr/>
        <w:t>(一)招募说明书、基金产品资料概要</w:t>
      </w:r>
    </w:p>
    <w:p>
      <w:pPr>
        <w:pStyle w:val="BodyText"/>
        <w:spacing w:line="364" w:lineRule="auto" w:before="139"/>
        <w:ind w:left="413" w:right="1451" w:firstLine="420"/>
        <w:jc w:val="both"/>
      </w:pPr>
      <w:r>
        <w:rPr>
          <w:spacing w:val="-26"/>
        </w:rPr>
        <w:t>基金管理人按照《基金法》、《运作办法》、《信息披露办法》、基金合同及其它有关规定</w:t>
      </w:r>
      <w:r>
        <w:rPr/>
        <w:t>编制并公告招募说明书。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pStyle w:val="BodyText"/>
        <w:spacing w:line="364" w:lineRule="auto"/>
        <w:ind w:left="413" w:right="1451" w:firstLine="420"/>
        <w:jc w:val="both"/>
      </w:pPr>
      <w:r>
        <w:rPr/>
        <w:t>基金产品资料概要是基金招募说明书的摘要文件，用于向投资者提供简明的基金概要</w:t>
      </w:r>
      <w:r>
        <w:rPr>
          <w:spacing w:val="-12"/>
        </w:rPr>
        <w:t>信息。《基金合同》生效后，基金产品资料概要的信息发生重大变更的，基金管理人应当在</w:t>
      </w:r>
      <w:r>
        <w:rPr/>
        <w:t>三个工作日内，更新基金产品资料概要，并登载在指定网站及基金销售机构网站或营业网</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2"/>
      </w:pPr>
      <w:r>
        <w:rPr/>
        <w:t>点；基金产品资料概要其他信息发生变更的，基金管理人至少每年更新一次。基金终止运作的，基金管理人不再更新基金产品资料概要。</w:t>
      </w:r>
    </w:p>
    <w:p>
      <w:pPr>
        <w:pStyle w:val="BodyText"/>
        <w:spacing w:line="268" w:lineRule="exact"/>
        <w:ind w:left="833"/>
      </w:pPr>
      <w:r>
        <w:rPr/>
        <w:t>(二)基金合同、托管协议</w:t>
      </w:r>
    </w:p>
    <w:p>
      <w:pPr>
        <w:pStyle w:val="BodyText"/>
        <w:spacing w:before="139"/>
        <w:ind w:left="833"/>
      </w:pPr>
      <w:r>
        <w:rPr/>
        <w:t>基金管理人、基金托管人应将基金合同、托管协议登载在各自网站上。</w:t>
      </w:r>
    </w:p>
    <w:p>
      <w:pPr>
        <w:pStyle w:val="BodyText"/>
        <w:spacing w:before="140"/>
        <w:ind w:left="833"/>
      </w:pPr>
      <w:r>
        <w:rPr/>
        <w:t>(三)基金净值信息</w:t>
      </w:r>
    </w:p>
    <w:p>
      <w:pPr>
        <w:pStyle w:val="BodyText"/>
        <w:spacing w:line="364" w:lineRule="auto" w:before="139"/>
        <w:ind w:left="413" w:right="1452" w:firstLine="420"/>
      </w:pPr>
      <w:r>
        <w:rPr/>
        <w:t>《基金合同》生效后，在开始办理基金份额申购或者赎回前，基金管理人应当至少每周在指定网站披露一次基金份额净值和基金份额累计净值。</w:t>
      </w:r>
    </w:p>
    <w:p>
      <w:pPr>
        <w:pStyle w:val="BodyText"/>
        <w:spacing w:line="364" w:lineRule="auto"/>
        <w:ind w:left="413" w:right="1452" w:firstLine="420"/>
        <w:jc w:val="both"/>
      </w:pPr>
      <w:r>
        <w:rPr/>
        <w:t>在开始办理基金份额申购或者赎回后，基金管理人应当在不晚于每个开放日的次日， 通过指定网站、基金销售机构网站或者营业网点披露开放日的基金份额净值和基金份额累计净值。</w:t>
      </w:r>
    </w:p>
    <w:p>
      <w:pPr>
        <w:pStyle w:val="BodyText"/>
        <w:spacing w:line="364" w:lineRule="auto"/>
        <w:ind w:left="413" w:right="1452" w:firstLine="420"/>
      </w:pPr>
      <w:r>
        <w:rPr/>
        <w:t>基金管理人应当在不晚于半年度和年度最后一日的次日，在指定网站披露半年度和年度最后一日的基金份额净值和基金份额累计净值</w:t>
      </w:r>
    </w:p>
    <w:p>
      <w:pPr>
        <w:pStyle w:val="BodyText"/>
        <w:spacing w:line="268" w:lineRule="exact"/>
        <w:ind w:left="833"/>
      </w:pPr>
      <w:r>
        <w:rPr/>
        <w:t>(四)基金份额申购、赎回价格公告</w:t>
      </w:r>
    </w:p>
    <w:p>
      <w:pPr>
        <w:pStyle w:val="BodyText"/>
        <w:spacing w:line="364" w:lineRule="auto" w:before="137"/>
        <w:ind w:left="413" w:right="1452" w:firstLine="420"/>
        <w:jc w:val="both"/>
      </w:pPr>
      <w:r>
        <w:rPr/>
        <w:t>基金管理人应当在本基金的基金合同、招募说明书等信息披露文件上载明基金份额申购、赎回价格的计算方式及有关申购、赎回费率，并保证投资人能够在销售机构网站或营业网点查阅或者复制前述信息资料。</w:t>
      </w:r>
    </w:p>
    <w:p>
      <w:pPr>
        <w:pStyle w:val="BodyText"/>
        <w:spacing w:line="268" w:lineRule="exact"/>
        <w:ind w:left="833"/>
      </w:pPr>
      <w:r>
        <w:rPr/>
        <w:t>(五)基金年度报告、基金中期报告、基金季度报告</w:t>
      </w:r>
    </w:p>
    <w:p>
      <w:pPr>
        <w:pStyle w:val="BodyText"/>
        <w:spacing w:line="364" w:lineRule="auto" w:before="140"/>
        <w:ind w:left="413" w:right="1451" w:firstLine="420"/>
        <w:jc w:val="both"/>
      </w:pPr>
      <w:r>
        <w:rPr/>
        <w:t>1</w:t>
      </w:r>
      <w:r>
        <w:rPr>
          <w:spacing w:val="-5"/>
        </w:rPr>
        <w:t>、基金管理人应当在每年结束之日起三个月内，编制完成基金年度报告，将年度报告</w:t>
      </w:r>
      <w:r>
        <w:rPr/>
        <w:t>登载在指定网站上，并将年度报告提示性公告登载在指定报刊上。基金年度报告中的财务会计报告应当经过具有证券、期货相关业务资格的会计师事务所审计；</w:t>
      </w:r>
    </w:p>
    <w:p>
      <w:pPr>
        <w:pStyle w:val="BodyText"/>
        <w:spacing w:line="364" w:lineRule="auto"/>
        <w:ind w:left="413" w:right="1429" w:firstLine="420"/>
      </w:pPr>
      <w:r>
        <w:rPr/>
        <w:t>2、基金管理人应当在上半年结束之日起两个月内，编制完成基金中期报告，将中期报告登载在指定网站上，并将中期报告提示性公告登载在指定报刊上；</w:t>
      </w:r>
    </w:p>
    <w:p>
      <w:pPr>
        <w:pStyle w:val="BodyText"/>
        <w:spacing w:line="364" w:lineRule="auto"/>
        <w:ind w:left="413" w:right="1406" w:firstLine="420"/>
      </w:pPr>
      <w:r>
        <w:rPr/>
        <w:t>3、基金管理人应当在季度结束之日起15个工作日内，编制完成基金季度报告，将季度报告登载在指定网站上，并将季度报告提示性公告登载在指定报刊上；</w:t>
      </w:r>
    </w:p>
    <w:p>
      <w:pPr>
        <w:pStyle w:val="BodyText"/>
        <w:spacing w:line="364" w:lineRule="auto"/>
        <w:ind w:left="413" w:right="1451" w:firstLine="420"/>
      </w:pPr>
      <w:r>
        <w:rPr/>
        <w:t>4</w:t>
      </w:r>
      <w:r>
        <w:rPr>
          <w:spacing w:val="-8"/>
        </w:rPr>
        <w:t>、基金合同生效不足 </w:t>
      </w:r>
      <w:r>
        <w:rPr/>
        <w:t>2</w:t>
      </w:r>
      <w:r>
        <w:rPr>
          <w:spacing w:val="-9"/>
        </w:rPr>
        <w:t> 个月的，本基金管理人可以不编制当期季度报告、中期报告或</w:t>
      </w:r>
      <w:r>
        <w:rPr/>
        <w:t>者年度报告。</w:t>
      </w:r>
    </w:p>
    <w:p>
      <w:pPr>
        <w:pStyle w:val="BodyText"/>
        <w:spacing w:line="364" w:lineRule="auto"/>
        <w:ind w:left="413" w:right="1452" w:firstLine="420"/>
        <w:jc w:val="both"/>
      </w:pPr>
      <w:r>
        <w:rPr/>
        <w:t>5</w:t>
      </w:r>
      <w:r>
        <w:rPr>
          <w:spacing w:val="-2"/>
        </w:rPr>
        <w:t>、报告期内出现单一投资者持有基金份额比例达到或超过 </w:t>
      </w:r>
      <w:r>
        <w:rPr/>
        <w:t>20%的情形，基金管理人应当在季度报告、中期报告、年度报告等定期报告文件中披露该投资者的类别、报告期末持有份额及占比、报告期内持有份额变化情况及产品的特有风险，中国证监会认定的特殊情形除外。</w:t>
      </w:r>
    </w:p>
    <w:p>
      <w:pPr>
        <w:pStyle w:val="BodyText"/>
        <w:spacing w:line="364" w:lineRule="auto"/>
        <w:ind w:left="413" w:right="1429" w:firstLine="420"/>
      </w:pPr>
      <w:r>
        <w:rPr/>
        <w:t>6、基金持续运作过程中，基金管理人应当在基金年度报告和中期报告中披露基金组合资产情况及其流动性风险分析等。</w:t>
      </w:r>
    </w:p>
    <w:p>
      <w:pPr>
        <w:pStyle w:val="BodyText"/>
        <w:spacing w:line="268" w:lineRule="exact"/>
        <w:ind w:left="833"/>
      </w:pPr>
      <w:r>
        <w:rPr/>
        <w:t>(六)临时报告与公告</w:t>
      </w:r>
    </w:p>
    <w:p>
      <w:pPr>
        <w:spacing w:after="0" w:line="268" w:lineRule="exact"/>
        <w:sectPr>
          <w:pgSz w:w="11910" w:h="16840"/>
          <w:pgMar w:header="0" w:footer="1166" w:top="1600" w:bottom="1440" w:left="1400" w:right="360"/>
        </w:sectPr>
      </w:pPr>
    </w:p>
    <w:p>
      <w:pPr>
        <w:pStyle w:val="BodyText"/>
        <w:spacing w:line="364" w:lineRule="auto" w:before="104"/>
        <w:ind w:left="413" w:right="1451" w:firstLine="420"/>
        <w:jc w:val="both"/>
      </w:pPr>
      <w:r>
        <w:rPr/>
        <w:t>在基金运作过程中发生如下可能对基金份额持有人权益或者基金份额的价格产生重大</w:t>
      </w:r>
      <w:r>
        <w:rPr>
          <w:spacing w:val="-2"/>
        </w:rPr>
        <w:t>影响的事件时，有关信息披露义务人应当在 </w:t>
      </w:r>
      <w:r>
        <w:rPr/>
        <w:t>2</w:t>
      </w:r>
      <w:r>
        <w:rPr>
          <w:spacing w:val="-4"/>
        </w:rPr>
        <w:t> 日内编制临时报告书，并登载在指定报刊和指定网站上：</w:t>
      </w:r>
    </w:p>
    <w:p>
      <w:pPr>
        <w:pStyle w:val="BodyText"/>
        <w:spacing w:line="268" w:lineRule="exact"/>
        <w:ind w:left="833"/>
      </w:pPr>
      <w:r>
        <w:rPr/>
        <w:t>1、基金份额持有人大会的召开及决定的事项；</w:t>
      </w:r>
    </w:p>
    <w:p>
      <w:pPr>
        <w:pStyle w:val="BodyText"/>
        <w:spacing w:before="139"/>
        <w:ind w:left="833"/>
      </w:pPr>
      <w:r>
        <w:rPr/>
        <w:t>2、基金合同终止、基金清算；</w:t>
      </w:r>
    </w:p>
    <w:p>
      <w:pPr>
        <w:pStyle w:val="BodyText"/>
        <w:spacing w:before="140"/>
        <w:ind w:left="833"/>
      </w:pPr>
      <w:r>
        <w:rPr/>
        <w:t>3、转换基金运作方式、基金合并；</w:t>
      </w:r>
    </w:p>
    <w:p>
      <w:pPr>
        <w:pStyle w:val="BodyText"/>
        <w:spacing w:before="139"/>
        <w:ind w:left="833"/>
      </w:pPr>
      <w:r>
        <w:rPr/>
        <w:t>4、更换基金管理人、基金托管人、基金份额登记机构，基金改聘会计师事务所；</w:t>
      </w:r>
    </w:p>
    <w:p>
      <w:pPr>
        <w:pStyle w:val="BodyText"/>
        <w:spacing w:line="364" w:lineRule="auto" w:before="140"/>
        <w:ind w:left="413" w:right="1429" w:firstLine="420"/>
      </w:pPr>
      <w:r>
        <w:rPr/>
        <w:t>5、基金管理人委托基金服务机构代为办理基金的份额登记、核算、估值等事项，基金托管人委托基金服务机构代为办理基金的核算、估值、复核等事项；</w:t>
      </w:r>
    </w:p>
    <w:p>
      <w:pPr>
        <w:pStyle w:val="BodyText"/>
        <w:spacing w:line="268" w:lineRule="exact"/>
        <w:ind w:left="833"/>
      </w:pPr>
      <w:r>
        <w:rPr/>
        <w:t>6、基金管理人、基金托管人的法定名称、住所发生变更；</w:t>
      </w:r>
    </w:p>
    <w:p>
      <w:pPr>
        <w:pStyle w:val="BodyText"/>
        <w:spacing w:before="139"/>
        <w:ind w:left="833"/>
      </w:pPr>
      <w:r>
        <w:rPr/>
        <w:t>7、基金管理公司变更持有百分之五以上股权的股东、基金管理人的实际控制人变更；</w:t>
      </w:r>
    </w:p>
    <w:p>
      <w:pPr>
        <w:pStyle w:val="BodyText"/>
        <w:spacing w:before="140"/>
        <w:ind w:left="833"/>
      </w:pPr>
      <w:r>
        <w:rPr/>
        <w:t>8、基金募集期延长或提前结束募集；</w:t>
      </w:r>
    </w:p>
    <w:p>
      <w:pPr>
        <w:pStyle w:val="BodyText"/>
        <w:spacing w:line="364" w:lineRule="auto" w:before="139"/>
        <w:ind w:left="413" w:right="1429" w:firstLine="420"/>
      </w:pPr>
      <w:r>
        <w:rPr/>
        <w:t>9、基金管理人的高级管理人员、基金经理和基金托管人专门基金托管部门负责人发生变动；</w:t>
      </w:r>
    </w:p>
    <w:p>
      <w:pPr>
        <w:pStyle w:val="BodyText"/>
        <w:spacing w:line="364" w:lineRule="auto"/>
        <w:ind w:left="413" w:right="1451" w:firstLine="420"/>
      </w:pPr>
      <w:r>
        <w:rPr/>
        <w:t>10</w:t>
      </w:r>
      <w:r>
        <w:rPr>
          <w:spacing w:val="-6"/>
        </w:rPr>
        <w:t>、基金管理人的董事在最近 </w:t>
      </w:r>
      <w:r>
        <w:rPr/>
        <w:t>12</w:t>
      </w:r>
      <w:r>
        <w:rPr>
          <w:spacing w:val="-9"/>
        </w:rPr>
        <w:t> 个月内变更超过百分之五十，基金管理人、基金托管</w:t>
      </w:r>
      <w:r>
        <w:rPr>
          <w:spacing w:val="-3"/>
        </w:rPr>
        <w:t>人专门基金托管部门的主要业务人员在最近 </w:t>
      </w:r>
      <w:r>
        <w:rPr/>
        <w:t>12</w:t>
      </w:r>
      <w:r>
        <w:rPr>
          <w:spacing w:val="-8"/>
        </w:rPr>
        <w:t> 个月内变动超过百分之三十；</w:t>
      </w:r>
    </w:p>
    <w:p>
      <w:pPr>
        <w:pStyle w:val="BodyText"/>
        <w:spacing w:line="268" w:lineRule="exact"/>
        <w:ind w:left="833"/>
      </w:pPr>
      <w:r>
        <w:rPr/>
        <w:t>11、涉及基金财产、基金管理业务、基金托管业务的诉讼或仲裁；</w:t>
      </w:r>
    </w:p>
    <w:p>
      <w:pPr>
        <w:pStyle w:val="BodyText"/>
        <w:spacing w:line="364" w:lineRule="auto" w:before="139"/>
        <w:ind w:left="413" w:right="1452" w:firstLine="420"/>
        <w:jc w:val="both"/>
      </w:pPr>
      <w:r>
        <w:rPr/>
        <w:t>12、基金管理人或其高级管理人员、基金经理因基金管理业务相关行为受到重大行政处罚、刑事处罚，基金托管人或其专门基金托管部门负责人因基金托管业务相关行为受到重大行政处罚、刑事处罚；</w:t>
      </w:r>
    </w:p>
    <w:p>
      <w:pPr>
        <w:pStyle w:val="BodyText"/>
        <w:spacing w:line="364" w:lineRule="auto"/>
        <w:ind w:left="413" w:right="1452" w:firstLine="420"/>
        <w:jc w:val="both"/>
      </w:pPr>
      <w:r>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BodyText"/>
        <w:spacing w:line="268" w:lineRule="exact"/>
        <w:ind w:left="833"/>
      </w:pPr>
      <w:r>
        <w:rPr/>
        <w:t>14、基金收益分配事项；</w:t>
      </w:r>
    </w:p>
    <w:p>
      <w:pPr>
        <w:pStyle w:val="BodyText"/>
        <w:spacing w:line="364" w:lineRule="auto" w:before="138"/>
        <w:ind w:left="413" w:right="1452" w:firstLine="420"/>
      </w:pPr>
      <w:r>
        <w:rPr/>
        <w:t>15、管理费、托管费、销售服务费、申购费、赎回费等费用计提标准、计提方式和费率发生变更；</w:t>
      </w:r>
    </w:p>
    <w:p>
      <w:pPr>
        <w:pStyle w:val="BodyText"/>
        <w:spacing w:line="268" w:lineRule="exact"/>
        <w:ind w:left="833"/>
      </w:pPr>
      <w:r>
        <w:rPr/>
        <w:t>16、基金份额净值计价错误达基金份额净值百分之零点五；</w:t>
      </w:r>
    </w:p>
    <w:p>
      <w:pPr>
        <w:pStyle w:val="BodyText"/>
        <w:spacing w:before="139"/>
        <w:ind w:left="833"/>
      </w:pPr>
      <w:r>
        <w:rPr/>
        <w:t>17、本基金开始办理申购、赎回；</w:t>
      </w:r>
    </w:p>
    <w:p>
      <w:pPr>
        <w:pStyle w:val="BodyText"/>
        <w:spacing w:before="139"/>
        <w:ind w:left="833"/>
      </w:pPr>
      <w:r>
        <w:rPr/>
        <w:t>18、本基金暂停接受申购、赎回申请或重新接受申购、赎回申请；</w:t>
      </w:r>
    </w:p>
    <w:p>
      <w:pPr>
        <w:pStyle w:val="BodyText"/>
        <w:spacing w:before="140"/>
        <w:ind w:left="833"/>
      </w:pPr>
      <w:r>
        <w:rPr/>
        <w:t>19、调整基金份额类别的设置；</w:t>
      </w:r>
    </w:p>
    <w:p>
      <w:pPr>
        <w:pStyle w:val="BodyText"/>
        <w:spacing w:before="139"/>
        <w:ind w:left="833"/>
      </w:pPr>
      <w:r>
        <w:rPr/>
        <w:t>20、基金推出新业务或服务；</w:t>
      </w:r>
    </w:p>
    <w:p>
      <w:pPr>
        <w:pStyle w:val="BodyText"/>
        <w:spacing w:line="364" w:lineRule="auto" w:before="140"/>
        <w:ind w:left="413" w:right="1452" w:firstLine="420"/>
      </w:pPr>
      <w:r>
        <w:rPr/>
        <w:t>21、基金信息披露义务人认为可能对基金份额持有人权益或者基金份额的价格产生重大影响的其他事项或中国证监会规定的其他事项。</w:t>
      </w:r>
    </w:p>
    <w:p>
      <w:pPr>
        <w:spacing w:after="0" w:line="364" w:lineRule="auto"/>
        <w:sectPr>
          <w:pgSz w:w="11910" w:h="16840"/>
          <w:pgMar w:header="0" w:footer="1166" w:top="1600" w:bottom="1440" w:left="1400" w:right="360"/>
        </w:sectPr>
      </w:pPr>
    </w:p>
    <w:p>
      <w:pPr>
        <w:pStyle w:val="BodyText"/>
        <w:spacing w:before="104"/>
        <w:ind w:left="833"/>
      </w:pPr>
      <w:r>
        <w:rPr/>
        <w:t>(七)澄清公告</w:t>
      </w:r>
    </w:p>
    <w:p>
      <w:pPr>
        <w:pStyle w:val="BodyText"/>
        <w:spacing w:line="364" w:lineRule="auto" w:before="139"/>
        <w:ind w:left="413" w:right="1452" w:firstLine="420"/>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BodyText"/>
        <w:spacing w:line="268" w:lineRule="exact"/>
        <w:ind w:left="833"/>
      </w:pPr>
      <w:r>
        <w:rPr/>
        <w:t>(八)清算报告</w:t>
      </w:r>
    </w:p>
    <w:p>
      <w:pPr>
        <w:pStyle w:val="BodyText"/>
        <w:spacing w:line="364" w:lineRule="auto" w:before="140"/>
        <w:ind w:left="413" w:right="1452"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BodyText"/>
        <w:spacing w:line="268" w:lineRule="exact"/>
        <w:ind w:left="833"/>
      </w:pPr>
      <w:r>
        <w:rPr/>
        <w:t>（九）基金份额持有人大会决议</w:t>
      </w:r>
    </w:p>
    <w:p>
      <w:pPr>
        <w:pStyle w:val="BodyText"/>
        <w:spacing w:line="364" w:lineRule="auto" w:before="139"/>
        <w:ind w:left="413" w:right="1452" w:firstLine="420"/>
      </w:pPr>
      <w:r>
        <w:rPr/>
        <w:t>基金份额持有人大会决定的事项，应当依法报国务院证券监督管理机构备案，并予以公告。</w:t>
      </w:r>
    </w:p>
    <w:p>
      <w:pPr>
        <w:pStyle w:val="BodyText"/>
        <w:spacing w:line="364" w:lineRule="auto"/>
        <w:ind w:left="413" w:right="1452" w:firstLine="420"/>
      </w:pPr>
      <w:r>
        <w:rPr/>
        <w:t>基金份额持有人依法自行召集基金份额持有人大会，召集人应当履行相关信息披露义务。</w:t>
      </w:r>
    </w:p>
    <w:p>
      <w:pPr>
        <w:pStyle w:val="BodyText"/>
        <w:spacing w:line="268" w:lineRule="exact"/>
        <w:ind w:left="833"/>
      </w:pPr>
      <w:r>
        <w:rPr/>
        <w:t>(十)中国证监会规定的其他信息</w:t>
      </w:r>
    </w:p>
    <w:p>
      <w:pPr>
        <w:pStyle w:val="BodyText"/>
        <w:spacing w:line="364" w:lineRule="auto" w:before="139"/>
        <w:ind w:left="413" w:right="1452" w:firstLine="420"/>
      </w:pPr>
      <w:r>
        <w:rPr/>
        <w:t>若本基金参与融资及转融通证券出借业务，基金管理人将按相关法律法规要求进行披露。</w:t>
      </w:r>
    </w:p>
    <w:p>
      <w:pPr>
        <w:pStyle w:val="BodyText"/>
        <w:spacing w:line="268" w:lineRule="exact"/>
        <w:ind w:left="833"/>
      </w:pPr>
      <w:r>
        <w:rPr/>
        <w:t>(十一)信息披露事务管理</w:t>
      </w:r>
    </w:p>
    <w:p>
      <w:pPr>
        <w:pStyle w:val="BodyText"/>
        <w:spacing w:line="364" w:lineRule="auto" w:before="139"/>
        <w:ind w:left="413" w:right="1452" w:firstLine="420"/>
      </w:pPr>
      <w:r>
        <w:rPr/>
        <w:t>基金管理人、基金托管人应当建立健全信息披露管理制度，指定专门部门及高级管理人员负责管理信息披露事务。</w:t>
      </w:r>
    </w:p>
    <w:p>
      <w:pPr>
        <w:pStyle w:val="BodyText"/>
        <w:spacing w:line="364" w:lineRule="auto"/>
        <w:ind w:left="413" w:right="1452" w:firstLine="420"/>
      </w:pPr>
      <w:r>
        <w:rPr/>
        <w:t>基金信息披露义务人公开披露基金信息，应当符合中国证监会相关基金信息披露内容与格式准则等法规的规定。</w:t>
      </w:r>
    </w:p>
    <w:p>
      <w:pPr>
        <w:pStyle w:val="BodyText"/>
        <w:spacing w:line="364" w:lineRule="auto"/>
        <w:ind w:left="413" w:right="1452" w:firstLine="42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364" w:lineRule="auto"/>
        <w:ind w:left="413" w:right="1452" w:firstLine="42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64" w:lineRule="auto"/>
        <w:ind w:left="413" w:right="1452" w:firstLine="420"/>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364" w:lineRule="auto"/>
        <w:ind w:left="413" w:right="1452" w:firstLine="420"/>
        <w:jc w:val="both"/>
      </w:pPr>
      <w:r>
        <w:rPr/>
        <w:t>为基金信息披露义务人公开披露的基金信息出具审计报告、法律意见书的专业机构， 应当制作工作底稿，并将相关档案至少保存到《基金合同》终止后 10 年。</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2" w:firstLine="420"/>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BodyText"/>
        <w:spacing w:line="267" w:lineRule="exact"/>
        <w:ind w:left="833"/>
      </w:pPr>
      <w:r>
        <w:rPr/>
        <w:t>(十二)信息披露文件的存放与查阅</w:t>
      </w:r>
    </w:p>
    <w:p>
      <w:pPr>
        <w:pStyle w:val="BodyText"/>
        <w:spacing w:line="364" w:lineRule="auto" w:before="139"/>
        <w:ind w:left="413" w:right="1242" w:firstLine="420"/>
      </w:pPr>
      <w:r>
        <w:rPr/>
        <w:t>依法必须披露的信息发布后，基金管理人、基金托管人应当按照相关法律法规规定将 信息置备于公司办公场所，供社会公众查阅、复制依法必须披露的信息发布后，基金管理 人、基金托管人应当按照相关法律法规规定将信息置备于公司办公场所，供社会公众查阅、复制。</w:t>
      </w:r>
    </w:p>
    <w:p>
      <w:pPr>
        <w:spacing w:after="0" w:line="364" w:lineRule="auto"/>
        <w:sectPr>
          <w:pgSz w:w="11910" w:h="16840"/>
          <w:pgMar w:header="0" w:footer="1166" w:top="1600" w:bottom="1440" w:left="1400" w:right="360"/>
        </w:sectPr>
      </w:pPr>
    </w:p>
    <w:p>
      <w:pPr>
        <w:pStyle w:val="Heading1"/>
        <w:ind w:right="1039"/>
        <w:jc w:val="center"/>
      </w:pPr>
      <w:bookmarkStart w:name="_bookmark84" w:id="85"/>
      <w:bookmarkEnd w:id="85"/>
      <w:r>
        <w:rPr>
          <w:b w:val="0"/>
        </w:rPr>
      </w:r>
      <w:r>
        <w:rPr/>
        <w:t>十九、风险揭示</w:t>
      </w:r>
    </w:p>
    <w:p>
      <w:pPr>
        <w:pStyle w:val="Heading3"/>
        <w:spacing w:before="139"/>
      </w:pPr>
      <w:bookmarkStart w:name="_bookmark85" w:id="86"/>
      <w:bookmarkEnd w:id="86"/>
      <w:r>
        <w:rPr/>
      </w:r>
      <w:r>
        <w:rPr/>
        <w:t>（一）市场风险</w:t>
      </w:r>
    </w:p>
    <w:p>
      <w:pPr>
        <w:pStyle w:val="BodyText"/>
        <w:spacing w:line="364" w:lineRule="auto" w:before="185"/>
        <w:ind w:left="413" w:right="1242" w:firstLine="420"/>
      </w:pPr>
      <w:r>
        <w:rPr/>
        <w:t>本基金主要投资于证券市场，而证券市场价格因受到经济因素、政治因素、投资者心 理和交易制度等各种因素的影响而产生波动，从而导致基金收益水平发生变化，产生风险。主要的风险因素包括：</w:t>
      </w:r>
    </w:p>
    <w:p>
      <w:pPr>
        <w:pStyle w:val="BodyText"/>
        <w:spacing w:line="268" w:lineRule="exact"/>
        <w:ind w:left="833"/>
      </w:pPr>
      <w:r>
        <w:rPr/>
        <w:t>1、政策风险</w:t>
      </w:r>
    </w:p>
    <w:p>
      <w:pPr>
        <w:pStyle w:val="BodyText"/>
        <w:spacing w:line="364" w:lineRule="auto" w:before="139"/>
        <w:ind w:left="413" w:right="1452" w:firstLine="420"/>
      </w:pPr>
      <w:r>
        <w:rPr/>
        <w:t>因财政政策、货币政策、产业政策、地区发展政策等国家宏观政策发生变化，导致市场价格波动，影响基金收益而产生风险。</w:t>
      </w:r>
    </w:p>
    <w:p>
      <w:pPr>
        <w:pStyle w:val="BodyText"/>
        <w:spacing w:line="268" w:lineRule="exact"/>
        <w:ind w:left="833"/>
      </w:pPr>
      <w:r>
        <w:rPr/>
        <w:t>2、经济周期风险</w:t>
      </w:r>
    </w:p>
    <w:p>
      <w:pPr>
        <w:pStyle w:val="BodyText"/>
        <w:spacing w:line="364" w:lineRule="auto" w:before="140"/>
        <w:ind w:left="413" w:right="1452" w:firstLine="420"/>
      </w:pPr>
      <w:r>
        <w:rPr/>
        <w:t>随着经济运行的周期性变化，证券市场的收益水平也呈周期性变化，基金投资的收益水平也会随之变化，从而产生风险。</w:t>
      </w:r>
    </w:p>
    <w:p>
      <w:pPr>
        <w:pStyle w:val="BodyText"/>
        <w:spacing w:line="268" w:lineRule="exact"/>
        <w:ind w:left="833"/>
      </w:pPr>
      <w:r>
        <w:rPr/>
        <w:t>3、利率风险</w:t>
      </w:r>
    </w:p>
    <w:p>
      <w:pPr>
        <w:pStyle w:val="BodyText"/>
        <w:spacing w:line="364" w:lineRule="auto" w:before="139"/>
        <w:ind w:left="413" w:right="1452" w:firstLine="420"/>
        <w:jc w:val="both"/>
      </w:pPr>
      <w:r>
        <w:rPr/>
        <w:t>金融市场利率的波动会导致证券市场价格和收益率的变动。利率直接影响着债券的价格和收益率，影响着企业的融资成本和利润。基金投资于债券和股票，其收益水平可能会受到利率变化的影响。</w:t>
      </w:r>
    </w:p>
    <w:p>
      <w:pPr>
        <w:pStyle w:val="BodyText"/>
        <w:spacing w:line="268" w:lineRule="exact"/>
        <w:ind w:left="833"/>
      </w:pPr>
      <w:r>
        <w:rPr/>
        <w:t>4、上市公司经营风险</w:t>
      </w:r>
    </w:p>
    <w:p>
      <w:pPr>
        <w:pStyle w:val="BodyText"/>
        <w:spacing w:line="364" w:lineRule="auto" w:before="140"/>
        <w:ind w:left="413" w:right="1242" w:firstLine="420"/>
      </w:pPr>
      <w:r>
        <w:rPr/>
        <w:t>上市公司的经营状况受多种因素的影响，如管理能力、行业竞争、市场前景、技术更 新、新产品研究开发等都会导致公司盈利发生变化。如果基金所投资的上市公司经营不善， 其股票价格可能下跌，或者能够用于分配的利润减少，使基金投资收益下降。虽然基金可 以通过投资多样化来分散这种非系统风险，但不能完全避免。</w:t>
      </w:r>
    </w:p>
    <w:p>
      <w:pPr>
        <w:pStyle w:val="BodyText"/>
        <w:spacing w:line="267" w:lineRule="exact"/>
        <w:ind w:left="833"/>
      </w:pPr>
      <w:r>
        <w:rPr/>
        <w:t>5、购买力风险</w:t>
      </w:r>
    </w:p>
    <w:p>
      <w:pPr>
        <w:pStyle w:val="BodyText"/>
        <w:spacing w:line="364" w:lineRule="auto" w:before="139"/>
        <w:ind w:left="413" w:right="1452" w:firstLine="420"/>
      </w:pPr>
      <w:r>
        <w:rPr/>
        <w:t>基金份额持有人收益将主要通过现金形式来分配，而现金可能因为通货膨胀因素而使其购买力下降,从而使基金的实际收益下降。</w:t>
      </w:r>
    </w:p>
    <w:p>
      <w:pPr>
        <w:pStyle w:val="Heading3"/>
      </w:pPr>
      <w:bookmarkStart w:name="_bookmark86" w:id="87"/>
      <w:bookmarkEnd w:id="87"/>
      <w:r>
        <w:rPr/>
      </w:r>
      <w:r>
        <w:rPr/>
        <w:t>（二）管理风险</w:t>
      </w:r>
    </w:p>
    <w:p>
      <w:pPr>
        <w:pStyle w:val="BodyText"/>
        <w:spacing w:line="364" w:lineRule="auto" w:before="185"/>
        <w:ind w:left="413" w:right="1411"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413" w:right="1429" w:firstLine="420"/>
      </w:pPr>
      <w:r>
        <w:rPr/>
        <w:t>2、基金管理人和基金托管人的管理手段和管理技术等因素的变化也会影响基金收益水平。</w:t>
      </w:r>
    </w:p>
    <w:p>
      <w:pPr>
        <w:pStyle w:val="Heading3"/>
      </w:pPr>
      <w:bookmarkStart w:name="_bookmark87" w:id="88"/>
      <w:bookmarkEnd w:id="88"/>
      <w:r>
        <w:rPr/>
      </w:r>
      <w:r>
        <w:rPr/>
        <w:t>（三）流动性风险</w:t>
      </w:r>
    </w:p>
    <w:p>
      <w:pPr>
        <w:pStyle w:val="ListParagraph"/>
        <w:numPr>
          <w:ilvl w:val="0"/>
          <w:numId w:val="33"/>
        </w:numPr>
        <w:tabs>
          <w:tab w:pos="1360" w:val="left" w:leader="none"/>
        </w:tabs>
        <w:spacing w:line="240" w:lineRule="auto" w:before="184" w:after="0"/>
        <w:ind w:left="1360" w:right="0" w:hanging="527"/>
        <w:jc w:val="left"/>
        <w:rPr>
          <w:sz w:val="21"/>
        </w:rPr>
      </w:pPr>
      <w:r>
        <w:rPr>
          <w:sz w:val="21"/>
        </w:rPr>
        <w:t>拟投资市场、行业及资产的流动性风险评估</w:t>
      </w:r>
    </w:p>
    <w:p>
      <w:pPr>
        <w:pStyle w:val="BodyText"/>
        <w:spacing w:before="140"/>
        <w:ind w:left="833"/>
      </w:pPr>
      <w:r>
        <w:rPr/>
        <w:t>本基金为沪深 300ETF 的联接基金，主要投资沪深 300ETF、沪深 300 指数成份股及备选</w:t>
      </w:r>
    </w:p>
    <w:p>
      <w:pPr>
        <w:spacing w:after="0"/>
        <w:sectPr>
          <w:pgSz w:w="11910" w:h="16840"/>
          <w:pgMar w:header="0" w:footer="1166" w:top="1600" w:bottom="1440" w:left="1400" w:right="360"/>
        </w:sectPr>
      </w:pPr>
    </w:p>
    <w:p>
      <w:pPr>
        <w:pStyle w:val="BodyText"/>
        <w:spacing w:line="364" w:lineRule="auto" w:before="104"/>
        <w:ind w:left="413" w:right="1452"/>
        <w:jc w:val="both"/>
      </w:pPr>
      <w:r>
        <w:rPr/>
        <w:t>成份股，一般情况下，上述投资标的流动性较好，但不排除在特定阶段、特定市场环境下特定投资标的出现流动性较差的情况。因此，本基金投资于上述资产时，可能存在以下流动性风险：一是基金管理人建仓或进行组合调整时，可能由于市场流动性相对不足而无法按预期的价格将股票或债券买进或卖出；二是为应付投资者的赎回，基金管理人的现金支付出现困难，被迫在不适当的价格大量抛售股票或债券。两者均可能使基金净值受到不利影响。</w:t>
      </w:r>
    </w:p>
    <w:p>
      <w:pPr>
        <w:pStyle w:val="ListParagraph"/>
        <w:numPr>
          <w:ilvl w:val="0"/>
          <w:numId w:val="33"/>
        </w:numPr>
        <w:tabs>
          <w:tab w:pos="1360" w:val="left" w:leader="none"/>
        </w:tabs>
        <w:spacing w:line="266" w:lineRule="exact" w:before="0" w:after="0"/>
        <w:ind w:left="1360" w:right="0" w:hanging="527"/>
        <w:jc w:val="left"/>
        <w:rPr>
          <w:sz w:val="21"/>
        </w:rPr>
      </w:pPr>
      <w:r>
        <w:rPr>
          <w:sz w:val="21"/>
        </w:rPr>
        <w:t>巨额赎回情形下的流动性风险管理措施</w:t>
      </w:r>
    </w:p>
    <w:p>
      <w:pPr>
        <w:pStyle w:val="BodyText"/>
        <w:spacing w:line="364" w:lineRule="auto" w:before="139"/>
        <w:ind w:left="413" w:right="1242" w:firstLine="420"/>
      </w:pPr>
      <w:r>
        <w:rPr/>
        <w:t>当本基金发生巨额赎回时，基金管理人可以根据基金当时的资产组合状况决定全额赎 </w:t>
      </w:r>
      <w:r>
        <w:rPr>
          <w:spacing w:val="-1"/>
        </w:rPr>
        <w:t>回或部分延期赎回；此外，如出现连续 </w:t>
      </w:r>
      <w:r>
        <w:rPr/>
        <w:t>2</w:t>
      </w:r>
      <w:r>
        <w:rPr>
          <w:spacing w:val="-2"/>
        </w:rPr>
        <w:t> 个开放日以上发生巨额赎回时，可暂停接受投资人的赎回申请或延缓支付赎回款项；当本基金发生巨额赎回且单个基金份额持有人的赎回 申</w:t>
      </w:r>
      <w:r>
        <w:rPr>
          <w:spacing w:val="-6"/>
        </w:rPr>
        <w:t>请超过上一开放日基金总份额 </w:t>
      </w:r>
      <w:r>
        <w:rPr/>
        <w:t>10%</w:t>
      </w:r>
      <w:r>
        <w:rPr>
          <w:spacing w:val="-9"/>
        </w:rPr>
        <w:t>的，基金管理人有权对该单个基金份额持有人超出该比例的赎回申请实施延期办理。具体情形、程序见招募说明书“八、基金份额的申购、赎回” 之“（十）</w:t>
      </w:r>
      <w:r>
        <w:rPr>
          <w:spacing w:val="-16"/>
        </w:rPr>
        <w:t>巨额赎回的认定及处理方式”。</w:t>
      </w:r>
    </w:p>
    <w:p>
      <w:pPr>
        <w:pStyle w:val="BodyText"/>
        <w:spacing w:line="364" w:lineRule="auto"/>
        <w:ind w:left="413" w:right="1452" w:firstLine="420"/>
        <w:jc w:val="both"/>
      </w:pPr>
      <w:r>
        <w:rPr/>
        <w:t>发生上述情形时，投资人面临无法全部赎回或无法及时获得赎回资金的风险。在本基金暂停或延期办理投资者赎回申请的情况下，投资者未能赎回的基金份额还将面临净值波动的风险。</w:t>
      </w:r>
    </w:p>
    <w:p>
      <w:pPr>
        <w:pStyle w:val="ListParagraph"/>
        <w:numPr>
          <w:ilvl w:val="0"/>
          <w:numId w:val="33"/>
        </w:numPr>
        <w:tabs>
          <w:tab w:pos="1360" w:val="left" w:leader="none"/>
        </w:tabs>
        <w:spacing w:line="364" w:lineRule="auto" w:before="0" w:after="0"/>
        <w:ind w:left="413" w:right="1451" w:firstLine="420"/>
        <w:jc w:val="left"/>
        <w:rPr>
          <w:sz w:val="21"/>
        </w:rPr>
      </w:pPr>
      <w:r>
        <w:rPr>
          <w:spacing w:val="-2"/>
          <w:sz w:val="21"/>
        </w:rPr>
        <w:t>除场外份额巨额赎回情形外实施备用的流动性风险管理工具的情形、程序及对投</w:t>
      </w:r>
      <w:r>
        <w:rPr>
          <w:sz w:val="21"/>
        </w:rPr>
        <w:t>资者的潜在影响</w:t>
      </w:r>
    </w:p>
    <w:p>
      <w:pPr>
        <w:pStyle w:val="BodyText"/>
        <w:spacing w:line="364" w:lineRule="auto"/>
        <w:ind w:left="413" w:right="1452" w:firstLine="420"/>
      </w:pPr>
      <w:r>
        <w:rPr/>
        <w:t>除场外份额巨额赎回情形外，本基金备用流动性风险管理工具包括但不限于暂停接受赎回申请、延缓支付赎回款项、暂停基金估值以及证监会认定的其他措施。</w:t>
      </w:r>
    </w:p>
    <w:p>
      <w:pPr>
        <w:pStyle w:val="BodyText"/>
        <w:spacing w:line="364" w:lineRule="auto"/>
        <w:ind w:left="413" w:right="1242" w:firstLine="420"/>
      </w:pPr>
      <w:r>
        <w:rPr/>
        <w:t>暂停接受赎回申请、延缓支付赎回款项等工具的情形、程序见招募说明书“八、基金 份额的申购、赎回”之“（十一）拒绝或暂停申购、赎回的情形及处理方式”的相关规定。若本基金暂停赎回申请，投资者在暂停赎回期间将无法赎回其持有的基金份额。若本基金 延缓支付赎回款项，赎回款支付时间将后延，可能对投资者的资金安排带来不利影响。</w:t>
      </w:r>
    </w:p>
    <w:p>
      <w:pPr>
        <w:pStyle w:val="BodyText"/>
        <w:spacing w:line="364" w:lineRule="auto"/>
        <w:ind w:left="413" w:right="1452" w:firstLine="420"/>
        <w:jc w:val="both"/>
      </w:pPr>
      <w:r>
        <w:rPr>
          <w:spacing w:val="-3"/>
        </w:rPr>
        <w:t>短期赎回费适用于持续持有期少于 </w:t>
      </w:r>
      <w:r>
        <w:rPr/>
        <w:t>7</w:t>
      </w:r>
      <w:r>
        <w:rPr>
          <w:spacing w:val="-11"/>
        </w:rPr>
        <w:t> 日的投资者，费率为 </w:t>
      </w:r>
      <w:r>
        <w:rPr/>
        <w:t>1.5</w:t>
      </w:r>
      <w:r>
        <w:rPr>
          <w:spacing w:val="-2"/>
        </w:rPr>
        <w:t>%。短期赎回费由赎回基</w:t>
      </w:r>
      <w:r>
        <w:rPr/>
        <w:t>金份额的基金份额持有人承担，在基金份额持有人赎回基金份额时收取，并全额计入基金</w:t>
      </w:r>
      <w:r>
        <w:rPr>
          <w:spacing w:val="-2"/>
        </w:rPr>
        <w:t>财产。短期赎回费的收取将使得投资者在持续持有期限少于 </w:t>
      </w:r>
      <w:r>
        <w:rPr/>
        <w:t>7</w:t>
      </w:r>
      <w:r>
        <w:rPr>
          <w:spacing w:val="-8"/>
        </w:rPr>
        <w:t> 日时会承担较高的赎回费。</w:t>
      </w:r>
    </w:p>
    <w:p>
      <w:pPr>
        <w:pStyle w:val="BodyText"/>
        <w:spacing w:line="364" w:lineRule="auto"/>
        <w:ind w:left="413" w:right="1346" w:firstLine="420"/>
        <w:jc w:val="both"/>
      </w:pPr>
      <w:r>
        <w:rPr/>
        <w:t>暂停基金估值的情形、程序见招募说明书“十四、基金资产估值”之“（六）暂停估值的情形”的相关规定。若本基金暂停基金估值，一方面投资者将无法知晓本基金的基金份额净值，另一方面基金将暂停接受申购赎回申请或延缓支付赎回款项，将导致投资者无</w:t>
      </w:r>
      <w:r>
        <w:rPr>
          <w:spacing w:val="-3"/>
        </w:rPr>
        <w:t>法申购或赎回本基金，或赎回款支付时间将后延，可能对投资者的资金安排带来不利影响。</w:t>
      </w:r>
    </w:p>
    <w:p>
      <w:pPr>
        <w:spacing w:after="0" w:line="364" w:lineRule="auto"/>
        <w:jc w:val="both"/>
        <w:sectPr>
          <w:pgSz w:w="11910" w:h="16840"/>
          <w:pgMar w:header="0" w:footer="1166" w:top="1600" w:bottom="1440" w:left="1400" w:right="360"/>
        </w:sectPr>
      </w:pPr>
    </w:p>
    <w:p>
      <w:pPr>
        <w:pStyle w:val="Heading3"/>
        <w:spacing w:line="364" w:lineRule="auto" w:before="105"/>
        <w:ind w:right="1451"/>
      </w:pPr>
      <w:bookmarkStart w:name="_bookmark88" w:id="89"/>
      <w:bookmarkEnd w:id="89"/>
      <w:r>
        <w:rPr/>
      </w:r>
      <w:r>
        <w:rPr/>
        <w:t>（四</w:t>
      </w:r>
      <w:r>
        <w:rPr>
          <w:spacing w:val="-121"/>
        </w:rPr>
        <w:t>）</w:t>
      </w:r>
      <w:r>
        <w:rPr>
          <w:spacing w:val="-1"/>
        </w:rPr>
        <w:t>本基金法律文件中涉及基金风险特征的表述与销售机构对基金</w:t>
      </w:r>
      <w:r>
        <w:rPr/>
        <w:t>的风险评级可能不一致的风险</w:t>
      </w:r>
    </w:p>
    <w:p>
      <w:pPr>
        <w:pStyle w:val="BodyText"/>
        <w:spacing w:line="364" w:lineRule="auto"/>
        <w:ind w:left="413" w:right="1451" w:firstLine="420"/>
        <w:jc w:val="both"/>
      </w:pPr>
      <w:r>
        <w:rPr/>
        <w:t>本基金基金合同、招募说明书等法律文件中涉及基金风险收益特征或风险状况的表述仅为主要基于基金投资方向与策略特点的概括性表述；而本基金各销售机构依据中国证券</w:t>
      </w:r>
      <w:r>
        <w:rPr>
          <w:spacing w:val="-2"/>
        </w:rPr>
        <w:t>投资基金业协会发布的《基金募集机构投资者适当性管理实施指引</w:t>
      </w:r>
      <w:r>
        <w:rPr/>
        <w:t>（试行</w:t>
      </w:r>
      <w:r>
        <w:rPr>
          <w:spacing w:val="-105"/>
        </w:rPr>
        <w:t>）</w:t>
      </w:r>
      <w:r>
        <w:rPr>
          <w:spacing w:val="-4"/>
        </w:rPr>
        <w:t>》及内部评级标</w:t>
      </w:r>
      <w:r>
        <w:rPr/>
        <w:t>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 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Heading3"/>
        <w:spacing w:line="355" w:lineRule="exact"/>
      </w:pPr>
      <w:bookmarkStart w:name="_bookmark89" w:id="90"/>
      <w:bookmarkEnd w:id="90"/>
      <w:r>
        <w:rPr/>
      </w:r>
      <w:r>
        <w:rPr/>
        <w:t>（五）本基金特有的风险</w:t>
      </w:r>
    </w:p>
    <w:p>
      <w:pPr>
        <w:pStyle w:val="BodyText"/>
        <w:spacing w:line="364" w:lineRule="auto" w:before="183"/>
        <w:ind w:left="413" w:right="1451" w:firstLine="525"/>
        <w:jc w:val="both"/>
      </w:pPr>
      <w:r>
        <w:rPr/>
        <w:t>1</w:t>
      </w:r>
      <w:r>
        <w:rPr>
          <w:spacing w:val="-13"/>
        </w:rPr>
        <w:t>、指数下跌风险：本基金主要投资于沪深</w:t>
      </w:r>
      <w:r>
        <w:rPr/>
        <w:t>300ETF</w:t>
      </w:r>
      <w:r>
        <w:rPr>
          <w:spacing w:val="-11"/>
        </w:rPr>
        <w:t>。当沪深</w:t>
      </w:r>
      <w:r>
        <w:rPr/>
        <w:t>300</w:t>
      </w:r>
      <w:r>
        <w:rPr>
          <w:spacing w:val="-6"/>
        </w:rPr>
        <w:t>指数下跌时，沪深</w:t>
      </w:r>
      <w:r>
        <w:rPr>
          <w:spacing w:val="-3"/>
        </w:rPr>
        <w:t>300ETF </w:t>
      </w:r>
      <w:r>
        <w:rPr/>
        <w:t>净值也会下跌，由于本基金按照沪深300ETF的净值进行估值，因此本基金净值同样存在下跌的风险；</w:t>
      </w:r>
    </w:p>
    <w:p>
      <w:pPr>
        <w:pStyle w:val="BodyText"/>
        <w:spacing w:line="268" w:lineRule="exact"/>
        <w:ind w:left="938"/>
      </w:pPr>
      <w:r>
        <w:rPr/>
        <w:t>2、基金收益率与业绩基准收益率偏离的风险，主要影响因素包括：</w:t>
      </w:r>
    </w:p>
    <w:p>
      <w:pPr>
        <w:pStyle w:val="ListParagraph"/>
        <w:numPr>
          <w:ilvl w:val="1"/>
          <w:numId w:val="33"/>
        </w:numPr>
        <w:tabs>
          <w:tab w:pos="1465" w:val="left" w:leader="none"/>
        </w:tabs>
        <w:spacing w:line="364" w:lineRule="auto" w:before="139" w:after="0"/>
        <w:ind w:left="413" w:right="1451" w:firstLine="525"/>
        <w:jc w:val="both"/>
        <w:rPr>
          <w:sz w:val="21"/>
        </w:rPr>
      </w:pPr>
      <w:r>
        <w:rPr>
          <w:sz w:val="21"/>
        </w:rPr>
        <w:t>沪深300ETF对沪深300</w:t>
      </w:r>
      <w:r>
        <w:rPr>
          <w:spacing w:val="-3"/>
          <w:sz w:val="21"/>
        </w:rPr>
        <w:t>指数的跟踪误差：本基金主要通过投资于沪深</w:t>
      </w:r>
      <w:r>
        <w:rPr>
          <w:sz w:val="21"/>
        </w:rPr>
        <w:t>300ETF</w:t>
      </w:r>
      <w:r>
        <w:rPr>
          <w:spacing w:val="-8"/>
          <w:sz w:val="21"/>
        </w:rPr>
        <w:t>实现</w:t>
      </w:r>
      <w:r>
        <w:rPr>
          <w:spacing w:val="-2"/>
          <w:sz w:val="21"/>
        </w:rPr>
        <w:t>对业绩比较基准的紧密跟踪，沪深</w:t>
      </w:r>
      <w:r>
        <w:rPr>
          <w:sz w:val="21"/>
        </w:rPr>
        <w:t>300ETF对沪深300</w:t>
      </w:r>
      <w:r>
        <w:rPr>
          <w:spacing w:val="-1"/>
          <w:sz w:val="21"/>
        </w:rPr>
        <w:t>指数的跟踪误差会影响本基金对业绩基</w:t>
      </w:r>
      <w:r>
        <w:rPr>
          <w:sz w:val="21"/>
        </w:rPr>
        <w:t>准的跟踪误差；</w:t>
      </w:r>
    </w:p>
    <w:p>
      <w:pPr>
        <w:pStyle w:val="ListParagraph"/>
        <w:numPr>
          <w:ilvl w:val="1"/>
          <w:numId w:val="33"/>
        </w:numPr>
        <w:tabs>
          <w:tab w:pos="1465" w:val="left" w:leader="none"/>
        </w:tabs>
        <w:spacing w:line="268" w:lineRule="exact" w:before="0" w:after="0"/>
        <w:ind w:left="1465" w:right="0" w:hanging="527"/>
        <w:jc w:val="left"/>
        <w:rPr>
          <w:sz w:val="21"/>
        </w:rPr>
      </w:pPr>
      <w:r>
        <w:rPr>
          <w:sz w:val="21"/>
        </w:rPr>
        <w:t>本基金发生申购赎回、管理费和托管费收取等其他导致基金跟踪误差的情形。</w:t>
      </w:r>
    </w:p>
    <w:p>
      <w:pPr>
        <w:pStyle w:val="BodyText"/>
        <w:spacing w:line="364" w:lineRule="auto" w:before="139"/>
        <w:ind w:left="413" w:right="1407" w:firstLine="420"/>
      </w:pPr>
      <w:r>
        <w:rPr/>
        <w:t>3、由于本基金在投资限制、运作机制和投资策略等方面与沪深 300ETF 不同，因此本基金具有与沪深 300ETF 不同的风险收益特征及净值增长率。</w:t>
      </w:r>
    </w:p>
    <w:p>
      <w:pPr>
        <w:pStyle w:val="BodyText"/>
        <w:spacing w:line="268" w:lineRule="exact"/>
        <w:ind w:left="833"/>
      </w:pPr>
      <w:r>
        <w:rPr/>
        <w:t>4、投资于存托凭证的风险</w:t>
      </w:r>
    </w:p>
    <w:p>
      <w:pPr>
        <w:pStyle w:val="BodyText"/>
        <w:spacing w:line="364" w:lineRule="auto" w:before="140"/>
        <w:ind w:left="413" w:right="1242" w:firstLine="420"/>
      </w:pPr>
      <w:r>
        <w:rPr/>
        <w:t>本基金的投资范围包括存托凭证，除与其他仅投资于沪深市场股票的基金所面临的共 同风险外，本基金还将面临存托凭证价格大幅波动甚至出现较大亏损的风险，以及与存托 凭证发行机制相关的风险，包括存托凭证持有人与境外基础证券发行人的股东在法律地位、享有权利等方面存在差异可能引发的风险；存托凭证持有人在分红派息、行使表决权等方 面的特殊安排可能引发的风险；存托协议自动约束存托凭证持有人的风险；因多地上市造 成存托凭证价格差异以及波动的风险；存托凭证持有人权益被摊薄的风险；存托凭证退市 的风险；已在境外上市的基础证券发行人，在持续信息披露监管方面与境内可能存在差异 的风险；境内外法律制度、监管环境差异可能导致的其他风险。</w:t>
      </w:r>
    </w:p>
    <w:p>
      <w:pPr>
        <w:spacing w:after="0" w:line="364" w:lineRule="auto"/>
        <w:sectPr>
          <w:pgSz w:w="11910" w:h="16840"/>
          <w:pgMar w:header="0" w:footer="1166" w:top="1600" w:bottom="1440" w:left="1400" w:right="360"/>
        </w:sectPr>
      </w:pPr>
    </w:p>
    <w:p>
      <w:pPr>
        <w:pStyle w:val="Heading3"/>
        <w:spacing w:before="105"/>
      </w:pPr>
      <w:bookmarkStart w:name="_bookmark90" w:id="91"/>
      <w:bookmarkEnd w:id="91"/>
      <w:r>
        <w:rPr/>
      </w:r>
      <w:r>
        <w:rPr/>
        <w:t>（六）其他风险</w:t>
      </w:r>
    </w:p>
    <w:p>
      <w:pPr>
        <w:pStyle w:val="BodyText"/>
        <w:spacing w:before="185"/>
        <w:ind w:left="833"/>
      </w:pPr>
      <w:r>
        <w:rPr/>
        <w:t>1、管理风险与操作风险</w:t>
      </w:r>
    </w:p>
    <w:p>
      <w:pPr>
        <w:pStyle w:val="BodyText"/>
        <w:spacing w:line="364" w:lineRule="auto" w:before="139"/>
        <w:ind w:left="413" w:right="1452" w:firstLine="420"/>
        <w:jc w:val="both"/>
      </w:pPr>
      <w:r>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pPr>
        <w:pStyle w:val="BodyText"/>
        <w:spacing w:line="268" w:lineRule="exact"/>
        <w:ind w:left="833"/>
      </w:pPr>
      <w:r>
        <w:rPr/>
        <w:t>2、技术风险</w:t>
      </w:r>
    </w:p>
    <w:p>
      <w:pPr>
        <w:pStyle w:val="BodyText"/>
        <w:spacing w:line="364" w:lineRule="auto" w:before="140"/>
        <w:ind w:left="413" w:right="1452" w:firstLine="420"/>
        <w:jc w:val="both"/>
      </w:pPr>
      <w:r>
        <w:rPr/>
        <w:t>在本基金的投资、交易、服务与后台运作等业务过程中，可能因为技术系统的故障或差错导致投资者的利益受到影响。这种技术风险可能来自基金管理人、基金托管人及证券交易所等。</w:t>
      </w:r>
    </w:p>
    <w:p>
      <w:pPr>
        <w:pStyle w:val="BodyText"/>
        <w:spacing w:line="268" w:lineRule="exact"/>
        <w:ind w:left="833"/>
      </w:pPr>
      <w:r>
        <w:rPr/>
        <w:t>3、不可抗力</w:t>
      </w:r>
    </w:p>
    <w:p>
      <w:pPr>
        <w:pStyle w:val="ListParagraph"/>
        <w:numPr>
          <w:ilvl w:val="0"/>
          <w:numId w:val="34"/>
        </w:numPr>
        <w:tabs>
          <w:tab w:pos="1360" w:val="left" w:leader="none"/>
        </w:tabs>
        <w:spacing w:line="240" w:lineRule="auto" w:before="139" w:after="0"/>
        <w:ind w:left="1360" w:right="0" w:hanging="527"/>
        <w:jc w:val="left"/>
        <w:rPr>
          <w:sz w:val="21"/>
        </w:rPr>
      </w:pPr>
      <w:r>
        <w:rPr>
          <w:sz w:val="21"/>
        </w:rPr>
        <w:t>战争、自然灾害等不可抗力可能导致基金资产遭受损失。</w:t>
      </w:r>
    </w:p>
    <w:p>
      <w:pPr>
        <w:pStyle w:val="ListParagraph"/>
        <w:numPr>
          <w:ilvl w:val="0"/>
          <w:numId w:val="34"/>
        </w:numPr>
        <w:tabs>
          <w:tab w:pos="1360" w:val="left" w:leader="none"/>
        </w:tabs>
        <w:spacing w:line="364" w:lineRule="auto" w:before="140" w:after="0"/>
        <w:ind w:left="413" w:right="1451" w:firstLine="420"/>
        <w:jc w:val="both"/>
        <w:rPr>
          <w:sz w:val="21"/>
        </w:rPr>
      </w:pPr>
      <w:r>
        <w:rPr>
          <w:spacing w:val="-3"/>
          <w:sz w:val="21"/>
        </w:rPr>
        <w:t>基金管理人、基金托管人和证券交易所等可能因不可抗力无法正常工作，从而影</w:t>
      </w:r>
      <w:r>
        <w:rPr>
          <w:sz w:val="21"/>
        </w:rPr>
        <w:t>响基金的各项业务按正常时限完成、使投资者和持有人无法及时查询权益、进行日常交易以致利益受损。</w:t>
      </w:r>
    </w:p>
    <w:p>
      <w:pPr>
        <w:spacing w:after="0" w:line="364" w:lineRule="auto"/>
        <w:jc w:val="both"/>
        <w:rPr>
          <w:sz w:val="21"/>
        </w:rPr>
        <w:sectPr>
          <w:pgSz w:w="11910" w:h="16840"/>
          <w:pgMar w:header="0" w:footer="1166" w:top="1600" w:bottom="1440" w:left="1400" w:right="360"/>
        </w:sectPr>
      </w:pPr>
    </w:p>
    <w:p>
      <w:pPr>
        <w:pStyle w:val="Heading1"/>
        <w:ind w:left="1661"/>
      </w:pPr>
      <w:bookmarkStart w:name="_bookmark91" w:id="92"/>
      <w:bookmarkEnd w:id="92"/>
      <w:r>
        <w:rPr>
          <w:b w:val="0"/>
        </w:rPr>
      </w:r>
      <w:r>
        <w:rPr/>
        <w:t>二十、基金合同的终止与基金财产的清算</w:t>
      </w:r>
    </w:p>
    <w:p>
      <w:pPr>
        <w:pStyle w:val="Heading3"/>
        <w:spacing w:before="139"/>
      </w:pPr>
      <w:bookmarkStart w:name="_bookmark92" w:id="93"/>
      <w:bookmarkEnd w:id="93"/>
      <w:r>
        <w:rPr/>
      </w:r>
      <w:r>
        <w:rPr/>
        <w:t>（一）基金合同的终止</w:t>
      </w:r>
    </w:p>
    <w:p>
      <w:pPr>
        <w:pStyle w:val="BodyText"/>
        <w:spacing w:before="185"/>
        <w:ind w:left="833"/>
      </w:pPr>
      <w:r>
        <w:rPr/>
        <w:t>有下列情形之一的，本基金基金合同终止：</w:t>
      </w:r>
    </w:p>
    <w:p>
      <w:pPr>
        <w:pStyle w:val="BodyText"/>
        <w:spacing w:before="139"/>
        <w:ind w:left="833"/>
      </w:pPr>
      <w:r>
        <w:rPr/>
        <w:t>1、基金份额持有人大会决定终止的；</w:t>
      </w:r>
    </w:p>
    <w:p>
      <w:pPr>
        <w:pStyle w:val="BodyText"/>
        <w:spacing w:before="140"/>
        <w:ind w:left="833"/>
      </w:pPr>
      <w:r>
        <w:rPr/>
        <w:t>2、基金管理人因解散、破产、撤销等事由，不能继续担任基金管理人的职务，而在6</w:t>
      </w:r>
    </w:p>
    <w:p>
      <w:pPr>
        <w:pStyle w:val="BodyText"/>
        <w:spacing w:before="139"/>
        <w:ind w:left="413"/>
      </w:pPr>
      <w:r>
        <w:rPr/>
        <w:t>个月内无其他适当的基金管理公司承接其原有权利义务；</w:t>
      </w:r>
    </w:p>
    <w:p>
      <w:pPr>
        <w:pStyle w:val="BodyText"/>
        <w:spacing w:before="140"/>
        <w:ind w:left="833"/>
      </w:pPr>
      <w:r>
        <w:rPr/>
        <w:t>3、基金托管人因解散、破产、撤销等事由，不能继续担任基金托管人的职务，而在 6</w:t>
      </w:r>
    </w:p>
    <w:p>
      <w:pPr>
        <w:pStyle w:val="BodyText"/>
        <w:spacing w:before="139"/>
        <w:ind w:left="413"/>
      </w:pPr>
      <w:r>
        <w:rPr/>
        <w:t>个月内无其他适当的托管机构承接其原有权利义务；</w:t>
      </w:r>
    </w:p>
    <w:p>
      <w:pPr>
        <w:pStyle w:val="BodyText"/>
        <w:spacing w:before="140"/>
        <w:ind w:left="833"/>
      </w:pPr>
      <w:r>
        <w:rPr/>
        <w:t>4、中国证监会规定的其他情况。</w:t>
      </w:r>
    </w:p>
    <w:p>
      <w:pPr>
        <w:pStyle w:val="Heading3"/>
        <w:spacing w:before="140"/>
      </w:pPr>
      <w:bookmarkStart w:name="_bookmark93" w:id="94"/>
      <w:bookmarkEnd w:id="94"/>
      <w:r>
        <w:rPr/>
      </w:r>
      <w:r>
        <w:rPr/>
        <w:t>（二）基金财产的清算</w:t>
      </w:r>
    </w:p>
    <w:p>
      <w:pPr>
        <w:pStyle w:val="BodyText"/>
        <w:spacing w:before="185"/>
        <w:ind w:left="833"/>
      </w:pPr>
      <w:r>
        <w:rPr/>
        <w:t>1、基金财产清算组</w:t>
      </w:r>
    </w:p>
    <w:p>
      <w:pPr>
        <w:pStyle w:val="ListParagraph"/>
        <w:numPr>
          <w:ilvl w:val="0"/>
          <w:numId w:val="35"/>
        </w:numPr>
        <w:tabs>
          <w:tab w:pos="1367" w:val="left" w:leader="none"/>
        </w:tabs>
        <w:spacing w:line="364" w:lineRule="auto" w:before="139" w:after="0"/>
        <w:ind w:left="413" w:right="1452" w:firstLine="420"/>
        <w:jc w:val="both"/>
        <w:rPr>
          <w:sz w:val="21"/>
        </w:rPr>
      </w:pPr>
      <w:r>
        <w:rPr>
          <w:spacing w:val="-2"/>
          <w:sz w:val="21"/>
        </w:rPr>
        <w:t>自出现基金合同终止事由之日起 </w:t>
      </w:r>
      <w:r>
        <w:rPr>
          <w:sz w:val="21"/>
        </w:rPr>
        <w:t>30</w:t>
      </w:r>
      <w:r>
        <w:rPr>
          <w:spacing w:val="-5"/>
          <w:sz w:val="21"/>
        </w:rPr>
        <w:t> 个工作日内成立基金财产清算组，基金管理人组织基金财产清算组并在中国证监会的监督下进行基金财产清算。</w:t>
      </w:r>
    </w:p>
    <w:p>
      <w:pPr>
        <w:pStyle w:val="ListParagraph"/>
        <w:numPr>
          <w:ilvl w:val="0"/>
          <w:numId w:val="35"/>
        </w:numPr>
        <w:tabs>
          <w:tab w:pos="1360" w:val="left" w:leader="none"/>
        </w:tabs>
        <w:spacing w:line="364" w:lineRule="auto" w:before="0" w:after="0"/>
        <w:ind w:left="413" w:right="1451" w:firstLine="420"/>
        <w:jc w:val="both"/>
        <w:rPr>
          <w:sz w:val="21"/>
        </w:rPr>
      </w:pPr>
      <w:r>
        <w:rPr>
          <w:spacing w:val="-3"/>
          <w:sz w:val="21"/>
        </w:rPr>
        <w:t>基金财产清算组成员由基金管理人、基金托管人、具有从事证券相关业务资格的</w:t>
      </w:r>
      <w:r>
        <w:rPr>
          <w:sz w:val="21"/>
        </w:rPr>
        <w:t>注册会计师、律师以及中国证监会指定的人员组成。基金财产清算组可以聘用必要的工作人员。</w:t>
      </w:r>
    </w:p>
    <w:p>
      <w:pPr>
        <w:pStyle w:val="ListParagraph"/>
        <w:numPr>
          <w:ilvl w:val="0"/>
          <w:numId w:val="35"/>
        </w:numPr>
        <w:tabs>
          <w:tab w:pos="1360" w:val="left" w:leader="none"/>
        </w:tabs>
        <w:spacing w:line="364" w:lineRule="auto" w:before="0" w:after="0"/>
        <w:ind w:left="413" w:right="1451" w:firstLine="420"/>
        <w:jc w:val="left"/>
        <w:rPr>
          <w:sz w:val="21"/>
        </w:rPr>
      </w:pPr>
      <w:r>
        <w:rPr>
          <w:spacing w:val="-5"/>
          <w:sz w:val="21"/>
        </w:rPr>
        <w:t>基金财产清算组负责基金财产的保管、清理、估价、变现和分配。基金财产清算</w:t>
      </w:r>
      <w:r>
        <w:rPr>
          <w:sz w:val="21"/>
        </w:rPr>
        <w:t>组可以依法进行必要的民事活动。</w:t>
      </w:r>
    </w:p>
    <w:p>
      <w:pPr>
        <w:pStyle w:val="BodyText"/>
        <w:spacing w:line="268" w:lineRule="exact"/>
        <w:ind w:left="833"/>
      </w:pPr>
      <w:r>
        <w:rPr/>
        <w:t>2、基金财产清算程序</w:t>
      </w:r>
    </w:p>
    <w:p>
      <w:pPr>
        <w:pStyle w:val="BodyText"/>
        <w:spacing w:line="364" w:lineRule="auto" w:before="137"/>
        <w:ind w:left="413" w:right="1452" w:firstLine="420"/>
      </w:pPr>
      <w:r>
        <w:rPr/>
        <w:t>基金合同终止，应当按法律法规和基金合同的有关规定对基金财产进行清算。基金财产清算程序主要包括：</w:t>
      </w:r>
    </w:p>
    <w:p>
      <w:pPr>
        <w:pStyle w:val="ListParagraph"/>
        <w:numPr>
          <w:ilvl w:val="0"/>
          <w:numId w:val="36"/>
        </w:numPr>
        <w:tabs>
          <w:tab w:pos="1360" w:val="left" w:leader="none"/>
        </w:tabs>
        <w:spacing w:line="268" w:lineRule="exact" w:before="0" w:after="0"/>
        <w:ind w:left="1360" w:right="0" w:hanging="527"/>
        <w:jc w:val="left"/>
        <w:rPr>
          <w:sz w:val="21"/>
        </w:rPr>
      </w:pPr>
      <w:r>
        <w:rPr>
          <w:sz w:val="21"/>
        </w:rPr>
        <w:t>基金合同终止后，发布基金财产清算公告；</w:t>
      </w:r>
    </w:p>
    <w:p>
      <w:pPr>
        <w:pStyle w:val="ListParagraph"/>
        <w:numPr>
          <w:ilvl w:val="0"/>
          <w:numId w:val="36"/>
        </w:numPr>
        <w:tabs>
          <w:tab w:pos="1360" w:val="left" w:leader="none"/>
        </w:tabs>
        <w:spacing w:line="240" w:lineRule="auto" w:before="140" w:after="0"/>
        <w:ind w:left="1360" w:right="0" w:hanging="527"/>
        <w:jc w:val="left"/>
        <w:rPr>
          <w:sz w:val="21"/>
        </w:rPr>
      </w:pPr>
      <w:r>
        <w:rPr>
          <w:sz w:val="21"/>
        </w:rPr>
        <w:t>基金合同终止时，由基金财产清算组统一接管基金财产；</w:t>
      </w:r>
    </w:p>
    <w:p>
      <w:pPr>
        <w:pStyle w:val="ListParagraph"/>
        <w:numPr>
          <w:ilvl w:val="0"/>
          <w:numId w:val="36"/>
        </w:numPr>
        <w:tabs>
          <w:tab w:pos="1360" w:val="left" w:leader="none"/>
        </w:tabs>
        <w:spacing w:line="240" w:lineRule="auto" w:before="139" w:after="0"/>
        <w:ind w:left="1360" w:right="0" w:hanging="527"/>
        <w:jc w:val="left"/>
        <w:rPr>
          <w:sz w:val="21"/>
        </w:rPr>
      </w:pPr>
      <w:r>
        <w:rPr>
          <w:sz w:val="21"/>
        </w:rPr>
        <w:t>对基金财产进行清理和确认；</w:t>
      </w:r>
    </w:p>
    <w:p>
      <w:pPr>
        <w:pStyle w:val="ListParagraph"/>
        <w:numPr>
          <w:ilvl w:val="0"/>
          <w:numId w:val="36"/>
        </w:numPr>
        <w:tabs>
          <w:tab w:pos="1360" w:val="left" w:leader="none"/>
        </w:tabs>
        <w:spacing w:line="240" w:lineRule="auto" w:before="140" w:after="0"/>
        <w:ind w:left="1360" w:right="0" w:hanging="527"/>
        <w:jc w:val="left"/>
        <w:rPr>
          <w:sz w:val="21"/>
        </w:rPr>
      </w:pPr>
      <w:r>
        <w:rPr>
          <w:sz w:val="21"/>
        </w:rPr>
        <w:t>对基金财产进行估价和变现；</w:t>
      </w:r>
    </w:p>
    <w:p>
      <w:pPr>
        <w:pStyle w:val="ListParagraph"/>
        <w:numPr>
          <w:ilvl w:val="0"/>
          <w:numId w:val="36"/>
        </w:numPr>
        <w:tabs>
          <w:tab w:pos="1360" w:val="left" w:leader="none"/>
        </w:tabs>
        <w:spacing w:line="240" w:lineRule="auto" w:before="139" w:after="0"/>
        <w:ind w:left="1360" w:right="0" w:hanging="527"/>
        <w:jc w:val="left"/>
        <w:rPr>
          <w:sz w:val="21"/>
        </w:rPr>
      </w:pPr>
      <w:r>
        <w:rPr>
          <w:sz w:val="21"/>
        </w:rPr>
        <w:t>聘请会计师事务所对清算报告进行审计；</w:t>
      </w:r>
    </w:p>
    <w:p>
      <w:pPr>
        <w:pStyle w:val="ListParagraph"/>
        <w:numPr>
          <w:ilvl w:val="0"/>
          <w:numId w:val="36"/>
        </w:numPr>
        <w:tabs>
          <w:tab w:pos="1360" w:val="left" w:leader="none"/>
        </w:tabs>
        <w:spacing w:line="240" w:lineRule="auto" w:before="140" w:after="0"/>
        <w:ind w:left="1360" w:right="0" w:hanging="527"/>
        <w:jc w:val="left"/>
        <w:rPr>
          <w:sz w:val="21"/>
        </w:rPr>
      </w:pPr>
      <w:r>
        <w:rPr>
          <w:sz w:val="21"/>
        </w:rPr>
        <w:t>聘请律师事务所出具法律意见书；</w:t>
      </w:r>
    </w:p>
    <w:p>
      <w:pPr>
        <w:pStyle w:val="ListParagraph"/>
        <w:numPr>
          <w:ilvl w:val="0"/>
          <w:numId w:val="36"/>
        </w:numPr>
        <w:tabs>
          <w:tab w:pos="1360" w:val="left" w:leader="none"/>
        </w:tabs>
        <w:spacing w:line="240" w:lineRule="auto" w:before="139" w:after="0"/>
        <w:ind w:left="1360" w:right="0" w:hanging="527"/>
        <w:jc w:val="left"/>
        <w:rPr>
          <w:sz w:val="21"/>
        </w:rPr>
      </w:pPr>
      <w:r>
        <w:rPr>
          <w:sz w:val="21"/>
        </w:rPr>
        <w:t>将基金财产清算结果报告中国证监会；</w:t>
      </w:r>
    </w:p>
    <w:p>
      <w:pPr>
        <w:pStyle w:val="ListParagraph"/>
        <w:numPr>
          <w:ilvl w:val="0"/>
          <w:numId w:val="36"/>
        </w:numPr>
        <w:tabs>
          <w:tab w:pos="1360" w:val="left" w:leader="none"/>
        </w:tabs>
        <w:spacing w:line="240" w:lineRule="auto" w:before="140" w:after="0"/>
        <w:ind w:left="1360" w:right="0" w:hanging="527"/>
        <w:jc w:val="left"/>
        <w:rPr>
          <w:sz w:val="21"/>
        </w:rPr>
      </w:pPr>
      <w:r>
        <w:rPr>
          <w:sz w:val="21"/>
        </w:rPr>
        <w:t>参加与基金财产有关的民事诉讼；</w:t>
      </w:r>
    </w:p>
    <w:p>
      <w:pPr>
        <w:pStyle w:val="ListParagraph"/>
        <w:numPr>
          <w:ilvl w:val="0"/>
          <w:numId w:val="36"/>
        </w:numPr>
        <w:tabs>
          <w:tab w:pos="1360" w:val="left" w:leader="none"/>
        </w:tabs>
        <w:spacing w:line="240" w:lineRule="auto" w:before="139" w:after="0"/>
        <w:ind w:left="1360" w:right="0" w:hanging="527"/>
        <w:jc w:val="left"/>
        <w:rPr>
          <w:sz w:val="21"/>
        </w:rPr>
      </w:pPr>
      <w:r>
        <w:rPr>
          <w:sz w:val="21"/>
        </w:rPr>
        <w:t>公布基金财产清算结果；</w:t>
      </w:r>
    </w:p>
    <w:p>
      <w:pPr>
        <w:pStyle w:val="ListParagraph"/>
        <w:numPr>
          <w:ilvl w:val="0"/>
          <w:numId w:val="36"/>
        </w:numPr>
        <w:tabs>
          <w:tab w:pos="1465" w:val="left" w:leader="none"/>
        </w:tabs>
        <w:spacing w:line="240" w:lineRule="auto" w:before="139" w:after="0"/>
        <w:ind w:left="1465" w:right="0" w:hanging="632"/>
        <w:jc w:val="left"/>
        <w:rPr>
          <w:sz w:val="21"/>
        </w:rPr>
      </w:pPr>
      <w:r>
        <w:rPr>
          <w:sz w:val="21"/>
        </w:rPr>
        <w:t>对基金剩余财产进行分配。</w:t>
      </w:r>
    </w:p>
    <w:p>
      <w:pPr>
        <w:pStyle w:val="BodyText"/>
        <w:spacing w:before="140"/>
        <w:ind w:left="833"/>
      </w:pPr>
      <w:r>
        <w:rPr/>
        <w:t>3、清算费用</w:t>
      </w:r>
    </w:p>
    <w:p>
      <w:pPr>
        <w:spacing w:after="0"/>
        <w:sectPr>
          <w:pgSz w:w="11910" w:h="16840"/>
          <w:pgMar w:header="0" w:footer="1166" w:top="1600" w:bottom="1440" w:left="1400" w:right="360"/>
        </w:sectPr>
      </w:pPr>
    </w:p>
    <w:p>
      <w:pPr>
        <w:pStyle w:val="BodyText"/>
        <w:spacing w:line="364" w:lineRule="auto" w:before="104"/>
        <w:ind w:left="413" w:right="1452" w:firstLine="420"/>
      </w:pPr>
      <w:r>
        <w:rPr/>
        <w:t>清算费用是指基金财产清算组在进行基金财产清算过程中发生的所有合理费用，清算费用由基金财产清算组优先从基金财产中支付。</w:t>
      </w:r>
    </w:p>
    <w:p>
      <w:pPr>
        <w:pStyle w:val="BodyText"/>
        <w:spacing w:line="268" w:lineRule="exact"/>
        <w:ind w:left="833"/>
      </w:pPr>
      <w:r>
        <w:rPr/>
        <w:t>4、基金财产按下列顺序清偿：</w:t>
      </w:r>
    </w:p>
    <w:p>
      <w:pPr>
        <w:pStyle w:val="ListParagraph"/>
        <w:numPr>
          <w:ilvl w:val="0"/>
          <w:numId w:val="37"/>
        </w:numPr>
        <w:tabs>
          <w:tab w:pos="1360" w:val="left" w:leader="none"/>
        </w:tabs>
        <w:spacing w:line="240" w:lineRule="auto" w:before="139" w:after="0"/>
        <w:ind w:left="1360" w:right="0" w:hanging="527"/>
        <w:jc w:val="left"/>
        <w:rPr>
          <w:sz w:val="21"/>
        </w:rPr>
      </w:pPr>
      <w:r>
        <w:rPr>
          <w:sz w:val="21"/>
        </w:rPr>
        <w:t>支付清算费用；</w:t>
      </w:r>
    </w:p>
    <w:p>
      <w:pPr>
        <w:pStyle w:val="ListParagraph"/>
        <w:numPr>
          <w:ilvl w:val="0"/>
          <w:numId w:val="37"/>
        </w:numPr>
        <w:tabs>
          <w:tab w:pos="1360" w:val="left" w:leader="none"/>
        </w:tabs>
        <w:spacing w:line="240" w:lineRule="auto" w:before="140" w:after="0"/>
        <w:ind w:left="1360" w:right="0" w:hanging="527"/>
        <w:jc w:val="left"/>
        <w:rPr>
          <w:sz w:val="21"/>
        </w:rPr>
      </w:pPr>
      <w:r>
        <w:rPr>
          <w:sz w:val="21"/>
        </w:rPr>
        <w:t>交纳所欠税款；</w:t>
      </w:r>
    </w:p>
    <w:p>
      <w:pPr>
        <w:pStyle w:val="ListParagraph"/>
        <w:numPr>
          <w:ilvl w:val="0"/>
          <w:numId w:val="37"/>
        </w:numPr>
        <w:tabs>
          <w:tab w:pos="1360" w:val="left" w:leader="none"/>
        </w:tabs>
        <w:spacing w:line="240" w:lineRule="auto" w:before="139" w:after="0"/>
        <w:ind w:left="1360" w:right="0" w:hanging="527"/>
        <w:jc w:val="left"/>
        <w:rPr>
          <w:sz w:val="21"/>
        </w:rPr>
      </w:pPr>
      <w:r>
        <w:rPr>
          <w:sz w:val="21"/>
        </w:rPr>
        <w:t>清偿基金债务；</w:t>
      </w:r>
    </w:p>
    <w:p>
      <w:pPr>
        <w:pStyle w:val="ListParagraph"/>
        <w:numPr>
          <w:ilvl w:val="0"/>
          <w:numId w:val="37"/>
        </w:numPr>
        <w:tabs>
          <w:tab w:pos="1360" w:val="left" w:leader="none"/>
        </w:tabs>
        <w:spacing w:line="240" w:lineRule="auto" w:before="140" w:after="0"/>
        <w:ind w:left="1360" w:right="0" w:hanging="527"/>
        <w:jc w:val="left"/>
        <w:rPr>
          <w:sz w:val="21"/>
        </w:rPr>
      </w:pPr>
      <w:r>
        <w:rPr>
          <w:sz w:val="21"/>
        </w:rPr>
        <w:t>按基金份额持有人持有的基金份额比例进行分配。</w:t>
      </w:r>
    </w:p>
    <w:p>
      <w:pPr>
        <w:pStyle w:val="BodyText"/>
        <w:spacing w:before="139"/>
        <w:ind w:left="833"/>
      </w:pPr>
      <w:r>
        <w:rPr/>
        <w:t>基金财产未按前款（1）－（3）项规定清偿前，不分配给基金份额持有人。</w:t>
      </w:r>
    </w:p>
    <w:p>
      <w:pPr>
        <w:pStyle w:val="BodyText"/>
        <w:spacing w:before="140"/>
        <w:ind w:left="833"/>
      </w:pPr>
      <w:r>
        <w:rPr/>
        <w:t>5、基金财产清算的公告</w:t>
      </w:r>
    </w:p>
    <w:p>
      <w:pPr>
        <w:pStyle w:val="BodyText"/>
        <w:spacing w:line="364" w:lineRule="auto" w:before="139"/>
        <w:ind w:left="413" w:right="1452" w:firstLine="420"/>
        <w:jc w:val="both"/>
      </w:pPr>
      <w:r>
        <w:rPr>
          <w:spacing w:val="-1"/>
        </w:rPr>
        <w:t>基金财产清算公告于基金合同终止并报中国证监会备案后 </w:t>
      </w:r>
      <w:r>
        <w:rPr/>
        <w:t>5</w:t>
      </w:r>
      <w:r>
        <w:rPr>
          <w:spacing w:val="-5"/>
        </w:rPr>
        <w:t> 个工作日内由基金财产清算组公告；清算过程中的有关重大事项须及时公告；基金财产清算结果经会计师事务所审计，律师事务所出具法律意见书后，由基金财产清算组报中国证监会备案并公告。</w:t>
      </w:r>
    </w:p>
    <w:p>
      <w:pPr>
        <w:pStyle w:val="BodyText"/>
        <w:spacing w:line="268" w:lineRule="exact"/>
        <w:ind w:left="833"/>
      </w:pPr>
      <w:r>
        <w:rPr/>
        <w:t>6、基金财产清算账册及文件的保存</w:t>
      </w:r>
    </w:p>
    <w:p>
      <w:pPr>
        <w:pStyle w:val="BodyText"/>
        <w:spacing w:before="139"/>
        <w:ind w:left="833"/>
      </w:pPr>
      <w:r>
        <w:rPr/>
        <w:t>基金财产清算账册及有关文件由基金托管人保存 15 年以上。</w:t>
      </w:r>
    </w:p>
    <w:p>
      <w:pPr>
        <w:spacing w:after="0"/>
        <w:sectPr>
          <w:pgSz w:w="11910" w:h="16840"/>
          <w:pgMar w:header="0" w:footer="1166" w:top="1600" w:bottom="1440" w:left="1400" w:right="360"/>
        </w:sectPr>
      </w:pPr>
    </w:p>
    <w:p>
      <w:pPr>
        <w:pStyle w:val="Heading1"/>
        <w:ind w:left="2625"/>
      </w:pPr>
      <w:bookmarkStart w:name="_bookmark94" w:id="95"/>
      <w:bookmarkEnd w:id="95"/>
      <w:r>
        <w:rPr>
          <w:b w:val="0"/>
        </w:rPr>
      </w:r>
      <w:r>
        <w:rPr/>
        <w:t>二十一、基金合同内容摘要</w:t>
      </w:r>
    </w:p>
    <w:p>
      <w:pPr>
        <w:pStyle w:val="BodyText"/>
        <w:spacing w:before="138"/>
        <w:ind w:left="833"/>
      </w:pPr>
      <w:r>
        <w:rPr/>
        <w:t>（一）基金管理人、基金托管人和基金份额持有人的权利、义务</w:t>
      </w:r>
    </w:p>
    <w:p>
      <w:pPr>
        <w:pStyle w:val="BodyText"/>
        <w:spacing w:before="139"/>
        <w:ind w:left="833"/>
      </w:pPr>
      <w:r>
        <w:rPr/>
        <w:t>1、基金管理人的权利、义务</w:t>
      </w:r>
    </w:p>
    <w:p>
      <w:pPr>
        <w:pStyle w:val="BodyText"/>
        <w:spacing w:before="140"/>
        <w:ind w:left="833"/>
      </w:pPr>
      <w:r>
        <w:rPr/>
        <w:t>根据《基金法》及其他有关法律法规，基金管理人的权利为：</w:t>
      </w:r>
    </w:p>
    <w:p>
      <w:pPr>
        <w:pStyle w:val="ListParagraph"/>
        <w:numPr>
          <w:ilvl w:val="0"/>
          <w:numId w:val="38"/>
        </w:numPr>
        <w:tabs>
          <w:tab w:pos="1360" w:val="left" w:leader="none"/>
        </w:tabs>
        <w:spacing w:line="364" w:lineRule="auto" w:before="139" w:after="0"/>
        <w:ind w:left="413" w:right="1451" w:firstLine="420"/>
        <w:jc w:val="left"/>
        <w:rPr>
          <w:sz w:val="21"/>
        </w:rPr>
      </w:pPr>
      <w:r>
        <w:rPr>
          <w:spacing w:val="-2"/>
          <w:sz w:val="21"/>
        </w:rPr>
        <w:t>自本基金合同生效之日起，依照有关法律法规和本基金合同的规定独立运用基金</w:t>
      </w:r>
      <w:r>
        <w:rPr>
          <w:sz w:val="21"/>
        </w:rPr>
        <w:t>财产；</w:t>
      </w:r>
    </w:p>
    <w:p>
      <w:pPr>
        <w:pStyle w:val="ListParagraph"/>
        <w:numPr>
          <w:ilvl w:val="0"/>
          <w:numId w:val="38"/>
        </w:numPr>
        <w:tabs>
          <w:tab w:pos="1360" w:val="left" w:leader="none"/>
        </w:tabs>
        <w:spacing w:line="268" w:lineRule="exact" w:before="0" w:after="0"/>
        <w:ind w:left="1360" w:right="0" w:hanging="527"/>
        <w:jc w:val="left"/>
        <w:rPr>
          <w:sz w:val="21"/>
        </w:rPr>
      </w:pPr>
      <w:r>
        <w:rPr>
          <w:sz w:val="21"/>
        </w:rPr>
        <w:t>依照基金合同获得基金管理费以及法律法规规定或监管部门批准的其他收入；</w:t>
      </w:r>
    </w:p>
    <w:p>
      <w:pPr>
        <w:pStyle w:val="ListParagraph"/>
        <w:numPr>
          <w:ilvl w:val="0"/>
          <w:numId w:val="38"/>
        </w:numPr>
        <w:tabs>
          <w:tab w:pos="1360" w:val="left" w:leader="none"/>
        </w:tabs>
        <w:spacing w:line="240" w:lineRule="auto" w:before="140" w:after="0"/>
        <w:ind w:left="1360" w:right="0" w:hanging="527"/>
        <w:jc w:val="left"/>
        <w:rPr>
          <w:sz w:val="21"/>
        </w:rPr>
      </w:pPr>
      <w:r>
        <w:rPr>
          <w:sz w:val="21"/>
        </w:rPr>
        <w:t>销售基金份额；</w:t>
      </w:r>
    </w:p>
    <w:p>
      <w:pPr>
        <w:pStyle w:val="ListParagraph"/>
        <w:numPr>
          <w:ilvl w:val="0"/>
          <w:numId w:val="38"/>
        </w:numPr>
        <w:tabs>
          <w:tab w:pos="1360" w:val="left" w:leader="none"/>
        </w:tabs>
        <w:spacing w:line="240" w:lineRule="auto" w:before="139" w:after="0"/>
        <w:ind w:left="1360" w:right="0" w:hanging="527"/>
        <w:jc w:val="left"/>
        <w:rPr>
          <w:sz w:val="21"/>
        </w:rPr>
      </w:pPr>
      <w:r>
        <w:rPr>
          <w:sz w:val="21"/>
        </w:rPr>
        <w:t>依照有关规定行使因基金财产投资于证券所产生的权利；</w:t>
      </w:r>
    </w:p>
    <w:p>
      <w:pPr>
        <w:pStyle w:val="ListParagraph"/>
        <w:numPr>
          <w:ilvl w:val="0"/>
          <w:numId w:val="38"/>
        </w:numPr>
        <w:tabs>
          <w:tab w:pos="1360" w:val="left" w:leader="none"/>
        </w:tabs>
        <w:spacing w:line="364" w:lineRule="auto" w:before="140" w:after="0"/>
        <w:ind w:left="413" w:right="1451" w:firstLine="420"/>
        <w:jc w:val="both"/>
        <w:rPr>
          <w:sz w:val="21"/>
        </w:rPr>
      </w:pPr>
      <w:r>
        <w:rPr>
          <w:spacing w:val="-5"/>
          <w:sz w:val="21"/>
        </w:rPr>
        <w:t>在符合有关法律法规的前提下，制订和调整有关基金申购、赎回、转换、非交易</w:t>
      </w:r>
      <w:r>
        <w:rPr>
          <w:sz w:val="21"/>
        </w:rPr>
        <w:t>过户、转托管等业务的规则，在法律法规和本基金合同规定的范围内决定和调整基金的除调高托管费率和管理费率之外的相关费率结构和收费方式；</w:t>
      </w:r>
    </w:p>
    <w:p>
      <w:pPr>
        <w:pStyle w:val="ListParagraph"/>
        <w:numPr>
          <w:ilvl w:val="0"/>
          <w:numId w:val="38"/>
        </w:numPr>
        <w:tabs>
          <w:tab w:pos="1360" w:val="left" w:leader="none"/>
        </w:tabs>
        <w:spacing w:line="364" w:lineRule="auto" w:before="0" w:after="0"/>
        <w:ind w:left="413" w:right="1451" w:firstLine="420"/>
        <w:jc w:val="both"/>
        <w:rPr>
          <w:sz w:val="21"/>
        </w:rPr>
      </w:pPr>
      <w:r>
        <w:rPr>
          <w:spacing w:val="-2"/>
          <w:sz w:val="21"/>
        </w:rPr>
        <w:t>根据本基金合同及有关规定监督基金托管人，对于基金托管人违反了本基金合同</w:t>
      </w:r>
      <w:r>
        <w:rPr>
          <w:sz w:val="21"/>
        </w:rPr>
        <w:t>或有关法律法规规定的行为，对基金财产、其他当事人的利益造成重大损失的情形，应及时呈报中国证监会，并采取必要措施保护基金及相关当事人的利益；</w:t>
      </w:r>
    </w:p>
    <w:p>
      <w:pPr>
        <w:pStyle w:val="ListParagraph"/>
        <w:numPr>
          <w:ilvl w:val="0"/>
          <w:numId w:val="38"/>
        </w:numPr>
        <w:tabs>
          <w:tab w:pos="1360" w:val="left" w:leader="none"/>
        </w:tabs>
        <w:spacing w:line="268" w:lineRule="exact" w:before="0" w:after="0"/>
        <w:ind w:left="1360" w:right="0" w:hanging="527"/>
        <w:jc w:val="left"/>
        <w:rPr>
          <w:sz w:val="21"/>
        </w:rPr>
      </w:pPr>
      <w:r>
        <w:rPr>
          <w:sz w:val="21"/>
        </w:rPr>
        <w:t>在基金合同约定的范围内，拒绝或暂停受理申购和赎回申请；</w:t>
      </w:r>
    </w:p>
    <w:p>
      <w:pPr>
        <w:pStyle w:val="ListParagraph"/>
        <w:numPr>
          <w:ilvl w:val="0"/>
          <w:numId w:val="38"/>
        </w:numPr>
        <w:tabs>
          <w:tab w:pos="1360" w:val="left" w:leader="none"/>
        </w:tabs>
        <w:spacing w:line="240" w:lineRule="auto" w:before="138" w:after="0"/>
        <w:ind w:left="1360" w:right="0" w:hanging="527"/>
        <w:jc w:val="left"/>
        <w:rPr>
          <w:sz w:val="21"/>
        </w:rPr>
      </w:pPr>
      <w:r>
        <w:rPr>
          <w:sz w:val="21"/>
        </w:rPr>
        <w:t>在法律法规允许的前提下，为基金的利益依法为基金进行融资、融券；</w:t>
      </w:r>
    </w:p>
    <w:p>
      <w:pPr>
        <w:pStyle w:val="ListParagraph"/>
        <w:numPr>
          <w:ilvl w:val="0"/>
          <w:numId w:val="38"/>
        </w:numPr>
        <w:tabs>
          <w:tab w:pos="1360" w:val="left" w:leader="none"/>
        </w:tabs>
        <w:spacing w:line="364" w:lineRule="auto" w:before="139" w:after="0"/>
        <w:ind w:left="413" w:right="1451" w:firstLine="420"/>
        <w:jc w:val="left"/>
        <w:rPr>
          <w:sz w:val="21"/>
        </w:rPr>
      </w:pPr>
      <w:r>
        <w:rPr>
          <w:spacing w:val="-4"/>
          <w:sz w:val="21"/>
        </w:rPr>
        <w:t>自行担任或选择、更换注册登记机构，获取基金份额持有人名册，并对注册登记</w:t>
      </w:r>
      <w:r>
        <w:rPr>
          <w:sz w:val="21"/>
        </w:rPr>
        <w:t>机构的代理行为进行必要的监督和检查；</w:t>
      </w:r>
    </w:p>
    <w:p>
      <w:pPr>
        <w:pStyle w:val="ListParagraph"/>
        <w:numPr>
          <w:ilvl w:val="0"/>
          <w:numId w:val="38"/>
        </w:numPr>
        <w:tabs>
          <w:tab w:pos="1472" w:val="left" w:leader="none"/>
        </w:tabs>
        <w:spacing w:line="364" w:lineRule="auto" w:before="0" w:after="0"/>
        <w:ind w:left="413" w:right="1452" w:firstLine="420"/>
        <w:jc w:val="left"/>
        <w:rPr>
          <w:sz w:val="21"/>
        </w:rPr>
      </w:pPr>
      <w:r>
        <w:rPr>
          <w:sz w:val="21"/>
        </w:rPr>
        <w:t>选择、更换非直销销售机构，并依据基金销售服务代理协议和有关法律法规， 对其行为进行必要的监督和检查；</w:t>
      </w:r>
    </w:p>
    <w:p>
      <w:pPr>
        <w:pStyle w:val="ListParagraph"/>
        <w:numPr>
          <w:ilvl w:val="0"/>
          <w:numId w:val="38"/>
        </w:numPr>
        <w:tabs>
          <w:tab w:pos="1472" w:val="left" w:leader="none"/>
        </w:tabs>
        <w:spacing w:line="364" w:lineRule="auto" w:before="0" w:after="0"/>
        <w:ind w:left="413" w:right="1452" w:firstLine="420"/>
        <w:jc w:val="left"/>
        <w:rPr>
          <w:sz w:val="21"/>
        </w:rPr>
      </w:pPr>
      <w:r>
        <w:rPr>
          <w:sz w:val="21"/>
        </w:rPr>
        <w:t>选择、更换律师事务所、会计师事务所、证券经纪商或其他为基金提供服务的外部机构；</w:t>
      </w:r>
    </w:p>
    <w:p>
      <w:pPr>
        <w:pStyle w:val="ListParagraph"/>
        <w:numPr>
          <w:ilvl w:val="0"/>
          <w:numId w:val="38"/>
        </w:numPr>
        <w:tabs>
          <w:tab w:pos="1465" w:val="left" w:leader="none"/>
        </w:tabs>
        <w:spacing w:line="268" w:lineRule="exact" w:before="0" w:after="0"/>
        <w:ind w:left="1465" w:right="0" w:hanging="632"/>
        <w:jc w:val="left"/>
        <w:rPr>
          <w:sz w:val="21"/>
        </w:rPr>
      </w:pPr>
      <w:r>
        <w:rPr>
          <w:sz w:val="21"/>
        </w:rPr>
        <w:t>在基金托管人更换时，提名新的基金托管人；</w:t>
      </w:r>
    </w:p>
    <w:p>
      <w:pPr>
        <w:pStyle w:val="ListParagraph"/>
        <w:numPr>
          <w:ilvl w:val="0"/>
          <w:numId w:val="38"/>
        </w:numPr>
        <w:tabs>
          <w:tab w:pos="1465" w:val="left" w:leader="none"/>
        </w:tabs>
        <w:spacing w:line="240" w:lineRule="auto" w:before="138" w:after="0"/>
        <w:ind w:left="1465" w:right="0" w:hanging="632"/>
        <w:jc w:val="left"/>
        <w:rPr>
          <w:sz w:val="21"/>
        </w:rPr>
      </w:pPr>
      <w:r>
        <w:rPr>
          <w:sz w:val="21"/>
        </w:rPr>
        <w:t>依法召集基金份额持有人大会；</w:t>
      </w:r>
    </w:p>
    <w:p>
      <w:pPr>
        <w:pStyle w:val="ListParagraph"/>
        <w:numPr>
          <w:ilvl w:val="0"/>
          <w:numId w:val="38"/>
        </w:numPr>
        <w:tabs>
          <w:tab w:pos="1465" w:val="left" w:leader="none"/>
        </w:tabs>
        <w:spacing w:line="240" w:lineRule="auto" w:before="139" w:after="0"/>
        <w:ind w:left="1465" w:right="0" w:hanging="632"/>
        <w:jc w:val="left"/>
        <w:rPr>
          <w:sz w:val="21"/>
        </w:rPr>
      </w:pPr>
      <w:r>
        <w:rPr>
          <w:sz w:val="21"/>
        </w:rPr>
        <w:t>法律法规和基金合同规定的其他权利。</w:t>
      </w:r>
    </w:p>
    <w:p>
      <w:pPr>
        <w:pStyle w:val="BodyText"/>
        <w:spacing w:before="140"/>
        <w:ind w:left="833"/>
      </w:pPr>
      <w:r>
        <w:rPr/>
        <w:t>根据《基金法》及其他有关法律法规，基金管理人的义务为：</w:t>
      </w:r>
    </w:p>
    <w:p>
      <w:pPr>
        <w:pStyle w:val="ListParagraph"/>
        <w:numPr>
          <w:ilvl w:val="0"/>
          <w:numId w:val="39"/>
        </w:numPr>
        <w:tabs>
          <w:tab w:pos="1360" w:val="left" w:leader="none"/>
        </w:tabs>
        <w:spacing w:line="240" w:lineRule="auto" w:before="139" w:after="0"/>
        <w:ind w:left="1360" w:right="0" w:hanging="527"/>
        <w:jc w:val="left"/>
        <w:rPr>
          <w:sz w:val="21"/>
        </w:rPr>
      </w:pPr>
      <w:r>
        <w:rPr>
          <w:sz w:val="21"/>
        </w:rPr>
        <w:t>依法募集基金，办理基金份额的登记事宜；</w:t>
      </w:r>
    </w:p>
    <w:p>
      <w:pPr>
        <w:pStyle w:val="ListParagraph"/>
        <w:numPr>
          <w:ilvl w:val="0"/>
          <w:numId w:val="39"/>
        </w:numPr>
        <w:tabs>
          <w:tab w:pos="1360" w:val="left" w:leader="none"/>
        </w:tabs>
        <w:spacing w:line="240" w:lineRule="auto" w:before="139" w:after="0"/>
        <w:ind w:left="1360" w:right="0" w:hanging="527"/>
        <w:jc w:val="left"/>
        <w:rPr>
          <w:sz w:val="21"/>
        </w:rPr>
      </w:pPr>
      <w:r>
        <w:rPr>
          <w:sz w:val="21"/>
        </w:rPr>
        <w:t>办理基金备案手续；</w:t>
      </w:r>
    </w:p>
    <w:p>
      <w:pPr>
        <w:pStyle w:val="ListParagraph"/>
        <w:numPr>
          <w:ilvl w:val="0"/>
          <w:numId w:val="39"/>
        </w:numPr>
        <w:tabs>
          <w:tab w:pos="1360" w:val="left" w:leader="none"/>
        </w:tabs>
        <w:spacing w:line="240" w:lineRule="auto" w:before="140" w:after="0"/>
        <w:ind w:left="1360" w:right="0" w:hanging="527"/>
        <w:jc w:val="left"/>
        <w:rPr>
          <w:sz w:val="21"/>
        </w:rPr>
      </w:pPr>
      <w:r>
        <w:rPr>
          <w:sz w:val="21"/>
        </w:rPr>
        <w:t>自基金合同生效之日起，以诚实信用、勤勉尽责的原则管理和运用基金财产；</w:t>
      </w:r>
    </w:p>
    <w:p>
      <w:pPr>
        <w:pStyle w:val="ListParagraph"/>
        <w:numPr>
          <w:ilvl w:val="0"/>
          <w:numId w:val="39"/>
        </w:numPr>
        <w:tabs>
          <w:tab w:pos="1360" w:val="left" w:leader="none"/>
        </w:tabs>
        <w:spacing w:line="364" w:lineRule="auto" w:before="139" w:after="0"/>
        <w:ind w:left="413" w:right="1451" w:firstLine="420"/>
        <w:jc w:val="left"/>
        <w:rPr>
          <w:sz w:val="21"/>
        </w:rPr>
      </w:pPr>
      <w:r>
        <w:rPr>
          <w:spacing w:val="-3"/>
          <w:sz w:val="21"/>
        </w:rPr>
        <w:t>配备足够的具有专业资格的人员进行基金投资分析、决策，以专业化的经营方式</w:t>
      </w:r>
      <w:r>
        <w:rPr>
          <w:sz w:val="21"/>
        </w:rPr>
        <w:t>管理和运作基金财产；</w:t>
      </w:r>
    </w:p>
    <w:p>
      <w:pPr>
        <w:spacing w:after="0" w:line="364" w:lineRule="auto"/>
        <w:jc w:val="left"/>
        <w:rPr>
          <w:sz w:val="21"/>
        </w:rPr>
        <w:sectPr>
          <w:pgSz w:w="11910" w:h="16840"/>
          <w:pgMar w:header="0" w:footer="1166" w:top="1600" w:bottom="1440" w:left="1400" w:right="360"/>
        </w:sectPr>
      </w:pPr>
    </w:p>
    <w:p>
      <w:pPr>
        <w:pStyle w:val="ListParagraph"/>
        <w:numPr>
          <w:ilvl w:val="0"/>
          <w:numId w:val="39"/>
        </w:numPr>
        <w:tabs>
          <w:tab w:pos="1360" w:val="left" w:leader="none"/>
        </w:tabs>
        <w:spacing w:line="364" w:lineRule="auto" w:before="104" w:after="0"/>
        <w:ind w:left="413" w:right="1451" w:firstLine="420"/>
        <w:jc w:val="both"/>
        <w:rPr>
          <w:sz w:val="21"/>
        </w:rPr>
      </w:pPr>
      <w:r>
        <w:rPr>
          <w:spacing w:val="-4"/>
          <w:sz w:val="21"/>
        </w:rPr>
        <w:t>建立健全内部风险控制、监察与稽核、财务管理及人事管理等制度，保证所管理</w:t>
      </w:r>
      <w:r>
        <w:rPr>
          <w:sz w:val="21"/>
        </w:rPr>
        <w:t>的基金财产和管理人的财产相互独立，对所管理的不同基金分别管理，分别记账，进行证券投资；</w:t>
      </w:r>
    </w:p>
    <w:p>
      <w:pPr>
        <w:pStyle w:val="ListParagraph"/>
        <w:numPr>
          <w:ilvl w:val="0"/>
          <w:numId w:val="39"/>
        </w:numPr>
        <w:tabs>
          <w:tab w:pos="1367" w:val="left" w:leader="none"/>
        </w:tabs>
        <w:spacing w:line="364" w:lineRule="auto" w:before="0" w:after="0"/>
        <w:ind w:left="413" w:right="1452" w:firstLine="420"/>
        <w:jc w:val="left"/>
        <w:rPr>
          <w:sz w:val="21"/>
        </w:rPr>
      </w:pPr>
      <w:r>
        <w:rPr>
          <w:spacing w:val="-10"/>
          <w:sz w:val="21"/>
        </w:rPr>
        <w:t>除依据《基金法》、基金合同及其他有关规定外，不得为自己及任何第三人谋取利益，不得委托第三人运作基金财产；</w:t>
      </w:r>
    </w:p>
    <w:p>
      <w:pPr>
        <w:pStyle w:val="ListParagraph"/>
        <w:numPr>
          <w:ilvl w:val="0"/>
          <w:numId w:val="39"/>
        </w:numPr>
        <w:tabs>
          <w:tab w:pos="1360" w:val="left" w:leader="none"/>
        </w:tabs>
        <w:spacing w:line="268" w:lineRule="exact" w:before="0" w:after="0"/>
        <w:ind w:left="1360" w:right="0" w:hanging="527"/>
        <w:jc w:val="left"/>
        <w:rPr>
          <w:sz w:val="21"/>
        </w:rPr>
      </w:pPr>
      <w:r>
        <w:rPr>
          <w:sz w:val="21"/>
        </w:rPr>
        <w:t>依法接受基金托管人的监督；</w:t>
      </w:r>
    </w:p>
    <w:p>
      <w:pPr>
        <w:pStyle w:val="ListParagraph"/>
        <w:numPr>
          <w:ilvl w:val="0"/>
          <w:numId w:val="39"/>
        </w:numPr>
        <w:tabs>
          <w:tab w:pos="1360" w:val="left" w:leader="none"/>
        </w:tabs>
        <w:spacing w:line="240" w:lineRule="auto" w:before="138" w:after="0"/>
        <w:ind w:left="1360" w:right="0" w:hanging="527"/>
        <w:jc w:val="left"/>
        <w:rPr>
          <w:sz w:val="21"/>
        </w:rPr>
      </w:pPr>
      <w:r>
        <w:rPr>
          <w:sz w:val="21"/>
        </w:rPr>
        <w:t>计算并公告基金净值信息，确定基金份额申购、赎回价格；</w:t>
      </w:r>
    </w:p>
    <w:p>
      <w:pPr>
        <w:pStyle w:val="ListParagraph"/>
        <w:numPr>
          <w:ilvl w:val="0"/>
          <w:numId w:val="39"/>
        </w:numPr>
        <w:tabs>
          <w:tab w:pos="1360" w:val="left" w:leader="none"/>
        </w:tabs>
        <w:spacing w:line="364" w:lineRule="auto" w:before="139" w:after="0"/>
        <w:ind w:left="413" w:right="1451" w:firstLine="420"/>
        <w:jc w:val="left"/>
        <w:rPr>
          <w:sz w:val="21"/>
        </w:rPr>
      </w:pPr>
      <w:r>
        <w:rPr>
          <w:spacing w:val="-3"/>
          <w:sz w:val="21"/>
        </w:rPr>
        <w:t>采取适当合理的措施使计算基金份额认购、申购、赎回和注销价格的方法符合基</w:t>
      </w:r>
      <w:r>
        <w:rPr>
          <w:sz w:val="21"/>
        </w:rPr>
        <w:t>金合同等法律文件的规定；</w:t>
      </w:r>
    </w:p>
    <w:p>
      <w:pPr>
        <w:pStyle w:val="ListParagraph"/>
        <w:numPr>
          <w:ilvl w:val="0"/>
          <w:numId w:val="39"/>
        </w:numPr>
        <w:tabs>
          <w:tab w:pos="1465" w:val="left" w:leader="none"/>
        </w:tabs>
        <w:spacing w:line="268" w:lineRule="exact" w:before="0" w:after="0"/>
        <w:ind w:left="1465" w:right="0" w:hanging="632"/>
        <w:jc w:val="left"/>
        <w:rPr>
          <w:sz w:val="21"/>
        </w:rPr>
      </w:pPr>
      <w:r>
        <w:rPr>
          <w:sz w:val="21"/>
        </w:rPr>
        <w:t>按规定受理申购和赎回申请，及时、足额支付赎回款项；</w:t>
      </w:r>
    </w:p>
    <w:p>
      <w:pPr>
        <w:pStyle w:val="ListParagraph"/>
        <w:numPr>
          <w:ilvl w:val="0"/>
          <w:numId w:val="39"/>
        </w:numPr>
        <w:tabs>
          <w:tab w:pos="1465" w:val="left" w:leader="none"/>
        </w:tabs>
        <w:spacing w:line="240" w:lineRule="auto" w:before="140" w:after="0"/>
        <w:ind w:left="1465" w:right="0" w:hanging="632"/>
        <w:jc w:val="left"/>
        <w:rPr>
          <w:sz w:val="21"/>
        </w:rPr>
      </w:pPr>
      <w:r>
        <w:rPr>
          <w:sz w:val="21"/>
        </w:rPr>
        <w:t>进行基金会计核算并编制基金财务会计报告；</w:t>
      </w:r>
    </w:p>
    <w:p>
      <w:pPr>
        <w:pStyle w:val="ListParagraph"/>
        <w:numPr>
          <w:ilvl w:val="0"/>
          <w:numId w:val="39"/>
        </w:numPr>
        <w:tabs>
          <w:tab w:pos="1465" w:val="left" w:leader="none"/>
        </w:tabs>
        <w:spacing w:line="240" w:lineRule="auto" w:before="139" w:after="0"/>
        <w:ind w:left="1465" w:right="0" w:hanging="632"/>
        <w:jc w:val="left"/>
        <w:rPr>
          <w:sz w:val="21"/>
        </w:rPr>
      </w:pPr>
      <w:r>
        <w:rPr>
          <w:sz w:val="21"/>
        </w:rPr>
        <w:t>编制季度报告、中期报告和年度报告；</w:t>
      </w:r>
    </w:p>
    <w:p>
      <w:pPr>
        <w:pStyle w:val="ListParagraph"/>
        <w:numPr>
          <w:ilvl w:val="0"/>
          <w:numId w:val="39"/>
        </w:numPr>
        <w:tabs>
          <w:tab w:pos="1465" w:val="left" w:leader="none"/>
        </w:tabs>
        <w:spacing w:line="240" w:lineRule="auto" w:before="140" w:after="0"/>
        <w:ind w:left="1465" w:right="0" w:hanging="632"/>
        <w:jc w:val="left"/>
        <w:rPr>
          <w:sz w:val="21"/>
        </w:rPr>
      </w:pPr>
      <w:r>
        <w:rPr>
          <w:spacing w:val="-10"/>
          <w:sz w:val="21"/>
        </w:rPr>
        <w:t>严格按照《基金法》、基金合同及其他有关规定，履行信息披露及报告义务；</w:t>
      </w:r>
    </w:p>
    <w:p>
      <w:pPr>
        <w:pStyle w:val="ListParagraph"/>
        <w:numPr>
          <w:ilvl w:val="0"/>
          <w:numId w:val="39"/>
        </w:numPr>
        <w:tabs>
          <w:tab w:pos="1465" w:val="left" w:leader="none"/>
        </w:tabs>
        <w:spacing w:line="364" w:lineRule="auto" w:before="139" w:after="0"/>
        <w:ind w:left="413" w:right="1451" w:firstLine="420"/>
        <w:jc w:val="left"/>
        <w:rPr>
          <w:sz w:val="21"/>
        </w:rPr>
      </w:pPr>
      <w:r>
        <w:rPr>
          <w:spacing w:val="-8"/>
          <w:sz w:val="21"/>
        </w:rPr>
        <w:t>保守基金商业秘密，不得泄露基金投资计划、投资意向等，除《基金法》、基金</w:t>
      </w:r>
      <w:r>
        <w:rPr>
          <w:sz w:val="21"/>
        </w:rPr>
        <w:t>合同及其他有关规定另有规定外，在基金信息公开披露前应予保密，不得向他人泄露；</w:t>
      </w:r>
    </w:p>
    <w:p>
      <w:pPr>
        <w:pStyle w:val="ListParagraph"/>
        <w:numPr>
          <w:ilvl w:val="0"/>
          <w:numId w:val="39"/>
        </w:numPr>
        <w:tabs>
          <w:tab w:pos="1465" w:val="left" w:leader="none"/>
        </w:tabs>
        <w:spacing w:line="268" w:lineRule="exact" w:before="0" w:after="0"/>
        <w:ind w:left="1465" w:right="0" w:hanging="632"/>
        <w:jc w:val="left"/>
        <w:rPr>
          <w:sz w:val="21"/>
        </w:rPr>
      </w:pPr>
      <w:r>
        <w:rPr>
          <w:spacing w:val="-1"/>
          <w:sz w:val="21"/>
        </w:rPr>
        <w:t>按照基金合同的约定确定基金收益分配方案，及时向基金份额持有人分配收益；</w:t>
      </w:r>
    </w:p>
    <w:p>
      <w:pPr>
        <w:pStyle w:val="ListParagraph"/>
        <w:numPr>
          <w:ilvl w:val="0"/>
          <w:numId w:val="39"/>
        </w:numPr>
        <w:tabs>
          <w:tab w:pos="1465" w:val="left" w:leader="none"/>
        </w:tabs>
        <w:spacing w:line="364" w:lineRule="auto" w:before="140" w:after="0"/>
        <w:ind w:left="413" w:right="1451" w:firstLine="420"/>
        <w:jc w:val="left"/>
        <w:rPr>
          <w:sz w:val="21"/>
        </w:rPr>
      </w:pPr>
      <w:r>
        <w:rPr>
          <w:spacing w:val="-13"/>
          <w:sz w:val="21"/>
        </w:rPr>
        <w:t>依据《基金法》、基金合同及其他有关规定召集基金份额持有人大会或配合基金</w:t>
      </w:r>
      <w:r>
        <w:rPr>
          <w:sz w:val="21"/>
        </w:rPr>
        <w:t>托管人、基金份额持有人依法召集基金份额持有人大会；</w:t>
      </w:r>
    </w:p>
    <w:p>
      <w:pPr>
        <w:pStyle w:val="ListParagraph"/>
        <w:numPr>
          <w:ilvl w:val="0"/>
          <w:numId w:val="39"/>
        </w:numPr>
        <w:tabs>
          <w:tab w:pos="1465" w:val="left" w:leader="none"/>
        </w:tabs>
        <w:spacing w:line="268" w:lineRule="exact" w:before="0" w:after="0"/>
        <w:ind w:left="1465" w:right="0" w:hanging="632"/>
        <w:jc w:val="left"/>
        <w:rPr>
          <w:sz w:val="21"/>
        </w:rPr>
      </w:pPr>
      <w:r>
        <w:rPr>
          <w:sz w:val="21"/>
        </w:rPr>
        <w:t>保存基金财产管理业务活动的记录、账册、报表和其他相关资料；</w:t>
      </w:r>
    </w:p>
    <w:p>
      <w:pPr>
        <w:pStyle w:val="ListParagraph"/>
        <w:numPr>
          <w:ilvl w:val="0"/>
          <w:numId w:val="39"/>
        </w:numPr>
        <w:tabs>
          <w:tab w:pos="1472" w:val="left" w:leader="none"/>
        </w:tabs>
        <w:spacing w:line="364" w:lineRule="auto" w:before="139" w:after="0"/>
        <w:ind w:left="413" w:right="1452" w:firstLine="420"/>
        <w:jc w:val="left"/>
        <w:rPr>
          <w:sz w:val="21"/>
        </w:rPr>
      </w:pPr>
      <w:r>
        <w:rPr>
          <w:sz w:val="21"/>
        </w:rPr>
        <w:t>以基金管理人名义，代表基金份额持有人利益行使诉讼权利或者实施其他法律行为；</w:t>
      </w:r>
    </w:p>
    <w:p>
      <w:pPr>
        <w:pStyle w:val="ListParagraph"/>
        <w:numPr>
          <w:ilvl w:val="0"/>
          <w:numId w:val="39"/>
        </w:numPr>
        <w:tabs>
          <w:tab w:pos="1472" w:val="left" w:leader="none"/>
        </w:tabs>
        <w:spacing w:line="364" w:lineRule="auto" w:before="0" w:after="0"/>
        <w:ind w:left="413" w:right="1452" w:firstLine="420"/>
        <w:jc w:val="left"/>
        <w:rPr>
          <w:sz w:val="21"/>
        </w:rPr>
      </w:pPr>
      <w:r>
        <w:rPr>
          <w:sz w:val="21"/>
        </w:rPr>
        <w:t>组织并参加基金财产清算小组，参与基金财产的保管、清理、估价、变现和分配；</w:t>
      </w:r>
    </w:p>
    <w:p>
      <w:pPr>
        <w:pStyle w:val="ListParagraph"/>
        <w:numPr>
          <w:ilvl w:val="0"/>
          <w:numId w:val="39"/>
        </w:numPr>
        <w:tabs>
          <w:tab w:pos="1472" w:val="left" w:leader="none"/>
        </w:tabs>
        <w:spacing w:line="364" w:lineRule="auto" w:before="0" w:after="0"/>
        <w:ind w:left="413" w:right="1452" w:firstLine="420"/>
        <w:jc w:val="left"/>
        <w:rPr>
          <w:sz w:val="21"/>
        </w:rPr>
      </w:pPr>
      <w:r>
        <w:rPr>
          <w:sz w:val="21"/>
        </w:rPr>
        <w:t>因违反基金合同导致基金财产的损失或损害基金份额持有人合法权益，应当承担赔偿责任，其赔偿责任不因其退任而免除；</w:t>
      </w:r>
    </w:p>
    <w:p>
      <w:pPr>
        <w:pStyle w:val="ListParagraph"/>
        <w:numPr>
          <w:ilvl w:val="0"/>
          <w:numId w:val="39"/>
        </w:numPr>
        <w:tabs>
          <w:tab w:pos="1472" w:val="left" w:leader="none"/>
        </w:tabs>
        <w:spacing w:line="364" w:lineRule="auto" w:before="0" w:after="0"/>
        <w:ind w:left="413" w:right="1452" w:firstLine="420"/>
        <w:jc w:val="left"/>
        <w:rPr>
          <w:sz w:val="21"/>
        </w:rPr>
      </w:pPr>
      <w:r>
        <w:rPr>
          <w:sz w:val="21"/>
        </w:rPr>
        <w:t>基金托管人违反基金合同造成基金财产损失时，应为基金份额持有人利益向基金托管人追偿；</w:t>
      </w:r>
    </w:p>
    <w:p>
      <w:pPr>
        <w:pStyle w:val="ListParagraph"/>
        <w:numPr>
          <w:ilvl w:val="0"/>
          <w:numId w:val="39"/>
        </w:numPr>
        <w:tabs>
          <w:tab w:pos="1465" w:val="left" w:leader="none"/>
        </w:tabs>
        <w:spacing w:line="268" w:lineRule="exact" w:before="0" w:after="0"/>
        <w:ind w:left="1465" w:right="0" w:hanging="632"/>
        <w:jc w:val="left"/>
        <w:rPr>
          <w:sz w:val="21"/>
        </w:rPr>
      </w:pPr>
      <w:r>
        <w:rPr>
          <w:sz w:val="21"/>
        </w:rPr>
        <w:t>按规定向基金托管人提供基金份额持有人名册资料；</w:t>
      </w:r>
    </w:p>
    <w:p>
      <w:pPr>
        <w:pStyle w:val="ListParagraph"/>
        <w:numPr>
          <w:ilvl w:val="0"/>
          <w:numId w:val="39"/>
        </w:numPr>
        <w:tabs>
          <w:tab w:pos="1472" w:val="left" w:leader="none"/>
        </w:tabs>
        <w:spacing w:line="364" w:lineRule="auto" w:before="137" w:after="0"/>
        <w:ind w:left="413" w:right="1452" w:firstLine="420"/>
        <w:jc w:val="left"/>
        <w:rPr>
          <w:sz w:val="21"/>
        </w:rPr>
      </w:pPr>
      <w:r>
        <w:rPr>
          <w:sz w:val="21"/>
        </w:rPr>
        <w:t>面临解散、依法被撤销或者被依法宣告破产时，及时报告中国证监会并通知基金托管人；</w:t>
      </w:r>
    </w:p>
    <w:p>
      <w:pPr>
        <w:pStyle w:val="ListParagraph"/>
        <w:numPr>
          <w:ilvl w:val="0"/>
          <w:numId w:val="39"/>
        </w:numPr>
        <w:tabs>
          <w:tab w:pos="1465" w:val="left" w:leader="none"/>
        </w:tabs>
        <w:spacing w:line="268" w:lineRule="exact" w:before="0" w:after="0"/>
        <w:ind w:left="1465" w:right="0" w:hanging="632"/>
        <w:jc w:val="left"/>
        <w:rPr>
          <w:sz w:val="21"/>
        </w:rPr>
      </w:pPr>
      <w:r>
        <w:rPr>
          <w:sz w:val="21"/>
        </w:rPr>
        <w:t>执行生效的基金份额持有人大会决议；</w:t>
      </w:r>
    </w:p>
    <w:p>
      <w:pPr>
        <w:pStyle w:val="ListParagraph"/>
        <w:numPr>
          <w:ilvl w:val="0"/>
          <w:numId w:val="39"/>
        </w:numPr>
        <w:tabs>
          <w:tab w:pos="1465" w:val="left" w:leader="none"/>
        </w:tabs>
        <w:spacing w:line="240" w:lineRule="auto" w:before="139" w:after="0"/>
        <w:ind w:left="1465" w:right="0" w:hanging="632"/>
        <w:jc w:val="left"/>
        <w:rPr>
          <w:sz w:val="21"/>
        </w:rPr>
      </w:pPr>
      <w:r>
        <w:rPr>
          <w:sz w:val="21"/>
        </w:rPr>
        <w:t>不从事任何有损基金及其他基金当事人利益的活动；</w:t>
      </w:r>
    </w:p>
    <w:p>
      <w:pPr>
        <w:pStyle w:val="ListParagraph"/>
        <w:numPr>
          <w:ilvl w:val="0"/>
          <w:numId w:val="39"/>
        </w:numPr>
        <w:tabs>
          <w:tab w:pos="1472" w:val="left" w:leader="none"/>
        </w:tabs>
        <w:spacing w:line="240" w:lineRule="auto" w:before="140" w:after="0"/>
        <w:ind w:left="1471" w:right="0" w:hanging="639"/>
        <w:jc w:val="left"/>
        <w:rPr>
          <w:sz w:val="21"/>
        </w:rPr>
      </w:pPr>
      <w:r>
        <w:rPr>
          <w:sz w:val="21"/>
        </w:rPr>
        <w:t>依照法律法规为基金的利益对被投资公司行使股东权利，为基金的利益行使因</w:t>
      </w:r>
    </w:p>
    <w:p>
      <w:pPr>
        <w:spacing w:after="0" w:line="240" w:lineRule="auto"/>
        <w:jc w:val="left"/>
        <w:rPr>
          <w:sz w:val="21"/>
        </w:rPr>
        <w:sectPr>
          <w:pgSz w:w="11910" w:h="16840"/>
          <w:pgMar w:header="0" w:footer="1166" w:top="1600" w:bottom="1440" w:left="1400" w:right="360"/>
        </w:sectPr>
      </w:pPr>
    </w:p>
    <w:p>
      <w:pPr>
        <w:pStyle w:val="BodyText"/>
        <w:spacing w:before="104"/>
        <w:ind w:left="413"/>
      </w:pPr>
      <w:r>
        <w:rPr/>
        <w:t>基金财产投资于证券所产生的权利，不谋求对上市公司的控股和直接管理；</w:t>
      </w:r>
    </w:p>
    <w:p>
      <w:pPr>
        <w:pStyle w:val="ListParagraph"/>
        <w:numPr>
          <w:ilvl w:val="0"/>
          <w:numId w:val="39"/>
        </w:numPr>
        <w:tabs>
          <w:tab w:pos="1465" w:val="left" w:leader="none"/>
        </w:tabs>
        <w:spacing w:line="240" w:lineRule="auto" w:before="139" w:after="0"/>
        <w:ind w:left="1465" w:right="0" w:hanging="632"/>
        <w:jc w:val="left"/>
        <w:rPr>
          <w:sz w:val="21"/>
        </w:rPr>
      </w:pPr>
      <w:r>
        <w:rPr>
          <w:sz w:val="21"/>
        </w:rPr>
        <w:t>法律法规、中国证监会和基金合同规定的其他义务。</w:t>
      </w:r>
    </w:p>
    <w:p>
      <w:pPr>
        <w:pStyle w:val="BodyText"/>
        <w:spacing w:before="140"/>
        <w:ind w:left="833"/>
      </w:pPr>
      <w:r>
        <w:rPr/>
        <w:t>2、基金托管人的权力和义务</w:t>
      </w:r>
    </w:p>
    <w:p>
      <w:pPr>
        <w:pStyle w:val="BodyText"/>
        <w:spacing w:before="139"/>
        <w:ind w:left="833"/>
      </w:pPr>
      <w:r>
        <w:rPr/>
        <w:t>根据《基金法》及其他有关法律法规，基金托管人的权利为：</w:t>
      </w:r>
    </w:p>
    <w:p>
      <w:pPr>
        <w:pStyle w:val="ListParagraph"/>
        <w:numPr>
          <w:ilvl w:val="0"/>
          <w:numId w:val="40"/>
        </w:numPr>
        <w:tabs>
          <w:tab w:pos="1360" w:val="left" w:leader="none"/>
        </w:tabs>
        <w:spacing w:line="240" w:lineRule="auto" w:before="140" w:after="0"/>
        <w:ind w:left="1360" w:right="0" w:hanging="527"/>
        <w:jc w:val="left"/>
        <w:rPr>
          <w:sz w:val="21"/>
        </w:rPr>
      </w:pPr>
      <w:r>
        <w:rPr>
          <w:sz w:val="21"/>
        </w:rPr>
        <w:t>依基金合同约定获得基金托管费以及法律法规规定或监管部门批准的其他收入；</w:t>
      </w:r>
    </w:p>
    <w:p>
      <w:pPr>
        <w:pStyle w:val="ListParagraph"/>
        <w:numPr>
          <w:ilvl w:val="0"/>
          <w:numId w:val="40"/>
        </w:numPr>
        <w:tabs>
          <w:tab w:pos="1360" w:val="left" w:leader="none"/>
        </w:tabs>
        <w:spacing w:line="240" w:lineRule="auto" w:before="139" w:after="0"/>
        <w:ind w:left="1360" w:right="0" w:hanging="527"/>
        <w:jc w:val="left"/>
        <w:rPr>
          <w:sz w:val="21"/>
        </w:rPr>
      </w:pPr>
      <w:r>
        <w:rPr>
          <w:sz w:val="21"/>
        </w:rPr>
        <w:t>监督基金管理人对本基金的投资运作；</w:t>
      </w:r>
    </w:p>
    <w:p>
      <w:pPr>
        <w:pStyle w:val="ListParagraph"/>
        <w:numPr>
          <w:ilvl w:val="0"/>
          <w:numId w:val="40"/>
        </w:numPr>
        <w:tabs>
          <w:tab w:pos="1360" w:val="left" w:leader="none"/>
        </w:tabs>
        <w:spacing w:line="240" w:lineRule="auto" w:before="140" w:after="0"/>
        <w:ind w:left="1360" w:right="0" w:hanging="527"/>
        <w:jc w:val="left"/>
        <w:rPr>
          <w:sz w:val="21"/>
        </w:rPr>
      </w:pPr>
      <w:r>
        <w:rPr>
          <w:sz w:val="21"/>
        </w:rPr>
        <w:t>自本基金合同生效之日起，依法保管基金资产；</w:t>
      </w:r>
    </w:p>
    <w:p>
      <w:pPr>
        <w:pStyle w:val="ListParagraph"/>
        <w:numPr>
          <w:ilvl w:val="0"/>
          <w:numId w:val="40"/>
        </w:numPr>
        <w:tabs>
          <w:tab w:pos="1360" w:val="left" w:leader="none"/>
        </w:tabs>
        <w:spacing w:line="240" w:lineRule="auto" w:before="139" w:after="0"/>
        <w:ind w:left="1360" w:right="0" w:hanging="527"/>
        <w:jc w:val="left"/>
        <w:rPr>
          <w:sz w:val="21"/>
        </w:rPr>
      </w:pPr>
      <w:r>
        <w:rPr>
          <w:sz w:val="21"/>
        </w:rPr>
        <w:t>在基金管理人更换时，提名新任基金管理人；</w:t>
      </w:r>
    </w:p>
    <w:p>
      <w:pPr>
        <w:pStyle w:val="ListParagraph"/>
        <w:numPr>
          <w:ilvl w:val="0"/>
          <w:numId w:val="40"/>
        </w:numPr>
        <w:tabs>
          <w:tab w:pos="1360" w:val="left" w:leader="none"/>
        </w:tabs>
        <w:spacing w:line="364" w:lineRule="auto" w:before="139" w:after="0"/>
        <w:ind w:left="413" w:right="1451" w:firstLine="420"/>
        <w:jc w:val="both"/>
        <w:rPr>
          <w:sz w:val="21"/>
        </w:rPr>
      </w:pPr>
      <w:r>
        <w:rPr>
          <w:spacing w:val="-2"/>
          <w:sz w:val="21"/>
        </w:rPr>
        <w:t>根据本基金合同及有关规定监督基金管理人，对于基金管理人违反本基金合同或</w:t>
      </w:r>
      <w:r>
        <w:rPr>
          <w:sz w:val="21"/>
        </w:rPr>
        <w:t>有关法律法规规定的行为，对基金资产、其他当事人的利益造成重大损失的情形，应及时呈报中国证监会，并采取必要措施保护基金及相关当事人的利益；</w:t>
      </w:r>
    </w:p>
    <w:p>
      <w:pPr>
        <w:pStyle w:val="ListParagraph"/>
        <w:numPr>
          <w:ilvl w:val="0"/>
          <w:numId w:val="40"/>
        </w:numPr>
        <w:tabs>
          <w:tab w:pos="1360" w:val="left" w:leader="none"/>
        </w:tabs>
        <w:spacing w:line="268" w:lineRule="exact" w:before="0" w:after="0"/>
        <w:ind w:left="1360" w:right="0" w:hanging="527"/>
        <w:jc w:val="left"/>
        <w:rPr>
          <w:sz w:val="21"/>
        </w:rPr>
      </w:pPr>
      <w:r>
        <w:rPr>
          <w:sz w:val="21"/>
        </w:rPr>
        <w:t>依法召集基金份额持有人大会；</w:t>
      </w:r>
    </w:p>
    <w:p>
      <w:pPr>
        <w:pStyle w:val="ListParagraph"/>
        <w:numPr>
          <w:ilvl w:val="0"/>
          <w:numId w:val="40"/>
        </w:numPr>
        <w:tabs>
          <w:tab w:pos="1360" w:val="left" w:leader="none"/>
        </w:tabs>
        <w:spacing w:line="240" w:lineRule="auto" w:before="140" w:after="0"/>
        <w:ind w:left="1360" w:right="0" w:hanging="527"/>
        <w:jc w:val="left"/>
        <w:rPr>
          <w:sz w:val="21"/>
        </w:rPr>
      </w:pPr>
      <w:r>
        <w:rPr>
          <w:sz w:val="21"/>
        </w:rPr>
        <w:t>按规定取得基金份额持有人名册资料；</w:t>
      </w:r>
    </w:p>
    <w:p>
      <w:pPr>
        <w:pStyle w:val="ListParagraph"/>
        <w:numPr>
          <w:ilvl w:val="0"/>
          <w:numId w:val="40"/>
        </w:numPr>
        <w:tabs>
          <w:tab w:pos="1360" w:val="left" w:leader="none"/>
        </w:tabs>
        <w:spacing w:line="240" w:lineRule="auto" w:before="139" w:after="0"/>
        <w:ind w:left="1360" w:right="0" w:hanging="527"/>
        <w:jc w:val="left"/>
        <w:rPr>
          <w:sz w:val="21"/>
        </w:rPr>
      </w:pPr>
      <w:r>
        <w:rPr>
          <w:sz w:val="21"/>
        </w:rPr>
        <w:t>法律法规和基金合同规定的其他权利。</w:t>
      </w:r>
    </w:p>
    <w:p>
      <w:pPr>
        <w:pStyle w:val="BodyText"/>
        <w:spacing w:before="140"/>
        <w:ind w:left="833"/>
      </w:pPr>
      <w:r>
        <w:rPr/>
        <w:t>根据《基金法》及其他有关法律法规，基金托管人的义务为：</w:t>
      </w:r>
    </w:p>
    <w:p>
      <w:pPr>
        <w:pStyle w:val="ListParagraph"/>
        <w:numPr>
          <w:ilvl w:val="0"/>
          <w:numId w:val="41"/>
        </w:numPr>
        <w:tabs>
          <w:tab w:pos="1360" w:val="left" w:leader="none"/>
        </w:tabs>
        <w:spacing w:line="240" w:lineRule="auto" w:before="139" w:after="0"/>
        <w:ind w:left="1360" w:right="0" w:hanging="527"/>
        <w:jc w:val="left"/>
        <w:rPr>
          <w:sz w:val="21"/>
        </w:rPr>
      </w:pPr>
      <w:r>
        <w:rPr>
          <w:sz w:val="21"/>
        </w:rPr>
        <w:t>安全保管基金财产；</w:t>
      </w:r>
    </w:p>
    <w:p>
      <w:pPr>
        <w:pStyle w:val="ListParagraph"/>
        <w:numPr>
          <w:ilvl w:val="0"/>
          <w:numId w:val="41"/>
        </w:numPr>
        <w:tabs>
          <w:tab w:pos="1360" w:val="left" w:leader="none"/>
        </w:tabs>
        <w:spacing w:line="364" w:lineRule="auto" w:before="140" w:after="0"/>
        <w:ind w:left="413" w:right="1451" w:firstLine="420"/>
        <w:jc w:val="left"/>
        <w:rPr>
          <w:sz w:val="21"/>
        </w:rPr>
      </w:pPr>
      <w:r>
        <w:rPr>
          <w:spacing w:val="-4"/>
          <w:sz w:val="21"/>
        </w:rPr>
        <w:t>设立专门的基金托管部，具有符合要求的营业场所，配备足够的、合格的熟悉基</w:t>
      </w:r>
      <w:r>
        <w:rPr>
          <w:sz w:val="21"/>
        </w:rPr>
        <w:t>金托管业务的专职人员，负责基金财产托管事宜；</w:t>
      </w:r>
    </w:p>
    <w:p>
      <w:pPr>
        <w:pStyle w:val="ListParagraph"/>
        <w:numPr>
          <w:ilvl w:val="0"/>
          <w:numId w:val="41"/>
        </w:numPr>
        <w:tabs>
          <w:tab w:pos="1360" w:val="left" w:leader="none"/>
        </w:tabs>
        <w:spacing w:line="268" w:lineRule="exact" w:before="0" w:after="0"/>
        <w:ind w:left="1360" w:right="0" w:hanging="527"/>
        <w:jc w:val="left"/>
        <w:rPr>
          <w:sz w:val="21"/>
        </w:rPr>
      </w:pPr>
      <w:r>
        <w:rPr>
          <w:sz w:val="21"/>
        </w:rPr>
        <w:t>对所托管的不同基金财产分别设置账户，确保基金财产的完整与独立；</w:t>
      </w:r>
    </w:p>
    <w:p>
      <w:pPr>
        <w:pStyle w:val="ListParagraph"/>
        <w:numPr>
          <w:ilvl w:val="0"/>
          <w:numId w:val="41"/>
        </w:numPr>
        <w:tabs>
          <w:tab w:pos="1367" w:val="left" w:leader="none"/>
        </w:tabs>
        <w:spacing w:line="364" w:lineRule="auto" w:before="139" w:after="0"/>
        <w:ind w:left="413" w:right="1452" w:firstLine="420"/>
        <w:jc w:val="left"/>
        <w:rPr>
          <w:sz w:val="21"/>
        </w:rPr>
      </w:pPr>
      <w:r>
        <w:rPr>
          <w:spacing w:val="-10"/>
          <w:sz w:val="21"/>
        </w:rPr>
        <w:t>除依据《基金法》、基金合同及其他有关规定外，不得为自己及任何第三人谋取利益，不得委托第三人托管基金财产；</w:t>
      </w:r>
    </w:p>
    <w:p>
      <w:pPr>
        <w:pStyle w:val="ListParagraph"/>
        <w:numPr>
          <w:ilvl w:val="0"/>
          <w:numId w:val="41"/>
        </w:numPr>
        <w:tabs>
          <w:tab w:pos="1360" w:val="left" w:leader="none"/>
        </w:tabs>
        <w:spacing w:line="268" w:lineRule="exact" w:before="0" w:after="0"/>
        <w:ind w:left="1360" w:right="0" w:hanging="527"/>
        <w:jc w:val="left"/>
        <w:rPr>
          <w:sz w:val="21"/>
        </w:rPr>
      </w:pPr>
      <w:r>
        <w:rPr>
          <w:sz w:val="21"/>
        </w:rPr>
        <w:t>保管由基金管理人代表基金签订的与基金有关的重大合同及有关凭证；</w:t>
      </w:r>
    </w:p>
    <w:p>
      <w:pPr>
        <w:pStyle w:val="ListParagraph"/>
        <w:numPr>
          <w:ilvl w:val="0"/>
          <w:numId w:val="41"/>
        </w:numPr>
        <w:tabs>
          <w:tab w:pos="1360" w:val="left" w:leader="none"/>
        </w:tabs>
        <w:spacing w:line="240" w:lineRule="auto" w:before="140" w:after="0"/>
        <w:ind w:left="1360" w:right="0" w:hanging="527"/>
        <w:jc w:val="left"/>
        <w:rPr>
          <w:sz w:val="21"/>
        </w:rPr>
      </w:pPr>
      <w:r>
        <w:rPr>
          <w:sz w:val="21"/>
        </w:rPr>
        <w:t>按规定开设基金财产的资金账户和证券账户；</w:t>
      </w:r>
    </w:p>
    <w:p>
      <w:pPr>
        <w:pStyle w:val="ListParagraph"/>
        <w:numPr>
          <w:ilvl w:val="0"/>
          <w:numId w:val="41"/>
        </w:numPr>
        <w:tabs>
          <w:tab w:pos="1367" w:val="left" w:leader="none"/>
        </w:tabs>
        <w:spacing w:line="364" w:lineRule="auto" w:before="139" w:after="0"/>
        <w:ind w:left="413" w:right="1452" w:firstLine="420"/>
        <w:jc w:val="left"/>
        <w:rPr>
          <w:sz w:val="21"/>
        </w:rPr>
      </w:pPr>
      <w:r>
        <w:rPr>
          <w:spacing w:val="-7"/>
          <w:sz w:val="21"/>
        </w:rPr>
        <w:t>保守基金商业秘密，除《基金法》、基金合同及其他有关规定另有规定、有权机关另有要求外，在基金信息公开披露前应予保密，不得向他人泄露；</w:t>
      </w:r>
    </w:p>
    <w:p>
      <w:pPr>
        <w:pStyle w:val="ListParagraph"/>
        <w:numPr>
          <w:ilvl w:val="0"/>
          <w:numId w:val="41"/>
        </w:numPr>
        <w:tabs>
          <w:tab w:pos="1360" w:val="left" w:leader="none"/>
        </w:tabs>
        <w:spacing w:line="364" w:lineRule="auto" w:before="0" w:after="0"/>
        <w:ind w:left="413" w:right="1451" w:firstLine="420"/>
        <w:jc w:val="both"/>
        <w:rPr>
          <w:sz w:val="21"/>
        </w:rPr>
      </w:pPr>
      <w:r>
        <w:rPr>
          <w:spacing w:val="-4"/>
          <w:sz w:val="21"/>
        </w:rPr>
        <w:t>对基金财务会计报告、季度报告、中期报告和年度报告出具意见，说明基金管理</w:t>
      </w:r>
      <w:r>
        <w:rPr>
          <w:sz w:val="21"/>
        </w:rPr>
        <w:t>人在各重要方面的运作是否严格按照基金合同的规定进行；如果基金管理人有未执行基金合同规定的行为，还应当说明基金托管人是否采取了适当的措施；</w:t>
      </w:r>
    </w:p>
    <w:p>
      <w:pPr>
        <w:pStyle w:val="ListParagraph"/>
        <w:numPr>
          <w:ilvl w:val="0"/>
          <w:numId w:val="41"/>
        </w:numPr>
        <w:tabs>
          <w:tab w:pos="1360" w:val="left" w:leader="none"/>
        </w:tabs>
        <w:spacing w:line="268" w:lineRule="exact" w:before="0" w:after="0"/>
        <w:ind w:left="1360" w:right="0" w:hanging="527"/>
        <w:jc w:val="left"/>
        <w:rPr>
          <w:sz w:val="21"/>
        </w:rPr>
      </w:pPr>
      <w:r>
        <w:rPr>
          <w:sz w:val="21"/>
        </w:rPr>
        <w:t>保存基金托管业务活动的记录、账册、报表和其他相关资料；</w:t>
      </w:r>
    </w:p>
    <w:p>
      <w:pPr>
        <w:pStyle w:val="ListParagraph"/>
        <w:numPr>
          <w:ilvl w:val="0"/>
          <w:numId w:val="41"/>
        </w:numPr>
        <w:tabs>
          <w:tab w:pos="1465" w:val="left" w:leader="none"/>
        </w:tabs>
        <w:spacing w:line="240" w:lineRule="auto" w:before="138" w:after="0"/>
        <w:ind w:left="1465" w:right="0" w:hanging="632"/>
        <w:jc w:val="left"/>
        <w:rPr>
          <w:sz w:val="21"/>
        </w:rPr>
      </w:pPr>
      <w:r>
        <w:rPr>
          <w:spacing w:val="-1"/>
          <w:sz w:val="21"/>
        </w:rPr>
        <w:t>按照基金合同的约定，根据基金管理人的投资指令，及时办理清算、交割事宜；</w:t>
      </w:r>
    </w:p>
    <w:p>
      <w:pPr>
        <w:pStyle w:val="ListParagraph"/>
        <w:numPr>
          <w:ilvl w:val="0"/>
          <w:numId w:val="41"/>
        </w:numPr>
        <w:tabs>
          <w:tab w:pos="1465" w:val="left" w:leader="none"/>
        </w:tabs>
        <w:spacing w:line="240" w:lineRule="auto" w:before="140" w:after="0"/>
        <w:ind w:left="1465" w:right="0" w:hanging="632"/>
        <w:jc w:val="left"/>
        <w:rPr>
          <w:sz w:val="21"/>
        </w:rPr>
      </w:pPr>
      <w:r>
        <w:rPr>
          <w:sz w:val="21"/>
        </w:rPr>
        <w:t>办理与基金托管业务活动有关的信息披露事项；</w:t>
      </w:r>
    </w:p>
    <w:p>
      <w:pPr>
        <w:pStyle w:val="ListParagraph"/>
        <w:numPr>
          <w:ilvl w:val="0"/>
          <w:numId w:val="41"/>
        </w:numPr>
        <w:tabs>
          <w:tab w:pos="1472" w:val="left" w:leader="none"/>
        </w:tabs>
        <w:spacing w:line="364" w:lineRule="auto" w:before="139" w:after="0"/>
        <w:ind w:left="413" w:right="1452" w:firstLine="420"/>
        <w:jc w:val="left"/>
        <w:rPr>
          <w:sz w:val="21"/>
        </w:rPr>
      </w:pPr>
      <w:r>
        <w:rPr>
          <w:sz w:val="21"/>
        </w:rPr>
        <w:t>复核、审查基金管理人计算的基金资产净值、基金份额净值和基金份额申购、赎回价格；</w:t>
      </w:r>
    </w:p>
    <w:p>
      <w:pPr>
        <w:spacing w:after="0" w:line="364" w:lineRule="auto"/>
        <w:jc w:val="left"/>
        <w:rPr>
          <w:sz w:val="21"/>
        </w:rPr>
        <w:sectPr>
          <w:pgSz w:w="11910" w:h="16840"/>
          <w:pgMar w:header="0" w:footer="1166" w:top="1600" w:bottom="1440" w:left="1400" w:right="360"/>
        </w:sectPr>
      </w:pPr>
    </w:p>
    <w:p>
      <w:pPr>
        <w:pStyle w:val="ListParagraph"/>
        <w:numPr>
          <w:ilvl w:val="0"/>
          <w:numId w:val="41"/>
        </w:numPr>
        <w:tabs>
          <w:tab w:pos="1465" w:val="left" w:leader="none"/>
        </w:tabs>
        <w:spacing w:line="240" w:lineRule="auto" w:before="104" w:after="0"/>
        <w:ind w:left="1465" w:right="0" w:hanging="632"/>
        <w:jc w:val="left"/>
        <w:rPr>
          <w:sz w:val="21"/>
        </w:rPr>
      </w:pPr>
      <w:r>
        <w:rPr>
          <w:sz w:val="21"/>
        </w:rPr>
        <w:t>按照规定监督基金管理人的投资运作；</w:t>
      </w:r>
    </w:p>
    <w:p>
      <w:pPr>
        <w:pStyle w:val="ListParagraph"/>
        <w:numPr>
          <w:ilvl w:val="0"/>
          <w:numId w:val="41"/>
        </w:numPr>
        <w:tabs>
          <w:tab w:pos="1465" w:val="left" w:leader="none"/>
        </w:tabs>
        <w:spacing w:line="240" w:lineRule="auto" w:before="139" w:after="0"/>
        <w:ind w:left="1465" w:right="0" w:hanging="632"/>
        <w:jc w:val="left"/>
        <w:rPr>
          <w:sz w:val="21"/>
        </w:rPr>
      </w:pPr>
      <w:r>
        <w:rPr>
          <w:sz w:val="21"/>
        </w:rPr>
        <w:t>按规定制作相关账册并与基金管理人核对；</w:t>
      </w:r>
    </w:p>
    <w:p>
      <w:pPr>
        <w:pStyle w:val="ListParagraph"/>
        <w:numPr>
          <w:ilvl w:val="0"/>
          <w:numId w:val="41"/>
        </w:numPr>
        <w:tabs>
          <w:tab w:pos="1465" w:val="left" w:leader="none"/>
        </w:tabs>
        <w:spacing w:line="240" w:lineRule="auto" w:before="140" w:after="0"/>
        <w:ind w:left="1465" w:right="0" w:hanging="632"/>
        <w:jc w:val="left"/>
        <w:rPr>
          <w:sz w:val="21"/>
        </w:rPr>
      </w:pPr>
      <w:r>
        <w:rPr>
          <w:spacing w:val="-1"/>
          <w:sz w:val="21"/>
        </w:rPr>
        <w:t>依据基金管理人的指令或有关规定向基金份额持有人支付基金收益和赎回款项；</w:t>
      </w:r>
    </w:p>
    <w:p>
      <w:pPr>
        <w:pStyle w:val="ListParagraph"/>
        <w:numPr>
          <w:ilvl w:val="0"/>
          <w:numId w:val="41"/>
        </w:numPr>
        <w:tabs>
          <w:tab w:pos="1472" w:val="left" w:leader="none"/>
        </w:tabs>
        <w:spacing w:line="364" w:lineRule="auto" w:before="139" w:after="0"/>
        <w:ind w:left="413" w:right="1452" w:firstLine="420"/>
        <w:jc w:val="left"/>
        <w:rPr>
          <w:sz w:val="21"/>
        </w:rPr>
      </w:pPr>
      <w:r>
        <w:rPr>
          <w:sz w:val="21"/>
        </w:rPr>
        <w:t>按照规定召集基金份额持有人大会或配合基金份额持有人依法自行召集基金份额持有人大会；</w:t>
      </w:r>
    </w:p>
    <w:p>
      <w:pPr>
        <w:pStyle w:val="ListParagraph"/>
        <w:numPr>
          <w:ilvl w:val="0"/>
          <w:numId w:val="41"/>
        </w:numPr>
        <w:tabs>
          <w:tab w:pos="1472" w:val="left" w:leader="none"/>
        </w:tabs>
        <w:spacing w:line="364" w:lineRule="auto" w:before="0" w:after="0"/>
        <w:ind w:left="413" w:right="1452" w:firstLine="420"/>
        <w:jc w:val="left"/>
        <w:rPr>
          <w:sz w:val="21"/>
        </w:rPr>
      </w:pPr>
      <w:r>
        <w:rPr>
          <w:sz w:val="21"/>
        </w:rPr>
        <w:t>因违反基金合同导致基金财产损失，应承担赔偿责任，其赔偿责任不因其退任而免除；</w:t>
      </w:r>
    </w:p>
    <w:p>
      <w:pPr>
        <w:pStyle w:val="ListParagraph"/>
        <w:numPr>
          <w:ilvl w:val="0"/>
          <w:numId w:val="41"/>
        </w:numPr>
        <w:tabs>
          <w:tab w:pos="1465" w:val="left" w:leader="none"/>
        </w:tabs>
        <w:spacing w:line="268" w:lineRule="exact" w:before="0" w:after="0"/>
        <w:ind w:left="1465" w:right="0" w:hanging="632"/>
        <w:jc w:val="left"/>
        <w:rPr>
          <w:sz w:val="21"/>
        </w:rPr>
      </w:pPr>
      <w:r>
        <w:rPr>
          <w:spacing w:val="-1"/>
          <w:sz w:val="21"/>
        </w:rPr>
        <w:t>基金管理人因违反基金合同造成基金财产损失时，应为基金向基金管理人追偿；</w:t>
      </w:r>
    </w:p>
    <w:p>
      <w:pPr>
        <w:pStyle w:val="ListParagraph"/>
        <w:numPr>
          <w:ilvl w:val="0"/>
          <w:numId w:val="41"/>
        </w:numPr>
        <w:tabs>
          <w:tab w:pos="1465" w:val="left" w:leader="none"/>
        </w:tabs>
        <w:spacing w:line="240" w:lineRule="auto" w:before="139" w:after="0"/>
        <w:ind w:left="1465" w:right="0" w:hanging="632"/>
        <w:jc w:val="left"/>
        <w:rPr>
          <w:sz w:val="21"/>
        </w:rPr>
      </w:pPr>
      <w:r>
        <w:rPr>
          <w:sz w:val="21"/>
        </w:rPr>
        <w:t>参加基金财产清算小组，参与基金财产的保管、清理、估价、变现和分配；</w:t>
      </w:r>
    </w:p>
    <w:p>
      <w:pPr>
        <w:pStyle w:val="ListParagraph"/>
        <w:numPr>
          <w:ilvl w:val="0"/>
          <w:numId w:val="41"/>
        </w:numPr>
        <w:tabs>
          <w:tab w:pos="1472" w:val="left" w:leader="none"/>
        </w:tabs>
        <w:spacing w:line="364" w:lineRule="auto" w:before="139" w:after="0"/>
        <w:ind w:left="413" w:right="1452" w:firstLine="420"/>
        <w:jc w:val="left"/>
        <w:rPr>
          <w:sz w:val="21"/>
        </w:rPr>
      </w:pPr>
      <w:r>
        <w:rPr>
          <w:sz w:val="21"/>
        </w:rPr>
        <w:t>面临解散、依法被撤销或者被依法宣告破产时，及时报告中国证监会和银行业监督管理机构，并通知基金管理人；</w:t>
      </w:r>
    </w:p>
    <w:p>
      <w:pPr>
        <w:pStyle w:val="ListParagraph"/>
        <w:numPr>
          <w:ilvl w:val="0"/>
          <w:numId w:val="41"/>
        </w:numPr>
        <w:tabs>
          <w:tab w:pos="1465" w:val="left" w:leader="none"/>
        </w:tabs>
        <w:spacing w:line="268" w:lineRule="exact" w:before="0" w:after="0"/>
        <w:ind w:left="1465" w:right="0" w:hanging="632"/>
        <w:jc w:val="left"/>
        <w:rPr>
          <w:sz w:val="21"/>
        </w:rPr>
      </w:pPr>
      <w:r>
        <w:rPr>
          <w:sz w:val="21"/>
        </w:rPr>
        <w:t>执行生效的基金份额持有人大会决议；</w:t>
      </w:r>
    </w:p>
    <w:p>
      <w:pPr>
        <w:pStyle w:val="ListParagraph"/>
        <w:numPr>
          <w:ilvl w:val="0"/>
          <w:numId w:val="41"/>
        </w:numPr>
        <w:tabs>
          <w:tab w:pos="1465" w:val="left" w:leader="none"/>
        </w:tabs>
        <w:spacing w:line="240" w:lineRule="auto" w:before="140" w:after="0"/>
        <w:ind w:left="1465" w:right="0" w:hanging="632"/>
        <w:jc w:val="left"/>
        <w:rPr>
          <w:sz w:val="21"/>
        </w:rPr>
      </w:pPr>
      <w:r>
        <w:rPr>
          <w:sz w:val="21"/>
        </w:rPr>
        <w:t>不从事任何有损基金及其他基金当事人利益的活动；</w:t>
      </w:r>
    </w:p>
    <w:p>
      <w:pPr>
        <w:pStyle w:val="ListParagraph"/>
        <w:numPr>
          <w:ilvl w:val="0"/>
          <w:numId w:val="41"/>
        </w:numPr>
        <w:tabs>
          <w:tab w:pos="1465" w:val="left" w:leader="none"/>
        </w:tabs>
        <w:spacing w:line="240" w:lineRule="auto" w:before="139" w:after="0"/>
        <w:ind w:left="1465" w:right="0" w:hanging="632"/>
        <w:jc w:val="left"/>
        <w:rPr>
          <w:sz w:val="21"/>
        </w:rPr>
      </w:pPr>
      <w:r>
        <w:rPr>
          <w:sz w:val="21"/>
        </w:rPr>
        <w:t>建立并保存基金份额持有人名册；</w:t>
      </w:r>
    </w:p>
    <w:p>
      <w:pPr>
        <w:pStyle w:val="ListParagraph"/>
        <w:numPr>
          <w:ilvl w:val="0"/>
          <w:numId w:val="41"/>
        </w:numPr>
        <w:tabs>
          <w:tab w:pos="1465" w:val="left" w:leader="none"/>
        </w:tabs>
        <w:spacing w:line="240" w:lineRule="auto" w:before="140" w:after="0"/>
        <w:ind w:left="1465" w:right="0" w:hanging="632"/>
        <w:jc w:val="left"/>
        <w:rPr>
          <w:sz w:val="21"/>
        </w:rPr>
      </w:pPr>
      <w:r>
        <w:rPr>
          <w:sz w:val="21"/>
        </w:rPr>
        <w:t>法律法规、中国证监会和基金合同规定的其他义务。</w:t>
      </w:r>
    </w:p>
    <w:p>
      <w:pPr>
        <w:pStyle w:val="BodyText"/>
        <w:spacing w:before="139"/>
        <w:ind w:left="833"/>
      </w:pPr>
      <w:r>
        <w:rPr/>
        <w:t>3、基金份额持有人的权利和义务</w:t>
      </w:r>
    </w:p>
    <w:p>
      <w:pPr>
        <w:pStyle w:val="BodyText"/>
        <w:spacing w:before="139"/>
        <w:ind w:left="833"/>
      </w:pPr>
      <w:r>
        <w:rPr/>
        <w:t>根据《基金法》及其他有关法律法规，基金份额持有人的权利为：</w:t>
      </w:r>
    </w:p>
    <w:p>
      <w:pPr>
        <w:pStyle w:val="ListParagraph"/>
        <w:numPr>
          <w:ilvl w:val="0"/>
          <w:numId w:val="42"/>
        </w:numPr>
        <w:tabs>
          <w:tab w:pos="1360" w:val="left" w:leader="none"/>
        </w:tabs>
        <w:spacing w:line="240" w:lineRule="auto" w:before="140" w:after="0"/>
        <w:ind w:left="1360" w:right="0" w:hanging="527"/>
        <w:jc w:val="left"/>
        <w:rPr>
          <w:sz w:val="21"/>
        </w:rPr>
      </w:pPr>
      <w:r>
        <w:rPr>
          <w:sz w:val="21"/>
        </w:rPr>
        <w:t>分享基金财产收益；</w:t>
      </w:r>
    </w:p>
    <w:p>
      <w:pPr>
        <w:pStyle w:val="ListParagraph"/>
        <w:numPr>
          <w:ilvl w:val="0"/>
          <w:numId w:val="42"/>
        </w:numPr>
        <w:tabs>
          <w:tab w:pos="1360" w:val="left" w:leader="none"/>
        </w:tabs>
        <w:spacing w:line="240" w:lineRule="auto" w:before="139" w:after="0"/>
        <w:ind w:left="1360" w:right="0" w:hanging="527"/>
        <w:jc w:val="left"/>
        <w:rPr>
          <w:sz w:val="21"/>
        </w:rPr>
      </w:pPr>
      <w:r>
        <w:rPr>
          <w:sz w:val="21"/>
        </w:rPr>
        <w:t>参与分配清算后的剩余基金财产；</w:t>
      </w:r>
    </w:p>
    <w:p>
      <w:pPr>
        <w:pStyle w:val="ListParagraph"/>
        <w:numPr>
          <w:ilvl w:val="0"/>
          <w:numId w:val="42"/>
        </w:numPr>
        <w:tabs>
          <w:tab w:pos="1360" w:val="left" w:leader="none"/>
        </w:tabs>
        <w:spacing w:line="240" w:lineRule="auto" w:before="140" w:after="0"/>
        <w:ind w:left="1360" w:right="0" w:hanging="527"/>
        <w:jc w:val="left"/>
        <w:rPr>
          <w:sz w:val="21"/>
        </w:rPr>
      </w:pPr>
      <w:r>
        <w:rPr>
          <w:sz w:val="21"/>
        </w:rPr>
        <w:t>依法申请赎回其持有的基金份额；</w:t>
      </w:r>
    </w:p>
    <w:p>
      <w:pPr>
        <w:pStyle w:val="ListParagraph"/>
        <w:numPr>
          <w:ilvl w:val="0"/>
          <w:numId w:val="42"/>
        </w:numPr>
        <w:tabs>
          <w:tab w:pos="1360" w:val="left" w:leader="none"/>
        </w:tabs>
        <w:spacing w:line="240" w:lineRule="auto" w:before="139" w:after="0"/>
        <w:ind w:left="1360" w:right="0" w:hanging="527"/>
        <w:jc w:val="left"/>
        <w:rPr>
          <w:sz w:val="21"/>
        </w:rPr>
      </w:pPr>
      <w:r>
        <w:rPr>
          <w:sz w:val="21"/>
        </w:rPr>
        <w:t>按照规定要求召开基金份额持有人大会或召集基金份额持有人大会；</w:t>
      </w:r>
    </w:p>
    <w:p>
      <w:pPr>
        <w:pStyle w:val="ListParagraph"/>
        <w:numPr>
          <w:ilvl w:val="0"/>
          <w:numId w:val="42"/>
        </w:numPr>
        <w:tabs>
          <w:tab w:pos="1360" w:val="left" w:leader="none"/>
        </w:tabs>
        <w:spacing w:line="364" w:lineRule="auto" w:before="140" w:after="0"/>
        <w:ind w:left="413" w:right="1451" w:firstLine="420"/>
        <w:jc w:val="left"/>
        <w:rPr>
          <w:sz w:val="21"/>
        </w:rPr>
      </w:pPr>
      <w:r>
        <w:rPr>
          <w:spacing w:val="-2"/>
          <w:sz w:val="21"/>
        </w:rPr>
        <w:t>出席或者委派代表出席基金份额持有人大会，对基金份额持有人大会审议事项行</w:t>
      </w:r>
      <w:r>
        <w:rPr>
          <w:sz w:val="21"/>
        </w:rPr>
        <w:t>使表决权；</w:t>
      </w:r>
    </w:p>
    <w:p>
      <w:pPr>
        <w:pStyle w:val="ListParagraph"/>
        <w:numPr>
          <w:ilvl w:val="0"/>
          <w:numId w:val="42"/>
        </w:numPr>
        <w:tabs>
          <w:tab w:pos="1360" w:val="left" w:leader="none"/>
        </w:tabs>
        <w:spacing w:line="364" w:lineRule="auto" w:before="0" w:after="0"/>
        <w:ind w:left="413" w:right="1451" w:firstLine="420"/>
        <w:jc w:val="left"/>
        <w:rPr>
          <w:sz w:val="21"/>
        </w:rPr>
      </w:pPr>
      <w:r>
        <w:rPr>
          <w:spacing w:val="-11"/>
          <w:sz w:val="21"/>
        </w:rPr>
        <w:t>按照目标 </w:t>
      </w:r>
      <w:r>
        <w:rPr>
          <w:sz w:val="21"/>
        </w:rPr>
        <w:t>ETF</w:t>
      </w:r>
      <w:r>
        <w:rPr>
          <w:spacing w:val="-11"/>
          <w:sz w:val="21"/>
        </w:rPr>
        <w:t> 基金合同的约定出席或者委派代表出席目标 </w:t>
      </w:r>
      <w:r>
        <w:rPr>
          <w:sz w:val="21"/>
        </w:rPr>
        <w:t>ETF</w:t>
      </w:r>
      <w:r>
        <w:rPr>
          <w:spacing w:val="-9"/>
          <w:sz w:val="21"/>
        </w:rPr>
        <w:t> 基金份额持有人大会并对目标 </w:t>
      </w:r>
      <w:r>
        <w:rPr>
          <w:sz w:val="21"/>
        </w:rPr>
        <w:t>ETF</w:t>
      </w:r>
      <w:r>
        <w:rPr>
          <w:spacing w:val="-8"/>
          <w:sz w:val="21"/>
        </w:rPr>
        <w:t> 基金份额持有人大会审议事项行使表决权；</w:t>
      </w:r>
    </w:p>
    <w:p>
      <w:pPr>
        <w:pStyle w:val="ListParagraph"/>
        <w:numPr>
          <w:ilvl w:val="0"/>
          <w:numId w:val="42"/>
        </w:numPr>
        <w:tabs>
          <w:tab w:pos="1360" w:val="left" w:leader="none"/>
        </w:tabs>
        <w:spacing w:line="268" w:lineRule="exact" w:before="0" w:after="0"/>
        <w:ind w:left="1360" w:right="0" w:hanging="527"/>
        <w:jc w:val="left"/>
        <w:rPr>
          <w:sz w:val="21"/>
        </w:rPr>
      </w:pPr>
      <w:r>
        <w:rPr>
          <w:sz w:val="21"/>
        </w:rPr>
        <w:t>查阅或者复制公开披露的基金信息资料；</w:t>
      </w:r>
    </w:p>
    <w:p>
      <w:pPr>
        <w:pStyle w:val="ListParagraph"/>
        <w:numPr>
          <w:ilvl w:val="0"/>
          <w:numId w:val="42"/>
        </w:numPr>
        <w:tabs>
          <w:tab w:pos="1360" w:val="left" w:leader="none"/>
        </w:tabs>
        <w:spacing w:line="240" w:lineRule="auto" w:before="138" w:after="0"/>
        <w:ind w:left="1360" w:right="0" w:hanging="527"/>
        <w:jc w:val="left"/>
        <w:rPr>
          <w:sz w:val="21"/>
        </w:rPr>
      </w:pPr>
      <w:r>
        <w:rPr>
          <w:sz w:val="21"/>
        </w:rPr>
        <w:t>监督基金管理人的投资运作；</w:t>
      </w:r>
    </w:p>
    <w:p>
      <w:pPr>
        <w:pStyle w:val="ListParagraph"/>
        <w:numPr>
          <w:ilvl w:val="0"/>
          <w:numId w:val="42"/>
        </w:numPr>
        <w:tabs>
          <w:tab w:pos="1360" w:val="left" w:leader="none"/>
        </w:tabs>
        <w:spacing w:line="240" w:lineRule="auto" w:before="140" w:after="0"/>
        <w:ind w:left="1360" w:right="0" w:hanging="527"/>
        <w:jc w:val="left"/>
        <w:rPr>
          <w:sz w:val="21"/>
        </w:rPr>
      </w:pPr>
      <w:r>
        <w:rPr>
          <w:spacing w:val="-8"/>
          <w:sz w:val="21"/>
        </w:rPr>
        <w:t>对基金管理人、基金托管人、基金销售机构损害其合法权益的行为依法提起诉讼；</w:t>
      </w:r>
    </w:p>
    <w:p>
      <w:pPr>
        <w:pStyle w:val="ListParagraph"/>
        <w:numPr>
          <w:ilvl w:val="0"/>
          <w:numId w:val="42"/>
        </w:numPr>
        <w:tabs>
          <w:tab w:pos="1465" w:val="left" w:leader="none"/>
        </w:tabs>
        <w:spacing w:line="364" w:lineRule="auto" w:before="139" w:after="0"/>
        <w:ind w:left="833" w:right="5112" w:firstLine="0"/>
        <w:jc w:val="left"/>
        <w:rPr>
          <w:sz w:val="21"/>
        </w:rPr>
      </w:pPr>
      <w:r>
        <w:rPr>
          <w:spacing w:val="-2"/>
          <w:sz w:val="21"/>
        </w:rPr>
        <w:t>法律法规和基金合同规定的其他权利。</w:t>
      </w:r>
      <w:r>
        <w:rPr>
          <w:spacing w:val="-1"/>
          <w:sz w:val="21"/>
        </w:rPr>
        <w:t>同一类别每份基金份额具有同等的合法权益。</w:t>
      </w:r>
    </w:p>
    <w:p>
      <w:pPr>
        <w:pStyle w:val="BodyText"/>
        <w:spacing w:line="268" w:lineRule="exact"/>
        <w:ind w:left="833"/>
      </w:pPr>
      <w:r>
        <w:rPr/>
        <w:t>根据《基金法》及其他有关法律法规，基金份额持有人的义务为：</w:t>
      </w:r>
    </w:p>
    <w:p>
      <w:pPr>
        <w:pStyle w:val="ListParagraph"/>
        <w:numPr>
          <w:ilvl w:val="0"/>
          <w:numId w:val="43"/>
        </w:numPr>
        <w:tabs>
          <w:tab w:pos="1360" w:val="left" w:leader="none"/>
        </w:tabs>
        <w:spacing w:line="240" w:lineRule="auto" w:before="139" w:after="0"/>
        <w:ind w:left="1360" w:right="0" w:hanging="527"/>
        <w:jc w:val="left"/>
        <w:rPr>
          <w:sz w:val="21"/>
        </w:rPr>
      </w:pPr>
      <w:r>
        <w:rPr>
          <w:sz w:val="21"/>
        </w:rPr>
        <w:t>遵守法律法规、基金合同及其他有关规定；</w:t>
      </w:r>
    </w:p>
    <w:p>
      <w:pPr>
        <w:pStyle w:val="ListParagraph"/>
        <w:numPr>
          <w:ilvl w:val="0"/>
          <w:numId w:val="43"/>
        </w:numPr>
        <w:tabs>
          <w:tab w:pos="1360" w:val="left" w:leader="none"/>
        </w:tabs>
        <w:spacing w:line="240" w:lineRule="auto" w:before="140" w:after="0"/>
        <w:ind w:left="1360" w:right="0" w:hanging="527"/>
        <w:jc w:val="left"/>
        <w:rPr>
          <w:sz w:val="21"/>
        </w:rPr>
      </w:pPr>
      <w:r>
        <w:rPr>
          <w:sz w:val="21"/>
        </w:rPr>
        <w:t>交纳基金申购款项及法律法规和基金合同所规定的费用；</w:t>
      </w:r>
    </w:p>
    <w:p>
      <w:pPr>
        <w:spacing w:after="0" w:line="240" w:lineRule="auto"/>
        <w:jc w:val="left"/>
        <w:rPr>
          <w:sz w:val="21"/>
        </w:rPr>
        <w:sectPr>
          <w:pgSz w:w="11910" w:h="16840"/>
          <w:pgMar w:header="0" w:footer="1166" w:top="1600" w:bottom="1440" w:left="1400" w:right="360"/>
        </w:sectPr>
      </w:pPr>
    </w:p>
    <w:p>
      <w:pPr>
        <w:pStyle w:val="ListParagraph"/>
        <w:numPr>
          <w:ilvl w:val="0"/>
          <w:numId w:val="43"/>
        </w:numPr>
        <w:tabs>
          <w:tab w:pos="1360" w:val="left" w:leader="none"/>
        </w:tabs>
        <w:spacing w:line="240" w:lineRule="auto" w:before="104" w:after="0"/>
        <w:ind w:left="1360" w:right="0" w:hanging="527"/>
        <w:jc w:val="left"/>
        <w:rPr>
          <w:sz w:val="21"/>
        </w:rPr>
      </w:pPr>
      <w:r>
        <w:rPr>
          <w:sz w:val="21"/>
        </w:rPr>
        <w:t>在持有的基金份额范围内，承担基金亏损或者基金合同终止的有限责任；</w:t>
      </w:r>
    </w:p>
    <w:p>
      <w:pPr>
        <w:pStyle w:val="ListParagraph"/>
        <w:numPr>
          <w:ilvl w:val="0"/>
          <w:numId w:val="43"/>
        </w:numPr>
        <w:tabs>
          <w:tab w:pos="1360" w:val="left" w:leader="none"/>
        </w:tabs>
        <w:spacing w:line="240" w:lineRule="auto" w:before="139" w:after="0"/>
        <w:ind w:left="1360" w:right="0" w:hanging="527"/>
        <w:jc w:val="left"/>
        <w:rPr>
          <w:sz w:val="21"/>
        </w:rPr>
      </w:pPr>
      <w:r>
        <w:rPr>
          <w:sz w:val="21"/>
        </w:rPr>
        <w:t>不从事任何有损基金及其他基金份额持有人合法权益的活动；</w:t>
      </w:r>
    </w:p>
    <w:p>
      <w:pPr>
        <w:pStyle w:val="ListParagraph"/>
        <w:numPr>
          <w:ilvl w:val="0"/>
          <w:numId w:val="43"/>
        </w:numPr>
        <w:tabs>
          <w:tab w:pos="1360" w:val="left" w:leader="none"/>
        </w:tabs>
        <w:spacing w:line="240" w:lineRule="auto" w:before="140" w:after="0"/>
        <w:ind w:left="1360" w:right="0" w:hanging="527"/>
        <w:jc w:val="left"/>
        <w:rPr>
          <w:sz w:val="21"/>
        </w:rPr>
      </w:pPr>
      <w:r>
        <w:rPr>
          <w:sz w:val="21"/>
        </w:rPr>
        <w:t>执行生效的基金份额持有人大会决议；</w:t>
      </w:r>
    </w:p>
    <w:p>
      <w:pPr>
        <w:pStyle w:val="ListParagraph"/>
        <w:numPr>
          <w:ilvl w:val="0"/>
          <w:numId w:val="43"/>
        </w:numPr>
        <w:tabs>
          <w:tab w:pos="1360" w:val="left" w:leader="none"/>
        </w:tabs>
        <w:spacing w:line="364" w:lineRule="auto" w:before="139" w:after="0"/>
        <w:ind w:left="413" w:right="1451" w:firstLine="420"/>
        <w:jc w:val="left"/>
        <w:rPr>
          <w:sz w:val="21"/>
        </w:rPr>
      </w:pPr>
      <w:r>
        <w:rPr>
          <w:spacing w:val="-3"/>
          <w:sz w:val="21"/>
        </w:rPr>
        <w:t>返还在基金交易过程中因任何原因，自基金管理人及基金管理人的代理人、基金</w:t>
      </w:r>
      <w:r>
        <w:rPr>
          <w:sz w:val="21"/>
        </w:rPr>
        <w:t>托管人、非直销销售机构、其他基金份额持有人处获得的不当得利；</w:t>
      </w:r>
    </w:p>
    <w:p>
      <w:pPr>
        <w:pStyle w:val="ListParagraph"/>
        <w:numPr>
          <w:ilvl w:val="0"/>
          <w:numId w:val="43"/>
        </w:numPr>
        <w:tabs>
          <w:tab w:pos="1360" w:val="left" w:leader="none"/>
        </w:tabs>
        <w:spacing w:line="268" w:lineRule="exact" w:before="0" w:after="0"/>
        <w:ind w:left="1360" w:right="0" w:hanging="527"/>
        <w:jc w:val="left"/>
        <w:rPr>
          <w:sz w:val="21"/>
        </w:rPr>
      </w:pPr>
      <w:r>
        <w:rPr>
          <w:sz w:val="21"/>
        </w:rPr>
        <w:t>法律法规和基金合同规定的其他义务。</w:t>
      </w:r>
    </w:p>
    <w:p>
      <w:pPr>
        <w:pStyle w:val="BodyText"/>
        <w:spacing w:before="140"/>
        <w:ind w:left="833"/>
      </w:pPr>
      <w:r>
        <w:rPr/>
        <w:t>（二）基金份额持有人大会召集、议事及表决的程序和规则</w:t>
      </w:r>
    </w:p>
    <w:p>
      <w:pPr>
        <w:pStyle w:val="BodyText"/>
        <w:spacing w:line="364" w:lineRule="auto" w:before="139"/>
        <w:ind w:left="413" w:right="1429" w:firstLine="420"/>
      </w:pPr>
      <w:r>
        <w:rPr/>
        <w:t>1、基金份额持有人大会由基金份额持有人组成。基金份额持有人持有的每一基金份额具有同等的投票权。</w:t>
      </w:r>
    </w:p>
    <w:p>
      <w:pPr>
        <w:pStyle w:val="BodyText"/>
        <w:spacing w:line="364" w:lineRule="auto"/>
        <w:ind w:left="413" w:right="1452" w:firstLine="420"/>
        <w:jc w:val="both"/>
      </w:pPr>
      <w:r>
        <w:rPr>
          <w:spacing w:val="-3"/>
        </w:rPr>
        <w:t>鉴于本基金是目标 </w:t>
      </w:r>
      <w:r>
        <w:rPr/>
        <w:t>ETF</w:t>
      </w:r>
      <w:r>
        <w:rPr>
          <w:spacing w:val="-5"/>
        </w:rPr>
        <w:t> 的联接基金，本基金的基金份额持有人可以凭所持有的本基金</w:t>
      </w:r>
      <w:r>
        <w:rPr>
          <w:spacing w:val="-7"/>
        </w:rPr>
        <w:t>份额出席或者委派代表出席目标 </w:t>
      </w:r>
      <w:r>
        <w:rPr/>
        <w:t>ETF</w:t>
      </w:r>
      <w:r>
        <w:rPr>
          <w:spacing w:val="-5"/>
        </w:rPr>
        <w:t> 的基金份额持有人大会并参与表决，其持有的享有表</w:t>
      </w:r>
      <w:r>
        <w:rPr>
          <w:spacing w:val="-6"/>
        </w:rPr>
        <w:t>决权的基金份额数和表决票数为：在目标 </w:t>
      </w:r>
      <w:r>
        <w:rPr/>
        <w:t>ETF</w:t>
      </w:r>
      <w:r>
        <w:rPr>
          <w:spacing w:val="-5"/>
        </w:rPr>
        <w:t> 基金份额持有人大会的权益登记日，本基金</w:t>
      </w:r>
      <w:r>
        <w:rPr>
          <w:spacing w:val="-9"/>
        </w:rPr>
        <w:t>持有目标 </w:t>
      </w:r>
      <w:r>
        <w:rPr/>
        <w:t>ETF</w:t>
      </w:r>
      <w:r>
        <w:rPr>
          <w:spacing w:val="-5"/>
        </w:rPr>
        <w:t> 份额的总数乘以该基金份额持有人所持有的本基金份额占本基金总份额的比例。计算结果按照四舍五入的方法，保留到整数位。</w:t>
      </w:r>
    </w:p>
    <w:p>
      <w:pPr>
        <w:pStyle w:val="BodyText"/>
        <w:spacing w:line="364" w:lineRule="auto"/>
        <w:ind w:left="413" w:right="1451" w:firstLine="420"/>
        <w:jc w:val="both"/>
      </w:pPr>
      <w:r>
        <w:rPr>
          <w:spacing w:val="5"/>
        </w:rPr>
        <w:t>本基金的基金管理人不应以本基金的名义代表本基金的全体基金份额持有人以目标ETF</w:t>
      </w:r>
      <w:r>
        <w:rPr>
          <w:spacing w:val="-13"/>
        </w:rPr>
        <w:t> 的基金份额持有人的身份行使表决权，但可接受本基金的特定基金份额持有人的委托以</w:t>
      </w:r>
      <w:r>
        <w:rPr>
          <w:spacing w:val="-3"/>
        </w:rPr>
        <w:t>本基金的基金份额持有人代理人的身份出席目标 </w:t>
      </w:r>
      <w:r>
        <w:rPr/>
        <w:t>ETF</w:t>
      </w:r>
      <w:r>
        <w:rPr>
          <w:spacing w:val="-8"/>
        </w:rPr>
        <w:t> 的基金份额持有人大会并参与表决。</w:t>
      </w:r>
    </w:p>
    <w:p>
      <w:pPr>
        <w:pStyle w:val="BodyText"/>
        <w:spacing w:line="364" w:lineRule="auto"/>
        <w:ind w:left="413" w:right="1452" w:firstLine="420"/>
        <w:jc w:val="both"/>
      </w:pPr>
      <w:r>
        <w:rPr>
          <w:spacing w:val="-1"/>
        </w:rPr>
        <w:t>本基金的基金管理人代表本基金的基金份额持有人提议召开或召集目标 </w:t>
      </w:r>
      <w:r>
        <w:rPr/>
        <w:t>ETF</w:t>
      </w:r>
      <w:r>
        <w:rPr>
          <w:spacing w:val="-5"/>
        </w:rPr>
        <w:t> 基金份额持有人大会的，须先遵照本基金《基金合同》的约定召开本基金的基金份额持有人大会。</w:t>
      </w:r>
      <w:r>
        <w:rPr>
          <w:spacing w:val="-6"/>
        </w:rPr>
        <w:t>本基金的基金份额持有人大会决定提议召开或召集目标 </w:t>
      </w:r>
      <w:r>
        <w:rPr/>
        <w:t>ETF</w:t>
      </w:r>
      <w:r>
        <w:rPr>
          <w:spacing w:val="-5"/>
        </w:rPr>
        <w:t> 基金份额持有人大会的，由本</w:t>
      </w:r>
      <w:r>
        <w:rPr>
          <w:spacing w:val="-6"/>
        </w:rPr>
        <w:t>基金基金管理人代表本基金的基金份额持有人提议召开或召集目标 </w:t>
      </w:r>
      <w:r>
        <w:rPr/>
        <w:t>ETF</w:t>
      </w:r>
      <w:r>
        <w:rPr>
          <w:spacing w:val="-5"/>
        </w:rPr>
        <w:t> 基金份额持有人大会。</w:t>
      </w:r>
    </w:p>
    <w:p>
      <w:pPr>
        <w:pStyle w:val="BodyText"/>
        <w:spacing w:line="267" w:lineRule="exact"/>
        <w:ind w:left="833"/>
      </w:pPr>
      <w:r>
        <w:rPr/>
        <w:t>2、召开事由</w:t>
      </w:r>
    </w:p>
    <w:p>
      <w:pPr>
        <w:pStyle w:val="ListParagraph"/>
        <w:numPr>
          <w:ilvl w:val="0"/>
          <w:numId w:val="44"/>
        </w:numPr>
        <w:tabs>
          <w:tab w:pos="1150" w:val="left" w:leader="none"/>
        </w:tabs>
        <w:spacing w:line="364" w:lineRule="auto" w:before="135" w:after="0"/>
        <w:ind w:left="413" w:right="1347" w:firstLine="420"/>
        <w:jc w:val="left"/>
        <w:rPr>
          <w:sz w:val="21"/>
        </w:rPr>
      </w:pPr>
      <w:r>
        <w:rPr>
          <w:spacing w:val="-7"/>
          <w:sz w:val="21"/>
        </w:rPr>
        <w:t>当出现或需要决定下列事由之一的，经基金管理人、基金托管人或持有基金份额</w:t>
      </w:r>
      <w:r>
        <w:rPr>
          <w:sz w:val="21"/>
        </w:rPr>
        <w:t>10% 以上(含10%，下同)的基金份额持有人(以基金管理人收到提议当日的基金份额计算，下同) 提议时，应当召开基金份额持有人大会：</w:t>
      </w:r>
    </w:p>
    <w:p>
      <w:pPr>
        <w:pStyle w:val="ListParagraph"/>
        <w:numPr>
          <w:ilvl w:val="0"/>
          <w:numId w:val="45"/>
        </w:numPr>
        <w:tabs>
          <w:tab w:pos="1045" w:val="left" w:leader="none"/>
        </w:tabs>
        <w:spacing w:line="268" w:lineRule="exact" w:before="0" w:after="0"/>
        <w:ind w:left="1045" w:right="0" w:hanging="212"/>
        <w:jc w:val="left"/>
        <w:rPr>
          <w:sz w:val="21"/>
        </w:rPr>
      </w:pPr>
      <w:r>
        <w:rPr>
          <w:sz w:val="21"/>
        </w:rPr>
        <w:t>终止基金合同；</w:t>
      </w:r>
    </w:p>
    <w:p>
      <w:pPr>
        <w:pStyle w:val="ListParagraph"/>
        <w:numPr>
          <w:ilvl w:val="0"/>
          <w:numId w:val="45"/>
        </w:numPr>
        <w:tabs>
          <w:tab w:pos="1045" w:val="left" w:leader="none"/>
        </w:tabs>
        <w:spacing w:line="240" w:lineRule="auto" w:before="139" w:after="0"/>
        <w:ind w:left="1045" w:right="0" w:hanging="212"/>
        <w:jc w:val="left"/>
        <w:rPr>
          <w:sz w:val="21"/>
        </w:rPr>
      </w:pPr>
      <w:r>
        <w:rPr>
          <w:sz w:val="21"/>
        </w:rPr>
        <w:t>转换基金运作方式；</w:t>
      </w:r>
    </w:p>
    <w:p>
      <w:pPr>
        <w:pStyle w:val="ListParagraph"/>
        <w:numPr>
          <w:ilvl w:val="0"/>
          <w:numId w:val="45"/>
        </w:numPr>
        <w:tabs>
          <w:tab w:pos="1045" w:val="left" w:leader="none"/>
        </w:tabs>
        <w:spacing w:line="240" w:lineRule="auto" w:before="140" w:after="0"/>
        <w:ind w:left="1045" w:right="0" w:hanging="212"/>
        <w:jc w:val="left"/>
        <w:rPr>
          <w:sz w:val="21"/>
        </w:rPr>
      </w:pPr>
      <w:r>
        <w:rPr>
          <w:sz w:val="21"/>
        </w:rPr>
        <w:t>变更基金类别；</w:t>
      </w:r>
    </w:p>
    <w:p>
      <w:pPr>
        <w:pStyle w:val="ListParagraph"/>
        <w:numPr>
          <w:ilvl w:val="0"/>
          <w:numId w:val="45"/>
        </w:numPr>
        <w:tabs>
          <w:tab w:pos="1045" w:val="left" w:leader="none"/>
        </w:tabs>
        <w:spacing w:line="240" w:lineRule="auto" w:before="139" w:after="0"/>
        <w:ind w:left="1045" w:right="0" w:hanging="212"/>
        <w:jc w:val="left"/>
        <w:rPr>
          <w:sz w:val="21"/>
        </w:rPr>
      </w:pPr>
      <w:r>
        <w:rPr>
          <w:sz w:val="21"/>
        </w:rPr>
        <w:t>变更基金投资目标、投资范围或投资策略；</w:t>
      </w:r>
    </w:p>
    <w:p>
      <w:pPr>
        <w:pStyle w:val="ListParagraph"/>
        <w:numPr>
          <w:ilvl w:val="0"/>
          <w:numId w:val="45"/>
        </w:numPr>
        <w:tabs>
          <w:tab w:pos="1045" w:val="left" w:leader="none"/>
        </w:tabs>
        <w:spacing w:line="240" w:lineRule="auto" w:before="140" w:after="0"/>
        <w:ind w:left="1045" w:right="0" w:hanging="212"/>
        <w:jc w:val="left"/>
        <w:rPr>
          <w:sz w:val="21"/>
        </w:rPr>
      </w:pPr>
      <w:r>
        <w:rPr>
          <w:sz w:val="21"/>
        </w:rPr>
        <w:t>变更基金份额持有人大会程序；</w:t>
      </w:r>
    </w:p>
    <w:p>
      <w:pPr>
        <w:pStyle w:val="ListParagraph"/>
        <w:numPr>
          <w:ilvl w:val="0"/>
          <w:numId w:val="45"/>
        </w:numPr>
        <w:tabs>
          <w:tab w:pos="1045" w:val="left" w:leader="none"/>
        </w:tabs>
        <w:spacing w:line="364" w:lineRule="auto" w:before="139" w:after="0"/>
        <w:ind w:left="413" w:right="1451" w:firstLine="420"/>
        <w:jc w:val="left"/>
        <w:rPr>
          <w:sz w:val="21"/>
        </w:rPr>
      </w:pPr>
      <w:r>
        <w:rPr>
          <w:spacing w:val="-1"/>
          <w:sz w:val="21"/>
        </w:rPr>
        <w:t>基金管理人代表本基金的基金份额持有人提议召开或召集目标</w:t>
      </w:r>
      <w:r>
        <w:rPr>
          <w:sz w:val="21"/>
        </w:rPr>
        <w:t>ETF</w:t>
      </w:r>
      <w:r>
        <w:rPr>
          <w:spacing w:val="-2"/>
          <w:sz w:val="21"/>
        </w:rPr>
        <w:t>基金份额持有人大</w:t>
      </w:r>
      <w:r>
        <w:rPr>
          <w:sz w:val="21"/>
        </w:rPr>
        <w:t>会；</w:t>
      </w:r>
    </w:p>
    <w:p>
      <w:pPr>
        <w:spacing w:after="0" w:line="364" w:lineRule="auto"/>
        <w:jc w:val="left"/>
        <w:rPr>
          <w:sz w:val="21"/>
        </w:rPr>
        <w:sectPr>
          <w:pgSz w:w="11910" w:h="16840"/>
          <w:pgMar w:header="0" w:footer="1166" w:top="1600" w:bottom="1440" w:left="1400" w:right="360"/>
        </w:sectPr>
      </w:pPr>
    </w:p>
    <w:p>
      <w:pPr>
        <w:pStyle w:val="ListParagraph"/>
        <w:numPr>
          <w:ilvl w:val="0"/>
          <w:numId w:val="45"/>
        </w:numPr>
        <w:tabs>
          <w:tab w:pos="1045" w:val="left" w:leader="none"/>
        </w:tabs>
        <w:spacing w:line="240" w:lineRule="auto" w:before="104" w:after="0"/>
        <w:ind w:left="1045" w:right="0" w:hanging="212"/>
        <w:jc w:val="left"/>
        <w:rPr>
          <w:sz w:val="21"/>
        </w:rPr>
      </w:pPr>
      <w:r>
        <w:rPr>
          <w:sz w:val="21"/>
        </w:rPr>
        <w:t>更换基金管理人、基金托管人；</w:t>
      </w:r>
    </w:p>
    <w:p>
      <w:pPr>
        <w:pStyle w:val="ListParagraph"/>
        <w:numPr>
          <w:ilvl w:val="0"/>
          <w:numId w:val="45"/>
        </w:numPr>
        <w:tabs>
          <w:tab w:pos="1047" w:val="left" w:leader="none"/>
        </w:tabs>
        <w:spacing w:line="364" w:lineRule="auto" w:before="139" w:after="0"/>
        <w:ind w:left="413" w:right="1242" w:firstLine="420"/>
        <w:jc w:val="left"/>
        <w:rPr>
          <w:sz w:val="21"/>
        </w:rPr>
      </w:pPr>
      <w:r>
        <w:rPr>
          <w:sz w:val="21"/>
        </w:rPr>
        <w:t>提高基金管理人、基金托管人的报酬标准或提高销售服务费，但法律法规要求提高 该等报酬标准或提高销售服务费以及本基金合同第七章基金份额持有人大会（二）2.（10） 规定的情形的除外；</w:t>
      </w:r>
    </w:p>
    <w:p>
      <w:pPr>
        <w:pStyle w:val="ListParagraph"/>
        <w:numPr>
          <w:ilvl w:val="0"/>
          <w:numId w:val="45"/>
        </w:numPr>
        <w:tabs>
          <w:tab w:pos="1045" w:val="left" w:leader="none"/>
        </w:tabs>
        <w:spacing w:line="268" w:lineRule="exact" w:before="0" w:after="0"/>
        <w:ind w:left="1045" w:right="0" w:hanging="212"/>
        <w:jc w:val="left"/>
        <w:rPr>
          <w:sz w:val="21"/>
        </w:rPr>
      </w:pPr>
      <w:r>
        <w:rPr>
          <w:sz w:val="21"/>
        </w:rPr>
        <w:t>本基金与其他基金的合并；</w:t>
      </w:r>
    </w:p>
    <w:p>
      <w:pPr>
        <w:pStyle w:val="ListParagraph"/>
        <w:numPr>
          <w:ilvl w:val="0"/>
          <w:numId w:val="45"/>
        </w:numPr>
        <w:tabs>
          <w:tab w:pos="1150" w:val="left" w:leader="none"/>
        </w:tabs>
        <w:spacing w:line="240" w:lineRule="auto" w:before="140" w:after="0"/>
        <w:ind w:left="1150" w:right="0" w:hanging="317"/>
        <w:jc w:val="left"/>
        <w:rPr>
          <w:sz w:val="21"/>
        </w:rPr>
      </w:pPr>
      <w:r>
        <w:rPr>
          <w:sz w:val="21"/>
        </w:rPr>
        <w:t>对基金合同当事人权利、义务产生重大影响的其他事项；</w:t>
      </w:r>
    </w:p>
    <w:p>
      <w:pPr>
        <w:pStyle w:val="ListParagraph"/>
        <w:numPr>
          <w:ilvl w:val="0"/>
          <w:numId w:val="45"/>
        </w:numPr>
        <w:tabs>
          <w:tab w:pos="1150" w:val="left" w:leader="none"/>
        </w:tabs>
        <w:spacing w:line="240" w:lineRule="auto" w:before="139" w:after="0"/>
        <w:ind w:left="1150" w:right="0" w:hanging="317"/>
        <w:jc w:val="left"/>
        <w:rPr>
          <w:sz w:val="21"/>
        </w:rPr>
      </w:pPr>
      <w:r>
        <w:rPr>
          <w:sz w:val="21"/>
        </w:rPr>
        <w:t>法律法规、基金合同或中国证监会规定的其他情形。</w:t>
      </w:r>
    </w:p>
    <w:p>
      <w:pPr>
        <w:pStyle w:val="ListParagraph"/>
        <w:numPr>
          <w:ilvl w:val="0"/>
          <w:numId w:val="44"/>
        </w:numPr>
        <w:tabs>
          <w:tab w:pos="1150" w:val="left" w:leader="none"/>
        </w:tabs>
        <w:spacing w:line="364" w:lineRule="auto" w:before="140" w:after="0"/>
        <w:ind w:left="413" w:right="1451" w:firstLine="420"/>
        <w:jc w:val="left"/>
        <w:rPr>
          <w:sz w:val="21"/>
        </w:rPr>
      </w:pPr>
      <w:r>
        <w:rPr>
          <w:spacing w:val="-3"/>
          <w:sz w:val="21"/>
        </w:rPr>
        <w:t>出现以下情形之一的，可由基金管理人和基金托管人协商后修改基金合同，不需召</w:t>
      </w:r>
      <w:r>
        <w:rPr>
          <w:sz w:val="21"/>
        </w:rPr>
        <w:t>开基金份额持有人大会：</w:t>
      </w:r>
    </w:p>
    <w:p>
      <w:pPr>
        <w:pStyle w:val="ListParagraph"/>
        <w:numPr>
          <w:ilvl w:val="0"/>
          <w:numId w:val="46"/>
        </w:numPr>
        <w:tabs>
          <w:tab w:pos="1045" w:val="left" w:leader="none"/>
        </w:tabs>
        <w:spacing w:line="268" w:lineRule="exact" w:before="0" w:after="0"/>
        <w:ind w:left="1045" w:right="0" w:hanging="212"/>
        <w:jc w:val="left"/>
        <w:rPr>
          <w:sz w:val="21"/>
        </w:rPr>
      </w:pPr>
      <w:r>
        <w:rPr>
          <w:sz w:val="21"/>
        </w:rPr>
        <w:t>调低基金管理费、基金托管费、销售服务费和其他应由基金承担的费用；</w:t>
      </w:r>
    </w:p>
    <w:p>
      <w:pPr>
        <w:pStyle w:val="ListParagraph"/>
        <w:numPr>
          <w:ilvl w:val="0"/>
          <w:numId w:val="46"/>
        </w:numPr>
        <w:tabs>
          <w:tab w:pos="1047" w:val="left" w:leader="none"/>
        </w:tabs>
        <w:spacing w:line="364" w:lineRule="auto" w:before="139" w:after="0"/>
        <w:ind w:left="413" w:right="1452" w:firstLine="420"/>
        <w:jc w:val="left"/>
        <w:rPr>
          <w:sz w:val="21"/>
        </w:rPr>
      </w:pPr>
      <w:r>
        <w:rPr>
          <w:sz w:val="21"/>
        </w:rPr>
        <w:t>在法律法规和本基金合同规定的范围内调整基金份额类别设置，变更基金的申购费率、降低赎回费率或变更收费方式；</w:t>
      </w:r>
    </w:p>
    <w:p>
      <w:pPr>
        <w:pStyle w:val="ListParagraph"/>
        <w:numPr>
          <w:ilvl w:val="0"/>
          <w:numId w:val="46"/>
        </w:numPr>
        <w:tabs>
          <w:tab w:pos="1045" w:val="left" w:leader="none"/>
        </w:tabs>
        <w:spacing w:line="268" w:lineRule="exact" w:before="0" w:after="0"/>
        <w:ind w:left="1045" w:right="0" w:hanging="212"/>
        <w:jc w:val="left"/>
        <w:rPr>
          <w:sz w:val="21"/>
        </w:rPr>
      </w:pPr>
      <w:r>
        <w:rPr>
          <w:sz w:val="21"/>
        </w:rPr>
        <w:t>法律法规要求增加的费用的收取；</w:t>
      </w:r>
    </w:p>
    <w:p>
      <w:pPr>
        <w:pStyle w:val="ListParagraph"/>
        <w:numPr>
          <w:ilvl w:val="0"/>
          <w:numId w:val="46"/>
        </w:numPr>
        <w:tabs>
          <w:tab w:pos="1045" w:val="left" w:leader="none"/>
        </w:tabs>
        <w:spacing w:line="240" w:lineRule="auto" w:before="140" w:after="0"/>
        <w:ind w:left="1045" w:right="0" w:hanging="212"/>
        <w:jc w:val="left"/>
        <w:rPr>
          <w:sz w:val="21"/>
        </w:rPr>
      </w:pPr>
      <w:r>
        <w:rPr>
          <w:sz w:val="21"/>
        </w:rPr>
        <w:t>因相应的法律法规发生变动必须对基金合同进行修改；</w:t>
      </w:r>
    </w:p>
    <w:p>
      <w:pPr>
        <w:pStyle w:val="ListParagraph"/>
        <w:numPr>
          <w:ilvl w:val="0"/>
          <w:numId w:val="46"/>
        </w:numPr>
        <w:tabs>
          <w:tab w:pos="1045" w:val="left" w:leader="none"/>
        </w:tabs>
        <w:spacing w:line="240" w:lineRule="auto" w:before="139" w:after="0"/>
        <w:ind w:left="1045" w:right="0" w:hanging="212"/>
        <w:jc w:val="left"/>
        <w:rPr>
          <w:sz w:val="21"/>
        </w:rPr>
      </w:pPr>
      <w:r>
        <w:rPr>
          <w:sz w:val="21"/>
        </w:rPr>
        <w:t>对基金合同的修改不涉及本基金合同当事人权利义务关系发生变化；</w:t>
      </w:r>
    </w:p>
    <w:p>
      <w:pPr>
        <w:pStyle w:val="ListParagraph"/>
        <w:numPr>
          <w:ilvl w:val="0"/>
          <w:numId w:val="46"/>
        </w:numPr>
        <w:tabs>
          <w:tab w:pos="1045" w:val="left" w:leader="none"/>
        </w:tabs>
        <w:spacing w:line="240" w:lineRule="auto" w:before="139" w:after="0"/>
        <w:ind w:left="1045" w:right="0" w:hanging="212"/>
        <w:jc w:val="left"/>
        <w:rPr>
          <w:sz w:val="21"/>
        </w:rPr>
      </w:pPr>
      <w:r>
        <w:rPr>
          <w:sz w:val="21"/>
        </w:rPr>
        <w:t>基金合同的修改对基金份额持有人利益无实质性不利影响；</w:t>
      </w:r>
    </w:p>
    <w:p>
      <w:pPr>
        <w:pStyle w:val="ListParagraph"/>
        <w:numPr>
          <w:ilvl w:val="0"/>
          <w:numId w:val="46"/>
        </w:numPr>
        <w:tabs>
          <w:tab w:pos="1045" w:val="left" w:leader="none"/>
        </w:tabs>
        <w:spacing w:line="240" w:lineRule="auto" w:before="140" w:after="0"/>
        <w:ind w:left="1045" w:right="0" w:hanging="212"/>
        <w:jc w:val="left"/>
        <w:rPr>
          <w:sz w:val="21"/>
        </w:rPr>
      </w:pPr>
      <w:r>
        <w:rPr>
          <w:sz w:val="21"/>
        </w:rPr>
        <w:t>经中国证监会允许，基金推出新业务或服务；</w:t>
      </w:r>
    </w:p>
    <w:p>
      <w:pPr>
        <w:pStyle w:val="ListParagraph"/>
        <w:numPr>
          <w:ilvl w:val="0"/>
          <w:numId w:val="46"/>
        </w:numPr>
        <w:tabs>
          <w:tab w:pos="1047" w:val="left" w:leader="none"/>
        </w:tabs>
        <w:spacing w:line="364" w:lineRule="auto" w:before="139" w:after="0"/>
        <w:ind w:left="413" w:right="1452" w:firstLine="420"/>
        <w:jc w:val="both"/>
        <w:rPr>
          <w:sz w:val="21"/>
        </w:rPr>
      </w:pPr>
      <w:r>
        <w:rPr>
          <w:sz w:val="21"/>
        </w:rPr>
        <w:t>经中国证监会允许，基金管理人、基金注册登记机构、基金非直销销售机构在法律法规规定的范围内调整有关认购、申购、赎回、转换、基金交易、非交易过户、转托管等业务规则；</w:t>
      </w:r>
    </w:p>
    <w:p>
      <w:pPr>
        <w:pStyle w:val="ListParagraph"/>
        <w:numPr>
          <w:ilvl w:val="0"/>
          <w:numId w:val="46"/>
        </w:numPr>
        <w:tabs>
          <w:tab w:pos="1045" w:val="left" w:leader="none"/>
        </w:tabs>
        <w:spacing w:line="268" w:lineRule="exact" w:before="0" w:after="0"/>
        <w:ind w:left="1045" w:right="0" w:hanging="212"/>
        <w:jc w:val="left"/>
        <w:rPr>
          <w:sz w:val="21"/>
        </w:rPr>
      </w:pPr>
      <w:r>
        <w:rPr>
          <w:sz w:val="21"/>
        </w:rPr>
        <w:t>标的指数更名或调整指数编制方法，以及变更业绩比较基准；</w:t>
      </w:r>
    </w:p>
    <w:p>
      <w:pPr>
        <w:pStyle w:val="ListParagraph"/>
        <w:numPr>
          <w:ilvl w:val="0"/>
          <w:numId w:val="46"/>
        </w:numPr>
        <w:tabs>
          <w:tab w:pos="1150" w:val="left" w:leader="none"/>
        </w:tabs>
        <w:spacing w:line="240" w:lineRule="auto" w:before="140" w:after="0"/>
        <w:ind w:left="1150" w:right="0" w:hanging="317"/>
        <w:jc w:val="left"/>
        <w:rPr>
          <w:sz w:val="21"/>
        </w:rPr>
      </w:pPr>
      <w:r>
        <w:rPr>
          <w:sz w:val="21"/>
        </w:rPr>
        <w:t>在本基金合同规定的销售服务费率区间内调整销售服务费；</w:t>
      </w:r>
    </w:p>
    <w:p>
      <w:pPr>
        <w:pStyle w:val="ListParagraph"/>
        <w:numPr>
          <w:ilvl w:val="0"/>
          <w:numId w:val="46"/>
        </w:numPr>
        <w:tabs>
          <w:tab w:pos="1150" w:val="left" w:leader="none"/>
        </w:tabs>
        <w:spacing w:line="240" w:lineRule="auto" w:before="139" w:after="0"/>
        <w:ind w:left="1150" w:right="0" w:hanging="317"/>
        <w:jc w:val="left"/>
        <w:rPr>
          <w:sz w:val="21"/>
        </w:rPr>
      </w:pPr>
      <w:r>
        <w:rPr>
          <w:sz w:val="21"/>
        </w:rPr>
        <w:t>按照法律法规或本基金合同规定不需召开基金份额持有人大会的其他情形。</w:t>
      </w:r>
    </w:p>
    <w:p>
      <w:pPr>
        <w:pStyle w:val="BodyText"/>
        <w:spacing w:before="140"/>
        <w:ind w:left="833"/>
      </w:pPr>
      <w:r>
        <w:rPr/>
        <w:t>3、召集人和召集方式</w:t>
      </w:r>
    </w:p>
    <w:p>
      <w:pPr>
        <w:pStyle w:val="ListParagraph"/>
        <w:numPr>
          <w:ilvl w:val="0"/>
          <w:numId w:val="47"/>
        </w:numPr>
        <w:tabs>
          <w:tab w:pos="1150" w:val="left" w:leader="none"/>
        </w:tabs>
        <w:spacing w:line="364" w:lineRule="auto" w:before="139" w:after="0"/>
        <w:ind w:left="413" w:right="1451" w:firstLine="420"/>
        <w:jc w:val="left"/>
        <w:rPr>
          <w:sz w:val="21"/>
        </w:rPr>
      </w:pPr>
      <w:r>
        <w:rPr>
          <w:spacing w:val="-3"/>
          <w:sz w:val="21"/>
        </w:rPr>
        <w:t>除法律法规或本基金合同另有约定外，基金份额持有人大会由基金管理人召集。基</w:t>
      </w:r>
      <w:r>
        <w:rPr>
          <w:sz w:val="21"/>
        </w:rPr>
        <w:t>金管理人未按规定召集或者不能召集时，由基金托管人召集。</w:t>
      </w:r>
    </w:p>
    <w:p>
      <w:pPr>
        <w:pStyle w:val="ListParagraph"/>
        <w:numPr>
          <w:ilvl w:val="0"/>
          <w:numId w:val="47"/>
        </w:numPr>
        <w:tabs>
          <w:tab w:pos="1150" w:val="left" w:leader="none"/>
        </w:tabs>
        <w:spacing w:line="364" w:lineRule="auto" w:before="0" w:after="0"/>
        <w:ind w:left="413" w:right="1242" w:firstLine="420"/>
        <w:jc w:val="left"/>
        <w:rPr>
          <w:sz w:val="21"/>
        </w:rPr>
      </w:pPr>
      <w:r>
        <w:rPr>
          <w:spacing w:val="-1"/>
          <w:sz w:val="21"/>
        </w:rPr>
        <w:t>基金托管人认为有必要召开基金份额持有人大会的，应当向基金管理人提出书面提 议。基金管理人应当自收到书面提议之日起10日内决定是否召集，并书面告知基金托管人。基金管理人决定召集的，应当自出具书面决定之日起60日内召开；基金管理人决定不召集， </w:t>
      </w:r>
      <w:r>
        <w:rPr>
          <w:spacing w:val="-7"/>
          <w:sz w:val="21"/>
        </w:rPr>
        <w:t>基金托管人仍认为有必要召开的，应当由基金托管人自行召集，并自出具书面决定之日起</w:t>
      </w:r>
      <w:r>
        <w:rPr>
          <w:sz w:val="21"/>
        </w:rPr>
        <w:t>60 日内召开并告知基金管理人，基金管理人应当配合。</w:t>
      </w:r>
    </w:p>
    <w:p>
      <w:pPr>
        <w:pStyle w:val="ListParagraph"/>
        <w:numPr>
          <w:ilvl w:val="0"/>
          <w:numId w:val="47"/>
        </w:numPr>
        <w:tabs>
          <w:tab w:pos="1151" w:val="left" w:leader="none"/>
        </w:tabs>
        <w:spacing w:line="364" w:lineRule="auto" w:before="0" w:after="0"/>
        <w:ind w:left="413" w:right="1451" w:firstLine="420"/>
        <w:jc w:val="left"/>
        <w:rPr>
          <w:sz w:val="21"/>
        </w:rPr>
      </w:pPr>
      <w:r>
        <w:rPr>
          <w:spacing w:val="-5"/>
          <w:sz w:val="21"/>
        </w:rPr>
        <w:t>代表基金份额 </w:t>
      </w:r>
      <w:r>
        <w:rPr>
          <w:sz w:val="21"/>
        </w:rPr>
        <w:t>10</w:t>
      </w:r>
      <w:r>
        <w:rPr>
          <w:spacing w:val="-1"/>
          <w:sz w:val="21"/>
        </w:rPr>
        <w:t>%以上的基金份额持有人认为有必要召开基金份额持有人大会的， </w:t>
      </w:r>
      <w:r>
        <w:rPr>
          <w:spacing w:val="-4"/>
          <w:sz w:val="21"/>
        </w:rPr>
        <w:t>应当向基金管理人提出书面提议。基金管理人应当自收到书面提议之日起 </w:t>
      </w:r>
      <w:r>
        <w:rPr>
          <w:sz w:val="21"/>
        </w:rPr>
        <w:t>10</w:t>
      </w:r>
      <w:r>
        <w:rPr>
          <w:spacing w:val="-11"/>
          <w:sz w:val="21"/>
        </w:rPr>
        <w:t> 日内决定是否</w:t>
      </w:r>
    </w:p>
    <w:p>
      <w:pPr>
        <w:spacing w:after="0" w:line="364" w:lineRule="auto"/>
        <w:jc w:val="left"/>
        <w:rPr>
          <w:sz w:val="21"/>
        </w:rPr>
        <w:sectPr>
          <w:pgSz w:w="11910" w:h="16840"/>
          <w:pgMar w:header="0" w:footer="1166" w:top="1600" w:bottom="1440" w:left="1400" w:right="360"/>
        </w:sectPr>
      </w:pPr>
    </w:p>
    <w:p>
      <w:pPr>
        <w:pStyle w:val="BodyText"/>
        <w:spacing w:line="364" w:lineRule="auto" w:before="104"/>
        <w:ind w:left="413" w:right="1242"/>
      </w:pPr>
      <w:r>
        <w:rPr/>
        <w:t>召集，并书面告知提出提议的基金份额持有人代表和基金托管人。基金管理人决定召集的， </w:t>
      </w:r>
      <w:r>
        <w:rPr>
          <w:spacing w:val="-3"/>
        </w:rPr>
        <w:t>应当自出具书面决定之日起 </w:t>
      </w:r>
      <w:r>
        <w:rPr/>
        <w:t>60</w:t>
      </w:r>
      <w:r>
        <w:rPr>
          <w:spacing w:val="-8"/>
        </w:rPr>
        <w:t> 日内召开；基金管理人决定不召集，代表基金份额 </w:t>
      </w:r>
      <w:r>
        <w:rPr/>
        <w:t>10%以上的基金份额持有人仍认为有必要召开的，应当向基金托管人提出书面提议。基金托管人应 当</w:t>
      </w:r>
      <w:r>
        <w:rPr>
          <w:spacing w:val="-5"/>
        </w:rPr>
        <w:t>自收到书面提议之日起 </w:t>
      </w:r>
      <w:r>
        <w:rPr/>
        <w:t>10</w:t>
      </w:r>
      <w:r>
        <w:rPr>
          <w:spacing w:val="-9"/>
        </w:rPr>
        <w:t> 日内决定是否召集，并书面告知提出提议的基金份额持有人代表和</w:t>
      </w:r>
      <w:r>
        <w:rPr>
          <w:spacing w:val="-11"/>
        </w:rPr>
        <w:t>基金管理人；基金托管人决定召集的，应当自出具书面决定之日起 </w:t>
      </w:r>
      <w:r>
        <w:rPr/>
        <w:t>60</w:t>
      </w:r>
      <w:r>
        <w:rPr>
          <w:spacing w:val="-10"/>
        </w:rPr>
        <w:t> 日内召开。</w:t>
      </w:r>
    </w:p>
    <w:p>
      <w:pPr>
        <w:pStyle w:val="ListParagraph"/>
        <w:numPr>
          <w:ilvl w:val="0"/>
          <w:numId w:val="47"/>
        </w:numPr>
        <w:tabs>
          <w:tab w:pos="1151" w:val="left" w:leader="none"/>
        </w:tabs>
        <w:spacing w:line="364" w:lineRule="auto" w:before="0" w:after="0"/>
        <w:ind w:left="413" w:right="1242" w:firstLine="420"/>
        <w:jc w:val="left"/>
        <w:rPr>
          <w:sz w:val="21"/>
        </w:rPr>
      </w:pPr>
      <w:r>
        <w:rPr>
          <w:spacing w:val="-5"/>
          <w:sz w:val="21"/>
        </w:rPr>
        <w:t>代表基金份额 </w:t>
      </w:r>
      <w:r>
        <w:rPr>
          <w:sz w:val="21"/>
        </w:rPr>
        <w:t>10%以上的基金份额持有人就同一事项要求召开基金份额持有人大会， </w:t>
      </w:r>
      <w:r>
        <w:rPr>
          <w:spacing w:val="-9"/>
          <w:sz w:val="21"/>
        </w:rPr>
        <w:t>而基金管理人、基金托管人都不召集的，代表基金份额 </w:t>
      </w:r>
      <w:r>
        <w:rPr>
          <w:sz w:val="21"/>
        </w:rPr>
        <w:t>10%以上的基金份额持有人有权自行召</w:t>
      </w:r>
      <w:r>
        <w:rPr>
          <w:spacing w:val="-3"/>
          <w:sz w:val="21"/>
        </w:rPr>
        <w:t>集基金份额持有人大会，但应当至少提前 </w:t>
      </w:r>
      <w:r>
        <w:rPr>
          <w:sz w:val="21"/>
        </w:rPr>
        <w:t>30</w:t>
      </w:r>
      <w:r>
        <w:rPr>
          <w:spacing w:val="-8"/>
          <w:sz w:val="21"/>
        </w:rPr>
        <w:t> 日向中国证监会备案。</w:t>
      </w:r>
    </w:p>
    <w:p>
      <w:pPr>
        <w:pStyle w:val="ListParagraph"/>
        <w:numPr>
          <w:ilvl w:val="0"/>
          <w:numId w:val="47"/>
        </w:numPr>
        <w:tabs>
          <w:tab w:pos="1150" w:val="left" w:leader="none"/>
        </w:tabs>
        <w:spacing w:line="364" w:lineRule="auto" w:before="0" w:after="0"/>
        <w:ind w:left="413" w:right="1451" w:firstLine="420"/>
        <w:jc w:val="left"/>
        <w:rPr>
          <w:sz w:val="21"/>
        </w:rPr>
      </w:pPr>
      <w:r>
        <w:rPr>
          <w:spacing w:val="-3"/>
          <w:sz w:val="21"/>
        </w:rPr>
        <w:t>基金份额持有人依法自行召集基金份额持有人大会的，基金管理人、基金托管人应</w:t>
      </w:r>
      <w:r>
        <w:rPr>
          <w:sz w:val="21"/>
        </w:rPr>
        <w:t>当配合，不得阻碍、干扰。</w:t>
      </w:r>
    </w:p>
    <w:p>
      <w:pPr>
        <w:pStyle w:val="BodyText"/>
        <w:spacing w:line="268" w:lineRule="exact"/>
        <w:ind w:left="833"/>
      </w:pPr>
      <w:r>
        <w:rPr/>
        <w:t>4、召开基金份额持有人大会的通知时间、通知内容、通知方式</w:t>
      </w:r>
    </w:p>
    <w:p>
      <w:pPr>
        <w:pStyle w:val="ListParagraph"/>
        <w:numPr>
          <w:ilvl w:val="0"/>
          <w:numId w:val="48"/>
        </w:numPr>
        <w:tabs>
          <w:tab w:pos="1150" w:val="left" w:leader="none"/>
        </w:tabs>
        <w:spacing w:line="364" w:lineRule="auto" w:before="136" w:after="0"/>
        <w:ind w:left="413" w:right="1346" w:firstLine="420"/>
        <w:jc w:val="left"/>
        <w:rPr>
          <w:sz w:val="21"/>
        </w:rPr>
      </w:pPr>
      <w:r>
        <w:rPr>
          <w:spacing w:val="-8"/>
          <w:sz w:val="21"/>
        </w:rPr>
        <w:t>基金份额持有人大会的召集人(以下简称“召集人”)负责选择确定开会时间、地点、</w:t>
      </w:r>
      <w:r>
        <w:rPr>
          <w:sz w:val="21"/>
        </w:rPr>
        <w:t>方式和权益登记日。召开基金份额持有人大会，召集人必须于会议召开日前30日在指定媒介公告。基金份额持有人大会通知须至少载明以下内容：</w:t>
      </w:r>
    </w:p>
    <w:p>
      <w:pPr>
        <w:pStyle w:val="ListParagraph"/>
        <w:numPr>
          <w:ilvl w:val="0"/>
          <w:numId w:val="49"/>
        </w:numPr>
        <w:tabs>
          <w:tab w:pos="1045" w:val="left" w:leader="none"/>
        </w:tabs>
        <w:spacing w:line="268" w:lineRule="exact" w:before="0" w:after="0"/>
        <w:ind w:left="1045" w:right="0" w:hanging="212"/>
        <w:jc w:val="left"/>
        <w:rPr>
          <w:sz w:val="21"/>
        </w:rPr>
      </w:pPr>
      <w:r>
        <w:rPr>
          <w:sz w:val="21"/>
        </w:rPr>
        <w:t>会议召开的时间、地点和出席方式；</w:t>
      </w:r>
    </w:p>
    <w:p>
      <w:pPr>
        <w:pStyle w:val="ListParagraph"/>
        <w:numPr>
          <w:ilvl w:val="0"/>
          <w:numId w:val="49"/>
        </w:numPr>
        <w:tabs>
          <w:tab w:pos="1045" w:val="left" w:leader="none"/>
        </w:tabs>
        <w:spacing w:line="240" w:lineRule="auto" w:before="139" w:after="0"/>
        <w:ind w:left="1045" w:right="0" w:hanging="212"/>
        <w:jc w:val="left"/>
        <w:rPr>
          <w:sz w:val="21"/>
        </w:rPr>
      </w:pPr>
      <w:r>
        <w:rPr>
          <w:sz w:val="21"/>
        </w:rPr>
        <w:t>会议拟审议的主要事项；</w:t>
      </w:r>
    </w:p>
    <w:p>
      <w:pPr>
        <w:pStyle w:val="ListParagraph"/>
        <w:numPr>
          <w:ilvl w:val="0"/>
          <w:numId w:val="49"/>
        </w:numPr>
        <w:tabs>
          <w:tab w:pos="1045" w:val="left" w:leader="none"/>
        </w:tabs>
        <w:spacing w:line="240" w:lineRule="auto" w:before="139" w:after="0"/>
        <w:ind w:left="1045" w:right="0" w:hanging="212"/>
        <w:jc w:val="left"/>
        <w:rPr>
          <w:sz w:val="21"/>
        </w:rPr>
      </w:pPr>
      <w:r>
        <w:rPr>
          <w:sz w:val="21"/>
        </w:rPr>
        <w:t>会议形式；</w:t>
      </w:r>
    </w:p>
    <w:p>
      <w:pPr>
        <w:pStyle w:val="ListParagraph"/>
        <w:numPr>
          <w:ilvl w:val="0"/>
          <w:numId w:val="49"/>
        </w:numPr>
        <w:tabs>
          <w:tab w:pos="1045" w:val="left" w:leader="none"/>
        </w:tabs>
        <w:spacing w:line="240" w:lineRule="auto" w:before="140" w:after="0"/>
        <w:ind w:left="1045" w:right="0" w:hanging="212"/>
        <w:jc w:val="left"/>
        <w:rPr>
          <w:sz w:val="21"/>
        </w:rPr>
      </w:pPr>
      <w:r>
        <w:rPr>
          <w:sz w:val="21"/>
        </w:rPr>
        <w:t>议事程序；</w:t>
      </w:r>
    </w:p>
    <w:p>
      <w:pPr>
        <w:pStyle w:val="ListParagraph"/>
        <w:numPr>
          <w:ilvl w:val="0"/>
          <w:numId w:val="49"/>
        </w:numPr>
        <w:tabs>
          <w:tab w:pos="1045" w:val="left" w:leader="none"/>
        </w:tabs>
        <w:spacing w:line="240" w:lineRule="auto" w:before="139" w:after="0"/>
        <w:ind w:left="1045" w:right="0" w:hanging="212"/>
        <w:jc w:val="left"/>
        <w:rPr>
          <w:sz w:val="21"/>
        </w:rPr>
      </w:pPr>
      <w:r>
        <w:rPr>
          <w:sz w:val="21"/>
        </w:rPr>
        <w:t>有权出席基金份额持有人大会的基金份额持有人权益登记日；</w:t>
      </w:r>
    </w:p>
    <w:p>
      <w:pPr>
        <w:pStyle w:val="ListParagraph"/>
        <w:numPr>
          <w:ilvl w:val="0"/>
          <w:numId w:val="49"/>
        </w:numPr>
        <w:tabs>
          <w:tab w:pos="1045" w:val="left" w:leader="none"/>
        </w:tabs>
        <w:spacing w:line="364" w:lineRule="auto" w:before="140" w:after="0"/>
        <w:ind w:left="413" w:right="1451" w:firstLine="420"/>
        <w:jc w:val="left"/>
        <w:rPr>
          <w:sz w:val="21"/>
        </w:rPr>
      </w:pPr>
      <w:r>
        <w:rPr>
          <w:spacing w:val="-2"/>
          <w:sz w:val="21"/>
        </w:rPr>
        <w:t>代理投票的授权委托书的内容要求(包括但不限于代理人身份、代理权限和代理有效</w:t>
      </w:r>
      <w:r>
        <w:rPr>
          <w:sz w:val="21"/>
        </w:rPr>
        <w:t>期限等)、送达时间和地点；</w:t>
      </w:r>
    </w:p>
    <w:p>
      <w:pPr>
        <w:pStyle w:val="ListParagraph"/>
        <w:numPr>
          <w:ilvl w:val="0"/>
          <w:numId w:val="49"/>
        </w:numPr>
        <w:tabs>
          <w:tab w:pos="1045" w:val="left" w:leader="none"/>
        </w:tabs>
        <w:spacing w:line="268" w:lineRule="exact" w:before="0" w:after="0"/>
        <w:ind w:left="1045" w:right="0" w:hanging="212"/>
        <w:jc w:val="left"/>
        <w:rPr>
          <w:sz w:val="21"/>
        </w:rPr>
      </w:pPr>
      <w:r>
        <w:rPr>
          <w:sz w:val="21"/>
        </w:rPr>
        <w:t>表决方式；</w:t>
      </w:r>
    </w:p>
    <w:p>
      <w:pPr>
        <w:pStyle w:val="ListParagraph"/>
        <w:numPr>
          <w:ilvl w:val="0"/>
          <w:numId w:val="49"/>
        </w:numPr>
        <w:tabs>
          <w:tab w:pos="1045" w:val="left" w:leader="none"/>
        </w:tabs>
        <w:spacing w:line="240" w:lineRule="auto" w:before="139" w:after="0"/>
        <w:ind w:left="1045" w:right="0" w:hanging="212"/>
        <w:jc w:val="left"/>
        <w:rPr>
          <w:sz w:val="21"/>
        </w:rPr>
      </w:pPr>
      <w:r>
        <w:rPr>
          <w:sz w:val="21"/>
        </w:rPr>
        <w:t>会务常设联系人姓名、电话；</w:t>
      </w:r>
    </w:p>
    <w:p>
      <w:pPr>
        <w:pStyle w:val="ListParagraph"/>
        <w:numPr>
          <w:ilvl w:val="0"/>
          <w:numId w:val="49"/>
        </w:numPr>
        <w:tabs>
          <w:tab w:pos="1045" w:val="left" w:leader="none"/>
        </w:tabs>
        <w:spacing w:line="240" w:lineRule="auto" w:before="140" w:after="0"/>
        <w:ind w:left="1045" w:right="0" w:hanging="212"/>
        <w:jc w:val="left"/>
        <w:rPr>
          <w:sz w:val="21"/>
        </w:rPr>
      </w:pPr>
      <w:r>
        <w:rPr>
          <w:sz w:val="21"/>
        </w:rPr>
        <w:t>出席会议者必须准备的文件和必须履行的手续；</w:t>
      </w:r>
    </w:p>
    <w:p>
      <w:pPr>
        <w:pStyle w:val="ListParagraph"/>
        <w:numPr>
          <w:ilvl w:val="0"/>
          <w:numId w:val="49"/>
        </w:numPr>
        <w:tabs>
          <w:tab w:pos="1150" w:val="left" w:leader="none"/>
        </w:tabs>
        <w:spacing w:line="240" w:lineRule="auto" w:before="139" w:after="0"/>
        <w:ind w:left="1150" w:right="0" w:hanging="317"/>
        <w:jc w:val="left"/>
        <w:rPr>
          <w:sz w:val="21"/>
        </w:rPr>
      </w:pPr>
      <w:r>
        <w:rPr>
          <w:sz w:val="21"/>
        </w:rPr>
        <w:t>召集人需要通知的其他事项。</w:t>
      </w:r>
    </w:p>
    <w:p>
      <w:pPr>
        <w:pStyle w:val="ListParagraph"/>
        <w:numPr>
          <w:ilvl w:val="0"/>
          <w:numId w:val="48"/>
        </w:numPr>
        <w:tabs>
          <w:tab w:pos="1155" w:val="left" w:leader="none"/>
        </w:tabs>
        <w:spacing w:line="364" w:lineRule="auto" w:before="140" w:after="0"/>
        <w:ind w:left="413" w:right="1242" w:firstLine="420"/>
        <w:jc w:val="left"/>
        <w:rPr>
          <w:sz w:val="21"/>
        </w:rPr>
      </w:pPr>
      <w:r>
        <w:rPr>
          <w:spacing w:val="4"/>
          <w:sz w:val="21"/>
        </w:rPr>
        <w:t>采用通讯方式开会并进行表决的情况下，由召集人决定通讯方式和书面表决方式， 并在会议通知中说明本次基金份额持有人大会所采取的具体通讯方式、委托的公证机关及 其联系方式和联系人、书面表决意见寄交的截止时间和收取方式。</w:t>
      </w:r>
    </w:p>
    <w:p>
      <w:pPr>
        <w:pStyle w:val="ListParagraph"/>
        <w:numPr>
          <w:ilvl w:val="0"/>
          <w:numId w:val="48"/>
        </w:numPr>
        <w:tabs>
          <w:tab w:pos="1150" w:val="left" w:leader="none"/>
        </w:tabs>
        <w:spacing w:line="364" w:lineRule="auto" w:before="0" w:after="0"/>
        <w:ind w:left="413" w:right="1451" w:firstLine="420"/>
        <w:jc w:val="both"/>
        <w:rPr>
          <w:sz w:val="21"/>
        </w:rPr>
      </w:pPr>
      <w:r>
        <w:rPr>
          <w:spacing w:val="-3"/>
          <w:sz w:val="21"/>
        </w:rPr>
        <w:t>如召集人为基金管理人，还应另行书面通知基金托管人到指定地点对书面表决意见</w:t>
      </w:r>
      <w:r>
        <w:rPr>
          <w:sz w:val="21"/>
        </w:rPr>
        <w:t>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spacing w:after="0" w:line="364" w:lineRule="auto"/>
        <w:jc w:val="both"/>
        <w:rPr>
          <w:sz w:val="21"/>
        </w:rPr>
        <w:sectPr>
          <w:pgSz w:w="11910" w:h="16840"/>
          <w:pgMar w:header="0" w:footer="1166" w:top="1600" w:bottom="1440" w:left="1400" w:right="360"/>
        </w:sectPr>
      </w:pPr>
    </w:p>
    <w:p>
      <w:pPr>
        <w:pStyle w:val="BodyText"/>
        <w:spacing w:line="364" w:lineRule="auto" w:before="104"/>
        <w:ind w:left="833" w:right="6057"/>
      </w:pPr>
      <w:r>
        <w:rPr/>
        <w:t>5、基金份额持有人出席会议的方式(1)会议方式</w:t>
      </w:r>
    </w:p>
    <w:p>
      <w:pPr>
        <w:pStyle w:val="ListParagraph"/>
        <w:numPr>
          <w:ilvl w:val="0"/>
          <w:numId w:val="50"/>
        </w:numPr>
        <w:tabs>
          <w:tab w:pos="1047" w:val="left" w:leader="none"/>
        </w:tabs>
        <w:spacing w:line="364" w:lineRule="auto" w:before="0" w:after="0"/>
        <w:ind w:left="413" w:right="1452" w:firstLine="420"/>
        <w:jc w:val="left"/>
        <w:rPr>
          <w:sz w:val="21"/>
        </w:rPr>
      </w:pPr>
      <w:r>
        <w:rPr>
          <w:sz w:val="21"/>
        </w:rPr>
        <w:t>基金份额持有人大会的召开方式包括现场开会、通讯方式及法律法规、中国证监会允许的其他方式开会。</w:t>
      </w:r>
    </w:p>
    <w:p>
      <w:pPr>
        <w:pStyle w:val="ListParagraph"/>
        <w:numPr>
          <w:ilvl w:val="0"/>
          <w:numId w:val="50"/>
        </w:numPr>
        <w:tabs>
          <w:tab w:pos="1047" w:val="left" w:leader="none"/>
        </w:tabs>
        <w:spacing w:line="364" w:lineRule="auto" w:before="0" w:after="0"/>
        <w:ind w:left="413" w:right="1452" w:firstLine="420"/>
        <w:jc w:val="both"/>
        <w:rPr>
          <w:sz w:val="21"/>
        </w:rPr>
      </w:pPr>
      <w:r>
        <w:rPr>
          <w:sz w:val="21"/>
        </w:rPr>
        <w:t>现场开会由基金份额持有人本人出席或通过授权委托书委派其代理人出席，现场开会时基金管理人和基金托管人的授权代表应当出席，如基金管理人或基金托管人拒不派代表出席的，不影响表决效力。</w:t>
      </w:r>
    </w:p>
    <w:p>
      <w:pPr>
        <w:pStyle w:val="ListParagraph"/>
        <w:numPr>
          <w:ilvl w:val="0"/>
          <w:numId w:val="50"/>
        </w:numPr>
        <w:tabs>
          <w:tab w:pos="1047" w:val="left" w:leader="none"/>
        </w:tabs>
        <w:spacing w:line="364" w:lineRule="auto" w:before="0" w:after="0"/>
        <w:ind w:left="413" w:right="1452" w:firstLine="420"/>
        <w:jc w:val="both"/>
        <w:rPr>
          <w:sz w:val="21"/>
        </w:rPr>
      </w:pPr>
      <w:r>
        <w:rPr>
          <w:sz w:val="21"/>
        </w:rPr>
        <w:t>通讯方式开会指按照本基金合同的相关规定以召集人通知的非现场方式进行表决， 基金份额持有人将其对表决事项的投票以召集人通知的非现场方式在表决截止日以前提交至召集人指定的地址或系统。</w:t>
      </w:r>
    </w:p>
    <w:p>
      <w:pPr>
        <w:pStyle w:val="ListParagraph"/>
        <w:numPr>
          <w:ilvl w:val="0"/>
          <w:numId w:val="50"/>
        </w:numPr>
        <w:tabs>
          <w:tab w:pos="1047" w:val="left" w:leader="none"/>
        </w:tabs>
        <w:spacing w:line="364" w:lineRule="auto" w:before="0" w:after="0"/>
        <w:ind w:left="413" w:right="1452" w:firstLine="420"/>
        <w:jc w:val="both"/>
        <w:rPr>
          <w:sz w:val="21"/>
        </w:rPr>
      </w:pPr>
      <w:r>
        <w:rPr>
          <w:sz w:val="21"/>
        </w:rPr>
        <w:t>在法律法规或监管机构允许的情况下，经会议通知载明，基金份额持有人也可以采用网络、电话或其他方式进行表决，或者采用网络、电话或其他方式授权他人代为出席会议并表决。</w:t>
      </w:r>
    </w:p>
    <w:p>
      <w:pPr>
        <w:pStyle w:val="ListParagraph"/>
        <w:numPr>
          <w:ilvl w:val="0"/>
          <w:numId w:val="50"/>
        </w:numPr>
        <w:tabs>
          <w:tab w:pos="1045" w:val="left" w:leader="none"/>
        </w:tabs>
        <w:spacing w:line="364" w:lineRule="auto" w:before="0" w:after="0"/>
        <w:ind w:left="833" w:right="6057" w:firstLine="0"/>
        <w:jc w:val="left"/>
        <w:rPr>
          <w:sz w:val="21"/>
        </w:rPr>
      </w:pPr>
      <w:r>
        <w:rPr>
          <w:sz w:val="21"/>
        </w:rPr>
        <w:t>会议的召开方式由召集人确定。(2)</w:t>
      </w:r>
      <w:r>
        <w:rPr>
          <w:spacing w:val="-2"/>
          <w:sz w:val="21"/>
        </w:rPr>
        <w:t>召开基金份额持有人大会的条件</w:t>
      </w:r>
      <w:r>
        <w:rPr>
          <w:sz w:val="21"/>
        </w:rPr>
        <w:t>1)现场开会方式</w:t>
      </w:r>
    </w:p>
    <w:p>
      <w:pPr>
        <w:pStyle w:val="BodyText"/>
        <w:spacing w:line="268" w:lineRule="exact"/>
        <w:ind w:left="833"/>
      </w:pPr>
      <w:r>
        <w:rPr/>
        <w:t>在同时符合以下条件时，现场会议方可举行：</w:t>
      </w:r>
    </w:p>
    <w:p>
      <w:pPr>
        <w:pStyle w:val="BodyText"/>
        <w:spacing w:line="364" w:lineRule="auto" w:before="133"/>
        <w:ind w:left="413" w:right="1452" w:firstLine="420"/>
        <w:jc w:val="both"/>
      </w:pPr>
      <w:r>
        <w:rPr/>
        <w:t>①对到会者在权益登记日持有基金份额的统计显示，全部有效凭证所对应的基金份额应占权益登记日基金总份额的 50%以上(含 50%，下同)；</w:t>
      </w:r>
    </w:p>
    <w:p>
      <w:pPr>
        <w:pStyle w:val="BodyText"/>
        <w:spacing w:line="364" w:lineRule="auto"/>
        <w:ind w:left="413" w:right="1452" w:firstLine="420"/>
        <w:jc w:val="both"/>
      </w:pPr>
      <w:r>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pPr>
        <w:pStyle w:val="ListParagraph"/>
        <w:numPr>
          <w:ilvl w:val="0"/>
          <w:numId w:val="51"/>
        </w:numPr>
        <w:tabs>
          <w:tab w:pos="1045" w:val="left" w:leader="none"/>
        </w:tabs>
        <w:spacing w:line="267" w:lineRule="exact" w:before="0" w:after="0"/>
        <w:ind w:left="1045" w:right="0" w:hanging="212"/>
        <w:jc w:val="left"/>
        <w:rPr>
          <w:sz w:val="21"/>
        </w:rPr>
      </w:pPr>
      <w:r>
        <w:rPr>
          <w:sz w:val="21"/>
        </w:rPr>
        <w:t>通讯开会方式</w:t>
      </w:r>
    </w:p>
    <w:p>
      <w:pPr>
        <w:pStyle w:val="BodyText"/>
        <w:spacing w:before="139"/>
        <w:ind w:left="833"/>
      </w:pPr>
      <w:r>
        <w:rPr/>
        <w:t>在同时符合以下条件时，通讯会议方可举行：</w:t>
      </w:r>
    </w:p>
    <w:p>
      <w:pPr>
        <w:pStyle w:val="BodyText"/>
        <w:spacing w:line="364" w:lineRule="auto" w:before="139"/>
        <w:ind w:left="413" w:right="1407" w:firstLine="420"/>
      </w:pPr>
      <w:r>
        <w:rPr/>
        <w:t>①召集人按本基金合同规定公布会议通知后，在 2 个工作日内连续公布相关提示性公告；</w:t>
      </w:r>
    </w:p>
    <w:p>
      <w:pPr>
        <w:pStyle w:val="BodyText"/>
        <w:spacing w:line="364" w:lineRule="auto"/>
        <w:ind w:left="413" w:right="1227" w:firstLine="420"/>
      </w:pPr>
      <w:r>
        <w:rPr/>
        <w:t>②召集人按基金合同规定通知基金托管人或/和基金管理人(分别或共同称为“监督人”) 到指定地点对书面表决意见的计票进行监督；</w:t>
      </w:r>
    </w:p>
    <w:p>
      <w:pPr>
        <w:pStyle w:val="BodyText"/>
        <w:spacing w:line="364" w:lineRule="auto"/>
        <w:ind w:left="413" w:right="1452" w:firstLine="420"/>
        <w:jc w:val="both"/>
      </w:pPr>
      <w:r>
        <w:rPr/>
        <w:t>③召集人在监督人和公证机关的监督下按照会议通知规定的方式收取和统计基金份额持有人的书面表决意见，如基金管理人或基金托管人经通知拒不到场监督的，不影响表决效力；</w:t>
      </w:r>
    </w:p>
    <w:p>
      <w:pPr>
        <w:pStyle w:val="BodyText"/>
        <w:spacing w:line="268" w:lineRule="exact"/>
        <w:ind w:left="833"/>
      </w:pPr>
      <w:r>
        <w:rPr/>
        <w:t>④本人直接出具书面意见和授权他人代表出具书面意见的基金份额持有人所代表的基</w:t>
      </w:r>
    </w:p>
    <w:p>
      <w:pPr>
        <w:spacing w:after="0" w:line="268" w:lineRule="exact"/>
        <w:sectPr>
          <w:pgSz w:w="11910" w:h="16840"/>
          <w:pgMar w:header="0" w:footer="1166" w:top="1600" w:bottom="1440" w:left="1400" w:right="360"/>
        </w:sectPr>
      </w:pPr>
    </w:p>
    <w:p>
      <w:pPr>
        <w:pStyle w:val="BodyText"/>
        <w:spacing w:before="104"/>
        <w:ind w:left="413"/>
        <w:jc w:val="both"/>
      </w:pPr>
      <w:r>
        <w:rPr/>
        <w:t>金份额占权益登记日基金总份额的 50%以上；</w:t>
      </w:r>
    </w:p>
    <w:p>
      <w:pPr>
        <w:pStyle w:val="BodyText"/>
        <w:spacing w:line="364" w:lineRule="auto" w:before="139"/>
        <w:ind w:left="413" w:right="1452" w:firstLine="420"/>
        <w:jc w:val="both"/>
      </w:pPr>
      <w:r>
        <w:rPr/>
        <w:t>⑤直接出具书面意见的基金份额持有人或受托代表他人出具书面意见的代理人提交的持有基金份额的凭证、授权委托书等文件符合法律法规、基金合同和会议通知的规定，并与注册登记机构记录相符。</w:t>
      </w:r>
    </w:p>
    <w:p>
      <w:pPr>
        <w:pStyle w:val="ListParagraph"/>
        <w:numPr>
          <w:ilvl w:val="0"/>
          <w:numId w:val="51"/>
        </w:numPr>
        <w:tabs>
          <w:tab w:pos="1045" w:val="left" w:leader="none"/>
        </w:tabs>
        <w:spacing w:line="268" w:lineRule="exact" w:before="0" w:after="0"/>
        <w:ind w:left="1045" w:right="0" w:hanging="212"/>
        <w:jc w:val="left"/>
        <w:rPr>
          <w:sz w:val="21"/>
        </w:rPr>
      </w:pPr>
      <w:r>
        <w:rPr>
          <w:sz w:val="21"/>
        </w:rPr>
        <w:t>重新召集基金份额持有人大会的条件</w:t>
      </w:r>
    </w:p>
    <w:p>
      <w:pPr>
        <w:pStyle w:val="BodyText"/>
        <w:spacing w:line="364" w:lineRule="auto" w:before="140"/>
        <w:ind w:left="833" w:right="1452"/>
      </w:pPr>
      <w:r>
        <w:rPr/>
        <w:t>基金份额持有人大会应当有代表二分之一以上基金份额的持有人参加，方可召开。 参加基金份额持有人大会的持有人的基金份额低于上述规定比例的，召集人可以在原</w:t>
      </w:r>
    </w:p>
    <w:p>
      <w:pPr>
        <w:pStyle w:val="BodyText"/>
        <w:spacing w:line="364" w:lineRule="auto"/>
        <w:ind w:left="413" w:right="1452"/>
        <w:jc w:val="both"/>
      </w:pPr>
      <w:r>
        <w:rPr/>
        <w:t>公告的基金份额持有人大会召开时间的三个月以后、六个月以内，就原定审议事项重新召集基金份额持有人大会。重新召集的基金份额持有人大会应当有代表三分之一以上基金份额的持有人参加，方可召开。</w:t>
      </w:r>
    </w:p>
    <w:p>
      <w:pPr>
        <w:pStyle w:val="BodyText"/>
        <w:spacing w:line="364" w:lineRule="auto"/>
        <w:ind w:left="833" w:right="7317"/>
      </w:pPr>
      <w:r>
        <w:rPr/>
        <w:t>6、议事内容与程序(1)议事内容及提案权</w:t>
      </w:r>
    </w:p>
    <w:p>
      <w:pPr>
        <w:pStyle w:val="ListParagraph"/>
        <w:numPr>
          <w:ilvl w:val="0"/>
          <w:numId w:val="52"/>
        </w:numPr>
        <w:tabs>
          <w:tab w:pos="1045" w:val="left" w:leader="none"/>
        </w:tabs>
        <w:spacing w:line="268" w:lineRule="exact" w:before="0" w:after="0"/>
        <w:ind w:left="1045" w:right="0" w:hanging="212"/>
        <w:jc w:val="left"/>
        <w:rPr>
          <w:sz w:val="21"/>
        </w:rPr>
      </w:pPr>
      <w:r>
        <w:rPr>
          <w:sz w:val="21"/>
        </w:rPr>
        <w:t>议事内容为本基金合同规定的召开基金份额持有人大会事由所涉及的内容。</w:t>
      </w:r>
    </w:p>
    <w:p>
      <w:pPr>
        <w:pStyle w:val="ListParagraph"/>
        <w:numPr>
          <w:ilvl w:val="0"/>
          <w:numId w:val="52"/>
        </w:numPr>
        <w:tabs>
          <w:tab w:pos="1045" w:val="left" w:leader="none"/>
        </w:tabs>
        <w:spacing w:line="364" w:lineRule="auto" w:before="137" w:after="0"/>
        <w:ind w:left="413" w:right="1451" w:firstLine="420"/>
        <w:jc w:val="both"/>
        <w:rPr>
          <w:sz w:val="21"/>
        </w:rPr>
      </w:pPr>
      <w:r>
        <w:rPr>
          <w:spacing w:val="-3"/>
          <w:sz w:val="21"/>
        </w:rPr>
        <w:t>基金管理人、基金托管人、单独或合并持有权益登记日本基金总份额</w:t>
      </w:r>
      <w:r>
        <w:rPr>
          <w:sz w:val="21"/>
        </w:rPr>
        <w:t>10%</w:t>
      </w:r>
      <w:r>
        <w:rPr>
          <w:spacing w:val="-4"/>
          <w:sz w:val="21"/>
        </w:rPr>
        <w:t>以上的基金</w:t>
      </w:r>
      <w:r>
        <w:rPr>
          <w:sz w:val="21"/>
        </w:rPr>
        <w:t>份额持有人可以在大会召集人发出会议通知前就召开事由向大会召集人提交需由基金份额持有人大会审议表决的提案。</w:t>
      </w:r>
    </w:p>
    <w:p>
      <w:pPr>
        <w:pStyle w:val="ListParagraph"/>
        <w:numPr>
          <w:ilvl w:val="0"/>
          <w:numId w:val="52"/>
        </w:numPr>
        <w:tabs>
          <w:tab w:pos="1045" w:val="left" w:leader="none"/>
        </w:tabs>
        <w:spacing w:line="364" w:lineRule="auto" w:before="0" w:after="0"/>
        <w:ind w:left="833" w:right="1452" w:firstLine="0"/>
        <w:jc w:val="left"/>
        <w:rPr>
          <w:sz w:val="21"/>
        </w:rPr>
      </w:pPr>
      <w:r>
        <w:rPr>
          <w:sz w:val="21"/>
        </w:rPr>
        <w:t>对于基金份额持有人提交的提案，大会召集人应当按照以下原则对提案进行审核： 关联性。大会召集人对于基金份额持有人提案涉及事项与基金有直接关系，并且不超</w:t>
      </w:r>
    </w:p>
    <w:p>
      <w:pPr>
        <w:pStyle w:val="BodyText"/>
        <w:spacing w:line="364" w:lineRule="auto"/>
        <w:ind w:left="413" w:right="1452"/>
        <w:jc w:val="both"/>
      </w:pPr>
      <w:r>
        <w:rPr/>
        <w:t>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pStyle w:val="BodyText"/>
        <w:spacing w:line="364" w:lineRule="auto"/>
        <w:ind w:left="413" w:right="1452" w:firstLine="420"/>
        <w:jc w:val="both"/>
      </w:pPr>
      <w:r>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pPr>
        <w:pStyle w:val="ListParagraph"/>
        <w:numPr>
          <w:ilvl w:val="0"/>
          <w:numId w:val="52"/>
        </w:numPr>
        <w:tabs>
          <w:tab w:pos="1046" w:val="left" w:leader="none"/>
        </w:tabs>
        <w:spacing w:line="364" w:lineRule="auto" w:before="0" w:after="0"/>
        <w:ind w:left="413" w:right="1242" w:firstLine="420"/>
        <w:jc w:val="left"/>
        <w:rPr>
          <w:sz w:val="21"/>
        </w:rPr>
      </w:pPr>
      <w:r>
        <w:rPr>
          <w:spacing w:val="-1"/>
          <w:sz w:val="21"/>
        </w:rPr>
        <w:t>单独或合并持有权益登记日基金总份额 </w:t>
      </w:r>
      <w:r>
        <w:rPr>
          <w:sz w:val="21"/>
        </w:rPr>
        <w:t>10％以上的基金份额持有人提交基金份额持有人大会审议表决的提案，基金管理人或基金托管人提交基金份额持有人大会审议表决的 提案，未获基金份额持有人大会审议通过，就同一提案再次提请基金份额持有人大会审议， </w:t>
      </w:r>
      <w:r>
        <w:rPr>
          <w:spacing w:val="-6"/>
          <w:sz w:val="21"/>
        </w:rPr>
        <w:t>其时间间隔不少于 </w:t>
      </w:r>
      <w:r>
        <w:rPr>
          <w:sz w:val="21"/>
        </w:rPr>
        <w:t>6</w:t>
      </w:r>
      <w:r>
        <w:rPr>
          <w:spacing w:val="-8"/>
          <w:sz w:val="21"/>
        </w:rPr>
        <w:t> 个月。法律法规另有规定的除外。</w:t>
      </w:r>
    </w:p>
    <w:p>
      <w:pPr>
        <w:pStyle w:val="ListParagraph"/>
        <w:numPr>
          <w:ilvl w:val="0"/>
          <w:numId w:val="52"/>
        </w:numPr>
        <w:tabs>
          <w:tab w:pos="1047" w:val="left" w:leader="none"/>
        </w:tabs>
        <w:spacing w:line="364" w:lineRule="auto" w:before="0" w:after="0"/>
        <w:ind w:left="413" w:right="1451" w:firstLine="420"/>
        <w:jc w:val="both"/>
        <w:rPr>
          <w:sz w:val="21"/>
        </w:rPr>
      </w:pPr>
      <w:r>
        <w:rPr>
          <w:sz w:val="21"/>
        </w:rPr>
        <w:t>基金份额持有人大会的召集人发出召开会议的通知后，如果需要对原有提案进行修</w:t>
      </w:r>
      <w:r>
        <w:rPr>
          <w:spacing w:val="-5"/>
          <w:sz w:val="21"/>
        </w:rPr>
        <w:t>改，应当在基金份额持有人大会召开前 </w:t>
      </w:r>
      <w:r>
        <w:rPr>
          <w:sz w:val="21"/>
        </w:rPr>
        <w:t>30</w:t>
      </w:r>
      <w:r>
        <w:rPr>
          <w:spacing w:val="-9"/>
          <w:sz w:val="21"/>
        </w:rPr>
        <w:t> 日及时公告。否则，会议的召开日期应当顺延并</w:t>
      </w:r>
      <w:r>
        <w:rPr>
          <w:spacing w:val="-5"/>
          <w:sz w:val="21"/>
        </w:rPr>
        <w:t>保证至少与公告日期有 </w:t>
      </w:r>
      <w:r>
        <w:rPr>
          <w:sz w:val="21"/>
        </w:rPr>
        <w:t>30</w:t>
      </w:r>
      <w:r>
        <w:rPr>
          <w:spacing w:val="-9"/>
          <w:sz w:val="21"/>
        </w:rPr>
        <w:t> 日的间隔期。</w:t>
      </w:r>
    </w:p>
    <w:p>
      <w:pPr>
        <w:pStyle w:val="ListParagraph"/>
        <w:numPr>
          <w:ilvl w:val="0"/>
          <w:numId w:val="53"/>
        </w:numPr>
        <w:tabs>
          <w:tab w:pos="1150" w:val="left" w:leader="none"/>
        </w:tabs>
        <w:spacing w:line="268" w:lineRule="exact" w:before="0" w:after="0"/>
        <w:ind w:left="1150" w:right="0" w:hanging="317"/>
        <w:jc w:val="left"/>
        <w:rPr>
          <w:sz w:val="21"/>
        </w:rPr>
      </w:pPr>
      <w:r>
        <w:rPr>
          <w:sz w:val="21"/>
        </w:rPr>
        <w:t>议事程序</w:t>
      </w:r>
    </w:p>
    <w:p>
      <w:pPr>
        <w:spacing w:after="0" w:line="268" w:lineRule="exact"/>
        <w:jc w:val="left"/>
        <w:rPr>
          <w:sz w:val="21"/>
        </w:rPr>
        <w:sectPr>
          <w:pgSz w:w="11910" w:h="16840"/>
          <w:pgMar w:header="0" w:footer="1166" w:top="1600" w:bottom="1440" w:left="1400" w:right="360"/>
        </w:sectPr>
      </w:pPr>
    </w:p>
    <w:p>
      <w:pPr>
        <w:pStyle w:val="ListParagraph"/>
        <w:numPr>
          <w:ilvl w:val="0"/>
          <w:numId w:val="54"/>
        </w:numPr>
        <w:tabs>
          <w:tab w:pos="1045" w:val="left" w:leader="none"/>
        </w:tabs>
        <w:spacing w:line="240" w:lineRule="auto" w:before="104" w:after="0"/>
        <w:ind w:left="1045" w:right="0" w:hanging="212"/>
        <w:jc w:val="left"/>
        <w:rPr>
          <w:sz w:val="21"/>
        </w:rPr>
      </w:pPr>
      <w:r>
        <w:rPr>
          <w:sz w:val="21"/>
        </w:rPr>
        <w:t>现场开会</w:t>
      </w:r>
    </w:p>
    <w:p>
      <w:pPr>
        <w:pStyle w:val="BodyText"/>
        <w:spacing w:line="364" w:lineRule="auto" w:before="139"/>
        <w:ind w:left="413" w:right="1242" w:firstLine="420"/>
      </w:pPr>
      <w:r>
        <w:rPr/>
        <w:t>在现场开会的方式下，首先由大会主持人按照规定程序宣布会议议事程序及注意事项， 确定和公布监票人，然后由大会主持人宣读提案，经讨论后进行表决，经合法执业的律师 见证后形成大会决议。</w:t>
      </w:r>
    </w:p>
    <w:p>
      <w:pPr>
        <w:pStyle w:val="BodyText"/>
        <w:spacing w:line="364" w:lineRule="auto"/>
        <w:ind w:left="413" w:right="1451" w:firstLine="420"/>
        <w:jc w:val="both"/>
      </w:pPr>
      <w:r>
        <w:rPr/>
        <w:t>大会由召集人授权代表主持。基金管理人为召集人的，其授权代表未能主持大会的情况下，由基金托管人授权代表主持；如果基金管理人和基金托管人授权代表均未能主持大</w:t>
      </w:r>
      <w:r>
        <w:rPr>
          <w:spacing w:val="-11"/>
        </w:rPr>
        <w:t>会，则由出席大会的基金份额持有人和代理人以所代表的基金份额 </w:t>
      </w:r>
      <w:r>
        <w:rPr/>
        <w:t>50%</w:t>
      </w:r>
      <w:r>
        <w:rPr>
          <w:spacing w:val="-2"/>
        </w:rPr>
        <w:t>以上多数选举产生一</w:t>
      </w:r>
      <w:r>
        <w:rPr/>
        <w:t>名代表作为该次基金份额持有人大会的主持人。</w:t>
      </w:r>
    </w:p>
    <w:p>
      <w:pPr>
        <w:pStyle w:val="BodyText"/>
        <w:spacing w:line="364" w:lineRule="auto"/>
        <w:ind w:left="413" w:right="1242" w:firstLine="420"/>
      </w:pPr>
      <w:r>
        <w:rPr/>
        <w:t>召集人应当制作出席会议人员的签名册。签名册载明参加会议人员姓名(或单位名称)、身份证号码、持有或代表有表决权的基金份额数量、委托人姓名(或单位名称)等事项。</w:t>
      </w:r>
    </w:p>
    <w:p>
      <w:pPr>
        <w:pStyle w:val="ListParagraph"/>
        <w:numPr>
          <w:ilvl w:val="0"/>
          <w:numId w:val="54"/>
        </w:numPr>
        <w:tabs>
          <w:tab w:pos="1045" w:val="left" w:leader="none"/>
        </w:tabs>
        <w:spacing w:line="268" w:lineRule="exact" w:before="0" w:after="0"/>
        <w:ind w:left="1045" w:right="0" w:hanging="212"/>
        <w:jc w:val="left"/>
        <w:rPr>
          <w:sz w:val="21"/>
        </w:rPr>
      </w:pPr>
      <w:r>
        <w:rPr>
          <w:sz w:val="21"/>
        </w:rPr>
        <w:t>通讯方式开会</w:t>
      </w:r>
    </w:p>
    <w:p>
      <w:pPr>
        <w:pStyle w:val="BodyText"/>
        <w:spacing w:line="364" w:lineRule="auto" w:before="137"/>
        <w:ind w:left="413" w:right="1451" w:firstLine="420"/>
        <w:jc w:val="both"/>
      </w:pPr>
      <w:r>
        <w:rPr/>
        <w:t>在通讯表决开会的方式下，首先由召集人提前30日公布提案，在所通知的表决截止日期后第2</w:t>
      </w:r>
      <w:r>
        <w:rPr>
          <w:spacing w:val="-2"/>
        </w:rPr>
        <w:t>个工作日在公证机关及监督人的监督下由召集人统计全部有效表决并形成决议。如</w:t>
      </w:r>
      <w:r>
        <w:rPr/>
        <w:t>监督人经通知但拒绝到场监督，则在公证机关监督下形成的决议有效。</w:t>
      </w:r>
    </w:p>
    <w:p>
      <w:pPr>
        <w:pStyle w:val="ListParagraph"/>
        <w:numPr>
          <w:ilvl w:val="0"/>
          <w:numId w:val="53"/>
        </w:numPr>
        <w:tabs>
          <w:tab w:pos="1150" w:val="left" w:leader="none"/>
        </w:tabs>
        <w:spacing w:line="364" w:lineRule="auto" w:before="0" w:after="0"/>
        <w:ind w:left="833" w:right="3327" w:firstLine="0"/>
        <w:jc w:val="left"/>
        <w:rPr>
          <w:sz w:val="21"/>
        </w:rPr>
      </w:pPr>
      <w:r>
        <w:rPr>
          <w:spacing w:val="-1"/>
          <w:sz w:val="21"/>
        </w:rPr>
        <w:t>基金份额持有人大会不得对未事先公告的议事内容进行表决。</w:t>
      </w:r>
      <w:r>
        <w:rPr>
          <w:sz w:val="21"/>
        </w:rPr>
        <w:t>7、决议形成的条件、表决方式、程序</w:t>
      </w:r>
    </w:p>
    <w:p>
      <w:pPr>
        <w:pStyle w:val="ListParagraph"/>
        <w:numPr>
          <w:ilvl w:val="0"/>
          <w:numId w:val="55"/>
        </w:numPr>
        <w:tabs>
          <w:tab w:pos="1360" w:val="left" w:leader="none"/>
        </w:tabs>
        <w:spacing w:line="268" w:lineRule="exact" w:before="0" w:after="0"/>
        <w:ind w:left="1360" w:right="0" w:hanging="527"/>
        <w:jc w:val="left"/>
        <w:rPr>
          <w:sz w:val="21"/>
        </w:rPr>
      </w:pPr>
      <w:r>
        <w:rPr>
          <w:sz w:val="21"/>
        </w:rPr>
        <w:t>基金份额持有人所持每一基金份额享有平等的表决权。</w:t>
      </w:r>
    </w:p>
    <w:p>
      <w:pPr>
        <w:pStyle w:val="ListParagraph"/>
        <w:numPr>
          <w:ilvl w:val="0"/>
          <w:numId w:val="55"/>
        </w:numPr>
        <w:tabs>
          <w:tab w:pos="1360" w:val="left" w:leader="none"/>
        </w:tabs>
        <w:spacing w:line="240" w:lineRule="auto" w:before="138" w:after="0"/>
        <w:ind w:left="1360" w:right="0" w:hanging="527"/>
        <w:jc w:val="left"/>
        <w:rPr>
          <w:sz w:val="21"/>
        </w:rPr>
      </w:pPr>
      <w:r>
        <w:rPr>
          <w:sz w:val="21"/>
        </w:rPr>
        <w:t>基金份额持有人大会决议分为一般决议和特别决议：</w:t>
      </w:r>
    </w:p>
    <w:p>
      <w:pPr>
        <w:pStyle w:val="ListParagraph"/>
        <w:numPr>
          <w:ilvl w:val="0"/>
          <w:numId w:val="56"/>
        </w:numPr>
        <w:tabs>
          <w:tab w:pos="1045" w:val="left" w:leader="none"/>
        </w:tabs>
        <w:spacing w:line="240" w:lineRule="auto" w:before="139" w:after="0"/>
        <w:ind w:left="1045" w:right="0" w:hanging="212"/>
        <w:jc w:val="left"/>
        <w:rPr>
          <w:sz w:val="21"/>
        </w:rPr>
      </w:pPr>
      <w:r>
        <w:rPr>
          <w:sz w:val="21"/>
        </w:rPr>
        <w:t>一般决议</w:t>
      </w:r>
    </w:p>
    <w:p>
      <w:pPr>
        <w:pStyle w:val="BodyText"/>
        <w:spacing w:line="364" w:lineRule="auto" w:before="139"/>
        <w:ind w:left="413" w:right="1331" w:firstLine="420"/>
      </w:pPr>
      <w:r>
        <w:rPr/>
        <w:t>一般决议须经出席会议的基金份额持有人(或其代理人)所持表决权的50%以上通过方为有效，除下列2)所规定的须以特别决议通过事项以外的其他事项均以一般决议的方式通过；</w:t>
      </w:r>
    </w:p>
    <w:p>
      <w:pPr>
        <w:pStyle w:val="ListParagraph"/>
        <w:numPr>
          <w:ilvl w:val="0"/>
          <w:numId w:val="56"/>
        </w:numPr>
        <w:tabs>
          <w:tab w:pos="1045" w:val="left" w:leader="none"/>
        </w:tabs>
        <w:spacing w:line="268" w:lineRule="exact" w:before="0" w:after="0"/>
        <w:ind w:left="1045" w:right="0" w:hanging="212"/>
        <w:jc w:val="left"/>
        <w:rPr>
          <w:sz w:val="21"/>
        </w:rPr>
      </w:pPr>
      <w:r>
        <w:rPr>
          <w:sz w:val="21"/>
        </w:rPr>
        <w:t>特别决议</w:t>
      </w:r>
    </w:p>
    <w:p>
      <w:pPr>
        <w:pStyle w:val="BodyText"/>
        <w:spacing w:line="364" w:lineRule="auto" w:before="140"/>
        <w:ind w:left="413" w:right="1451" w:firstLine="420"/>
        <w:jc w:val="both"/>
      </w:pPr>
      <w:r>
        <w:rPr>
          <w:spacing w:val="-4"/>
        </w:rPr>
        <w:t>特别决议须经出席会议的基金份额持有人(或其代理人)所持表决权的三分之二以上(含</w:t>
      </w:r>
      <w:r>
        <w:rPr>
          <w:spacing w:val="-3"/>
        </w:rPr>
        <w:t>三分之二)通过方为有效；涉及更换基金管理人、更换基金托管人、转换基金运作方式、终</w:t>
      </w:r>
      <w:r>
        <w:rPr/>
        <w:t>止基金合同、与其他基金合并必须以特别决议通过方为有效。</w:t>
      </w:r>
    </w:p>
    <w:p>
      <w:pPr>
        <w:pStyle w:val="ListParagraph"/>
        <w:numPr>
          <w:ilvl w:val="0"/>
          <w:numId w:val="55"/>
        </w:numPr>
        <w:tabs>
          <w:tab w:pos="1360" w:val="left" w:leader="none"/>
        </w:tabs>
        <w:spacing w:line="268" w:lineRule="exact" w:before="0" w:after="0"/>
        <w:ind w:left="1360" w:right="0" w:hanging="527"/>
        <w:jc w:val="left"/>
        <w:rPr>
          <w:sz w:val="21"/>
        </w:rPr>
      </w:pPr>
      <w:r>
        <w:rPr>
          <w:sz w:val="21"/>
        </w:rPr>
        <w:t>基金份额持有人大会决定的事项，应当依法报中国证监会备案，并予以公告。</w:t>
      </w:r>
    </w:p>
    <w:p>
      <w:pPr>
        <w:pStyle w:val="ListParagraph"/>
        <w:numPr>
          <w:ilvl w:val="0"/>
          <w:numId w:val="55"/>
        </w:numPr>
        <w:tabs>
          <w:tab w:pos="1360" w:val="left" w:leader="none"/>
        </w:tabs>
        <w:spacing w:line="364" w:lineRule="auto" w:before="139" w:after="0"/>
        <w:ind w:left="413" w:right="1451" w:firstLine="420"/>
        <w:jc w:val="both"/>
        <w:rPr>
          <w:sz w:val="21"/>
        </w:rPr>
      </w:pPr>
      <w:r>
        <w:rPr>
          <w:spacing w:val="-3"/>
          <w:sz w:val="21"/>
        </w:rPr>
        <w:t>采取通讯方式进行表决时，除非在计票时有充分的相反证据证明，否则表面符合</w:t>
      </w:r>
      <w:r>
        <w:rPr>
          <w:sz w:val="21"/>
        </w:rPr>
        <w:t>法律法规和会议通知规定的书面表决意见即视为有效的表决，表决意见模糊不清或相互矛盾的视为弃权表决，但应当计入出具书面意见的基金份额持有人所代表的基金份额总数。</w:t>
      </w:r>
    </w:p>
    <w:p>
      <w:pPr>
        <w:pStyle w:val="ListParagraph"/>
        <w:numPr>
          <w:ilvl w:val="0"/>
          <w:numId w:val="55"/>
        </w:numPr>
        <w:tabs>
          <w:tab w:pos="1360" w:val="left" w:leader="none"/>
        </w:tabs>
        <w:spacing w:line="268" w:lineRule="exact" w:before="0" w:after="0"/>
        <w:ind w:left="1360" w:right="0" w:hanging="527"/>
        <w:jc w:val="left"/>
        <w:rPr>
          <w:sz w:val="21"/>
        </w:rPr>
      </w:pPr>
      <w:r>
        <w:rPr>
          <w:sz w:val="21"/>
        </w:rPr>
        <w:t>基金份额持有人大会采取记名方式进行投票表决。</w:t>
      </w:r>
    </w:p>
    <w:p>
      <w:pPr>
        <w:pStyle w:val="ListParagraph"/>
        <w:numPr>
          <w:ilvl w:val="0"/>
          <w:numId w:val="55"/>
        </w:numPr>
        <w:tabs>
          <w:tab w:pos="1375" w:val="left" w:leader="none"/>
        </w:tabs>
        <w:spacing w:line="364" w:lineRule="auto" w:before="140" w:after="0"/>
        <w:ind w:left="413" w:right="1242" w:firstLine="420"/>
        <w:jc w:val="left"/>
        <w:rPr>
          <w:sz w:val="21"/>
        </w:rPr>
      </w:pPr>
      <w:r>
        <w:rPr>
          <w:spacing w:val="4"/>
          <w:sz w:val="21"/>
        </w:rPr>
        <w:t>基金份额持有人大会的各项提案或同一项提案内并列的各项议题应当分开审议、逐项表决。</w:t>
      </w:r>
    </w:p>
    <w:p>
      <w:pPr>
        <w:pStyle w:val="BodyText"/>
        <w:spacing w:line="268" w:lineRule="exact"/>
        <w:ind w:left="833"/>
      </w:pPr>
      <w:r>
        <w:rPr/>
        <w:t>8、计票</w:t>
      </w:r>
    </w:p>
    <w:p>
      <w:pPr>
        <w:spacing w:after="0" w:line="268" w:lineRule="exact"/>
        <w:sectPr>
          <w:pgSz w:w="11910" w:h="16840"/>
          <w:pgMar w:header="0" w:footer="1166" w:top="1600" w:bottom="1440" w:left="1400" w:right="360"/>
        </w:sectPr>
      </w:pPr>
    </w:p>
    <w:p>
      <w:pPr>
        <w:pStyle w:val="ListParagraph"/>
        <w:numPr>
          <w:ilvl w:val="0"/>
          <w:numId w:val="57"/>
        </w:numPr>
        <w:tabs>
          <w:tab w:pos="1150" w:val="left" w:leader="none"/>
        </w:tabs>
        <w:spacing w:line="240" w:lineRule="auto" w:before="104" w:after="0"/>
        <w:ind w:left="1150" w:right="0" w:hanging="317"/>
        <w:jc w:val="left"/>
        <w:rPr>
          <w:sz w:val="21"/>
        </w:rPr>
      </w:pPr>
      <w:r>
        <w:rPr>
          <w:sz w:val="21"/>
        </w:rPr>
        <w:t>现场开会</w:t>
      </w:r>
    </w:p>
    <w:p>
      <w:pPr>
        <w:pStyle w:val="ListParagraph"/>
        <w:numPr>
          <w:ilvl w:val="0"/>
          <w:numId w:val="58"/>
        </w:numPr>
        <w:tabs>
          <w:tab w:pos="1047" w:val="left" w:leader="none"/>
        </w:tabs>
        <w:spacing w:line="364" w:lineRule="auto" w:before="139" w:after="0"/>
        <w:ind w:left="413" w:right="1452" w:firstLine="420"/>
        <w:jc w:val="both"/>
        <w:rPr>
          <w:sz w:val="21"/>
        </w:rPr>
      </w:pPr>
      <w:r>
        <w:rPr>
          <w:sz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pPr>
        <w:pStyle w:val="ListParagraph"/>
        <w:numPr>
          <w:ilvl w:val="0"/>
          <w:numId w:val="58"/>
        </w:numPr>
        <w:tabs>
          <w:tab w:pos="1047" w:val="left" w:leader="none"/>
        </w:tabs>
        <w:spacing w:line="364" w:lineRule="auto" w:before="0" w:after="0"/>
        <w:ind w:left="413" w:right="1452" w:firstLine="420"/>
        <w:jc w:val="left"/>
        <w:rPr>
          <w:sz w:val="21"/>
        </w:rPr>
      </w:pPr>
      <w:r>
        <w:rPr>
          <w:sz w:val="21"/>
        </w:rPr>
        <w:t>监票人应当在基金份额持有人表决后立即进行清点，由大会主持人当场公布计票结果。</w:t>
      </w:r>
    </w:p>
    <w:p>
      <w:pPr>
        <w:pStyle w:val="ListParagraph"/>
        <w:numPr>
          <w:ilvl w:val="0"/>
          <w:numId w:val="58"/>
        </w:numPr>
        <w:tabs>
          <w:tab w:pos="1047" w:val="left" w:leader="none"/>
        </w:tabs>
        <w:spacing w:line="364" w:lineRule="auto" w:before="0" w:after="0"/>
        <w:ind w:left="413" w:right="1452" w:firstLine="420"/>
        <w:jc w:val="both"/>
        <w:rPr>
          <w:sz w:val="21"/>
        </w:rPr>
      </w:pPr>
      <w:r>
        <w:rPr>
          <w:sz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pPr>
        <w:pStyle w:val="ListParagraph"/>
        <w:numPr>
          <w:ilvl w:val="0"/>
          <w:numId w:val="57"/>
        </w:numPr>
        <w:tabs>
          <w:tab w:pos="1150" w:val="left" w:leader="none"/>
        </w:tabs>
        <w:spacing w:line="267" w:lineRule="exact" w:before="0" w:after="0"/>
        <w:ind w:left="1150" w:right="0" w:hanging="317"/>
        <w:jc w:val="left"/>
        <w:rPr>
          <w:sz w:val="21"/>
        </w:rPr>
      </w:pPr>
      <w:r>
        <w:rPr>
          <w:sz w:val="21"/>
        </w:rPr>
        <w:t>通讯方式开会</w:t>
      </w:r>
    </w:p>
    <w:p>
      <w:pPr>
        <w:pStyle w:val="BodyText"/>
        <w:spacing w:line="364" w:lineRule="auto" w:before="136"/>
        <w:ind w:left="413" w:right="1452" w:firstLine="420"/>
        <w:jc w:val="both"/>
      </w:pPr>
      <w:r>
        <w:rPr/>
        <w:t>在通讯方式开会的情况下，计票方式为：由大会召集人授权的两名监票人在监督人派出的授权代表的监督下进行计票，并由公证机关对其计票过程予以公证；如监督人经通知</w:t>
      </w:r>
      <w:r>
        <w:rPr>
          <w:spacing w:val="-2"/>
        </w:rPr>
        <w:t>但拒绝到场监督，则大会召集人可自行授权 </w:t>
      </w:r>
      <w:r>
        <w:rPr/>
        <w:t>3</w:t>
      </w:r>
      <w:r>
        <w:rPr>
          <w:spacing w:val="-5"/>
        </w:rPr>
        <w:t> 名监票人进行计票，并由公证机关对其计票过程予以公证。</w:t>
      </w:r>
    </w:p>
    <w:p>
      <w:pPr>
        <w:pStyle w:val="BodyText"/>
        <w:spacing w:line="267" w:lineRule="exact"/>
        <w:ind w:left="833"/>
      </w:pPr>
      <w:r>
        <w:rPr/>
        <w:t>9、基金份额持有人大会决议报中国证监会备案后的公告时间、方式</w:t>
      </w:r>
    </w:p>
    <w:p>
      <w:pPr>
        <w:pStyle w:val="BodyText"/>
        <w:spacing w:before="139"/>
        <w:ind w:left="833"/>
      </w:pPr>
      <w:r>
        <w:rPr/>
        <w:t>(1)基金份额持有人大会通过的一般决议和特别决议，自表决通过之日生效。</w:t>
      </w:r>
    </w:p>
    <w:p>
      <w:pPr>
        <w:pStyle w:val="ListParagraph"/>
        <w:numPr>
          <w:ilvl w:val="0"/>
          <w:numId w:val="59"/>
        </w:numPr>
        <w:tabs>
          <w:tab w:pos="1360" w:val="left" w:leader="none"/>
        </w:tabs>
        <w:spacing w:line="240" w:lineRule="auto" w:before="139" w:after="0"/>
        <w:ind w:left="1360" w:right="0" w:hanging="527"/>
        <w:jc w:val="left"/>
        <w:rPr>
          <w:sz w:val="21"/>
        </w:rPr>
      </w:pPr>
      <w:r>
        <w:rPr>
          <w:spacing w:val="-1"/>
          <w:sz w:val="21"/>
        </w:rPr>
        <w:t>基金份额持有人大会的决议，召集人应当自通过之日起</w:t>
      </w:r>
      <w:r>
        <w:rPr>
          <w:sz w:val="21"/>
        </w:rPr>
        <w:t>5日内报中国证监会备案。</w:t>
      </w:r>
    </w:p>
    <w:p>
      <w:pPr>
        <w:pStyle w:val="ListParagraph"/>
        <w:numPr>
          <w:ilvl w:val="0"/>
          <w:numId w:val="59"/>
        </w:numPr>
        <w:tabs>
          <w:tab w:pos="1360" w:val="left" w:leader="none"/>
        </w:tabs>
        <w:spacing w:line="364" w:lineRule="auto" w:before="140" w:after="0"/>
        <w:ind w:left="413" w:right="1451" w:firstLine="420"/>
        <w:jc w:val="both"/>
        <w:rPr>
          <w:sz w:val="21"/>
        </w:rPr>
      </w:pPr>
      <w:r>
        <w:rPr>
          <w:spacing w:val="-3"/>
          <w:sz w:val="21"/>
        </w:rPr>
        <w:t>生效的基金份额持有人大会决议对全体基金份额持有人、基金管理人、基金托管</w:t>
      </w:r>
      <w:r>
        <w:rPr>
          <w:sz w:val="21"/>
        </w:rPr>
        <w:t>人均有约束力。基金管理人、基金托管人和基金份额持有人应当执行生效的基金份额持有人大会决议。</w:t>
      </w:r>
    </w:p>
    <w:p>
      <w:pPr>
        <w:pStyle w:val="BodyText"/>
        <w:spacing w:line="364" w:lineRule="auto"/>
        <w:ind w:left="413" w:right="1452" w:firstLine="420"/>
        <w:jc w:val="both"/>
      </w:pPr>
      <w:r>
        <w:rPr/>
        <w:t>（3）基金份额持有人大会决议应自生效之日起2日内在指定媒介公告。如果采用通讯方式进行表决，在公告基金份额持有人大会决议时，必须将公证书全文、公证机构、公证员姓名等一同公告。</w:t>
      </w:r>
    </w:p>
    <w:p>
      <w:pPr>
        <w:pStyle w:val="BodyText"/>
        <w:spacing w:line="364" w:lineRule="auto"/>
        <w:ind w:left="413" w:right="1452" w:firstLine="420"/>
        <w:jc w:val="both"/>
      </w:pPr>
      <w:r>
        <w:rPr/>
        <w:t>10、本部分关于基金份额持有人大会召开事由、召开条件、议事程序、表决条件等规定，凡是直接引用法律法规的部分，如将来法律法规修改导致相关内容被取消或变更的， 基金管理人提前公告后，可直接对本部分内容进行修改和调整，无需召开基金份额持有人大会审议。</w:t>
      </w:r>
    </w:p>
    <w:p>
      <w:pPr>
        <w:pStyle w:val="BodyText"/>
        <w:spacing w:line="267" w:lineRule="exact"/>
        <w:ind w:left="833"/>
      </w:pPr>
      <w:r>
        <w:rPr/>
        <w:t>（三）基金收益分配原则、执行方式</w:t>
      </w:r>
    </w:p>
    <w:p>
      <w:pPr>
        <w:spacing w:after="0" w:line="267" w:lineRule="exact"/>
        <w:sectPr>
          <w:pgSz w:w="11910" w:h="16840"/>
          <w:pgMar w:header="0" w:footer="1166" w:top="1600" w:bottom="1440" w:left="1400" w:right="360"/>
        </w:sectPr>
      </w:pPr>
    </w:p>
    <w:p>
      <w:pPr>
        <w:pStyle w:val="BodyText"/>
        <w:spacing w:before="104"/>
        <w:ind w:left="833"/>
      </w:pPr>
      <w:r>
        <w:rPr/>
        <w:t>1、收益分配原则</w:t>
      </w:r>
    </w:p>
    <w:p>
      <w:pPr>
        <w:pStyle w:val="ListParagraph"/>
        <w:numPr>
          <w:ilvl w:val="0"/>
          <w:numId w:val="60"/>
        </w:numPr>
        <w:tabs>
          <w:tab w:pos="1150" w:val="left" w:leader="none"/>
        </w:tabs>
        <w:spacing w:line="240" w:lineRule="auto" w:before="139" w:after="0"/>
        <w:ind w:left="1150" w:right="0" w:hanging="317"/>
        <w:jc w:val="left"/>
        <w:rPr>
          <w:sz w:val="21"/>
        </w:rPr>
      </w:pPr>
      <w:r>
        <w:rPr>
          <w:sz w:val="21"/>
        </w:rPr>
        <w:t>本基金的每份基金份额享有同等分配权；</w:t>
      </w:r>
    </w:p>
    <w:p>
      <w:pPr>
        <w:pStyle w:val="ListParagraph"/>
        <w:numPr>
          <w:ilvl w:val="0"/>
          <w:numId w:val="60"/>
        </w:numPr>
        <w:tabs>
          <w:tab w:pos="1150" w:val="left" w:leader="none"/>
        </w:tabs>
        <w:spacing w:line="364" w:lineRule="auto" w:before="140" w:after="0"/>
        <w:ind w:left="413" w:right="1451" w:firstLine="420"/>
        <w:jc w:val="both"/>
        <w:rPr>
          <w:sz w:val="21"/>
        </w:rPr>
      </w:pPr>
      <w:r>
        <w:rPr>
          <w:spacing w:val="-2"/>
          <w:sz w:val="21"/>
        </w:rPr>
        <w:t>收益分配时所发生的银行转账或其他手续费用由投资人自行承担。当投资人的现金</w:t>
      </w:r>
      <w:r>
        <w:rPr>
          <w:sz w:val="21"/>
        </w:rPr>
        <w:t>红利小于一定金额，不足以支付银行转账或其他手续费用时，基金注册登记机构可将投资人的现金红利自动转为基金份额；</w:t>
      </w:r>
    </w:p>
    <w:p>
      <w:pPr>
        <w:pStyle w:val="BodyText"/>
        <w:spacing w:line="364" w:lineRule="auto"/>
        <w:ind w:left="413" w:right="1451" w:firstLine="420"/>
        <w:jc w:val="both"/>
      </w:pPr>
      <w:r>
        <w:rPr/>
        <w:t>(3）</w:t>
      </w:r>
      <w:r>
        <w:rPr>
          <w:spacing w:val="-3"/>
        </w:rPr>
        <w:t>在符合有关基金分红条件的前提下，本基金收益每年最多分配 </w:t>
      </w:r>
      <w:r>
        <w:rPr/>
        <w:t>12</w:t>
      </w:r>
      <w:r>
        <w:rPr>
          <w:spacing w:val="-11"/>
        </w:rPr>
        <w:t> 次，每份基金份</w:t>
      </w:r>
      <w:r>
        <w:rPr>
          <w:spacing w:val="-2"/>
        </w:rPr>
        <w:t>额每次收益分配比例不低于收益分配基准日每份基金份额可供分配利润的 </w:t>
      </w:r>
      <w:r>
        <w:rPr/>
        <w:t>10%；</w:t>
      </w:r>
    </w:p>
    <w:p>
      <w:pPr>
        <w:pStyle w:val="ListParagraph"/>
        <w:numPr>
          <w:ilvl w:val="0"/>
          <w:numId w:val="61"/>
        </w:numPr>
        <w:tabs>
          <w:tab w:pos="1150" w:val="left" w:leader="none"/>
        </w:tabs>
        <w:spacing w:line="268" w:lineRule="exact" w:before="0" w:after="0"/>
        <w:ind w:left="1150" w:right="0" w:hanging="317"/>
        <w:jc w:val="both"/>
        <w:rPr>
          <w:sz w:val="21"/>
        </w:rPr>
      </w:pPr>
      <w:r>
        <w:rPr>
          <w:spacing w:val="-6"/>
          <w:sz w:val="21"/>
        </w:rPr>
        <w:t>若基金合同生效不满 </w:t>
      </w:r>
      <w:r>
        <w:rPr>
          <w:sz w:val="21"/>
        </w:rPr>
        <w:t>3</w:t>
      </w:r>
      <w:r>
        <w:rPr>
          <w:spacing w:val="-8"/>
          <w:sz w:val="21"/>
        </w:rPr>
        <w:t> 个月则可不进行收益分配；</w:t>
      </w:r>
    </w:p>
    <w:p>
      <w:pPr>
        <w:pStyle w:val="ListParagraph"/>
        <w:numPr>
          <w:ilvl w:val="0"/>
          <w:numId w:val="61"/>
        </w:numPr>
        <w:tabs>
          <w:tab w:pos="1150" w:val="left" w:leader="none"/>
        </w:tabs>
        <w:spacing w:line="364" w:lineRule="auto" w:before="138" w:after="0"/>
        <w:ind w:left="413" w:right="1451" w:firstLine="420"/>
        <w:jc w:val="both"/>
        <w:rPr>
          <w:sz w:val="21"/>
        </w:rPr>
      </w:pPr>
      <w:r>
        <w:rPr>
          <w:spacing w:val="-3"/>
          <w:sz w:val="21"/>
        </w:rPr>
        <w:t>本基金收益分配方式分为两种：现金分红与红利再投资，投资人可选择现金红利或</w:t>
      </w:r>
      <w:r>
        <w:rPr>
          <w:sz w:val="21"/>
        </w:rPr>
        <w:t>将现金红利自动转为基金份额进行再投资；若投资人不选择，本基金默认的收益分配方式是现金分红；</w:t>
      </w:r>
    </w:p>
    <w:p>
      <w:pPr>
        <w:pStyle w:val="ListParagraph"/>
        <w:numPr>
          <w:ilvl w:val="0"/>
          <w:numId w:val="61"/>
        </w:numPr>
        <w:tabs>
          <w:tab w:pos="1150" w:val="left" w:leader="none"/>
        </w:tabs>
        <w:spacing w:line="364" w:lineRule="auto" w:before="0" w:after="0"/>
        <w:ind w:left="413" w:right="1451" w:firstLine="420"/>
        <w:jc w:val="both"/>
        <w:rPr>
          <w:sz w:val="21"/>
        </w:rPr>
      </w:pPr>
      <w:r>
        <w:rPr>
          <w:spacing w:val="-1"/>
          <w:sz w:val="21"/>
        </w:rPr>
        <w:t>基金红利发放日距离收益分配基准日</w:t>
      </w:r>
      <w:r>
        <w:rPr>
          <w:sz w:val="21"/>
        </w:rPr>
        <w:t>（即可供分配利润计算截止日</w:t>
      </w:r>
      <w:r>
        <w:rPr>
          <w:spacing w:val="-8"/>
          <w:sz w:val="21"/>
        </w:rPr>
        <w:t>）</w:t>
      </w:r>
      <w:r>
        <w:rPr>
          <w:spacing w:val="-3"/>
          <w:sz w:val="21"/>
        </w:rPr>
        <w:t>的时间不得超</w:t>
      </w:r>
      <w:r>
        <w:rPr>
          <w:spacing w:val="-27"/>
          <w:sz w:val="21"/>
        </w:rPr>
        <w:t>过 </w:t>
      </w:r>
      <w:r>
        <w:rPr>
          <w:sz w:val="21"/>
        </w:rPr>
        <w:t>15</w:t>
      </w:r>
      <w:r>
        <w:rPr>
          <w:spacing w:val="-10"/>
          <w:sz w:val="21"/>
        </w:rPr>
        <w:t> 个工作日；</w:t>
      </w:r>
    </w:p>
    <w:p>
      <w:pPr>
        <w:pStyle w:val="ListParagraph"/>
        <w:numPr>
          <w:ilvl w:val="0"/>
          <w:numId w:val="61"/>
        </w:numPr>
        <w:tabs>
          <w:tab w:pos="1150" w:val="left" w:leader="none"/>
        </w:tabs>
        <w:spacing w:line="364" w:lineRule="auto" w:before="0" w:after="0"/>
        <w:ind w:left="413" w:right="1451" w:firstLine="420"/>
        <w:jc w:val="left"/>
        <w:rPr>
          <w:sz w:val="21"/>
        </w:rPr>
      </w:pPr>
      <w:r>
        <w:rPr>
          <w:spacing w:val="-2"/>
          <w:sz w:val="21"/>
        </w:rPr>
        <w:t>基金收益分配后每一基金份额净值不能低于面值，即基金收益分配基准日的基金份</w:t>
      </w:r>
      <w:r>
        <w:rPr>
          <w:sz w:val="21"/>
        </w:rPr>
        <w:t>额净值减去每单位基金份额收益分配金额后不能低于面值；</w:t>
      </w:r>
    </w:p>
    <w:p>
      <w:pPr>
        <w:pStyle w:val="ListParagraph"/>
        <w:numPr>
          <w:ilvl w:val="0"/>
          <w:numId w:val="61"/>
        </w:numPr>
        <w:tabs>
          <w:tab w:pos="1150" w:val="left" w:leader="none"/>
        </w:tabs>
        <w:spacing w:line="364" w:lineRule="auto" w:before="0" w:after="0"/>
        <w:ind w:left="833" w:right="5007" w:firstLine="0"/>
        <w:jc w:val="left"/>
        <w:rPr>
          <w:sz w:val="21"/>
        </w:rPr>
      </w:pPr>
      <w:r>
        <w:rPr>
          <w:spacing w:val="-1"/>
          <w:sz w:val="21"/>
        </w:rPr>
        <w:t>法律法规或监管机构另有规定的从其规定。</w:t>
      </w:r>
      <w:r>
        <w:rPr>
          <w:sz w:val="21"/>
        </w:rPr>
        <w:t>2、收益分配的时间和程序</w:t>
      </w:r>
    </w:p>
    <w:p>
      <w:pPr>
        <w:pStyle w:val="ListParagraph"/>
        <w:numPr>
          <w:ilvl w:val="0"/>
          <w:numId w:val="62"/>
        </w:numPr>
        <w:tabs>
          <w:tab w:pos="1360" w:val="left" w:leader="none"/>
        </w:tabs>
        <w:spacing w:line="364" w:lineRule="auto" w:before="0" w:after="0"/>
        <w:ind w:left="413" w:right="1346" w:firstLine="420"/>
        <w:jc w:val="left"/>
        <w:rPr>
          <w:sz w:val="21"/>
        </w:rPr>
      </w:pPr>
      <w:r>
        <w:rPr>
          <w:spacing w:val="-5"/>
          <w:sz w:val="21"/>
        </w:rPr>
        <w:t>基金收益分配方案由基金管理人拟订，由基金托管人复核，依照《信息披露办法</w:t>
      </w:r>
      <w:r>
        <w:rPr>
          <w:spacing w:val="-4"/>
          <w:sz w:val="21"/>
        </w:rPr>
        <w:t>》的有关规定在指定媒介上公告；</w:t>
      </w:r>
    </w:p>
    <w:p>
      <w:pPr>
        <w:pStyle w:val="ListParagraph"/>
        <w:numPr>
          <w:ilvl w:val="0"/>
          <w:numId w:val="62"/>
        </w:numPr>
        <w:tabs>
          <w:tab w:pos="1360" w:val="left" w:leader="none"/>
        </w:tabs>
        <w:spacing w:line="364" w:lineRule="auto" w:before="0" w:after="0"/>
        <w:ind w:left="413" w:right="1451" w:firstLine="420"/>
        <w:jc w:val="left"/>
        <w:rPr>
          <w:sz w:val="21"/>
        </w:rPr>
      </w:pPr>
      <w:r>
        <w:rPr>
          <w:spacing w:val="-2"/>
          <w:sz w:val="21"/>
        </w:rPr>
        <w:t>在收益分配方案公布后，基金管理人依据具体方案的规定就支付的现金红利向基</w:t>
      </w:r>
      <w:r>
        <w:rPr>
          <w:sz w:val="21"/>
        </w:rPr>
        <w:t>金托管人发送划款指令，基金托管人按照基金管理人的指令及时进行分红资金的划付。</w:t>
      </w:r>
    </w:p>
    <w:p>
      <w:pPr>
        <w:pStyle w:val="BodyText"/>
        <w:spacing w:line="268" w:lineRule="exact"/>
        <w:ind w:left="833"/>
      </w:pPr>
      <w:r>
        <w:rPr/>
        <w:t>（四）与基金财产管理、运用有关费用的提取、支付方式与比例</w:t>
      </w:r>
    </w:p>
    <w:p>
      <w:pPr>
        <w:pStyle w:val="BodyText"/>
        <w:spacing w:before="134"/>
        <w:ind w:left="833"/>
      </w:pPr>
      <w:r>
        <w:rPr/>
        <w:t>1、基金费用的种类</w:t>
      </w:r>
    </w:p>
    <w:p>
      <w:pPr>
        <w:pStyle w:val="BodyText"/>
        <w:spacing w:line="364" w:lineRule="auto" w:before="140"/>
        <w:ind w:left="833" w:right="6882"/>
      </w:pPr>
      <w:r>
        <w:rPr/>
        <w:t>(1)基金管理人的管理费； (2)基金托管人的托管费；</w:t>
      </w:r>
    </w:p>
    <w:p>
      <w:pPr>
        <w:pStyle w:val="ListParagraph"/>
        <w:numPr>
          <w:ilvl w:val="0"/>
          <w:numId w:val="63"/>
        </w:numPr>
        <w:tabs>
          <w:tab w:pos="1150" w:val="left" w:leader="none"/>
        </w:tabs>
        <w:spacing w:line="268" w:lineRule="exact" w:before="0" w:after="0"/>
        <w:ind w:left="1150" w:right="0" w:hanging="317"/>
        <w:jc w:val="left"/>
        <w:rPr>
          <w:sz w:val="21"/>
        </w:rPr>
      </w:pPr>
      <w:r>
        <w:rPr>
          <w:sz w:val="21"/>
        </w:rPr>
        <w:t>基金财产拨划支付的银行费用；</w:t>
      </w:r>
    </w:p>
    <w:p>
      <w:pPr>
        <w:pStyle w:val="ListParagraph"/>
        <w:numPr>
          <w:ilvl w:val="0"/>
          <w:numId w:val="63"/>
        </w:numPr>
        <w:tabs>
          <w:tab w:pos="1150" w:val="left" w:leader="none"/>
        </w:tabs>
        <w:spacing w:line="364" w:lineRule="auto" w:before="139" w:after="0"/>
        <w:ind w:left="833" w:right="5427" w:firstLine="0"/>
        <w:jc w:val="left"/>
        <w:rPr>
          <w:sz w:val="21"/>
        </w:rPr>
      </w:pPr>
      <w:r>
        <w:rPr>
          <w:spacing w:val="-2"/>
          <w:sz w:val="21"/>
        </w:rPr>
        <w:t>基金合同生效后的基金信息披露费用； </w:t>
      </w:r>
      <w:r>
        <w:rPr>
          <w:sz w:val="21"/>
        </w:rPr>
        <w:t>(5)基金份额持有人大会费用；</w:t>
      </w:r>
    </w:p>
    <w:p>
      <w:pPr>
        <w:pStyle w:val="BodyText"/>
        <w:spacing w:line="364" w:lineRule="auto"/>
        <w:ind w:left="833" w:right="4362"/>
      </w:pPr>
      <w:r>
        <w:rPr/>
        <w:t>(6)基金合同生效后与基金有关的会计师费和律师费； (7)基金的证券交易费用；</w:t>
      </w:r>
    </w:p>
    <w:p>
      <w:pPr>
        <w:pStyle w:val="BodyText"/>
        <w:spacing w:line="364" w:lineRule="auto"/>
        <w:ind w:left="833" w:right="7092"/>
      </w:pPr>
      <w:r>
        <w:rPr/>
        <w:t>(8)基金的指数使用费； (9)销售服务费；</w:t>
      </w:r>
    </w:p>
    <w:p>
      <w:pPr>
        <w:pStyle w:val="BodyText"/>
        <w:spacing w:line="268" w:lineRule="exact"/>
        <w:ind w:left="833"/>
      </w:pPr>
      <w:r>
        <w:rPr/>
        <w:t>(10)依法可以在基金财产中列支的其他费用。</w:t>
      </w:r>
    </w:p>
    <w:p>
      <w:pPr>
        <w:spacing w:after="0" w:line="268" w:lineRule="exact"/>
        <w:sectPr>
          <w:pgSz w:w="11910" w:h="16840"/>
          <w:pgMar w:header="0" w:footer="1166" w:top="1600" w:bottom="1440" w:left="1400" w:right="360"/>
        </w:sectPr>
      </w:pPr>
    </w:p>
    <w:p>
      <w:pPr>
        <w:pStyle w:val="BodyText"/>
        <w:spacing w:line="364" w:lineRule="auto" w:before="104"/>
        <w:ind w:left="413" w:right="1429" w:firstLine="420"/>
      </w:pPr>
      <w:r>
        <w:rPr/>
        <w:t>2、上述基金费用由基金管理人在法律规定的范围内参照公允的市场价格确定，法律法规另有规定时从其规定。</w:t>
      </w:r>
    </w:p>
    <w:p>
      <w:pPr>
        <w:pStyle w:val="BodyText"/>
        <w:spacing w:line="268" w:lineRule="exact"/>
        <w:ind w:left="833"/>
      </w:pPr>
      <w:r>
        <w:rPr/>
        <w:t>3、基金费用计提方法、计提标准和支付方式</w:t>
      </w:r>
    </w:p>
    <w:p>
      <w:pPr>
        <w:pStyle w:val="BodyText"/>
        <w:spacing w:line="364" w:lineRule="auto" w:before="139"/>
        <w:ind w:left="413" w:right="1200" w:firstLine="420"/>
      </w:pPr>
      <w:r>
        <w:rPr/>
        <w:t>由于本基金管理人和基金托管人同时为目标 ETF 的基金管理人与基金托管人，为避免重复收费，本基金管理人、基金托管人不对基金财产中投资于目标 ETF 的部分计提管理费、托管费。本基金制定了以下的收费标准。</w:t>
      </w:r>
    </w:p>
    <w:p>
      <w:pPr>
        <w:pStyle w:val="ListParagraph"/>
        <w:numPr>
          <w:ilvl w:val="0"/>
          <w:numId w:val="64"/>
        </w:numPr>
        <w:tabs>
          <w:tab w:pos="1360" w:val="left" w:leader="none"/>
        </w:tabs>
        <w:spacing w:line="268" w:lineRule="exact" w:before="0" w:after="0"/>
        <w:ind w:left="1360" w:right="0" w:hanging="527"/>
        <w:jc w:val="left"/>
        <w:rPr>
          <w:sz w:val="21"/>
        </w:rPr>
      </w:pPr>
      <w:r>
        <w:rPr>
          <w:sz w:val="21"/>
        </w:rPr>
        <w:t>基金管理人的管理费</w:t>
      </w:r>
    </w:p>
    <w:p>
      <w:pPr>
        <w:pStyle w:val="BodyText"/>
        <w:spacing w:line="364" w:lineRule="auto" w:before="140"/>
        <w:ind w:left="413" w:right="1451" w:firstLine="420"/>
      </w:pPr>
      <w:r>
        <w:rPr>
          <w:spacing w:val="-3"/>
        </w:rPr>
        <w:t>本基金管理费按前一日基金资产净值扣除前一日所持有目标 </w:t>
      </w:r>
      <w:r>
        <w:rPr/>
        <w:t>ETF</w:t>
      </w:r>
      <w:r>
        <w:rPr>
          <w:spacing w:val="-20"/>
        </w:rPr>
        <w:t> 公允价值后的余额</w:t>
      </w:r>
      <w:r>
        <w:rPr/>
        <w:t>（</w:t>
      </w:r>
      <w:r>
        <w:rPr>
          <w:spacing w:val="-15"/>
        </w:rPr>
        <w:t>若</w:t>
      </w:r>
      <w:r>
        <w:rPr>
          <w:spacing w:val="-8"/>
        </w:rPr>
        <w:t>为负数，则取 </w:t>
      </w:r>
      <w:r>
        <w:rPr/>
        <w:t>0）</w:t>
      </w:r>
      <w:r>
        <w:rPr>
          <w:spacing w:val="-27"/>
        </w:rPr>
        <w:t>的 </w:t>
      </w:r>
      <w:r>
        <w:rPr/>
        <w:t>0.15%年费率计提。管理费的计算方法如下：</w:t>
      </w:r>
    </w:p>
    <w:p>
      <w:pPr>
        <w:pStyle w:val="BodyText"/>
        <w:spacing w:line="268" w:lineRule="exact"/>
        <w:ind w:left="833"/>
      </w:pPr>
      <w:r>
        <w:rPr/>
        <w:t>H＝E×0.15%÷当年天数</w:t>
      </w:r>
    </w:p>
    <w:p>
      <w:pPr>
        <w:pStyle w:val="BodyText"/>
        <w:spacing w:before="139"/>
        <w:ind w:left="833"/>
      </w:pPr>
      <w:r>
        <w:rPr/>
        <w:t>H 为每日应计提的基金管理费</w:t>
      </w:r>
    </w:p>
    <w:p>
      <w:pPr>
        <w:pStyle w:val="BodyText"/>
        <w:spacing w:line="364" w:lineRule="auto" w:before="140"/>
        <w:ind w:left="413" w:right="1452" w:firstLine="420"/>
      </w:pPr>
      <w:r>
        <w:rPr/>
        <w:t>E</w:t>
      </w:r>
      <w:r>
        <w:rPr>
          <w:spacing w:val="-7"/>
        </w:rPr>
        <w:t> 为前一日基金资产净值扣除前一日所持有目标 </w:t>
      </w:r>
      <w:r>
        <w:rPr/>
        <w:t>ETF</w:t>
      </w:r>
      <w:r>
        <w:rPr>
          <w:spacing w:val="-5"/>
        </w:rPr>
        <w:t> 公允价值后的余额，若为负数， </w:t>
      </w:r>
      <w:r>
        <w:rPr>
          <w:spacing w:val="-27"/>
        </w:rPr>
        <w:t>则 </w:t>
      </w:r>
      <w:r>
        <w:rPr/>
        <w:t>E</w:t>
      </w:r>
      <w:r>
        <w:rPr>
          <w:spacing w:val="-36"/>
        </w:rPr>
        <w:t> 取 </w:t>
      </w:r>
      <w:r>
        <w:rPr/>
        <w:t>0。</w:t>
      </w:r>
    </w:p>
    <w:p>
      <w:pPr>
        <w:pStyle w:val="BodyText"/>
        <w:spacing w:line="364" w:lineRule="auto"/>
        <w:ind w:left="413" w:right="1242" w:firstLine="420"/>
      </w:pPr>
      <w:r>
        <w:rPr/>
        <w:t>基金管理人的管理费每日计提，按月支付。由基金托管人根据与基金管理人核对一致 的财务数据，自动在月初五个工作日内、按照指定的帐户路径进行资金支付，基金管理人 无需再出具资金划拨指令。若遇法定节假日、休息日等，支付日期顺延。费用自动扣划后， 基金管理人如发现数据不符，及时联系基金托管人协商解决。</w:t>
      </w:r>
    </w:p>
    <w:p>
      <w:pPr>
        <w:pStyle w:val="ListParagraph"/>
        <w:numPr>
          <w:ilvl w:val="0"/>
          <w:numId w:val="64"/>
        </w:numPr>
        <w:tabs>
          <w:tab w:pos="1360" w:val="left" w:leader="none"/>
        </w:tabs>
        <w:spacing w:line="267" w:lineRule="exact" w:before="0" w:after="0"/>
        <w:ind w:left="1360" w:right="0" w:hanging="527"/>
        <w:jc w:val="left"/>
        <w:rPr>
          <w:sz w:val="21"/>
        </w:rPr>
      </w:pPr>
      <w:r>
        <w:rPr>
          <w:sz w:val="21"/>
        </w:rPr>
        <w:t>基金托管人的托管费</w:t>
      </w:r>
    </w:p>
    <w:p>
      <w:pPr>
        <w:pStyle w:val="BodyText"/>
        <w:spacing w:line="364" w:lineRule="auto" w:before="138"/>
        <w:ind w:left="413" w:right="1451" w:firstLine="420"/>
      </w:pPr>
      <w:r>
        <w:rPr>
          <w:spacing w:val="-3"/>
        </w:rPr>
        <w:t>本基金托管费按前一日基金资产净值扣除前一日所持有目标 </w:t>
      </w:r>
      <w:r>
        <w:rPr/>
        <w:t>ETF</w:t>
      </w:r>
      <w:r>
        <w:rPr>
          <w:spacing w:val="-20"/>
        </w:rPr>
        <w:t> 公允价值后的余额</w:t>
      </w:r>
      <w:r>
        <w:rPr/>
        <w:t>（</w:t>
      </w:r>
      <w:r>
        <w:rPr>
          <w:spacing w:val="-15"/>
        </w:rPr>
        <w:t>若</w:t>
      </w:r>
      <w:r>
        <w:rPr>
          <w:spacing w:val="-8"/>
        </w:rPr>
        <w:t>为负数，则取 </w:t>
      </w:r>
      <w:r>
        <w:rPr/>
        <w:t>0）</w:t>
      </w:r>
      <w:r>
        <w:rPr>
          <w:spacing w:val="-27"/>
        </w:rPr>
        <w:t>的 </w:t>
      </w:r>
      <w:r>
        <w:rPr/>
        <w:t>0.05%年费率计提。托管费的计算方法如下：</w:t>
      </w:r>
    </w:p>
    <w:p>
      <w:pPr>
        <w:pStyle w:val="BodyText"/>
        <w:spacing w:line="268" w:lineRule="exact"/>
        <w:ind w:left="833"/>
      </w:pPr>
      <w:r>
        <w:rPr/>
        <w:t>H＝E×0.05%÷当年天数</w:t>
      </w:r>
    </w:p>
    <w:p>
      <w:pPr>
        <w:pStyle w:val="BodyText"/>
        <w:spacing w:before="140"/>
        <w:ind w:left="833"/>
      </w:pPr>
      <w:r>
        <w:rPr/>
        <w:t>H 为每日应计提的基金托管费</w:t>
      </w:r>
    </w:p>
    <w:p>
      <w:pPr>
        <w:pStyle w:val="BodyText"/>
        <w:spacing w:line="364" w:lineRule="auto" w:before="139"/>
        <w:ind w:left="413" w:right="1452" w:firstLine="420"/>
        <w:jc w:val="both"/>
      </w:pPr>
      <w:r>
        <w:rPr/>
        <w:t>E</w:t>
      </w:r>
      <w:r>
        <w:rPr>
          <w:spacing w:val="-7"/>
        </w:rPr>
        <w:t> 为前一日基金资产净值扣除前一日所持有目标 </w:t>
      </w:r>
      <w:r>
        <w:rPr/>
        <w:t>ETF</w:t>
      </w:r>
      <w:r>
        <w:rPr>
          <w:spacing w:val="-5"/>
        </w:rPr>
        <w:t> 公允价值后的余额，若为负数， </w:t>
      </w:r>
      <w:r>
        <w:rPr>
          <w:spacing w:val="-27"/>
        </w:rPr>
        <w:t>则 </w:t>
      </w:r>
      <w:r>
        <w:rPr/>
        <w:t>E</w:t>
      </w:r>
      <w:r>
        <w:rPr>
          <w:spacing w:val="-36"/>
        </w:rPr>
        <w:t> 取 </w:t>
      </w:r>
      <w:r>
        <w:rPr/>
        <w:t>0。</w:t>
      </w:r>
    </w:p>
    <w:p>
      <w:pPr>
        <w:pStyle w:val="BodyText"/>
        <w:spacing w:line="364" w:lineRule="auto"/>
        <w:ind w:left="413" w:right="1452" w:firstLine="420"/>
        <w:jc w:val="both"/>
      </w:pPr>
      <w:r>
        <w:rPr/>
        <w:t>基金托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如发现数据不符，及时联系基金托管人协商解决。</w:t>
      </w:r>
    </w:p>
    <w:p>
      <w:pPr>
        <w:pStyle w:val="BodyText"/>
        <w:spacing w:line="267" w:lineRule="exact"/>
        <w:ind w:left="833"/>
      </w:pPr>
      <w:r>
        <w:rPr/>
        <w:t>(3)基金的指数使用费</w:t>
      </w:r>
    </w:p>
    <w:p>
      <w:pPr>
        <w:pStyle w:val="BodyText"/>
        <w:spacing w:line="364" w:lineRule="auto" w:before="139"/>
        <w:ind w:left="413" w:right="1451" w:firstLine="420"/>
        <w:jc w:val="both"/>
      </w:pPr>
      <w:r>
        <w:rPr>
          <w:spacing w:val="-2"/>
        </w:rPr>
        <w:t>根据本基金管理人与沪深 </w:t>
      </w:r>
      <w:r>
        <w:rPr/>
        <w:t>300</w:t>
      </w:r>
      <w:r>
        <w:rPr>
          <w:spacing w:val="-5"/>
        </w:rPr>
        <w:t> 指数所有人中证指数有限公司签署的指数使用许可协议的约定，因本基金为指数基金变更而来，自基金合同生效之日起，至本基金资产中投资于</w:t>
      </w:r>
      <w:r>
        <w:rPr>
          <w:spacing w:val="-21"/>
        </w:rPr>
        <w:t>目标 </w:t>
      </w:r>
      <w:r>
        <w:rPr/>
        <w:t>ETF</w:t>
      </w:r>
      <w:r>
        <w:rPr>
          <w:spacing w:val="-11"/>
        </w:rPr>
        <w:t> 的比例不低于基金资产净值的 </w:t>
      </w:r>
      <w:r>
        <w:rPr/>
        <w:t>90%</w:t>
      </w:r>
      <w:r>
        <w:rPr>
          <w:spacing w:val="-10"/>
        </w:rPr>
        <w:t>之日止，中证指数有限公司就联接基金收取指数</w:t>
      </w:r>
      <w:r>
        <w:rPr>
          <w:spacing w:val="-7"/>
        </w:rPr>
        <w:t>许可使用费。该指数许可使用费按联接基金当日持有的股票资产总市值的万分之二</w:t>
      </w:r>
      <w:r>
        <w:rPr/>
        <w:t>（2</w:t>
      </w:r>
      <w:r>
        <w:rPr>
          <w:spacing w:val="-23"/>
        </w:rPr>
        <w:t> 个基</w:t>
      </w:r>
    </w:p>
    <w:p>
      <w:pPr>
        <w:spacing w:after="0" w:line="364" w:lineRule="auto"/>
        <w:jc w:val="both"/>
        <w:sectPr>
          <w:pgSz w:w="11910" w:h="16840"/>
          <w:pgMar w:header="0" w:footer="1166" w:top="1600" w:bottom="1440" w:left="1400" w:right="360"/>
        </w:sectPr>
      </w:pPr>
    </w:p>
    <w:p>
      <w:pPr>
        <w:pStyle w:val="BodyText"/>
        <w:spacing w:line="364" w:lineRule="auto" w:before="104"/>
        <w:ind w:left="413" w:right="1406"/>
      </w:pPr>
      <w:r>
        <w:rPr/>
        <w:t>点）的年费率计提，每日计算，逐日累计。联接基金达到联接基金合同所规定的 ETF 投资比例下限之日起，不再对联接基金收取指数许可使用费。指数使用费的计算方法如下：</w:t>
      </w:r>
    </w:p>
    <w:p>
      <w:pPr>
        <w:pStyle w:val="BodyText"/>
        <w:spacing w:line="364" w:lineRule="auto"/>
        <w:ind w:left="833" w:right="6843"/>
      </w:pPr>
      <w:r>
        <w:rPr/>
        <w:t>H=E×万分之二/当年天数 H</w:t>
      </w:r>
      <w:r>
        <w:rPr>
          <w:spacing w:val="-9"/>
        </w:rPr>
        <w:t> 为每日计提的指数使用费</w:t>
      </w:r>
    </w:p>
    <w:p>
      <w:pPr>
        <w:pStyle w:val="BodyText"/>
        <w:spacing w:line="268" w:lineRule="exact"/>
        <w:ind w:left="833"/>
      </w:pPr>
      <w:r>
        <w:rPr/>
        <w:t>E 为基金当日持有的股票资产总市值</w:t>
      </w:r>
    </w:p>
    <w:p>
      <w:pPr>
        <w:pStyle w:val="BodyText"/>
        <w:spacing w:line="364" w:lineRule="auto" w:before="138"/>
        <w:ind w:left="413" w:right="1452" w:firstLine="420"/>
      </w:pPr>
      <w:r>
        <w:rPr/>
        <w:t>指数使用费的支付由基金管理人向基金托管人发送划付指令，经基金托管人复核后于次季初 10 个工作日内从基金财产中一次性支付给中证指数有限公司。</w:t>
      </w:r>
    </w:p>
    <w:p>
      <w:pPr>
        <w:pStyle w:val="BodyText"/>
        <w:spacing w:line="364" w:lineRule="auto"/>
        <w:ind w:left="413" w:right="1242" w:firstLine="420"/>
      </w:pPr>
      <w:r>
        <w:rPr/>
        <w:t>如果指数使用费的计算方法和费率等发生调整，本基金将采用调整后的方法或费率计 算指数使用费。基金管理人应及时按照《信息披露管理办法》的规定在指定媒介进行公告。此项调整无需召开基金份额持有人大会。</w:t>
      </w:r>
    </w:p>
    <w:p>
      <w:pPr>
        <w:pStyle w:val="BodyText"/>
        <w:spacing w:line="268" w:lineRule="exact"/>
        <w:ind w:left="833"/>
      </w:pPr>
      <w:r>
        <w:rPr/>
        <w:t>（4）基金的销售服务费</w:t>
      </w:r>
    </w:p>
    <w:p>
      <w:pPr>
        <w:pStyle w:val="BodyText"/>
        <w:spacing w:line="364" w:lineRule="auto" w:before="139"/>
        <w:ind w:left="413" w:right="1452" w:firstLine="420"/>
      </w:pPr>
      <w:r>
        <w:rPr>
          <w:spacing w:val="-4"/>
        </w:rPr>
        <w:t>本基金销售服务费的年费率在 </w:t>
      </w:r>
      <w:r>
        <w:rPr/>
        <w:t>0</w:t>
      </w:r>
      <w:r>
        <w:rPr>
          <w:spacing w:val="-29"/>
        </w:rPr>
        <w:t> 至 </w:t>
      </w:r>
      <w:r>
        <w:rPr/>
        <w:t>0.5</w:t>
      </w:r>
      <w:r>
        <w:rPr>
          <w:spacing w:val="-1"/>
        </w:rPr>
        <w:t>%的范围内，具体费率由基金管理人与基金托管</w:t>
      </w:r>
      <w:r>
        <w:rPr/>
        <w:t>人协商一致并公告后实施。</w:t>
      </w:r>
    </w:p>
    <w:p>
      <w:pPr>
        <w:pStyle w:val="BodyText"/>
        <w:spacing w:line="268" w:lineRule="exact"/>
        <w:ind w:left="833"/>
      </w:pPr>
      <w:r>
        <w:rPr/>
        <w:t>销售服务费按前一日基金资产净值计提，其计算方法如下：</w:t>
      </w:r>
    </w:p>
    <w:p>
      <w:pPr>
        <w:pStyle w:val="BodyText"/>
        <w:spacing w:line="364" w:lineRule="auto" w:before="139"/>
        <w:ind w:left="833" w:right="6162"/>
        <w:jc w:val="both"/>
      </w:pPr>
      <w:r>
        <w:rPr/>
        <w:t>H＝E×</w:t>
      </w:r>
      <w:r>
        <w:rPr>
          <w:spacing w:val="-2"/>
        </w:rPr>
        <w:t>销售服务年费率÷当年天数</w:t>
      </w:r>
      <w:r>
        <w:rPr/>
        <w:t>H</w:t>
      </w:r>
      <w:r>
        <w:rPr>
          <w:spacing w:val="-8"/>
        </w:rPr>
        <w:t> 为每日应计提的基金销售服务费E 为前一日基金资产净值</w:t>
      </w:r>
    </w:p>
    <w:p>
      <w:pPr>
        <w:pStyle w:val="BodyText"/>
        <w:spacing w:line="364" w:lineRule="auto"/>
        <w:ind w:left="413" w:right="1452" w:firstLine="420"/>
        <w:jc w:val="both"/>
      </w:pPr>
      <w:r>
        <w:rPr/>
        <w:t>销售服务费每日计提，按月支付。基金管理人和基金托管人核对一致后，由基金托管</w:t>
      </w:r>
      <w:r>
        <w:rPr>
          <w:spacing w:val="-4"/>
        </w:rPr>
        <w:t>人于次月前 </w:t>
      </w:r>
      <w:r>
        <w:rPr/>
        <w:t>3</w:t>
      </w:r>
      <w:r>
        <w:rPr>
          <w:spacing w:val="-5"/>
        </w:rPr>
        <w:t> 个工作日内从基金资产中划出，经注册登记机构分别支付给各个基金销售机构。若遇法定节假日、公休日或不可抗力等，支付日期顺延。</w:t>
      </w:r>
    </w:p>
    <w:p>
      <w:pPr>
        <w:pStyle w:val="BodyText"/>
        <w:spacing w:line="268" w:lineRule="exact"/>
        <w:ind w:left="833"/>
      </w:pPr>
      <w:r>
        <w:rPr/>
        <w:t>销售服务费可用于本基金市场推广、销售以及基金份额持有人服务等各项费用。</w:t>
      </w:r>
    </w:p>
    <w:p>
      <w:pPr>
        <w:pStyle w:val="BodyText"/>
        <w:spacing w:line="364" w:lineRule="auto" w:before="138"/>
        <w:ind w:left="413" w:right="1451" w:firstLine="420"/>
      </w:pPr>
      <w:r>
        <w:rPr/>
        <w:t>(5)</w:t>
      </w:r>
      <w:r>
        <w:rPr>
          <w:spacing w:val="-5"/>
        </w:rPr>
        <w:t>除管理费、托管费、销售服务费和指数使用费之外的基金费用，由基金托管人根据</w:t>
      </w:r>
      <w:r>
        <w:rPr/>
        <w:t>其他有关法规及相应协议的规定，按费用支出金额支付，列入或摊入当期基金费用。</w:t>
      </w:r>
    </w:p>
    <w:p>
      <w:pPr>
        <w:pStyle w:val="BodyText"/>
        <w:spacing w:line="268" w:lineRule="exact"/>
        <w:ind w:left="833"/>
      </w:pPr>
      <w:r>
        <w:rPr/>
        <w:t>4、不列入基金费用的项目</w:t>
      </w:r>
    </w:p>
    <w:p>
      <w:pPr>
        <w:pStyle w:val="BodyText"/>
        <w:spacing w:line="364" w:lineRule="auto" w:before="140"/>
        <w:ind w:left="413" w:right="1452" w:firstLine="420"/>
        <w:jc w:val="both"/>
      </w:pPr>
      <w:r>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pPr>
        <w:pStyle w:val="BodyText"/>
        <w:spacing w:line="364" w:lineRule="auto"/>
        <w:ind w:left="413" w:right="1451" w:firstLine="420"/>
        <w:jc w:val="both"/>
      </w:pPr>
      <w:r>
        <w:rPr/>
        <w:t>5</w:t>
      </w:r>
      <w:r>
        <w:rPr>
          <w:spacing w:val="-5"/>
        </w:rPr>
        <w:t>、基金管理人和基金托管人可根据基金发展情况调整基金管理费率和基金托管费率等</w:t>
      </w:r>
      <w:r>
        <w:rPr/>
        <w:t>相关费率。基金管理人必须按照《信息披露办法》或其他相关规定于新的费率实施前在指定媒介上刊登公告。</w:t>
      </w:r>
    </w:p>
    <w:p>
      <w:pPr>
        <w:pStyle w:val="BodyText"/>
        <w:spacing w:line="268" w:lineRule="exact"/>
        <w:ind w:left="833"/>
      </w:pPr>
      <w:r>
        <w:rPr/>
        <w:t>（五）基金财产的投资方向和投资限制</w:t>
      </w:r>
    </w:p>
    <w:p>
      <w:pPr>
        <w:pStyle w:val="BodyText"/>
        <w:spacing w:before="138"/>
        <w:ind w:left="833"/>
      </w:pPr>
      <w:r>
        <w:rPr/>
        <w:t>1、投资范围</w:t>
      </w:r>
    </w:p>
    <w:p>
      <w:pPr>
        <w:pStyle w:val="BodyText"/>
        <w:spacing w:before="139"/>
        <w:ind w:left="833"/>
      </w:pPr>
      <w:r>
        <w:rPr/>
        <w:t>本基金资产投资于具有良好流动性的金融工具，包括沪深 300ETF、沪深 300 指数成份</w:t>
      </w:r>
    </w:p>
    <w:p>
      <w:pPr>
        <w:spacing w:after="0"/>
        <w:sectPr>
          <w:pgSz w:w="11910" w:h="16840"/>
          <w:pgMar w:header="0" w:footer="1166" w:top="1600" w:bottom="1440" w:left="1400" w:right="360"/>
        </w:sectPr>
      </w:pPr>
    </w:p>
    <w:p>
      <w:pPr>
        <w:pStyle w:val="BodyText"/>
        <w:spacing w:line="364" w:lineRule="auto" w:before="104"/>
        <w:ind w:left="413" w:right="1451"/>
        <w:jc w:val="both"/>
      </w:pPr>
      <w:r>
        <w:rPr>
          <w:spacing w:val="-1"/>
        </w:rPr>
        <w:t>股及备选成份股</w:t>
      </w:r>
      <w:r>
        <w:rPr/>
        <w:t>（含存托凭证</w:t>
      </w:r>
      <w:r>
        <w:rPr>
          <w:spacing w:val="-105"/>
        </w:rPr>
        <w:t>）</w:t>
      </w:r>
      <w:r>
        <w:rPr>
          <w:spacing w:val="-5"/>
        </w:rPr>
        <w:t>、新股(一级市场初次发行或增发，含存托凭证)、债券、资</w:t>
      </w:r>
      <w:r>
        <w:rPr/>
        <w:t>产支持证券、货币市场工具、权证、股指期货以及法律法规或中国证监会允许基金投资的其他金融工具。</w:t>
      </w:r>
    </w:p>
    <w:p>
      <w:pPr>
        <w:pStyle w:val="BodyText"/>
        <w:spacing w:line="364" w:lineRule="auto"/>
        <w:ind w:left="413" w:right="1452" w:firstLine="420"/>
      </w:pPr>
      <w:r>
        <w:rPr/>
        <w:t>如法律法规或监管机构以后允许基金投资其他品种，基金管理人在履行适当程序后， 可以将其纳入投资范围。</w:t>
      </w:r>
    </w:p>
    <w:p>
      <w:pPr>
        <w:pStyle w:val="BodyText"/>
        <w:spacing w:line="364" w:lineRule="auto"/>
        <w:ind w:left="413" w:right="1452" w:firstLine="420"/>
        <w:jc w:val="both"/>
      </w:pPr>
      <w:r>
        <w:rPr/>
        <w:t>在条件许可的情况下并根据相关法律法规，基金管理人可以在不改变本基金既有投资策略和风险收益特征并在控制风险的前提下，参与融资融券业务以及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pPr>
        <w:pStyle w:val="BodyText"/>
        <w:spacing w:line="364" w:lineRule="auto"/>
        <w:ind w:left="413" w:right="1242" w:firstLine="420"/>
      </w:pPr>
      <w:r>
        <w:rPr>
          <w:spacing w:val="-5"/>
        </w:rPr>
        <w:t>本基金资产中投资于目标 </w:t>
      </w:r>
      <w:r>
        <w:rPr/>
        <w:t>ETF</w:t>
      </w:r>
      <w:r>
        <w:rPr>
          <w:spacing w:val="-11"/>
        </w:rPr>
        <w:t> 的比例不低于基金非现金基金资产的 </w:t>
      </w:r>
      <w:r>
        <w:rPr>
          <w:spacing w:val="-14"/>
        </w:rPr>
        <w:t>80%</w:t>
      </w:r>
      <w:r>
        <w:rPr>
          <w:spacing w:val="-4"/>
        </w:rPr>
        <w:t>；本基金资产中投</w:t>
      </w:r>
      <w:r>
        <w:rPr>
          <w:spacing w:val="-14"/>
        </w:rPr>
        <w:t>资于目标 </w:t>
      </w:r>
      <w:r>
        <w:rPr/>
        <w:t>ETF</w:t>
      </w:r>
      <w:r>
        <w:rPr>
          <w:spacing w:val="-11"/>
        </w:rPr>
        <w:t> 的比例不低于基金资产净值的 </w:t>
      </w:r>
      <w:r>
        <w:rPr>
          <w:spacing w:val="-14"/>
        </w:rPr>
        <w:t>90%</w:t>
      </w:r>
      <w:r>
        <w:rPr>
          <w:spacing w:val="-5"/>
        </w:rPr>
        <w:t>；本基金持有的全部权证，其市值不得超 过</w:t>
      </w:r>
      <w:r>
        <w:rPr>
          <w:spacing w:val="-10"/>
        </w:rPr>
        <w:t>基金资产净值的 </w:t>
      </w:r>
      <w:r>
        <w:rPr>
          <w:spacing w:val="-18"/>
        </w:rPr>
        <w:t>3％</w:t>
      </w:r>
      <w:r>
        <w:rPr>
          <w:spacing w:val="-6"/>
        </w:rPr>
        <w:t>；每个交易日日终在扣除股指期货合约需缴纳的交易保证金后，现金或者</w:t>
      </w:r>
      <w:r>
        <w:rPr>
          <w:spacing w:val="-8"/>
        </w:rPr>
        <w:t>到期日在一年以内的政府债券比例不低于基金资产净值的 </w:t>
      </w:r>
      <w:r>
        <w:rPr/>
        <w:t>5%，现金不包括结算备付金、存出保证金、应收申购款等。</w:t>
      </w:r>
    </w:p>
    <w:p>
      <w:pPr>
        <w:pStyle w:val="BodyText"/>
        <w:spacing w:line="364" w:lineRule="auto"/>
        <w:ind w:left="833" w:right="8157"/>
      </w:pPr>
      <w:r>
        <w:rPr/>
        <w:t>2、投资限制(1)组合限制</w:t>
      </w:r>
    </w:p>
    <w:p>
      <w:pPr>
        <w:pStyle w:val="BodyText"/>
        <w:spacing w:line="268" w:lineRule="exact"/>
        <w:ind w:left="833"/>
      </w:pPr>
      <w:r>
        <w:rPr/>
        <w:t>本基金的投资组合将遵循以下限制：</w:t>
      </w:r>
    </w:p>
    <w:p>
      <w:pPr>
        <w:pStyle w:val="ListParagraph"/>
        <w:numPr>
          <w:ilvl w:val="0"/>
          <w:numId w:val="65"/>
        </w:numPr>
        <w:tabs>
          <w:tab w:pos="1045" w:val="left" w:leader="none"/>
        </w:tabs>
        <w:spacing w:line="364" w:lineRule="auto" w:before="132" w:after="0"/>
        <w:ind w:left="413" w:right="1451" w:firstLine="420"/>
        <w:jc w:val="both"/>
        <w:rPr>
          <w:sz w:val="21"/>
        </w:rPr>
      </w:pPr>
      <w:r>
        <w:rPr>
          <w:spacing w:val="-5"/>
          <w:sz w:val="21"/>
        </w:rPr>
        <w:t>本基金资产中投资于目标 </w:t>
      </w:r>
      <w:r>
        <w:rPr>
          <w:sz w:val="21"/>
        </w:rPr>
        <w:t>ETF</w:t>
      </w:r>
      <w:r>
        <w:rPr>
          <w:spacing w:val="-11"/>
          <w:sz w:val="21"/>
        </w:rPr>
        <w:t> 的比例不低于基金非现金基金资产的 </w:t>
      </w:r>
      <w:r>
        <w:rPr>
          <w:spacing w:val="-14"/>
          <w:sz w:val="21"/>
        </w:rPr>
        <w:t>80%</w:t>
      </w:r>
      <w:r>
        <w:rPr>
          <w:spacing w:val="-6"/>
          <w:sz w:val="21"/>
        </w:rPr>
        <w:t>；本基金投资</w:t>
      </w:r>
      <w:r>
        <w:rPr>
          <w:spacing w:val="-14"/>
          <w:sz w:val="21"/>
        </w:rPr>
        <w:t>于目标 </w:t>
      </w:r>
      <w:r>
        <w:rPr>
          <w:sz w:val="21"/>
        </w:rPr>
        <w:t>ETF</w:t>
      </w:r>
      <w:r>
        <w:rPr>
          <w:spacing w:val="-11"/>
          <w:sz w:val="21"/>
        </w:rPr>
        <w:t> 的资产比例不低于基金资产净值的 </w:t>
      </w:r>
      <w:r>
        <w:rPr>
          <w:sz w:val="21"/>
        </w:rPr>
        <w:t>90%；</w:t>
      </w:r>
    </w:p>
    <w:p>
      <w:pPr>
        <w:pStyle w:val="ListParagraph"/>
        <w:numPr>
          <w:ilvl w:val="0"/>
          <w:numId w:val="65"/>
        </w:numPr>
        <w:tabs>
          <w:tab w:pos="1045" w:val="left" w:leader="none"/>
        </w:tabs>
        <w:spacing w:line="364" w:lineRule="auto" w:before="0" w:after="0"/>
        <w:ind w:left="413" w:right="1451" w:firstLine="420"/>
        <w:jc w:val="both"/>
        <w:rPr>
          <w:sz w:val="21"/>
        </w:rPr>
      </w:pPr>
      <w:r>
        <w:rPr>
          <w:spacing w:val="-4"/>
          <w:sz w:val="21"/>
        </w:rPr>
        <w:t>本基金持有的全部权证，其市值不得超过基金资产净值的 </w:t>
      </w:r>
      <w:r>
        <w:rPr>
          <w:spacing w:val="-18"/>
          <w:sz w:val="21"/>
        </w:rPr>
        <w:t>3％</w:t>
      </w:r>
      <w:r>
        <w:rPr>
          <w:spacing w:val="-6"/>
          <w:sz w:val="21"/>
        </w:rPr>
        <w:t>；本基金在任何交易日</w:t>
      </w:r>
      <w:r>
        <w:rPr>
          <w:spacing w:val="1"/>
          <w:sz w:val="21"/>
        </w:rPr>
        <w:t>买入权证的总金额不得超过上一交易日基金资产净值的</w:t>
      </w:r>
      <w:r>
        <w:rPr>
          <w:spacing w:val="-11"/>
          <w:sz w:val="21"/>
        </w:rPr>
        <w:t>0.5％</w:t>
      </w:r>
      <w:r>
        <w:rPr>
          <w:spacing w:val="-4"/>
          <w:sz w:val="21"/>
        </w:rPr>
        <w:t>；本基金管理人管理的全部基</w:t>
      </w:r>
      <w:r>
        <w:rPr>
          <w:spacing w:val="-3"/>
          <w:sz w:val="21"/>
        </w:rPr>
        <w:t>金持有的同一权证，不得超过该权证的 </w:t>
      </w:r>
      <w:r>
        <w:rPr>
          <w:sz w:val="21"/>
        </w:rPr>
        <w:t>10％；法律法规或中国证监会另有规定的，遵从其规定；</w:t>
      </w:r>
    </w:p>
    <w:p>
      <w:pPr>
        <w:pStyle w:val="ListParagraph"/>
        <w:numPr>
          <w:ilvl w:val="0"/>
          <w:numId w:val="65"/>
        </w:numPr>
        <w:tabs>
          <w:tab w:pos="1046" w:val="left" w:leader="none"/>
        </w:tabs>
        <w:spacing w:line="267" w:lineRule="exact" w:before="0" w:after="0"/>
        <w:ind w:left="1045" w:right="0" w:hanging="213"/>
        <w:jc w:val="left"/>
        <w:rPr>
          <w:sz w:val="21"/>
        </w:rPr>
      </w:pPr>
      <w:r>
        <w:rPr>
          <w:sz w:val="21"/>
        </w:rPr>
        <w:t>本基金进入全国银行间同业市场进行债券回购的资金余额不得超过基金资产净值的</w:t>
      </w:r>
    </w:p>
    <w:p>
      <w:pPr>
        <w:pStyle w:val="BodyText"/>
        <w:spacing w:line="364" w:lineRule="auto" w:before="139"/>
        <w:ind w:left="413" w:right="1407"/>
      </w:pPr>
      <w:r>
        <w:rPr/>
        <w:t>40％；本基金进入全国银行间同业市场进行债券回购的最长期限为 1 年，债券回购到期后不得展期；</w:t>
      </w:r>
    </w:p>
    <w:p>
      <w:pPr>
        <w:pStyle w:val="ListParagraph"/>
        <w:numPr>
          <w:ilvl w:val="0"/>
          <w:numId w:val="65"/>
        </w:numPr>
        <w:tabs>
          <w:tab w:pos="1047" w:val="left" w:leader="none"/>
        </w:tabs>
        <w:spacing w:line="364" w:lineRule="auto" w:before="0" w:after="0"/>
        <w:ind w:left="413" w:right="1452" w:firstLine="420"/>
        <w:jc w:val="left"/>
        <w:rPr>
          <w:sz w:val="21"/>
        </w:rPr>
      </w:pPr>
      <w:r>
        <w:rPr>
          <w:sz w:val="21"/>
        </w:rPr>
        <w:t>本基金参与股票发行申购，本基金所申报的金额不超过本基金的总资产，本基金所申报的股票数量不超过拟发行股票公司本次发行股票的总量；</w:t>
      </w:r>
    </w:p>
    <w:p>
      <w:pPr>
        <w:pStyle w:val="ListParagraph"/>
        <w:numPr>
          <w:ilvl w:val="0"/>
          <w:numId w:val="65"/>
        </w:numPr>
        <w:tabs>
          <w:tab w:pos="1047" w:val="left" w:leader="none"/>
        </w:tabs>
        <w:spacing w:line="364" w:lineRule="auto" w:before="0" w:after="0"/>
        <w:ind w:left="413" w:right="1346" w:firstLine="420"/>
        <w:jc w:val="both"/>
        <w:rPr>
          <w:sz w:val="21"/>
        </w:rPr>
      </w:pPr>
      <w:r>
        <w:rPr>
          <w:sz w:val="21"/>
        </w:rPr>
        <w:t>当本基金投资于股指期货时，在任何交易日日终，持有的买入股指期货合约价值， </w:t>
      </w:r>
      <w:r>
        <w:rPr>
          <w:spacing w:val="-5"/>
          <w:sz w:val="21"/>
        </w:rPr>
        <w:t>不得超过基金资产净值的 </w:t>
      </w:r>
      <w:r>
        <w:rPr>
          <w:spacing w:val="-14"/>
          <w:sz w:val="21"/>
        </w:rPr>
        <w:t>10%</w:t>
      </w:r>
      <w:r>
        <w:rPr>
          <w:spacing w:val="-6"/>
          <w:sz w:val="21"/>
        </w:rPr>
        <w:t>；在任何交易日日终，持有的买入期货合约价值与有价证券市</w:t>
      </w:r>
      <w:r>
        <w:rPr>
          <w:spacing w:val="-8"/>
          <w:sz w:val="21"/>
        </w:rPr>
        <w:t>值之和,不得超过基金资产净值的 </w:t>
      </w:r>
      <w:r>
        <w:rPr>
          <w:sz w:val="21"/>
        </w:rPr>
        <w:t>95</w:t>
      </w:r>
      <w:r>
        <w:rPr>
          <w:spacing w:val="-3"/>
          <w:sz w:val="21"/>
        </w:rPr>
        <w:t>%，其中，有价证券指目标 </w:t>
      </w:r>
      <w:r>
        <w:rPr>
          <w:sz w:val="21"/>
        </w:rPr>
        <w:t>ETF、股票、债券（不含到期日在一年以内的政府债券</w:t>
      </w:r>
      <w:r>
        <w:rPr>
          <w:spacing w:val="-105"/>
          <w:sz w:val="21"/>
        </w:rPr>
        <w:t>）</w:t>
      </w:r>
      <w:r>
        <w:rPr>
          <w:spacing w:val="-13"/>
          <w:sz w:val="21"/>
        </w:rPr>
        <w:t>、权证、资产支持证券、买入返售金融资产</w:t>
      </w:r>
      <w:r>
        <w:rPr>
          <w:sz w:val="21"/>
        </w:rPr>
        <w:t>（不含质押式回购</w:t>
      </w:r>
      <w:r>
        <w:rPr>
          <w:spacing w:val="-13"/>
          <w:sz w:val="21"/>
        </w:rPr>
        <w:t>）</w:t>
      </w:r>
    </w:p>
    <w:p>
      <w:pPr>
        <w:spacing w:after="0" w:line="364" w:lineRule="auto"/>
        <w:jc w:val="both"/>
        <w:rPr>
          <w:sz w:val="21"/>
        </w:rPr>
        <w:sectPr>
          <w:pgSz w:w="11910" w:h="16840"/>
          <w:pgMar w:header="0" w:footer="1166" w:top="1600" w:bottom="1440" w:left="1400" w:right="360"/>
        </w:sectPr>
      </w:pPr>
    </w:p>
    <w:p>
      <w:pPr>
        <w:pStyle w:val="BodyText"/>
        <w:spacing w:line="364" w:lineRule="auto" w:before="104"/>
        <w:ind w:left="413" w:right="1451"/>
        <w:jc w:val="both"/>
      </w:pPr>
      <w:r>
        <w:rPr/>
        <w:t>等；基金在任何交易日日终，持有的卖出期货合约价值不得超过基金持有的股票总市值及</w:t>
      </w:r>
      <w:r>
        <w:rPr>
          <w:spacing w:val="-18"/>
        </w:rPr>
        <w:t>目标 </w:t>
      </w:r>
      <w:r>
        <w:rPr/>
        <w:t>ETF</w:t>
      </w:r>
      <w:r>
        <w:rPr>
          <w:spacing w:val="-19"/>
        </w:rPr>
        <w:t> 总市值的 </w:t>
      </w:r>
      <w:r>
        <w:rPr>
          <w:spacing w:val="-14"/>
        </w:rPr>
        <w:t>20%</w:t>
      </w:r>
      <w:r>
        <w:rPr>
          <w:spacing w:val="-5"/>
        </w:rPr>
        <w:t>；在任何交易日内交易</w:t>
      </w:r>
      <w:r>
        <w:rPr/>
        <w:t>（不包括平仓</w:t>
      </w:r>
      <w:r>
        <w:rPr>
          <w:spacing w:val="-8"/>
        </w:rPr>
        <w:t>）</w:t>
      </w:r>
      <w:r>
        <w:rPr>
          <w:spacing w:val="-2"/>
        </w:rPr>
        <w:t>的股指期货合约的成交金额不</w:t>
      </w:r>
      <w:r>
        <w:rPr>
          <w:spacing w:val="-4"/>
        </w:rPr>
        <w:t>得超过上一交易日基金资产净值的 </w:t>
      </w:r>
      <w:r>
        <w:rPr/>
        <w:t>20%；</w:t>
      </w:r>
    </w:p>
    <w:p>
      <w:pPr>
        <w:pStyle w:val="ListParagraph"/>
        <w:numPr>
          <w:ilvl w:val="0"/>
          <w:numId w:val="65"/>
        </w:numPr>
        <w:tabs>
          <w:tab w:pos="1047" w:val="left" w:leader="none"/>
        </w:tabs>
        <w:spacing w:line="364" w:lineRule="auto" w:before="0" w:after="0"/>
        <w:ind w:left="413" w:right="1242" w:firstLine="420"/>
        <w:jc w:val="left"/>
        <w:rPr>
          <w:sz w:val="21"/>
        </w:rPr>
      </w:pPr>
      <w:r>
        <w:rPr>
          <w:sz w:val="21"/>
        </w:rPr>
        <w:t>每个交易日日终在扣除股指期货合约需缴纳的交易保证金后，应当保持不低于基金 </w:t>
      </w:r>
      <w:r>
        <w:rPr>
          <w:spacing w:val="-9"/>
          <w:sz w:val="21"/>
        </w:rPr>
        <w:t>资产净值 </w:t>
      </w:r>
      <w:r>
        <w:rPr>
          <w:sz w:val="21"/>
        </w:rPr>
        <w:t>5%的现金或到期日在一年以内的政府债券，现金不包括结算备付金、存出保证金、应收申购款等；</w:t>
      </w:r>
    </w:p>
    <w:p>
      <w:pPr>
        <w:pStyle w:val="ListParagraph"/>
        <w:numPr>
          <w:ilvl w:val="0"/>
          <w:numId w:val="65"/>
        </w:numPr>
        <w:tabs>
          <w:tab w:pos="1047" w:val="left" w:leader="none"/>
        </w:tabs>
        <w:spacing w:line="364" w:lineRule="auto" w:before="0" w:after="0"/>
        <w:ind w:left="413" w:right="1242" w:firstLine="420"/>
        <w:jc w:val="left"/>
        <w:rPr>
          <w:sz w:val="21"/>
        </w:rPr>
      </w:pPr>
      <w:r>
        <w:rPr>
          <w:sz w:val="21"/>
        </w:rPr>
        <w:t>本基金投资于同一原始权益人的各类资产支持证券的比例，不得超过基金资产净值 </w:t>
      </w:r>
      <w:r>
        <w:rPr>
          <w:spacing w:val="-28"/>
          <w:sz w:val="21"/>
        </w:rPr>
        <w:t>的 </w:t>
      </w:r>
      <w:r>
        <w:rPr>
          <w:sz w:val="21"/>
        </w:rPr>
        <w:t>10％</w:t>
      </w:r>
      <w:r>
        <w:rPr>
          <w:spacing w:val="-2"/>
          <w:sz w:val="21"/>
        </w:rPr>
        <w:t>；本基金持有的全部资产支持证券，其市值不得超过基金资产净值的 </w:t>
      </w:r>
      <w:r>
        <w:rPr>
          <w:sz w:val="21"/>
        </w:rPr>
        <w:t>20％；本基金</w:t>
      </w:r>
      <w:r>
        <w:rPr>
          <w:spacing w:val="-2"/>
          <w:sz w:val="21"/>
        </w:rPr>
        <w:t>持有的同一(指同一信用级别)资产支持证券的比例，不得超过该资产支持证券规模的 </w:t>
      </w:r>
      <w:r>
        <w:rPr>
          <w:sz w:val="21"/>
        </w:rPr>
        <w:t>10％； 本基金管理人管理的全部基金投资于同一原始权益人的各类资产支持证券，不得超过其各 </w:t>
      </w:r>
      <w:r>
        <w:rPr>
          <w:spacing w:val="-3"/>
          <w:sz w:val="21"/>
        </w:rPr>
        <w:t>类资产支持证券合计规模的 </w:t>
      </w:r>
      <w:r>
        <w:rPr>
          <w:sz w:val="21"/>
        </w:rPr>
        <w:t>10</w:t>
      </w:r>
      <w:r>
        <w:rPr>
          <w:spacing w:val="-2"/>
          <w:sz w:val="21"/>
        </w:rPr>
        <w:t>％；本基金应投资于信用级别评级为 </w:t>
      </w:r>
      <w:r>
        <w:rPr>
          <w:sz w:val="21"/>
        </w:rPr>
        <w:t>BBB</w:t>
      </w:r>
      <w:r>
        <w:rPr>
          <w:spacing w:val="-11"/>
          <w:sz w:val="21"/>
        </w:rPr>
        <w:t> 以上(含 </w:t>
      </w:r>
      <w:r>
        <w:rPr>
          <w:sz w:val="21"/>
        </w:rPr>
        <w:t>BBB)的资 产支持证券。基金持有资产支持证券期间，如果其信用等级下降、不再符合投资标准，应 </w:t>
      </w:r>
      <w:r>
        <w:rPr>
          <w:spacing w:val="-5"/>
          <w:sz w:val="21"/>
        </w:rPr>
        <w:t>在评级报告发布之日起 </w:t>
      </w:r>
      <w:r>
        <w:rPr>
          <w:sz w:val="21"/>
        </w:rPr>
        <w:t>3</w:t>
      </w:r>
      <w:r>
        <w:rPr>
          <w:spacing w:val="-8"/>
          <w:sz w:val="21"/>
        </w:rPr>
        <w:t> 个月内予以全部卖出；</w:t>
      </w:r>
    </w:p>
    <w:p>
      <w:pPr>
        <w:pStyle w:val="ListParagraph"/>
        <w:numPr>
          <w:ilvl w:val="0"/>
          <w:numId w:val="65"/>
        </w:numPr>
        <w:tabs>
          <w:tab w:pos="1045" w:val="left" w:leader="none"/>
        </w:tabs>
        <w:spacing w:line="266" w:lineRule="exact" w:before="0" w:after="0"/>
        <w:ind w:left="1045" w:right="0" w:hanging="212"/>
        <w:jc w:val="left"/>
        <w:rPr>
          <w:sz w:val="21"/>
        </w:rPr>
      </w:pPr>
      <w:r>
        <w:rPr>
          <w:spacing w:val="-3"/>
          <w:sz w:val="21"/>
        </w:rPr>
        <w:t>持有一家上市公司的股票，其市值不超过基金资产净值的 </w:t>
      </w:r>
      <w:r>
        <w:rPr>
          <w:sz w:val="21"/>
        </w:rPr>
        <w:t>10%；</w:t>
      </w:r>
    </w:p>
    <w:p>
      <w:pPr>
        <w:pStyle w:val="ListParagraph"/>
        <w:numPr>
          <w:ilvl w:val="0"/>
          <w:numId w:val="65"/>
        </w:numPr>
        <w:tabs>
          <w:tab w:pos="1045" w:val="left" w:leader="none"/>
        </w:tabs>
        <w:spacing w:line="240" w:lineRule="auto" w:before="137" w:after="0"/>
        <w:ind w:left="1045" w:right="0" w:hanging="212"/>
        <w:jc w:val="left"/>
        <w:rPr>
          <w:sz w:val="21"/>
        </w:rPr>
      </w:pPr>
      <w:r>
        <w:rPr>
          <w:spacing w:val="-2"/>
          <w:sz w:val="21"/>
        </w:rPr>
        <w:t>基金管理人管理的全部基金持有一家公司发行的证券总和，不超过该证券的 </w:t>
      </w:r>
      <w:r>
        <w:rPr>
          <w:sz w:val="21"/>
        </w:rPr>
        <w:t>10%；</w:t>
      </w:r>
    </w:p>
    <w:p>
      <w:pPr>
        <w:pStyle w:val="ListParagraph"/>
        <w:numPr>
          <w:ilvl w:val="0"/>
          <w:numId w:val="65"/>
        </w:numPr>
        <w:tabs>
          <w:tab w:pos="1150" w:val="left" w:leader="none"/>
        </w:tabs>
        <w:spacing w:line="364" w:lineRule="auto" w:before="139" w:after="0"/>
        <w:ind w:left="413" w:right="1451" w:firstLine="420"/>
        <w:jc w:val="left"/>
        <w:rPr>
          <w:sz w:val="21"/>
        </w:rPr>
      </w:pPr>
      <w:r>
        <w:rPr>
          <w:spacing w:val="-5"/>
          <w:sz w:val="21"/>
        </w:rPr>
        <w:t>本基金所持有的股票及目标 </w:t>
      </w:r>
      <w:r>
        <w:rPr>
          <w:sz w:val="21"/>
        </w:rPr>
        <w:t>ETF</w:t>
      </w:r>
      <w:r>
        <w:rPr>
          <w:spacing w:val="-8"/>
          <w:sz w:val="21"/>
        </w:rPr>
        <w:t> 总市值和买入、卖出股指期货合约价值，合计</w:t>
      </w:r>
      <w:r>
        <w:rPr>
          <w:sz w:val="21"/>
        </w:rPr>
        <w:t>（</w:t>
      </w:r>
      <w:r>
        <w:rPr>
          <w:spacing w:val="-13"/>
          <w:sz w:val="21"/>
        </w:rPr>
        <w:t>轧</w:t>
      </w:r>
      <w:r>
        <w:rPr>
          <w:sz w:val="21"/>
        </w:rPr>
        <w:t>差计算）</w:t>
      </w:r>
      <w:r>
        <w:rPr>
          <w:spacing w:val="-4"/>
          <w:sz w:val="21"/>
        </w:rPr>
        <w:t>应当符合基金合同关于股票和目标 </w:t>
      </w:r>
      <w:r>
        <w:rPr>
          <w:sz w:val="21"/>
        </w:rPr>
        <w:t>ETF</w:t>
      </w:r>
      <w:r>
        <w:rPr>
          <w:spacing w:val="-8"/>
          <w:sz w:val="21"/>
        </w:rPr>
        <w:t> 投资比例的有关比例。</w:t>
      </w:r>
    </w:p>
    <w:p>
      <w:pPr>
        <w:pStyle w:val="ListParagraph"/>
        <w:numPr>
          <w:ilvl w:val="0"/>
          <w:numId w:val="65"/>
        </w:numPr>
        <w:tabs>
          <w:tab w:pos="1150" w:val="left" w:leader="none"/>
        </w:tabs>
        <w:spacing w:line="364" w:lineRule="auto" w:before="0" w:after="0"/>
        <w:ind w:left="833" w:right="1452" w:firstLine="0"/>
        <w:jc w:val="left"/>
        <w:rPr>
          <w:sz w:val="21"/>
        </w:rPr>
      </w:pPr>
      <w:r>
        <w:rPr>
          <w:spacing w:val="-1"/>
          <w:sz w:val="21"/>
        </w:rPr>
        <w:t>本基金主动投资于流动性受限资产的市值合计不得超过本基金资产净值的 </w:t>
      </w:r>
      <w:r>
        <w:rPr>
          <w:sz w:val="21"/>
        </w:rPr>
        <w:t>15%。因证券市场波动、上市公司股票停牌、基金规模变动等基金管理人之外的因素致使基</w:t>
      </w:r>
    </w:p>
    <w:p>
      <w:pPr>
        <w:pStyle w:val="BodyText"/>
        <w:spacing w:line="268" w:lineRule="exact"/>
        <w:ind w:left="413"/>
      </w:pPr>
      <w:r>
        <w:rPr/>
        <w:t>金不符合前款所规定比例限制的，基金管理人不得主动新增流动性受限资产的投资。</w:t>
      </w:r>
    </w:p>
    <w:p>
      <w:pPr>
        <w:pStyle w:val="ListParagraph"/>
        <w:numPr>
          <w:ilvl w:val="0"/>
          <w:numId w:val="65"/>
        </w:numPr>
        <w:tabs>
          <w:tab w:pos="1155" w:val="left" w:leader="none"/>
        </w:tabs>
        <w:spacing w:line="364" w:lineRule="auto" w:before="138" w:after="0"/>
        <w:ind w:left="413" w:right="1452" w:firstLine="420"/>
        <w:jc w:val="left"/>
        <w:rPr>
          <w:sz w:val="21"/>
        </w:rPr>
      </w:pPr>
      <w:r>
        <w:rPr>
          <w:spacing w:val="4"/>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65"/>
        </w:numPr>
        <w:tabs>
          <w:tab w:pos="1150" w:val="left" w:leader="none"/>
        </w:tabs>
        <w:spacing w:line="364" w:lineRule="auto" w:before="0" w:after="0"/>
        <w:ind w:left="413" w:right="1451" w:firstLine="420"/>
        <w:jc w:val="left"/>
        <w:rPr>
          <w:sz w:val="21"/>
        </w:rPr>
      </w:pPr>
      <w:r>
        <w:rPr>
          <w:spacing w:val="-2"/>
          <w:sz w:val="21"/>
        </w:rPr>
        <w:t>本基金投资存托凭证的比例限制依照境内上市交易的股票执行，与境内上市交易的</w:t>
      </w:r>
      <w:r>
        <w:rPr>
          <w:sz w:val="21"/>
        </w:rPr>
        <w:t>股票合并计算。</w:t>
      </w:r>
    </w:p>
    <w:p>
      <w:pPr>
        <w:pStyle w:val="ListParagraph"/>
        <w:numPr>
          <w:ilvl w:val="0"/>
          <w:numId w:val="65"/>
        </w:numPr>
        <w:tabs>
          <w:tab w:pos="1150" w:val="left" w:leader="none"/>
        </w:tabs>
        <w:spacing w:line="268" w:lineRule="exact" w:before="0" w:after="0"/>
        <w:ind w:left="1150" w:right="0" w:hanging="317"/>
        <w:jc w:val="left"/>
        <w:rPr>
          <w:sz w:val="21"/>
        </w:rPr>
      </w:pPr>
      <w:r>
        <w:rPr>
          <w:sz w:val="21"/>
        </w:rPr>
        <w:t>法律法规、基金合同规定的其他比例限制。</w:t>
      </w:r>
    </w:p>
    <w:p>
      <w:pPr>
        <w:pStyle w:val="BodyText"/>
        <w:spacing w:line="364" w:lineRule="auto" w:before="139"/>
        <w:ind w:left="413" w:right="1451" w:firstLine="420"/>
        <w:jc w:val="both"/>
      </w:pPr>
      <w:r>
        <w:rPr>
          <w:spacing w:val="-14"/>
        </w:rPr>
        <w:t>除上述 </w:t>
      </w:r>
      <w:r>
        <w:rPr/>
        <w:t>4</w:t>
      </w:r>
      <w:r>
        <w:rPr>
          <w:spacing w:val="-105"/>
        </w:rPr>
        <w:t>）</w:t>
      </w:r>
      <w:r>
        <w:rPr>
          <w:spacing w:val="-10"/>
        </w:rPr>
        <w:t>、</w:t>
      </w:r>
      <w:r>
        <w:rPr/>
        <w:t>6</w:t>
      </w:r>
      <w:r>
        <w:rPr>
          <w:spacing w:val="-105"/>
        </w:rPr>
        <w:t>）</w:t>
      </w:r>
      <w:r>
        <w:rPr>
          <w:spacing w:val="-10"/>
        </w:rPr>
        <w:t>、</w:t>
      </w:r>
      <w:r>
        <w:rPr/>
        <w:t>11</w:t>
      </w:r>
      <w:r>
        <w:rPr>
          <w:spacing w:val="-105"/>
        </w:rPr>
        <w:t>）</w:t>
      </w:r>
      <w:r>
        <w:rPr>
          <w:spacing w:val="-10"/>
        </w:rPr>
        <w:t>、</w:t>
      </w:r>
      <w:r>
        <w:rPr/>
        <w:t>12</w:t>
      </w:r>
      <w:r>
        <w:rPr>
          <w:spacing w:val="-10"/>
        </w:rPr>
        <w:t>）</w:t>
      </w:r>
      <w:r>
        <w:rPr>
          <w:spacing w:val="-6"/>
        </w:rPr>
        <w:t>以外，因证券及期货市场波动、上市公司合并、基金规模变</w:t>
      </w:r>
      <w:r>
        <w:rPr>
          <w:spacing w:val="-1"/>
        </w:rPr>
        <w:t>动、标的指数成份股调整、标的指数成份股流动性限制、目标 </w:t>
      </w:r>
      <w:r>
        <w:rPr/>
        <w:t>ETF</w:t>
      </w:r>
      <w:r>
        <w:rPr>
          <w:spacing w:val="-5"/>
        </w:rPr>
        <w:t> 暂停申购、赎回或二级市场交易停牌等基金管理人之外的因素致使基金投资比例不符合上述规定投资比例的，基</w:t>
      </w:r>
      <w:r>
        <w:rPr>
          <w:spacing w:val="-11"/>
        </w:rPr>
        <w:t>金管理人应当在 </w:t>
      </w:r>
      <w:r>
        <w:rPr/>
        <w:t>10</w:t>
      </w:r>
      <w:r>
        <w:rPr>
          <w:spacing w:val="-9"/>
        </w:rPr>
        <w:t> 个交易日内进行调整。法律、法规另有规定时，从其规定。如果法律法</w:t>
      </w:r>
      <w:r>
        <w:rPr/>
        <w:t>规对上述投资比例限制进行变更的，以变更后的规定为准。如法律法规或监管部门取消上述限制，且适用于本基金，则本基金投资不再受相关限制。</w:t>
      </w:r>
    </w:p>
    <w:p>
      <w:pPr>
        <w:pStyle w:val="BodyText"/>
        <w:spacing w:line="364" w:lineRule="auto"/>
        <w:ind w:left="413" w:right="1452" w:firstLine="420"/>
        <w:jc w:val="both"/>
      </w:pPr>
      <w:r>
        <w:rPr>
          <w:spacing w:val="-2"/>
        </w:rPr>
        <w:t>基金管理人应当自基金合同生效之日起 </w:t>
      </w:r>
      <w:r>
        <w:rPr/>
        <w:t>6</w:t>
      </w:r>
      <w:r>
        <w:rPr>
          <w:spacing w:val="-5"/>
        </w:rPr>
        <w:t> 个月内使基金的投资组合比例符合基金合同的有关约定。基金托管人对基金的投资的监督与检查自本基金合同生效之日起开始。</w:t>
      </w:r>
    </w:p>
    <w:p>
      <w:pPr>
        <w:spacing w:after="0" w:line="364" w:lineRule="auto"/>
        <w:jc w:val="both"/>
        <w:sectPr>
          <w:pgSz w:w="11910" w:h="16840"/>
          <w:pgMar w:header="0" w:footer="1166" w:top="1600" w:bottom="1440" w:left="1400" w:right="360"/>
        </w:sectPr>
      </w:pPr>
    </w:p>
    <w:p>
      <w:pPr>
        <w:pStyle w:val="ListParagraph"/>
        <w:numPr>
          <w:ilvl w:val="0"/>
          <w:numId w:val="66"/>
        </w:numPr>
        <w:tabs>
          <w:tab w:pos="1360" w:val="left" w:leader="none"/>
        </w:tabs>
        <w:spacing w:line="240" w:lineRule="auto" w:before="104" w:after="0"/>
        <w:ind w:left="1360" w:right="0" w:hanging="527"/>
        <w:jc w:val="left"/>
        <w:rPr>
          <w:sz w:val="21"/>
        </w:rPr>
      </w:pPr>
      <w:r>
        <w:rPr>
          <w:spacing w:val="-18"/>
          <w:sz w:val="21"/>
        </w:rPr>
        <w:t>目标 </w:t>
      </w:r>
      <w:r>
        <w:rPr>
          <w:sz w:val="21"/>
        </w:rPr>
        <w:t>ETF</w:t>
      </w:r>
      <w:r>
        <w:rPr>
          <w:spacing w:val="-8"/>
          <w:sz w:val="21"/>
        </w:rPr>
        <w:t> 发生相关变更情形时的处理</w:t>
      </w:r>
    </w:p>
    <w:p>
      <w:pPr>
        <w:pStyle w:val="BodyText"/>
        <w:spacing w:line="364" w:lineRule="auto" w:before="139"/>
        <w:ind w:left="413" w:right="1242" w:firstLine="420"/>
      </w:pPr>
      <w:r>
        <w:rPr>
          <w:spacing w:val="-10"/>
        </w:rPr>
        <w:t>目标 </w:t>
      </w:r>
      <w:r>
        <w:rPr/>
        <w:t>ETF</w:t>
      </w:r>
      <w:r>
        <w:rPr>
          <w:spacing w:val="-8"/>
        </w:rPr>
        <w:t> 出现下述情形之一的，本基金将由投资于目标 </w:t>
      </w:r>
      <w:r>
        <w:rPr/>
        <w:t>ETF</w:t>
      </w:r>
      <w:r>
        <w:rPr>
          <w:spacing w:val="-6"/>
        </w:rPr>
        <w:t> 的联接基金变更为直接投资该标的指数的指数基金；若届时本基金管理人已有以该指数作为标的指数的指数基金， 则本基金将本着维护投资者合法权益的原则，选取其他合适的指数作为标的指数。相应地， 基金合同中将删除关于目标 </w:t>
      </w:r>
      <w:r>
        <w:rPr/>
        <w:t>ETF</w:t>
      </w:r>
      <w:r>
        <w:rPr>
          <w:spacing w:val="-2"/>
        </w:rPr>
        <w:t> 的表述部分，或将变更标的指数，届时将由基金管理人另行公告。</w:t>
      </w:r>
    </w:p>
    <w:p>
      <w:pPr>
        <w:pStyle w:val="ListParagraph"/>
        <w:numPr>
          <w:ilvl w:val="0"/>
          <w:numId w:val="67"/>
        </w:numPr>
        <w:tabs>
          <w:tab w:pos="1045" w:val="left" w:leader="none"/>
        </w:tabs>
        <w:spacing w:line="267" w:lineRule="exact" w:before="0" w:after="0"/>
        <w:ind w:left="1045" w:right="0" w:hanging="212"/>
        <w:jc w:val="left"/>
        <w:rPr>
          <w:sz w:val="21"/>
        </w:rPr>
      </w:pPr>
      <w:r>
        <w:rPr>
          <w:spacing w:val="-18"/>
          <w:sz w:val="21"/>
        </w:rPr>
        <w:t>目标 </w:t>
      </w:r>
      <w:r>
        <w:rPr>
          <w:sz w:val="21"/>
        </w:rPr>
        <w:t>ETF</w:t>
      </w:r>
      <w:r>
        <w:rPr>
          <w:spacing w:val="-8"/>
          <w:sz w:val="21"/>
        </w:rPr>
        <w:t> 交易方式发生重大变更致使本基金的投资策略难以实现；</w:t>
      </w:r>
    </w:p>
    <w:p>
      <w:pPr>
        <w:pStyle w:val="ListParagraph"/>
        <w:numPr>
          <w:ilvl w:val="0"/>
          <w:numId w:val="67"/>
        </w:numPr>
        <w:tabs>
          <w:tab w:pos="1045" w:val="left" w:leader="none"/>
        </w:tabs>
        <w:spacing w:line="240" w:lineRule="auto" w:before="140" w:after="0"/>
        <w:ind w:left="1045" w:right="0" w:hanging="212"/>
        <w:jc w:val="left"/>
        <w:rPr>
          <w:sz w:val="21"/>
        </w:rPr>
      </w:pPr>
      <w:r>
        <w:rPr>
          <w:spacing w:val="-18"/>
          <w:sz w:val="21"/>
        </w:rPr>
        <w:t>目标 </w:t>
      </w:r>
      <w:r>
        <w:rPr>
          <w:sz w:val="21"/>
        </w:rPr>
        <w:t>ETF</w:t>
      </w:r>
      <w:r>
        <w:rPr>
          <w:spacing w:val="-10"/>
          <w:sz w:val="21"/>
        </w:rPr>
        <w:t> 终止上市；</w:t>
      </w:r>
    </w:p>
    <w:p>
      <w:pPr>
        <w:pStyle w:val="ListParagraph"/>
        <w:numPr>
          <w:ilvl w:val="0"/>
          <w:numId w:val="67"/>
        </w:numPr>
        <w:tabs>
          <w:tab w:pos="1045" w:val="left" w:leader="none"/>
        </w:tabs>
        <w:spacing w:line="240" w:lineRule="auto" w:before="139" w:after="0"/>
        <w:ind w:left="1045" w:right="0" w:hanging="212"/>
        <w:jc w:val="left"/>
        <w:rPr>
          <w:sz w:val="21"/>
        </w:rPr>
      </w:pPr>
      <w:r>
        <w:rPr>
          <w:spacing w:val="-18"/>
          <w:sz w:val="21"/>
        </w:rPr>
        <w:t>目标 </w:t>
      </w:r>
      <w:r>
        <w:rPr>
          <w:sz w:val="21"/>
        </w:rPr>
        <w:t>ETF</w:t>
      </w:r>
      <w:r>
        <w:rPr>
          <w:spacing w:val="-8"/>
          <w:sz w:val="21"/>
        </w:rPr>
        <w:t> 基金合同终止；</w:t>
      </w:r>
    </w:p>
    <w:p>
      <w:pPr>
        <w:pStyle w:val="ListParagraph"/>
        <w:numPr>
          <w:ilvl w:val="0"/>
          <w:numId w:val="67"/>
        </w:numPr>
        <w:tabs>
          <w:tab w:pos="1047" w:val="left" w:leader="none"/>
        </w:tabs>
        <w:spacing w:line="364" w:lineRule="auto" w:before="140" w:after="0"/>
        <w:ind w:left="413" w:right="1452" w:firstLine="420"/>
        <w:jc w:val="left"/>
        <w:rPr>
          <w:sz w:val="21"/>
        </w:rPr>
      </w:pPr>
      <w:r>
        <w:rPr>
          <w:spacing w:val="-13"/>
          <w:sz w:val="21"/>
        </w:rPr>
        <w:t>目标 </w:t>
      </w:r>
      <w:r>
        <w:rPr>
          <w:sz w:val="21"/>
        </w:rPr>
        <w:t>ETF</w:t>
      </w:r>
      <w:r>
        <w:rPr>
          <w:spacing w:val="-6"/>
          <w:sz w:val="21"/>
        </w:rPr>
        <w:t> 的基金管理人发生变更</w:t>
      </w:r>
      <w:r>
        <w:rPr>
          <w:sz w:val="21"/>
        </w:rPr>
        <w:t>（</w:t>
      </w:r>
      <w:r>
        <w:rPr>
          <w:spacing w:val="-4"/>
          <w:sz w:val="21"/>
        </w:rPr>
        <w:t>但变更后的本基金与目标 </w:t>
      </w:r>
      <w:r>
        <w:rPr>
          <w:sz w:val="21"/>
        </w:rPr>
        <w:t>ETF</w:t>
      </w:r>
      <w:r>
        <w:rPr>
          <w:spacing w:val="-6"/>
          <w:sz w:val="21"/>
        </w:rPr>
        <w:t> 的基金管理人相同的除外</w:t>
      </w:r>
      <w:r>
        <w:rPr>
          <w:spacing w:val="-105"/>
          <w:sz w:val="21"/>
        </w:rPr>
        <w:t>）</w:t>
      </w:r>
      <w:r>
        <w:rPr>
          <w:sz w:val="21"/>
        </w:rPr>
        <w:t>。</w:t>
      </w:r>
    </w:p>
    <w:p>
      <w:pPr>
        <w:pStyle w:val="BodyText"/>
        <w:spacing w:line="364" w:lineRule="auto"/>
        <w:ind w:left="413" w:right="1241" w:firstLine="420"/>
      </w:pPr>
      <w:r>
        <w:rPr>
          <w:spacing w:val="-11"/>
        </w:rPr>
        <w:t>若目标 </w:t>
      </w:r>
      <w:r>
        <w:rPr/>
        <w:t>ETF</w:t>
      </w:r>
      <w:r>
        <w:rPr>
          <w:spacing w:val="-6"/>
        </w:rPr>
        <w:t> 变更标的指数，本基金将相应变更业绩比较基准且继续投资于该目标 </w:t>
      </w:r>
      <w:r>
        <w:rPr/>
        <w:t>ETF。</w:t>
      </w:r>
      <w:r>
        <w:rPr>
          <w:spacing w:val="-8"/>
        </w:rPr>
        <w:t>但目标 </w:t>
      </w:r>
      <w:r>
        <w:rPr/>
        <w:t>ETF</w:t>
      </w:r>
      <w:r>
        <w:rPr>
          <w:spacing w:val="-8"/>
        </w:rPr>
        <w:t> 召开基金份额持有人大会审议变更目标 </w:t>
      </w:r>
      <w:r>
        <w:rPr/>
        <w:t>ETF</w:t>
      </w:r>
      <w:r>
        <w:rPr>
          <w:spacing w:val="-6"/>
        </w:rPr>
        <w:t> 标的指数事项的，本基金的基金份额</w:t>
      </w:r>
      <w:r>
        <w:rPr>
          <w:spacing w:val="-9"/>
        </w:rPr>
        <w:t>持有人可出席目标 </w:t>
      </w:r>
      <w:r>
        <w:rPr/>
        <w:t>ETF</w:t>
      </w:r>
      <w:r>
        <w:rPr>
          <w:spacing w:val="-8"/>
        </w:rPr>
        <w:t> 基金份额持有人大会并进行表决，目标 </w:t>
      </w:r>
      <w:r>
        <w:rPr/>
        <w:t>ETF</w:t>
      </w:r>
      <w:r>
        <w:rPr>
          <w:spacing w:val="-6"/>
        </w:rPr>
        <w:t> 基金份额持有人大会审议通过变更标的指数事项的，本基金可不召开基金份额持有人大会相应变更标的指数并 仍为</w:t>
      </w:r>
      <w:r>
        <w:rPr>
          <w:spacing w:val="-18"/>
        </w:rPr>
        <w:t>该目标 </w:t>
      </w:r>
      <w:r>
        <w:rPr/>
        <w:t>ETF</w:t>
      </w:r>
      <w:r>
        <w:rPr>
          <w:spacing w:val="-9"/>
        </w:rPr>
        <w:t> 的联接基金。</w:t>
      </w:r>
    </w:p>
    <w:p>
      <w:pPr>
        <w:pStyle w:val="ListParagraph"/>
        <w:numPr>
          <w:ilvl w:val="0"/>
          <w:numId w:val="66"/>
        </w:numPr>
        <w:tabs>
          <w:tab w:pos="1360" w:val="left" w:leader="none"/>
        </w:tabs>
        <w:spacing w:line="267" w:lineRule="exact" w:before="0" w:after="0"/>
        <w:ind w:left="1360" w:right="0" w:hanging="527"/>
        <w:jc w:val="left"/>
        <w:rPr>
          <w:sz w:val="21"/>
        </w:rPr>
      </w:pPr>
      <w:r>
        <w:rPr>
          <w:sz w:val="21"/>
        </w:rPr>
        <w:t>禁止行为</w:t>
      </w:r>
    </w:p>
    <w:p>
      <w:pPr>
        <w:pStyle w:val="BodyText"/>
        <w:spacing w:before="138"/>
        <w:ind w:left="833"/>
      </w:pPr>
      <w:r>
        <w:rPr/>
        <w:t>为维护基金份额持有人的合法权益，基金财产不得用于下列投资或者活动：</w:t>
      </w:r>
    </w:p>
    <w:p>
      <w:pPr>
        <w:pStyle w:val="ListParagraph"/>
        <w:numPr>
          <w:ilvl w:val="0"/>
          <w:numId w:val="68"/>
        </w:numPr>
        <w:tabs>
          <w:tab w:pos="1045" w:val="left" w:leader="none"/>
        </w:tabs>
        <w:spacing w:line="240" w:lineRule="auto" w:before="140" w:after="0"/>
        <w:ind w:left="1045" w:right="0" w:hanging="212"/>
        <w:jc w:val="left"/>
        <w:rPr>
          <w:sz w:val="21"/>
        </w:rPr>
      </w:pPr>
      <w:r>
        <w:rPr>
          <w:sz w:val="21"/>
        </w:rPr>
        <w:t>承销证券；</w:t>
      </w:r>
    </w:p>
    <w:p>
      <w:pPr>
        <w:pStyle w:val="ListParagraph"/>
        <w:numPr>
          <w:ilvl w:val="0"/>
          <w:numId w:val="68"/>
        </w:numPr>
        <w:tabs>
          <w:tab w:pos="1045" w:val="left" w:leader="none"/>
        </w:tabs>
        <w:spacing w:line="240" w:lineRule="auto" w:before="139" w:after="0"/>
        <w:ind w:left="1045" w:right="0" w:hanging="212"/>
        <w:jc w:val="left"/>
        <w:rPr>
          <w:sz w:val="21"/>
        </w:rPr>
      </w:pPr>
      <w:r>
        <w:rPr>
          <w:sz w:val="21"/>
        </w:rPr>
        <w:t>违反规定向他人贷款或者提供担保；</w:t>
      </w:r>
    </w:p>
    <w:p>
      <w:pPr>
        <w:pStyle w:val="ListParagraph"/>
        <w:numPr>
          <w:ilvl w:val="0"/>
          <w:numId w:val="68"/>
        </w:numPr>
        <w:tabs>
          <w:tab w:pos="1045" w:val="left" w:leader="none"/>
        </w:tabs>
        <w:spacing w:line="240" w:lineRule="auto" w:before="140" w:after="0"/>
        <w:ind w:left="1045" w:right="0" w:hanging="212"/>
        <w:jc w:val="left"/>
        <w:rPr>
          <w:sz w:val="21"/>
        </w:rPr>
      </w:pPr>
      <w:r>
        <w:rPr>
          <w:sz w:val="21"/>
        </w:rPr>
        <w:t>从事承担无限责任的投资；</w:t>
      </w:r>
    </w:p>
    <w:p>
      <w:pPr>
        <w:pStyle w:val="ListParagraph"/>
        <w:numPr>
          <w:ilvl w:val="0"/>
          <w:numId w:val="68"/>
        </w:numPr>
        <w:tabs>
          <w:tab w:pos="1047" w:val="left" w:leader="none"/>
        </w:tabs>
        <w:spacing w:line="364" w:lineRule="auto" w:before="139" w:after="0"/>
        <w:ind w:left="413" w:right="1452" w:firstLine="420"/>
        <w:jc w:val="left"/>
        <w:rPr>
          <w:sz w:val="21"/>
        </w:rPr>
      </w:pPr>
      <w:r>
        <w:rPr>
          <w:spacing w:val="-2"/>
          <w:sz w:val="21"/>
        </w:rPr>
        <w:t>买卖其他基金份额，但本基金投资目标 </w:t>
      </w:r>
      <w:r>
        <w:rPr>
          <w:sz w:val="21"/>
        </w:rPr>
        <w:t>ETF</w:t>
      </w:r>
      <w:r>
        <w:rPr>
          <w:spacing w:val="-5"/>
          <w:sz w:val="21"/>
        </w:rPr>
        <w:t> 或者法律法规或中国证监会另有规定的除外；</w:t>
      </w:r>
    </w:p>
    <w:p>
      <w:pPr>
        <w:pStyle w:val="ListParagraph"/>
        <w:numPr>
          <w:ilvl w:val="0"/>
          <w:numId w:val="68"/>
        </w:numPr>
        <w:tabs>
          <w:tab w:pos="1045" w:val="left" w:leader="none"/>
        </w:tabs>
        <w:spacing w:line="268" w:lineRule="exact" w:before="0" w:after="0"/>
        <w:ind w:left="1045" w:right="0" w:hanging="212"/>
        <w:jc w:val="left"/>
        <w:rPr>
          <w:sz w:val="21"/>
        </w:rPr>
      </w:pPr>
      <w:r>
        <w:rPr>
          <w:sz w:val="21"/>
        </w:rPr>
        <w:t>向其基金管理人、基金托管人出资；</w:t>
      </w:r>
    </w:p>
    <w:p>
      <w:pPr>
        <w:pStyle w:val="ListParagraph"/>
        <w:numPr>
          <w:ilvl w:val="0"/>
          <w:numId w:val="68"/>
        </w:numPr>
        <w:tabs>
          <w:tab w:pos="1045" w:val="left" w:leader="none"/>
        </w:tabs>
        <w:spacing w:line="240" w:lineRule="auto" w:before="139" w:after="0"/>
        <w:ind w:left="1045" w:right="0" w:hanging="212"/>
        <w:jc w:val="left"/>
        <w:rPr>
          <w:sz w:val="21"/>
        </w:rPr>
      </w:pPr>
      <w:r>
        <w:rPr>
          <w:sz w:val="21"/>
        </w:rPr>
        <w:t>从事内幕交易、操纵证券交易价格及其他不正当的证券交易活动；</w:t>
      </w:r>
    </w:p>
    <w:p>
      <w:pPr>
        <w:pStyle w:val="ListParagraph"/>
        <w:numPr>
          <w:ilvl w:val="0"/>
          <w:numId w:val="68"/>
        </w:numPr>
        <w:tabs>
          <w:tab w:pos="1045" w:val="left" w:leader="none"/>
        </w:tabs>
        <w:spacing w:line="240" w:lineRule="auto" w:before="140" w:after="0"/>
        <w:ind w:left="1045" w:right="0" w:hanging="212"/>
        <w:jc w:val="left"/>
        <w:rPr>
          <w:sz w:val="21"/>
        </w:rPr>
      </w:pPr>
      <w:r>
        <w:rPr>
          <w:sz w:val="21"/>
        </w:rPr>
        <w:t>依照法律法规有关规定，由中国证监会规定禁止的其他活动；</w:t>
      </w:r>
    </w:p>
    <w:p>
      <w:pPr>
        <w:pStyle w:val="ListParagraph"/>
        <w:numPr>
          <w:ilvl w:val="0"/>
          <w:numId w:val="68"/>
        </w:numPr>
        <w:tabs>
          <w:tab w:pos="1047" w:val="left" w:leader="none"/>
        </w:tabs>
        <w:spacing w:line="364" w:lineRule="auto" w:before="139" w:after="0"/>
        <w:ind w:left="413" w:right="1452" w:firstLine="420"/>
        <w:jc w:val="left"/>
        <w:rPr>
          <w:sz w:val="21"/>
        </w:rPr>
      </w:pPr>
      <w:r>
        <w:rPr>
          <w:sz w:val="21"/>
        </w:rPr>
        <w:t>法律法规或监管部门取消上述限制，如适用于本基金，则本基金投资不再受相关限制。</w:t>
      </w:r>
    </w:p>
    <w:p>
      <w:pPr>
        <w:pStyle w:val="BodyText"/>
        <w:spacing w:line="268" w:lineRule="exact"/>
        <w:ind w:left="833"/>
      </w:pPr>
      <w:r>
        <w:rPr/>
        <w:t>（六）基金资产净值的计算方法和公告方式</w:t>
      </w:r>
    </w:p>
    <w:p>
      <w:pPr>
        <w:pStyle w:val="BodyText"/>
        <w:spacing w:before="140"/>
        <w:ind w:left="833"/>
      </w:pPr>
      <w:r>
        <w:rPr/>
        <w:t>1、基金资产总值</w:t>
      </w:r>
    </w:p>
    <w:p>
      <w:pPr>
        <w:pStyle w:val="BodyText"/>
        <w:spacing w:line="364" w:lineRule="auto" w:before="139"/>
        <w:ind w:left="413" w:right="1452" w:firstLine="420"/>
      </w:pPr>
      <w:r>
        <w:rPr/>
        <w:t>基金资产总值是指基金拥有的各类有价证券、银行存款本息、基金应收申购款以及其他资产的价值总和。</w:t>
      </w:r>
    </w:p>
    <w:p>
      <w:pPr>
        <w:pStyle w:val="BodyText"/>
        <w:spacing w:line="268" w:lineRule="exact"/>
        <w:ind w:left="833"/>
      </w:pPr>
      <w:r>
        <w:rPr/>
        <w:t>2、基金资产净值</w:t>
      </w:r>
    </w:p>
    <w:p>
      <w:pPr>
        <w:spacing w:after="0" w:line="268" w:lineRule="exact"/>
        <w:sectPr>
          <w:pgSz w:w="11910" w:h="16840"/>
          <w:pgMar w:header="0" w:footer="1166" w:top="1600" w:bottom="1440" w:left="1400" w:right="360"/>
        </w:sectPr>
      </w:pPr>
    </w:p>
    <w:p>
      <w:pPr>
        <w:pStyle w:val="BodyText"/>
        <w:spacing w:before="104"/>
        <w:ind w:left="833"/>
      </w:pPr>
      <w:r>
        <w:rPr/>
        <w:t>基金资产净值是指基金资产总值减去负债后的价值。</w:t>
      </w:r>
    </w:p>
    <w:p>
      <w:pPr>
        <w:pStyle w:val="BodyText"/>
        <w:spacing w:before="139"/>
        <w:ind w:left="833"/>
      </w:pPr>
      <w:r>
        <w:rPr/>
        <w:t>3、基金资产净值公告、基金份额净值公告、基金份额累计净值公告</w:t>
      </w:r>
    </w:p>
    <w:p>
      <w:pPr>
        <w:pStyle w:val="ListParagraph"/>
        <w:numPr>
          <w:ilvl w:val="0"/>
          <w:numId w:val="69"/>
        </w:numPr>
        <w:tabs>
          <w:tab w:pos="1150" w:val="left" w:leader="none"/>
        </w:tabs>
        <w:spacing w:line="364" w:lineRule="auto" w:before="140" w:after="0"/>
        <w:ind w:left="413" w:right="1451" w:firstLine="420"/>
        <w:jc w:val="left"/>
        <w:rPr>
          <w:sz w:val="21"/>
        </w:rPr>
      </w:pPr>
      <w:r>
        <w:rPr>
          <w:spacing w:val="-3"/>
          <w:sz w:val="21"/>
        </w:rPr>
        <w:t>本基金的基金合同生效后，在开始办理基金份额申购或者赎回前，基金管理人将至</w:t>
      </w:r>
      <w:r>
        <w:rPr>
          <w:sz w:val="21"/>
        </w:rPr>
        <w:t>少每周公告一次基金资产净值和基金份额净值；</w:t>
      </w:r>
    </w:p>
    <w:p>
      <w:pPr>
        <w:pStyle w:val="ListParagraph"/>
        <w:numPr>
          <w:ilvl w:val="0"/>
          <w:numId w:val="69"/>
        </w:numPr>
        <w:tabs>
          <w:tab w:pos="1150" w:val="left" w:leader="none"/>
        </w:tabs>
        <w:spacing w:line="364" w:lineRule="auto" w:before="0" w:after="0"/>
        <w:ind w:left="413" w:right="1451" w:firstLine="420"/>
        <w:jc w:val="left"/>
        <w:rPr>
          <w:sz w:val="21"/>
        </w:rPr>
      </w:pPr>
      <w:r>
        <w:rPr>
          <w:spacing w:val="-3"/>
          <w:sz w:val="21"/>
        </w:rPr>
        <w:t>在开始办理基金份额申购或者赎回后，基金管理人将在每个开放日的次日，通过网</w:t>
      </w:r>
      <w:r>
        <w:rPr>
          <w:sz w:val="21"/>
        </w:rPr>
        <w:t>站、基金份额发售网点以及其他媒介，披露开放日的基金份额净值和基金份额累计净值；</w:t>
      </w:r>
    </w:p>
    <w:p>
      <w:pPr>
        <w:pStyle w:val="ListParagraph"/>
        <w:numPr>
          <w:ilvl w:val="0"/>
          <w:numId w:val="69"/>
        </w:numPr>
        <w:tabs>
          <w:tab w:pos="1155" w:val="left" w:leader="none"/>
        </w:tabs>
        <w:spacing w:line="364" w:lineRule="auto" w:before="0" w:after="0"/>
        <w:ind w:left="413" w:right="1452" w:firstLine="420"/>
        <w:jc w:val="both"/>
        <w:rPr>
          <w:sz w:val="21"/>
        </w:rPr>
      </w:pPr>
      <w:r>
        <w:rPr>
          <w:spacing w:val="4"/>
          <w:sz w:val="21"/>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pPr>
        <w:pStyle w:val="BodyText"/>
        <w:spacing w:line="268" w:lineRule="exact"/>
        <w:ind w:left="833"/>
      </w:pPr>
      <w:r>
        <w:rPr/>
        <w:t>（七）基金合同解除和终止的事由、程序以及基金财产清算方式</w:t>
      </w:r>
    </w:p>
    <w:p>
      <w:pPr>
        <w:pStyle w:val="BodyText"/>
        <w:spacing w:before="137"/>
        <w:ind w:left="833"/>
      </w:pPr>
      <w:r>
        <w:rPr/>
        <w:t>1、本基金合同的终止</w:t>
      </w:r>
    </w:p>
    <w:p>
      <w:pPr>
        <w:pStyle w:val="BodyText"/>
        <w:spacing w:before="140"/>
        <w:ind w:left="833"/>
      </w:pPr>
      <w:r>
        <w:rPr/>
        <w:t>有下列情形之一的，本基金合同终止：</w:t>
      </w:r>
    </w:p>
    <w:p>
      <w:pPr>
        <w:pStyle w:val="ListParagraph"/>
        <w:numPr>
          <w:ilvl w:val="0"/>
          <w:numId w:val="70"/>
        </w:numPr>
        <w:tabs>
          <w:tab w:pos="1150" w:val="left" w:leader="none"/>
        </w:tabs>
        <w:spacing w:line="240" w:lineRule="auto" w:before="139" w:after="0"/>
        <w:ind w:left="1150" w:right="0" w:hanging="317"/>
        <w:jc w:val="left"/>
        <w:rPr>
          <w:sz w:val="21"/>
        </w:rPr>
      </w:pPr>
      <w:r>
        <w:rPr>
          <w:sz w:val="21"/>
        </w:rPr>
        <w:t>基金份额持有人大会决定终止的；</w:t>
      </w:r>
    </w:p>
    <w:p>
      <w:pPr>
        <w:pStyle w:val="ListParagraph"/>
        <w:numPr>
          <w:ilvl w:val="0"/>
          <w:numId w:val="70"/>
        </w:numPr>
        <w:tabs>
          <w:tab w:pos="1150" w:val="left" w:leader="none"/>
        </w:tabs>
        <w:spacing w:line="240" w:lineRule="auto" w:before="140" w:after="0"/>
        <w:ind w:left="1150" w:right="0" w:hanging="317"/>
        <w:jc w:val="left"/>
        <w:rPr>
          <w:sz w:val="21"/>
        </w:rPr>
      </w:pPr>
      <w:r>
        <w:rPr>
          <w:spacing w:val="-6"/>
          <w:sz w:val="21"/>
        </w:rPr>
        <w:t>基金管理人因解散、破产、撤销等事由，不能继续担任基金管理人的职务，而在 </w:t>
      </w:r>
      <w:r>
        <w:rPr>
          <w:sz w:val="21"/>
        </w:rPr>
        <w:t>6</w:t>
      </w:r>
    </w:p>
    <w:p>
      <w:pPr>
        <w:pStyle w:val="BodyText"/>
        <w:spacing w:before="139"/>
        <w:ind w:left="413"/>
      </w:pPr>
      <w:r>
        <w:rPr/>
        <w:t>个月内无其他适当的基金管理公司承接其原有权利义务；</w:t>
      </w:r>
    </w:p>
    <w:p>
      <w:pPr>
        <w:pStyle w:val="ListParagraph"/>
        <w:numPr>
          <w:ilvl w:val="0"/>
          <w:numId w:val="70"/>
        </w:numPr>
        <w:tabs>
          <w:tab w:pos="1150" w:val="left" w:leader="none"/>
        </w:tabs>
        <w:spacing w:line="240" w:lineRule="auto" w:before="140" w:after="0"/>
        <w:ind w:left="1150" w:right="0" w:hanging="317"/>
        <w:jc w:val="left"/>
        <w:rPr>
          <w:sz w:val="21"/>
        </w:rPr>
      </w:pPr>
      <w:r>
        <w:rPr>
          <w:spacing w:val="-6"/>
          <w:sz w:val="21"/>
        </w:rPr>
        <w:t>基金托管人因解散、破产、撤销等事由，不能继续担任基金托管人的职务，而在 </w:t>
      </w:r>
      <w:r>
        <w:rPr>
          <w:sz w:val="21"/>
        </w:rPr>
        <w:t>6</w:t>
      </w:r>
    </w:p>
    <w:p>
      <w:pPr>
        <w:pStyle w:val="BodyText"/>
        <w:spacing w:before="139"/>
        <w:ind w:left="413"/>
      </w:pPr>
      <w:r>
        <w:rPr/>
        <w:t>个月内无其他适当的托管机构承接其原有权利义务；</w:t>
      </w:r>
    </w:p>
    <w:p>
      <w:pPr>
        <w:pStyle w:val="ListParagraph"/>
        <w:numPr>
          <w:ilvl w:val="0"/>
          <w:numId w:val="70"/>
        </w:numPr>
        <w:tabs>
          <w:tab w:pos="1150" w:val="left" w:leader="none"/>
        </w:tabs>
        <w:spacing w:line="364" w:lineRule="auto" w:before="139" w:after="0"/>
        <w:ind w:left="833" w:right="6267" w:firstLine="0"/>
        <w:jc w:val="left"/>
        <w:rPr>
          <w:sz w:val="21"/>
        </w:rPr>
      </w:pPr>
      <w:r>
        <w:rPr>
          <w:spacing w:val="-2"/>
          <w:sz w:val="21"/>
        </w:rPr>
        <w:t>中国证监会规定的其他情况。</w:t>
      </w:r>
      <w:r>
        <w:rPr>
          <w:sz w:val="21"/>
        </w:rPr>
        <w:t>2、基金财产的清算</w:t>
      </w:r>
    </w:p>
    <w:p>
      <w:pPr>
        <w:pStyle w:val="ListParagraph"/>
        <w:numPr>
          <w:ilvl w:val="0"/>
          <w:numId w:val="71"/>
        </w:numPr>
        <w:tabs>
          <w:tab w:pos="1150" w:val="left" w:leader="none"/>
        </w:tabs>
        <w:spacing w:line="268" w:lineRule="exact" w:before="0" w:after="0"/>
        <w:ind w:left="1150" w:right="0" w:hanging="317"/>
        <w:jc w:val="left"/>
        <w:rPr>
          <w:sz w:val="21"/>
        </w:rPr>
      </w:pPr>
      <w:r>
        <w:rPr>
          <w:sz w:val="21"/>
        </w:rPr>
        <w:t>基金财产清算组</w:t>
      </w:r>
    </w:p>
    <w:p>
      <w:pPr>
        <w:pStyle w:val="ListParagraph"/>
        <w:numPr>
          <w:ilvl w:val="0"/>
          <w:numId w:val="72"/>
        </w:numPr>
        <w:tabs>
          <w:tab w:pos="1045" w:val="left" w:leader="none"/>
        </w:tabs>
        <w:spacing w:line="364" w:lineRule="auto" w:before="140" w:after="0"/>
        <w:ind w:left="413" w:right="1451" w:firstLine="420"/>
        <w:jc w:val="both"/>
        <w:rPr>
          <w:sz w:val="21"/>
        </w:rPr>
      </w:pPr>
      <w:r>
        <w:rPr>
          <w:spacing w:val="-4"/>
          <w:sz w:val="21"/>
        </w:rPr>
        <w:t>自出现基金合同终止事由之日起 </w:t>
      </w:r>
      <w:r>
        <w:rPr>
          <w:sz w:val="21"/>
        </w:rPr>
        <w:t>30</w:t>
      </w:r>
      <w:r>
        <w:rPr>
          <w:spacing w:val="-10"/>
          <w:sz w:val="21"/>
        </w:rPr>
        <w:t> 个工作日内成立基金财产清算组，基金管理人组</w:t>
      </w:r>
      <w:r>
        <w:rPr>
          <w:sz w:val="21"/>
        </w:rPr>
        <w:t>织基金财产清算组并在中国证监会的监督下进行基金清算。</w:t>
      </w:r>
    </w:p>
    <w:p>
      <w:pPr>
        <w:pStyle w:val="ListParagraph"/>
        <w:numPr>
          <w:ilvl w:val="0"/>
          <w:numId w:val="72"/>
        </w:numPr>
        <w:tabs>
          <w:tab w:pos="1047" w:val="left" w:leader="none"/>
        </w:tabs>
        <w:spacing w:line="364" w:lineRule="auto" w:before="0" w:after="0"/>
        <w:ind w:left="413" w:right="1452" w:firstLine="420"/>
        <w:jc w:val="both"/>
        <w:rPr>
          <w:sz w:val="21"/>
        </w:rPr>
      </w:pPr>
      <w:r>
        <w:rPr>
          <w:sz w:val="21"/>
        </w:rPr>
        <w:t>基金财产清算组成员由基金管理人、基金托管人、具有从事证券相关业务资格的注册会计师、律师以及中国证监会指定的人员组成。基金财产清算组可以聘用必要的工作人员。</w:t>
      </w:r>
    </w:p>
    <w:p>
      <w:pPr>
        <w:pStyle w:val="ListParagraph"/>
        <w:numPr>
          <w:ilvl w:val="0"/>
          <w:numId w:val="72"/>
        </w:numPr>
        <w:tabs>
          <w:tab w:pos="1047" w:val="left" w:leader="none"/>
        </w:tabs>
        <w:spacing w:line="364" w:lineRule="auto" w:before="0" w:after="0"/>
        <w:ind w:left="413" w:right="1452" w:firstLine="420"/>
        <w:jc w:val="left"/>
        <w:rPr>
          <w:sz w:val="21"/>
        </w:rPr>
      </w:pPr>
      <w:r>
        <w:rPr>
          <w:sz w:val="21"/>
        </w:rPr>
        <w:t>基金财产清算组负责基金财产的保管、清理、估价、变现和分配。基金财产清算组可以依法进行必要的民事活动。</w:t>
      </w:r>
    </w:p>
    <w:p>
      <w:pPr>
        <w:pStyle w:val="ListParagraph"/>
        <w:numPr>
          <w:ilvl w:val="0"/>
          <w:numId w:val="71"/>
        </w:numPr>
        <w:tabs>
          <w:tab w:pos="1150" w:val="left" w:leader="none"/>
        </w:tabs>
        <w:spacing w:line="268" w:lineRule="exact" w:before="0" w:after="0"/>
        <w:ind w:left="1150" w:right="0" w:hanging="317"/>
        <w:jc w:val="left"/>
        <w:rPr>
          <w:sz w:val="21"/>
        </w:rPr>
      </w:pPr>
      <w:r>
        <w:rPr>
          <w:sz w:val="21"/>
        </w:rPr>
        <w:t>基金财产清算程序</w:t>
      </w:r>
    </w:p>
    <w:p>
      <w:pPr>
        <w:pStyle w:val="BodyText"/>
        <w:spacing w:line="364" w:lineRule="auto" w:before="137"/>
        <w:ind w:left="413" w:right="1452" w:firstLine="420"/>
      </w:pPr>
      <w:r>
        <w:rPr/>
        <w:t>基金合同终止，应当按法律法规和本基金合同的有关规定对基金财产进行清算。基金财产清算程序主要包括：</w:t>
      </w:r>
    </w:p>
    <w:p>
      <w:pPr>
        <w:pStyle w:val="ListParagraph"/>
        <w:numPr>
          <w:ilvl w:val="0"/>
          <w:numId w:val="73"/>
        </w:numPr>
        <w:tabs>
          <w:tab w:pos="1045" w:val="left" w:leader="none"/>
        </w:tabs>
        <w:spacing w:line="268" w:lineRule="exact" w:before="0" w:after="0"/>
        <w:ind w:left="1045" w:right="0" w:hanging="212"/>
        <w:jc w:val="left"/>
        <w:rPr>
          <w:sz w:val="21"/>
        </w:rPr>
      </w:pPr>
      <w:r>
        <w:rPr>
          <w:sz w:val="21"/>
        </w:rPr>
        <w:t>基金合同终止后，发布基金财产清算公告；</w:t>
      </w:r>
    </w:p>
    <w:p>
      <w:pPr>
        <w:pStyle w:val="ListParagraph"/>
        <w:numPr>
          <w:ilvl w:val="0"/>
          <w:numId w:val="73"/>
        </w:numPr>
        <w:tabs>
          <w:tab w:pos="1045" w:val="left" w:leader="none"/>
        </w:tabs>
        <w:spacing w:line="240" w:lineRule="auto" w:before="139" w:after="0"/>
        <w:ind w:left="1045" w:right="0" w:hanging="212"/>
        <w:jc w:val="left"/>
        <w:rPr>
          <w:sz w:val="21"/>
        </w:rPr>
      </w:pPr>
      <w:r>
        <w:rPr>
          <w:sz w:val="21"/>
        </w:rPr>
        <w:t>基金合同终止时，由基金财产清算组统一接管基金财产；</w:t>
      </w:r>
    </w:p>
    <w:p>
      <w:pPr>
        <w:pStyle w:val="ListParagraph"/>
        <w:numPr>
          <w:ilvl w:val="0"/>
          <w:numId w:val="73"/>
        </w:numPr>
        <w:tabs>
          <w:tab w:pos="1045" w:val="left" w:leader="none"/>
        </w:tabs>
        <w:spacing w:line="240" w:lineRule="auto" w:before="140" w:after="0"/>
        <w:ind w:left="1045" w:right="0" w:hanging="212"/>
        <w:jc w:val="left"/>
        <w:rPr>
          <w:sz w:val="21"/>
        </w:rPr>
      </w:pPr>
      <w:r>
        <w:rPr>
          <w:sz w:val="21"/>
        </w:rPr>
        <w:t>对基金财产进行清理和确认；</w:t>
      </w:r>
    </w:p>
    <w:p>
      <w:pPr>
        <w:spacing w:after="0" w:line="240" w:lineRule="auto"/>
        <w:jc w:val="left"/>
        <w:rPr>
          <w:sz w:val="21"/>
        </w:rPr>
        <w:sectPr>
          <w:pgSz w:w="11910" w:h="16840"/>
          <w:pgMar w:header="0" w:footer="1166" w:top="1600" w:bottom="1440" w:left="1400" w:right="360"/>
        </w:sectPr>
      </w:pPr>
    </w:p>
    <w:p>
      <w:pPr>
        <w:pStyle w:val="ListParagraph"/>
        <w:numPr>
          <w:ilvl w:val="0"/>
          <w:numId w:val="73"/>
        </w:numPr>
        <w:tabs>
          <w:tab w:pos="1045" w:val="left" w:leader="none"/>
        </w:tabs>
        <w:spacing w:line="240" w:lineRule="auto" w:before="104" w:after="0"/>
        <w:ind w:left="1045" w:right="0" w:hanging="212"/>
        <w:jc w:val="left"/>
        <w:rPr>
          <w:sz w:val="21"/>
        </w:rPr>
      </w:pPr>
      <w:r>
        <w:rPr>
          <w:sz w:val="21"/>
        </w:rPr>
        <w:t>对基金财产进行估价和变现；</w:t>
      </w:r>
    </w:p>
    <w:p>
      <w:pPr>
        <w:pStyle w:val="ListParagraph"/>
        <w:numPr>
          <w:ilvl w:val="0"/>
          <w:numId w:val="73"/>
        </w:numPr>
        <w:tabs>
          <w:tab w:pos="1045" w:val="left" w:leader="none"/>
        </w:tabs>
        <w:spacing w:line="240" w:lineRule="auto" w:before="139" w:after="0"/>
        <w:ind w:left="1045" w:right="0" w:hanging="212"/>
        <w:jc w:val="left"/>
        <w:rPr>
          <w:sz w:val="21"/>
        </w:rPr>
      </w:pPr>
      <w:r>
        <w:rPr>
          <w:sz w:val="21"/>
        </w:rPr>
        <w:t>聘请会计师事务所对清算报告进行审计；</w:t>
      </w:r>
    </w:p>
    <w:p>
      <w:pPr>
        <w:pStyle w:val="ListParagraph"/>
        <w:numPr>
          <w:ilvl w:val="0"/>
          <w:numId w:val="73"/>
        </w:numPr>
        <w:tabs>
          <w:tab w:pos="1045" w:val="left" w:leader="none"/>
        </w:tabs>
        <w:spacing w:line="240" w:lineRule="auto" w:before="140" w:after="0"/>
        <w:ind w:left="1045" w:right="0" w:hanging="212"/>
        <w:jc w:val="left"/>
        <w:rPr>
          <w:sz w:val="21"/>
        </w:rPr>
      </w:pPr>
      <w:r>
        <w:rPr>
          <w:sz w:val="21"/>
        </w:rPr>
        <w:t>聘请律师事务所出具法律意见书；</w:t>
      </w:r>
    </w:p>
    <w:p>
      <w:pPr>
        <w:pStyle w:val="ListParagraph"/>
        <w:numPr>
          <w:ilvl w:val="0"/>
          <w:numId w:val="73"/>
        </w:numPr>
        <w:tabs>
          <w:tab w:pos="1045" w:val="left" w:leader="none"/>
        </w:tabs>
        <w:spacing w:line="240" w:lineRule="auto" w:before="139" w:after="0"/>
        <w:ind w:left="1045" w:right="0" w:hanging="212"/>
        <w:jc w:val="left"/>
        <w:rPr>
          <w:sz w:val="21"/>
        </w:rPr>
      </w:pPr>
      <w:r>
        <w:rPr>
          <w:sz w:val="21"/>
        </w:rPr>
        <w:t>将基金财产清算结果报告中国证监会；</w:t>
      </w:r>
    </w:p>
    <w:p>
      <w:pPr>
        <w:pStyle w:val="ListParagraph"/>
        <w:numPr>
          <w:ilvl w:val="0"/>
          <w:numId w:val="73"/>
        </w:numPr>
        <w:tabs>
          <w:tab w:pos="1045" w:val="left" w:leader="none"/>
        </w:tabs>
        <w:spacing w:line="240" w:lineRule="auto" w:before="140" w:after="0"/>
        <w:ind w:left="1045" w:right="0" w:hanging="212"/>
        <w:jc w:val="left"/>
        <w:rPr>
          <w:sz w:val="21"/>
        </w:rPr>
      </w:pPr>
      <w:r>
        <w:rPr>
          <w:sz w:val="21"/>
        </w:rPr>
        <w:t>参加与基金财产有关的民事诉讼；</w:t>
      </w:r>
    </w:p>
    <w:p>
      <w:pPr>
        <w:pStyle w:val="ListParagraph"/>
        <w:numPr>
          <w:ilvl w:val="0"/>
          <w:numId w:val="73"/>
        </w:numPr>
        <w:tabs>
          <w:tab w:pos="1045" w:val="left" w:leader="none"/>
        </w:tabs>
        <w:spacing w:line="240" w:lineRule="auto" w:before="139" w:after="0"/>
        <w:ind w:left="1045" w:right="0" w:hanging="212"/>
        <w:jc w:val="left"/>
        <w:rPr>
          <w:sz w:val="21"/>
        </w:rPr>
      </w:pPr>
      <w:r>
        <w:rPr>
          <w:sz w:val="21"/>
        </w:rPr>
        <w:t>公布基金财产清算结果；</w:t>
      </w:r>
    </w:p>
    <w:p>
      <w:pPr>
        <w:pStyle w:val="ListParagraph"/>
        <w:numPr>
          <w:ilvl w:val="0"/>
          <w:numId w:val="73"/>
        </w:numPr>
        <w:tabs>
          <w:tab w:pos="1150" w:val="left" w:leader="none"/>
        </w:tabs>
        <w:spacing w:line="364" w:lineRule="auto" w:before="140" w:after="0"/>
        <w:ind w:left="833" w:right="6477" w:firstLine="0"/>
        <w:jc w:val="left"/>
        <w:rPr>
          <w:sz w:val="21"/>
        </w:rPr>
      </w:pPr>
      <w:r>
        <w:rPr>
          <w:spacing w:val="-2"/>
          <w:sz w:val="21"/>
        </w:rPr>
        <w:t>对基金剩余财产进行分配。</w:t>
      </w:r>
      <w:r>
        <w:rPr>
          <w:sz w:val="21"/>
        </w:rPr>
        <w:t>(3)清算费用</w:t>
      </w:r>
    </w:p>
    <w:p>
      <w:pPr>
        <w:pStyle w:val="BodyText"/>
        <w:spacing w:line="364" w:lineRule="auto"/>
        <w:ind w:left="413" w:right="1452" w:firstLine="420"/>
      </w:pPr>
      <w:r>
        <w:rPr/>
        <w:t>清算费用是指基金财产清算组在进行基金财产清算过程中发生的所有合理费用，清算费用由基金财产清算组优先从基金财产中支付。</w:t>
      </w:r>
    </w:p>
    <w:p>
      <w:pPr>
        <w:pStyle w:val="BodyText"/>
        <w:spacing w:line="364" w:lineRule="auto"/>
        <w:ind w:left="833" w:right="6462"/>
      </w:pPr>
      <w:r>
        <w:rPr/>
        <w:t>(4)基金财产按下列顺序清偿： 1)支付清算费用；</w:t>
      </w:r>
    </w:p>
    <w:p>
      <w:pPr>
        <w:pStyle w:val="ListParagraph"/>
        <w:numPr>
          <w:ilvl w:val="0"/>
          <w:numId w:val="74"/>
        </w:numPr>
        <w:tabs>
          <w:tab w:pos="1045" w:val="left" w:leader="none"/>
        </w:tabs>
        <w:spacing w:line="268" w:lineRule="exact" w:before="0" w:after="0"/>
        <w:ind w:left="1045" w:right="0" w:hanging="212"/>
        <w:jc w:val="left"/>
        <w:rPr>
          <w:sz w:val="21"/>
        </w:rPr>
      </w:pPr>
      <w:r>
        <w:rPr>
          <w:sz w:val="21"/>
        </w:rPr>
        <w:t>交纳所欠税款；</w:t>
      </w:r>
    </w:p>
    <w:p>
      <w:pPr>
        <w:pStyle w:val="ListParagraph"/>
        <w:numPr>
          <w:ilvl w:val="0"/>
          <w:numId w:val="74"/>
        </w:numPr>
        <w:tabs>
          <w:tab w:pos="1045" w:val="left" w:leader="none"/>
        </w:tabs>
        <w:spacing w:line="240" w:lineRule="auto" w:before="137" w:after="0"/>
        <w:ind w:left="1045" w:right="0" w:hanging="212"/>
        <w:jc w:val="left"/>
        <w:rPr>
          <w:sz w:val="21"/>
        </w:rPr>
      </w:pPr>
      <w:r>
        <w:rPr>
          <w:sz w:val="21"/>
        </w:rPr>
        <w:t>清偿基金债务；</w:t>
      </w:r>
    </w:p>
    <w:p>
      <w:pPr>
        <w:pStyle w:val="ListParagraph"/>
        <w:numPr>
          <w:ilvl w:val="0"/>
          <w:numId w:val="74"/>
        </w:numPr>
        <w:tabs>
          <w:tab w:pos="1045" w:val="left" w:leader="none"/>
        </w:tabs>
        <w:spacing w:line="240" w:lineRule="auto" w:before="140" w:after="0"/>
        <w:ind w:left="1045" w:right="0" w:hanging="212"/>
        <w:jc w:val="left"/>
        <w:rPr>
          <w:sz w:val="21"/>
        </w:rPr>
      </w:pPr>
      <w:r>
        <w:rPr>
          <w:sz w:val="21"/>
        </w:rPr>
        <w:t>按基金份额持有人持有的基金份额比例进行分配。</w:t>
      </w:r>
    </w:p>
    <w:p>
      <w:pPr>
        <w:pStyle w:val="BodyText"/>
        <w:spacing w:line="364" w:lineRule="auto" w:before="139"/>
        <w:ind w:left="833" w:right="2895"/>
      </w:pPr>
      <w:r>
        <w:rPr/>
        <w:t>基金财产未按前款 1)－3)项规定清偿前，不分配给基金份额持有人。(5)基金财产清算的公告</w:t>
      </w:r>
    </w:p>
    <w:p>
      <w:pPr>
        <w:pStyle w:val="BodyText"/>
        <w:spacing w:line="364" w:lineRule="auto"/>
        <w:ind w:left="413" w:right="1452" w:firstLine="420"/>
        <w:jc w:val="both"/>
      </w:pPr>
      <w:r>
        <w:rPr>
          <w:spacing w:val="-1"/>
        </w:rPr>
        <w:t>基金财产清算公告于基金合同终止并报中国证监会备案后 </w:t>
      </w:r>
      <w:r>
        <w:rPr/>
        <w:t>5</w:t>
      </w:r>
      <w:r>
        <w:rPr>
          <w:spacing w:val="-5"/>
        </w:rPr>
        <w:t> 个工作日内由基金财产清算组公告；清算过程中的有关重大事项须及时公告；基金财产清算结果经会计师事务所审计，律师事务所出具法律意见书后，由基金财产清算组报中国证监会备案并公告。</w:t>
      </w:r>
    </w:p>
    <w:p>
      <w:pPr>
        <w:pStyle w:val="BodyText"/>
        <w:spacing w:line="268" w:lineRule="exact"/>
        <w:ind w:left="833"/>
      </w:pPr>
      <w:r>
        <w:rPr/>
        <w:t>(6)基金财产清算账册及文件的保存</w:t>
      </w:r>
    </w:p>
    <w:p>
      <w:pPr>
        <w:pStyle w:val="BodyText"/>
        <w:spacing w:before="139"/>
        <w:ind w:left="833"/>
      </w:pPr>
      <w:r>
        <w:rPr/>
        <w:t>基金财产清算账册及有关文件由基金托管人保存 15 年以上。</w:t>
      </w:r>
    </w:p>
    <w:p>
      <w:pPr>
        <w:pStyle w:val="BodyText"/>
        <w:spacing w:before="139"/>
        <w:ind w:left="833"/>
      </w:pPr>
      <w:r>
        <w:rPr/>
        <w:t>（八）争议解决方式</w:t>
      </w:r>
    </w:p>
    <w:p>
      <w:pPr>
        <w:pStyle w:val="BodyText"/>
        <w:spacing w:line="364" w:lineRule="auto" w:before="139"/>
        <w:ind w:left="413" w:right="1242" w:firstLine="420"/>
      </w:pPr>
      <w:r>
        <w:rPr/>
        <w:t>对于因基金合同的订立、内容、履行和解释或与基金合同有关的争议，基金合同当事 人应尽量通过协商、调解途径解决。不愿或者不能通过协商、调解解决的，任何一方均有 权将争议提交中国国际经济贸易仲裁委员会，按照中国国际经济贸易仲裁委员会届时有效 的仲裁规则进行仲裁。仲裁地点为北京市。仲裁裁决是终局的，对各方当事人均有约束力， 仲裁费用由败诉方承担。</w:t>
      </w:r>
    </w:p>
    <w:p>
      <w:pPr>
        <w:pStyle w:val="BodyText"/>
        <w:spacing w:line="364" w:lineRule="auto"/>
        <w:ind w:left="413" w:right="1452" w:firstLine="420"/>
      </w:pPr>
      <w:r>
        <w:rPr/>
        <w:t>争议处理期间，基金合同当事人应恪守各自的职责，继续忠实、勤勉、尽责地履行基金合同规定的义务，维护基金份额持有人的合法权益。</w:t>
      </w:r>
    </w:p>
    <w:p>
      <w:pPr>
        <w:pStyle w:val="BodyText"/>
        <w:spacing w:line="268" w:lineRule="exact"/>
        <w:ind w:left="833"/>
      </w:pPr>
      <w:r>
        <w:rPr/>
        <w:t>本基金合同受中国法律管辖。</w:t>
      </w:r>
    </w:p>
    <w:p>
      <w:pPr>
        <w:pStyle w:val="BodyText"/>
        <w:spacing w:before="137"/>
        <w:ind w:left="833"/>
      </w:pPr>
      <w:r>
        <w:rPr/>
        <w:t>（九）基金合同存放地和投资者取得基金合同的方式</w:t>
      </w:r>
    </w:p>
    <w:p>
      <w:pPr>
        <w:pStyle w:val="BodyText"/>
        <w:spacing w:before="140"/>
        <w:ind w:left="833"/>
      </w:pPr>
      <w:r>
        <w:rPr/>
        <w:t>本基金合同可印制成册，供投资人在基金管理人、基金托管人、非直销销售机构和注</w:t>
      </w:r>
    </w:p>
    <w:p>
      <w:pPr>
        <w:spacing w:after="0"/>
        <w:sectPr>
          <w:pgSz w:w="11910" w:h="16840"/>
          <w:pgMar w:header="0" w:footer="1166" w:top="1600" w:bottom="1440" w:left="1400" w:right="360"/>
        </w:sectPr>
      </w:pPr>
    </w:p>
    <w:p>
      <w:pPr>
        <w:pStyle w:val="BodyText"/>
        <w:spacing w:before="104"/>
        <w:ind w:left="413"/>
      </w:pPr>
      <w:r>
        <w:rPr/>
        <w:t>册登记机构办公场所查阅，但其效力应以基金合同正本为准。</w:t>
      </w:r>
    </w:p>
    <w:p>
      <w:pPr>
        <w:spacing w:after="0"/>
        <w:sectPr>
          <w:pgSz w:w="11910" w:h="16840"/>
          <w:pgMar w:header="0" w:footer="1166" w:top="1600" w:bottom="1440" w:left="1400" w:right="360"/>
        </w:sectPr>
      </w:pPr>
    </w:p>
    <w:p>
      <w:pPr>
        <w:pStyle w:val="Heading1"/>
        <w:ind w:left="2143"/>
      </w:pPr>
      <w:bookmarkStart w:name="_bookmark95" w:id="96"/>
      <w:bookmarkEnd w:id="96"/>
      <w:r>
        <w:rPr>
          <w:b w:val="0"/>
        </w:rPr>
      </w:r>
      <w:r>
        <w:rPr/>
        <w:t>二十二、基金托管协议的内容摘要</w:t>
      </w:r>
    </w:p>
    <w:p>
      <w:pPr>
        <w:pStyle w:val="Heading3"/>
        <w:spacing w:before="139"/>
      </w:pPr>
      <w:bookmarkStart w:name="_bookmark96" w:id="97"/>
      <w:bookmarkEnd w:id="97"/>
      <w:r>
        <w:rPr/>
      </w:r>
      <w:r>
        <w:rPr/>
        <w:t>（一）托管协议当事人</w:t>
      </w:r>
    </w:p>
    <w:p>
      <w:pPr>
        <w:pStyle w:val="BodyText"/>
        <w:spacing w:before="185"/>
        <w:ind w:left="833"/>
      </w:pPr>
      <w:r>
        <w:rPr/>
        <w:t>1、基金管理人</w:t>
      </w:r>
    </w:p>
    <w:p>
      <w:pPr>
        <w:pStyle w:val="BodyText"/>
        <w:spacing w:before="139"/>
        <w:ind w:left="833"/>
      </w:pPr>
      <w:r>
        <w:rPr/>
        <w:t>名称：易方达基金管理有限公司</w:t>
      </w:r>
    </w:p>
    <w:p>
      <w:pPr>
        <w:pStyle w:val="BodyText"/>
        <w:spacing w:line="364" w:lineRule="auto" w:before="140"/>
        <w:ind w:left="833" w:right="2382"/>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268" w:lineRule="exact"/>
        <w:ind w:left="833"/>
      </w:pPr>
      <w:r>
        <w:rPr/>
        <w:t>法定代表人：刘晓艳</w:t>
      </w:r>
    </w:p>
    <w:p>
      <w:pPr>
        <w:pStyle w:val="BodyText"/>
        <w:spacing w:before="139"/>
        <w:ind w:left="833"/>
      </w:pPr>
      <w:r>
        <w:rPr/>
        <w:t>成立日期：2001 年 4 月 17 日</w:t>
      </w:r>
    </w:p>
    <w:p>
      <w:pPr>
        <w:pStyle w:val="BodyText"/>
        <w:spacing w:line="364" w:lineRule="auto" w:before="140"/>
        <w:ind w:left="833" w:right="1740"/>
      </w:pPr>
      <w:r>
        <w:rPr/>
        <w:t>批准设立机关及批准设立文号：中国证券监督管理委员会，证监基金字[2001]4 号组织形式：有限责任公司</w:t>
      </w:r>
    </w:p>
    <w:p>
      <w:pPr>
        <w:pStyle w:val="BodyText"/>
        <w:spacing w:line="364" w:lineRule="auto"/>
        <w:ind w:left="833" w:right="6255"/>
      </w:pPr>
      <w:r>
        <w:rPr/>
        <w:t>注册资本：13,244.2 万元人民币存续期间：持续经营</w:t>
      </w:r>
    </w:p>
    <w:p>
      <w:pPr>
        <w:pStyle w:val="BodyText"/>
        <w:spacing w:line="268" w:lineRule="exact"/>
        <w:ind w:left="833"/>
      </w:pPr>
      <w:r>
        <w:rPr/>
        <w:t>经营范围：公开募集证券投资基金管理、基金销售、特定客户资产管理</w:t>
      </w:r>
    </w:p>
    <w:p>
      <w:pPr>
        <w:pStyle w:val="BodyText"/>
        <w:spacing w:before="138"/>
        <w:ind w:left="833"/>
      </w:pPr>
      <w:r>
        <w:rPr/>
        <w:t>2、基金托管人</w:t>
      </w:r>
    </w:p>
    <w:p>
      <w:pPr>
        <w:pStyle w:val="BodyText"/>
        <w:spacing w:line="364" w:lineRule="auto" w:before="140"/>
        <w:ind w:left="833" w:right="4062"/>
      </w:pPr>
      <w:r>
        <w:rPr/>
        <w:t>名称：中国建设银行股份有限公司(简称：中国建设银行) 住所：北京市西城区金融大街 25 号</w:t>
      </w:r>
    </w:p>
    <w:p>
      <w:pPr>
        <w:pStyle w:val="BodyText"/>
        <w:spacing w:line="364" w:lineRule="auto"/>
        <w:ind w:left="833" w:right="4692"/>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ind w:left="833"/>
      </w:pPr>
      <w:r>
        <w:rPr/>
        <w:t>法定代表人：田国立</w:t>
      </w:r>
    </w:p>
    <w:p>
      <w:pPr>
        <w:pStyle w:val="BodyText"/>
        <w:spacing w:before="138"/>
        <w:ind w:left="833"/>
      </w:pPr>
      <w:r>
        <w:rPr/>
        <w:t>成立日期：2004 年 09 月 17 日</w:t>
      </w:r>
    </w:p>
    <w:p>
      <w:pPr>
        <w:pStyle w:val="BodyText"/>
        <w:spacing w:line="364" w:lineRule="auto" w:before="140"/>
        <w:ind w:left="833" w:right="3945"/>
      </w:pPr>
      <w:r>
        <w:rPr/>
        <w:t>基金托管业务批准文号：中国证监会证监基字[1998]12 号组织形式：股份有限公司</w:t>
      </w:r>
    </w:p>
    <w:p>
      <w:pPr>
        <w:pStyle w:val="BodyText"/>
        <w:spacing w:line="364" w:lineRule="auto"/>
        <w:ind w:left="833" w:right="3852"/>
      </w:pPr>
      <w:r>
        <w:rPr/>
        <w:t>注册资本：贰仟伍佰亿壹仟零玖拾柒万柒仟肆佰捌拾陆元整存续期间：持续经营</w:t>
      </w:r>
    </w:p>
    <w:p>
      <w:pPr>
        <w:pStyle w:val="BodyText"/>
        <w:spacing w:line="364" w:lineRule="auto"/>
        <w:ind w:left="413" w:right="1542" w:firstLine="420"/>
        <w:jc w:val="both"/>
      </w:pPr>
      <w:r>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 代理收付款项及代理保险业务；提供保管箱服务；经中国银行业监督管理机构等监管部门批准的其他业务。</w:t>
      </w:r>
    </w:p>
    <w:p>
      <w:pPr>
        <w:pStyle w:val="Heading3"/>
        <w:spacing w:line="357" w:lineRule="exact"/>
      </w:pPr>
      <w:bookmarkStart w:name="_bookmark97" w:id="98"/>
      <w:bookmarkEnd w:id="98"/>
      <w:r>
        <w:rPr/>
      </w:r>
      <w:r>
        <w:rPr/>
        <w:t>（二）基金托管人对基金管理人的业务监督和核查</w:t>
      </w:r>
    </w:p>
    <w:p>
      <w:pPr>
        <w:pStyle w:val="BodyText"/>
        <w:spacing w:line="364" w:lineRule="auto" w:before="183"/>
        <w:ind w:left="413" w:right="1429" w:firstLine="420"/>
      </w:pPr>
      <w:r>
        <w:rPr/>
        <w:t>1、基金托管人根据有关法律法规的规定及基金合同的约定，对基金投资范围、投资对象进行监督。基金合同明确约定基金投资风格或证券选择标准的，基金管理人应按照基金</w:t>
      </w:r>
    </w:p>
    <w:p>
      <w:pPr>
        <w:spacing w:after="0" w:line="364" w:lineRule="auto"/>
        <w:sectPr>
          <w:pgSz w:w="11910" w:h="16840"/>
          <w:pgMar w:header="0" w:footer="1166" w:top="1600" w:bottom="1440" w:left="1400" w:right="360"/>
        </w:sectPr>
      </w:pPr>
    </w:p>
    <w:p>
      <w:pPr>
        <w:pStyle w:val="BodyText"/>
        <w:spacing w:line="364" w:lineRule="auto" w:before="104"/>
        <w:ind w:left="413" w:right="1452"/>
        <w:jc w:val="both"/>
      </w:pPr>
      <w:r>
        <w:rPr/>
        <w:t>托管人要求的格式提供投资品种池和交易对手库，以便基金托管人运用相关技术系统，对基金实际投资是否符合基金合同关于证券选择标准的约定进行监督，对存在疑义的事项进行核查。</w:t>
      </w:r>
    </w:p>
    <w:p>
      <w:pPr>
        <w:pStyle w:val="BodyText"/>
        <w:spacing w:line="364" w:lineRule="auto"/>
        <w:ind w:left="413" w:right="1242" w:firstLine="420"/>
      </w:pPr>
      <w:r>
        <w:rPr>
          <w:spacing w:val="-2"/>
        </w:rPr>
        <w:t>本基金资产投资于具有良好流动性的金融工具，包括沪深 </w:t>
      </w:r>
      <w:r>
        <w:rPr/>
        <w:t>300</w:t>
      </w:r>
      <w:r>
        <w:rPr>
          <w:spacing w:val="-7"/>
        </w:rPr>
        <w:t> 交易型开放式指数发起式证券投资基金</w:t>
      </w:r>
      <w:r>
        <w:rPr/>
        <w:t>（</w:t>
      </w:r>
      <w:r>
        <w:rPr>
          <w:spacing w:val="-8"/>
        </w:rPr>
        <w:t>以下简称“沪深 </w:t>
      </w:r>
      <w:r>
        <w:rPr/>
        <w:t>300ETF</w:t>
      </w:r>
      <w:r>
        <w:rPr>
          <w:spacing w:val="-11"/>
        </w:rPr>
        <w:t>”或者“目标 </w:t>
      </w:r>
      <w:r>
        <w:rPr/>
        <w:t>ETF“</w:t>
      </w:r>
      <w:r>
        <w:rPr>
          <w:spacing w:val="-105"/>
        </w:rPr>
        <w:t>）</w:t>
      </w:r>
      <w:r>
        <w:rPr>
          <w:spacing w:val="-15"/>
        </w:rPr>
        <w:t>、沪深 </w:t>
      </w:r>
      <w:r>
        <w:rPr/>
        <w:t>300</w:t>
      </w:r>
      <w:r>
        <w:rPr>
          <w:spacing w:val="-8"/>
        </w:rPr>
        <w:t> 指数成份股及备 选</w:t>
      </w:r>
      <w:r>
        <w:rPr>
          <w:spacing w:val="-7"/>
        </w:rPr>
        <w:t>成份股</w:t>
      </w:r>
      <w:r>
        <w:rPr/>
        <w:t>（含存托凭证</w:t>
      </w:r>
      <w:r>
        <w:rPr>
          <w:spacing w:val="-105"/>
        </w:rPr>
        <w:t>）</w:t>
      </w:r>
      <w:r>
        <w:rPr>
          <w:spacing w:val="-4"/>
        </w:rPr>
        <w:t>、新股(一级市场初次发行或增发，含存托凭证)、债券、资产支持 证券、货币市场工具、权证、股指期货以及法律法规或中国证监会允许基金投资的其他金 融工具。如法律法规或监管机构以后允许基金投资其他品种，基金管理人在履行适当程序 后，可以将其纳入投资范围。在条件许可的情况下并根据相关法律法规，基金管理人可以 在不改变本基金既有投资策略和风险收益特征并在控制风险的前提下，参与融资融券业务 以及办理转融通业务，以提高投资效率及进行风险管理。届时基金参与融资融券、转融通 等业务的风险控制原则、具体参与比例限制、费用收支、信息披露、估值方法及其他相关 事项按照中国证监会的规定及其他相关法律法规的要求执行，无需召开基金份额持有人大 会</w:t>
      </w:r>
      <w:r>
        <w:rPr>
          <w:spacing w:val="-8"/>
        </w:rPr>
        <w:t>决定。本基金资产中投资于目标 </w:t>
      </w:r>
      <w:r>
        <w:rPr/>
        <w:t>ETF</w:t>
      </w:r>
      <w:r>
        <w:rPr>
          <w:spacing w:val="-11"/>
        </w:rPr>
        <w:t> 的比例不低于基金非现金基金资产的 </w:t>
      </w:r>
      <w:r>
        <w:rPr>
          <w:spacing w:val="-14"/>
        </w:rPr>
        <w:t>80%</w:t>
      </w:r>
      <w:r>
        <w:rPr>
          <w:spacing w:val="-4"/>
        </w:rPr>
        <w:t>；本基金资产中</w:t>
      </w:r>
      <w:r>
        <w:rPr>
          <w:spacing w:val="-12"/>
        </w:rPr>
        <w:t>投资于目标 </w:t>
      </w:r>
      <w:r>
        <w:rPr/>
        <w:t>ETF</w:t>
      </w:r>
      <w:r>
        <w:rPr>
          <w:spacing w:val="-11"/>
        </w:rPr>
        <w:t> 的比例不低于基金资产净值的 </w:t>
      </w:r>
      <w:r>
        <w:rPr>
          <w:spacing w:val="-14"/>
        </w:rPr>
        <w:t>90%</w:t>
      </w:r>
      <w:r>
        <w:rPr>
          <w:spacing w:val="-5"/>
        </w:rPr>
        <w:t>；本基金持有的全部权证，其市值不得超</w:t>
      </w:r>
      <w:r>
        <w:rPr>
          <w:spacing w:val="-10"/>
        </w:rPr>
        <w:t>过基金资产净值的 </w:t>
      </w:r>
      <w:r>
        <w:rPr>
          <w:spacing w:val="3"/>
        </w:rPr>
        <w:t>3％；</w:t>
      </w:r>
      <w:r>
        <w:rPr>
          <w:spacing w:val="1"/>
        </w:rPr>
        <w:t>每个交易日日终在扣除股指期货合约需缴纳的交易保证金后， 现</w:t>
      </w:r>
      <w:r>
        <w:rPr/>
        <w:t>金或者到期日在一年以内的政府债券比例不低于基金资产净值的 5%,现金不包括结算备付金、存出保证金、应收申购款等。股指期货及其他金融工具的投资比例依照法律法规或 监管机构的规定执行。</w:t>
      </w:r>
    </w:p>
    <w:p>
      <w:pPr>
        <w:pStyle w:val="BodyText"/>
        <w:spacing w:line="364" w:lineRule="auto"/>
        <w:ind w:left="413" w:right="1429" w:firstLine="420"/>
      </w:pPr>
      <w:r>
        <w:rPr/>
        <w:t>2、基金托管人根据有关法律法规的规定及基金合同的约定，对基金投资、融资比例进行监督。基金托管人按下述比例和调整期限进行监督：</w:t>
      </w:r>
    </w:p>
    <w:p>
      <w:pPr>
        <w:pStyle w:val="ListParagraph"/>
        <w:numPr>
          <w:ilvl w:val="0"/>
          <w:numId w:val="75"/>
        </w:numPr>
        <w:tabs>
          <w:tab w:pos="1151" w:val="left" w:leader="none"/>
        </w:tabs>
        <w:spacing w:line="364" w:lineRule="auto" w:before="0" w:after="0"/>
        <w:ind w:left="413" w:right="1452" w:firstLine="420"/>
        <w:jc w:val="left"/>
        <w:rPr>
          <w:sz w:val="21"/>
        </w:rPr>
      </w:pPr>
      <w:r>
        <w:rPr>
          <w:spacing w:val="-4"/>
          <w:sz w:val="21"/>
        </w:rPr>
        <w:t>本基金资产中投资于目标 </w:t>
      </w:r>
      <w:r>
        <w:rPr>
          <w:sz w:val="21"/>
        </w:rPr>
        <w:t>ETF</w:t>
      </w:r>
      <w:r>
        <w:rPr>
          <w:spacing w:val="-9"/>
          <w:sz w:val="21"/>
        </w:rPr>
        <w:t> 的比例不低于基金非现金基金资产的 </w:t>
      </w:r>
      <w:r>
        <w:rPr>
          <w:sz w:val="21"/>
        </w:rPr>
        <w:t>80</w:t>
      </w:r>
      <w:r>
        <w:rPr>
          <w:spacing w:val="-3"/>
          <w:sz w:val="21"/>
        </w:rPr>
        <w:t>%；本基金投</w:t>
      </w:r>
      <w:r>
        <w:rPr>
          <w:spacing w:val="-11"/>
          <w:sz w:val="21"/>
        </w:rPr>
        <w:t>资于目标 </w:t>
      </w:r>
      <w:r>
        <w:rPr>
          <w:sz w:val="21"/>
        </w:rPr>
        <w:t>ETF</w:t>
      </w:r>
      <w:r>
        <w:rPr>
          <w:spacing w:val="-11"/>
          <w:sz w:val="21"/>
        </w:rPr>
        <w:t> 的资产比例不低于基金资产净值的 </w:t>
      </w:r>
      <w:r>
        <w:rPr>
          <w:sz w:val="21"/>
        </w:rPr>
        <w:t>90%；</w:t>
      </w:r>
    </w:p>
    <w:p>
      <w:pPr>
        <w:pStyle w:val="ListParagraph"/>
        <w:numPr>
          <w:ilvl w:val="0"/>
          <w:numId w:val="75"/>
        </w:numPr>
        <w:tabs>
          <w:tab w:pos="1151" w:val="left" w:leader="none"/>
        </w:tabs>
        <w:spacing w:line="364" w:lineRule="auto" w:before="0" w:after="0"/>
        <w:ind w:left="413" w:right="1451" w:firstLine="420"/>
        <w:jc w:val="both"/>
        <w:rPr>
          <w:sz w:val="21"/>
        </w:rPr>
      </w:pPr>
      <w:r>
        <w:rPr>
          <w:spacing w:val="-2"/>
          <w:sz w:val="21"/>
        </w:rPr>
        <w:t>本基金持有的全部权证，其市值不得超过基金资产净值的 </w:t>
      </w:r>
      <w:r>
        <w:rPr>
          <w:sz w:val="21"/>
        </w:rPr>
        <w:t>3％；本基金在任何交易</w:t>
      </w:r>
      <w:r>
        <w:rPr>
          <w:spacing w:val="1"/>
          <w:sz w:val="21"/>
        </w:rPr>
        <w:t>日买入权证的总金额不得超过上一交易日基金资产净值的</w:t>
      </w:r>
      <w:r>
        <w:rPr>
          <w:spacing w:val="-11"/>
          <w:sz w:val="21"/>
        </w:rPr>
        <w:t>0.5％</w:t>
      </w:r>
      <w:r>
        <w:rPr>
          <w:spacing w:val="-4"/>
          <w:sz w:val="21"/>
        </w:rPr>
        <w:t>；法律法规或中国证监会另</w:t>
      </w:r>
      <w:r>
        <w:rPr>
          <w:sz w:val="21"/>
        </w:rPr>
        <w:t>有规定的，遵从其规定；</w:t>
      </w:r>
    </w:p>
    <w:p>
      <w:pPr>
        <w:pStyle w:val="ListParagraph"/>
        <w:numPr>
          <w:ilvl w:val="0"/>
          <w:numId w:val="75"/>
        </w:numPr>
        <w:tabs>
          <w:tab w:pos="1155" w:val="left" w:leader="none"/>
        </w:tabs>
        <w:spacing w:line="364" w:lineRule="auto" w:before="0" w:after="0"/>
        <w:ind w:left="413" w:right="1451" w:firstLine="420"/>
        <w:jc w:val="both"/>
        <w:rPr>
          <w:sz w:val="21"/>
        </w:rPr>
      </w:pPr>
      <w:r>
        <w:rPr>
          <w:spacing w:val="4"/>
          <w:sz w:val="21"/>
        </w:rPr>
        <w:t>本基金进入全国银行间同业市场进行债券回购的资金余额不得超过基金资产净值</w:t>
      </w:r>
      <w:r>
        <w:rPr>
          <w:spacing w:val="-22"/>
          <w:sz w:val="21"/>
        </w:rPr>
        <w:t>的 </w:t>
      </w:r>
      <w:r>
        <w:rPr>
          <w:sz w:val="21"/>
        </w:rPr>
        <w:t>40</w:t>
      </w:r>
      <w:r>
        <w:rPr>
          <w:spacing w:val="-2"/>
          <w:sz w:val="21"/>
        </w:rPr>
        <w:t>％；本基金进入全国银行间同业市场进行债券回购的最长期限为 </w:t>
      </w:r>
      <w:r>
        <w:rPr>
          <w:sz w:val="21"/>
        </w:rPr>
        <w:t>1</w:t>
      </w:r>
      <w:r>
        <w:rPr>
          <w:spacing w:val="-7"/>
          <w:sz w:val="21"/>
        </w:rPr>
        <w:t> 年，债券回购到期后不得展期；</w:t>
      </w:r>
    </w:p>
    <w:p>
      <w:pPr>
        <w:pStyle w:val="ListParagraph"/>
        <w:numPr>
          <w:ilvl w:val="0"/>
          <w:numId w:val="75"/>
        </w:numPr>
        <w:tabs>
          <w:tab w:pos="1150" w:val="left" w:leader="none"/>
        </w:tabs>
        <w:spacing w:line="364" w:lineRule="auto" w:before="0" w:after="0"/>
        <w:ind w:left="413" w:right="1451" w:firstLine="420"/>
        <w:jc w:val="left"/>
        <w:rPr>
          <w:sz w:val="21"/>
        </w:rPr>
      </w:pPr>
      <w:r>
        <w:rPr>
          <w:spacing w:val="-3"/>
          <w:sz w:val="21"/>
        </w:rPr>
        <w:t>本基金参与股票发行申购，本基金所申报的金额不超过本基金的总资产，本基金所</w:t>
      </w:r>
      <w:r>
        <w:rPr>
          <w:sz w:val="21"/>
        </w:rPr>
        <w:t>申报的股票数量不超过拟发行股票公司本次发行股票的总量；</w:t>
      </w:r>
    </w:p>
    <w:p>
      <w:pPr>
        <w:pStyle w:val="ListParagraph"/>
        <w:numPr>
          <w:ilvl w:val="0"/>
          <w:numId w:val="75"/>
        </w:numPr>
        <w:tabs>
          <w:tab w:pos="1155" w:val="left" w:leader="none"/>
        </w:tabs>
        <w:spacing w:line="364" w:lineRule="auto" w:before="0" w:after="0"/>
        <w:ind w:left="413" w:right="1242" w:firstLine="420"/>
        <w:jc w:val="left"/>
        <w:rPr>
          <w:sz w:val="21"/>
        </w:rPr>
      </w:pPr>
      <w:r>
        <w:rPr>
          <w:spacing w:val="4"/>
          <w:sz w:val="21"/>
        </w:rPr>
        <w:t>当本基金投资于股指期货时，在任何交易日日终，持有的买入股指期货合约价值， </w:t>
      </w:r>
      <w:r>
        <w:rPr>
          <w:spacing w:val="-1"/>
          <w:sz w:val="21"/>
        </w:rPr>
        <w:t>不得超过基金资产净值的 </w:t>
      </w:r>
      <w:r>
        <w:rPr>
          <w:spacing w:val="-14"/>
          <w:sz w:val="21"/>
        </w:rPr>
        <w:t>10%</w:t>
      </w:r>
      <w:r>
        <w:rPr>
          <w:spacing w:val="-6"/>
          <w:sz w:val="21"/>
        </w:rPr>
        <w:t>；在任何交易日日终，持有的买入期货合约价值与有价证券市</w:t>
      </w:r>
    </w:p>
    <w:p>
      <w:pPr>
        <w:spacing w:after="0" w:line="364" w:lineRule="auto"/>
        <w:jc w:val="left"/>
        <w:rPr>
          <w:sz w:val="21"/>
        </w:rPr>
        <w:sectPr>
          <w:pgSz w:w="11910" w:h="16840"/>
          <w:pgMar w:header="0" w:footer="1166" w:top="1600" w:bottom="1440" w:left="1400" w:right="360"/>
        </w:sectPr>
      </w:pPr>
    </w:p>
    <w:p>
      <w:pPr>
        <w:pStyle w:val="BodyText"/>
        <w:spacing w:before="104"/>
        <w:ind w:left="413"/>
      </w:pPr>
      <w:r>
        <w:rPr/>
        <w:t>值之和,不得超过基金资产净值的 95%，其中，有价证券指目标 ETF、股票、债券（不含到</w:t>
      </w:r>
    </w:p>
    <w:p>
      <w:pPr>
        <w:pStyle w:val="BodyText"/>
        <w:spacing w:line="364" w:lineRule="auto" w:before="139"/>
        <w:ind w:left="413" w:right="1137"/>
      </w:pPr>
      <w:r>
        <w:rPr>
          <w:spacing w:val="5"/>
        </w:rPr>
        <w:t>期日在一年以内的政府债券</w:t>
      </w:r>
      <w:r>
        <w:rPr>
          <w:spacing w:val="-100"/>
        </w:rPr>
        <w:t>）</w:t>
      </w:r>
      <w:r>
        <w:rPr>
          <w:spacing w:val="-7"/>
        </w:rPr>
        <w:t>、权证、资产支持证券、买入返售金融资产</w:t>
      </w:r>
      <w:r>
        <w:rPr>
          <w:spacing w:val="5"/>
        </w:rPr>
        <w:t>（不含质押式回购</w:t>
      </w:r>
      <w:r>
        <w:rPr/>
        <w:t>） 等；基金在任何交易日日终，持有的卖出期货合约价值不得超过基金持有的股票总市值及  </w:t>
      </w:r>
      <w:r>
        <w:rPr>
          <w:spacing w:val="-5"/>
        </w:rPr>
        <w:t>目标 </w:t>
      </w:r>
      <w:r>
        <w:rPr/>
        <w:t>ETF</w:t>
      </w:r>
      <w:r>
        <w:rPr>
          <w:spacing w:val="-6"/>
        </w:rPr>
        <w:t> 总市值的 </w:t>
      </w:r>
      <w:r>
        <w:rPr>
          <w:spacing w:val="-14"/>
        </w:rPr>
        <w:t>20%</w:t>
      </w:r>
      <w:r>
        <w:rPr>
          <w:spacing w:val="-5"/>
        </w:rPr>
        <w:t>；在任何交易日内交易</w:t>
      </w:r>
      <w:r>
        <w:rPr/>
        <w:t>（不包括平仓</w:t>
      </w:r>
      <w:r>
        <w:rPr>
          <w:spacing w:val="-8"/>
        </w:rPr>
        <w:t>）</w:t>
      </w:r>
      <w:r>
        <w:rPr/>
        <w:t>的股指期货合约的成交金额不得</w:t>
      </w:r>
      <w:r>
        <w:rPr>
          <w:spacing w:val="-4"/>
        </w:rPr>
        <w:t>超过上一交易日基金资产净值的 </w:t>
      </w:r>
      <w:r>
        <w:rPr/>
        <w:t>20%；</w:t>
      </w:r>
    </w:p>
    <w:p>
      <w:pPr>
        <w:pStyle w:val="ListParagraph"/>
        <w:numPr>
          <w:ilvl w:val="0"/>
          <w:numId w:val="75"/>
        </w:numPr>
        <w:tabs>
          <w:tab w:pos="1150" w:val="left" w:leader="none"/>
        </w:tabs>
        <w:spacing w:line="364" w:lineRule="auto" w:before="0" w:after="0"/>
        <w:ind w:left="413" w:right="1242" w:firstLine="420"/>
        <w:jc w:val="left"/>
        <w:rPr>
          <w:sz w:val="21"/>
        </w:rPr>
      </w:pPr>
      <w:r>
        <w:rPr>
          <w:spacing w:val="-1"/>
          <w:sz w:val="21"/>
        </w:rPr>
        <w:t>每个交易日日终在扣除股指期货合约需缴纳的交易保证金后，应当保持不低于基金 </w:t>
      </w:r>
      <w:r>
        <w:rPr>
          <w:spacing w:val="-10"/>
          <w:sz w:val="21"/>
        </w:rPr>
        <w:t>资产净值 </w:t>
      </w:r>
      <w:r>
        <w:rPr>
          <w:sz w:val="21"/>
        </w:rPr>
        <w:t>5%的现金或到期日在一年以内的政府债券，现金不包括结算备付金、存出保证金、应收申购款等；</w:t>
      </w:r>
    </w:p>
    <w:p>
      <w:pPr>
        <w:pStyle w:val="ListParagraph"/>
        <w:numPr>
          <w:ilvl w:val="0"/>
          <w:numId w:val="75"/>
        </w:numPr>
        <w:tabs>
          <w:tab w:pos="1150" w:val="left" w:leader="none"/>
        </w:tabs>
        <w:spacing w:line="364" w:lineRule="auto" w:before="0" w:after="0"/>
        <w:ind w:left="413" w:right="1451" w:firstLine="420"/>
        <w:jc w:val="both"/>
        <w:rPr>
          <w:sz w:val="21"/>
        </w:rPr>
      </w:pPr>
      <w:r>
        <w:rPr>
          <w:spacing w:val="-2"/>
          <w:sz w:val="21"/>
        </w:rPr>
        <w:t>本基金投资于同一原始权益人的各类资产支持证券的比例，不得超过基金资产净值</w:t>
      </w:r>
      <w:r>
        <w:rPr>
          <w:spacing w:val="-19"/>
          <w:sz w:val="21"/>
        </w:rPr>
        <w:t>的 </w:t>
      </w:r>
      <w:r>
        <w:rPr>
          <w:sz w:val="21"/>
        </w:rPr>
        <w:t>10％；本基金管理人管理的全部基金投资于同一原始权益人的各类资产支持证券，不得</w:t>
      </w:r>
      <w:r>
        <w:rPr>
          <w:spacing w:val="-3"/>
          <w:sz w:val="21"/>
        </w:rPr>
        <w:t>超过其各类资产支持证券合计规模的 </w:t>
      </w:r>
      <w:r>
        <w:rPr>
          <w:sz w:val="21"/>
        </w:rPr>
        <w:t>10</w:t>
      </w:r>
      <w:r>
        <w:rPr>
          <w:spacing w:val="-3"/>
          <w:sz w:val="21"/>
        </w:rPr>
        <w:t>％；本基金应投资于信用级别评级为 </w:t>
      </w:r>
      <w:r>
        <w:rPr>
          <w:sz w:val="21"/>
        </w:rPr>
        <w:t>BBB</w:t>
      </w:r>
      <w:r>
        <w:rPr>
          <w:spacing w:val="-8"/>
          <w:sz w:val="21"/>
        </w:rPr>
        <w:t> 以上(含BBB)的资产支持证券。基金持有资产支持证券期间，如果其信用等级下降、不再符合投资</w:t>
      </w:r>
      <w:r>
        <w:rPr>
          <w:spacing w:val="-11"/>
          <w:sz w:val="21"/>
        </w:rPr>
        <w:t>标准，应在评级报告发布之日起 </w:t>
      </w:r>
      <w:r>
        <w:rPr>
          <w:sz w:val="21"/>
        </w:rPr>
        <w:t>3</w:t>
      </w:r>
      <w:r>
        <w:rPr>
          <w:spacing w:val="-8"/>
          <w:sz w:val="21"/>
        </w:rPr>
        <w:t> 个月内予以全部卖出；</w:t>
      </w:r>
    </w:p>
    <w:p>
      <w:pPr>
        <w:pStyle w:val="ListParagraph"/>
        <w:numPr>
          <w:ilvl w:val="0"/>
          <w:numId w:val="75"/>
        </w:numPr>
        <w:tabs>
          <w:tab w:pos="1150" w:val="left" w:leader="none"/>
        </w:tabs>
        <w:spacing w:line="267" w:lineRule="exact" w:before="0" w:after="0"/>
        <w:ind w:left="1150" w:right="0" w:hanging="317"/>
        <w:jc w:val="both"/>
        <w:rPr>
          <w:sz w:val="21"/>
        </w:rPr>
      </w:pPr>
      <w:r>
        <w:rPr>
          <w:spacing w:val="-3"/>
          <w:sz w:val="21"/>
        </w:rPr>
        <w:t>持有一家上市公司的股票，其市值不超过基金资产净值的 </w:t>
      </w:r>
      <w:r>
        <w:rPr>
          <w:sz w:val="21"/>
        </w:rPr>
        <w:t>10%；</w:t>
      </w:r>
    </w:p>
    <w:p>
      <w:pPr>
        <w:pStyle w:val="ListParagraph"/>
        <w:numPr>
          <w:ilvl w:val="0"/>
          <w:numId w:val="75"/>
        </w:numPr>
        <w:tabs>
          <w:tab w:pos="1150" w:val="left" w:leader="none"/>
        </w:tabs>
        <w:spacing w:line="364" w:lineRule="auto" w:before="137" w:after="0"/>
        <w:ind w:left="413" w:right="1451" w:firstLine="420"/>
        <w:jc w:val="both"/>
        <w:rPr>
          <w:sz w:val="21"/>
        </w:rPr>
      </w:pPr>
      <w:r>
        <w:rPr>
          <w:spacing w:val="-5"/>
          <w:sz w:val="21"/>
        </w:rPr>
        <w:t>本基金所持有的股票及目标 </w:t>
      </w:r>
      <w:r>
        <w:rPr>
          <w:sz w:val="21"/>
        </w:rPr>
        <w:t>ETF</w:t>
      </w:r>
      <w:r>
        <w:rPr>
          <w:spacing w:val="-8"/>
          <w:sz w:val="21"/>
        </w:rPr>
        <w:t> 总市值和买入、卖出股指期货合约价值，合计</w:t>
      </w:r>
      <w:r>
        <w:rPr>
          <w:sz w:val="21"/>
        </w:rPr>
        <w:t>（</w:t>
      </w:r>
      <w:r>
        <w:rPr>
          <w:spacing w:val="-13"/>
          <w:sz w:val="21"/>
        </w:rPr>
        <w:t>轧</w:t>
      </w:r>
      <w:r>
        <w:rPr>
          <w:sz w:val="21"/>
        </w:rPr>
        <w:t>差计算）</w:t>
      </w:r>
      <w:r>
        <w:rPr>
          <w:spacing w:val="-4"/>
          <w:sz w:val="21"/>
        </w:rPr>
        <w:t>应当符合基金合同关于股票和目标 </w:t>
      </w:r>
      <w:r>
        <w:rPr>
          <w:sz w:val="21"/>
        </w:rPr>
        <w:t>ETF</w:t>
      </w:r>
      <w:r>
        <w:rPr>
          <w:spacing w:val="-8"/>
          <w:sz w:val="21"/>
        </w:rPr>
        <w:t> 投资比例的有关比例。</w:t>
      </w:r>
    </w:p>
    <w:p>
      <w:pPr>
        <w:pStyle w:val="ListParagraph"/>
        <w:numPr>
          <w:ilvl w:val="0"/>
          <w:numId w:val="76"/>
        </w:numPr>
        <w:tabs>
          <w:tab w:pos="1465" w:val="left" w:leader="none"/>
        </w:tabs>
        <w:spacing w:line="364" w:lineRule="auto" w:before="0" w:after="0"/>
        <w:ind w:left="833" w:right="1383" w:firstLine="0"/>
        <w:jc w:val="both"/>
        <w:rPr>
          <w:sz w:val="21"/>
        </w:rPr>
      </w:pPr>
      <w:r>
        <w:rPr>
          <w:spacing w:val="-2"/>
          <w:sz w:val="21"/>
        </w:rPr>
        <w:t>本基金主动投资于流动性受限资产的市值合计不得超过本基金资产净值的 </w:t>
      </w:r>
      <w:r>
        <w:rPr>
          <w:sz w:val="21"/>
        </w:rPr>
        <w:t>15%</w:t>
      </w:r>
      <w:r>
        <w:rPr>
          <w:spacing w:val="-16"/>
          <w:sz w:val="21"/>
        </w:rPr>
        <w:t>。</w:t>
      </w:r>
      <w:r>
        <w:rPr>
          <w:sz w:val="21"/>
        </w:rPr>
        <w:t>因证券市场波动、上市公司股票停牌、基金规模变动等基金管理人之外的因素致使基</w:t>
      </w:r>
    </w:p>
    <w:p>
      <w:pPr>
        <w:pStyle w:val="BodyText"/>
        <w:spacing w:line="268" w:lineRule="exact"/>
        <w:ind w:left="413"/>
      </w:pPr>
      <w:r>
        <w:rPr/>
        <w:t>金不符合前款所规定比例限制的，基金管理人不得主动新增流动性受限资产的投资。</w:t>
      </w:r>
    </w:p>
    <w:p>
      <w:pPr>
        <w:pStyle w:val="ListParagraph"/>
        <w:numPr>
          <w:ilvl w:val="0"/>
          <w:numId w:val="76"/>
        </w:numPr>
        <w:tabs>
          <w:tab w:pos="1472" w:val="left" w:leader="none"/>
        </w:tabs>
        <w:spacing w:line="364" w:lineRule="auto" w:before="138" w:after="0"/>
        <w:ind w:left="413" w:right="1452"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77"/>
        </w:numPr>
        <w:tabs>
          <w:tab w:pos="1257" w:val="left" w:leader="none"/>
        </w:tabs>
        <w:spacing w:line="364" w:lineRule="auto" w:before="0" w:after="0"/>
        <w:ind w:left="413" w:right="1452" w:firstLine="420"/>
        <w:jc w:val="left"/>
        <w:rPr>
          <w:sz w:val="21"/>
        </w:rPr>
      </w:pPr>
      <w:r>
        <w:rPr>
          <w:sz w:val="21"/>
        </w:rPr>
        <w:t>本基金投资存托凭证的比例限制依照境内上市交易的股票执行，与境内上市交易的股票合并计算。</w:t>
      </w:r>
    </w:p>
    <w:p>
      <w:pPr>
        <w:pStyle w:val="ListParagraph"/>
        <w:numPr>
          <w:ilvl w:val="0"/>
          <w:numId w:val="77"/>
        </w:numPr>
        <w:tabs>
          <w:tab w:pos="1255" w:val="left" w:leader="none"/>
        </w:tabs>
        <w:spacing w:line="268" w:lineRule="exact" w:before="0" w:after="0"/>
        <w:ind w:left="1255" w:right="0" w:hanging="422"/>
        <w:jc w:val="left"/>
        <w:rPr>
          <w:sz w:val="21"/>
        </w:rPr>
      </w:pPr>
      <w:r>
        <w:rPr>
          <w:sz w:val="21"/>
        </w:rPr>
        <w:t>法律法规、基金合同规定的其他比例限制。</w:t>
      </w:r>
    </w:p>
    <w:p>
      <w:pPr>
        <w:pStyle w:val="BodyText"/>
        <w:spacing w:line="364" w:lineRule="auto" w:before="139"/>
        <w:ind w:left="413" w:right="1451" w:firstLine="420"/>
        <w:jc w:val="both"/>
      </w:pPr>
      <w:r>
        <w:rPr>
          <w:spacing w:val="2"/>
        </w:rPr>
        <w:t>除上述（4</w:t>
      </w:r>
      <w:r>
        <w:rPr>
          <w:spacing w:val="-103"/>
        </w:rPr>
        <w:t>）、</w:t>
      </w:r>
      <w:r>
        <w:rPr>
          <w:spacing w:val="2"/>
        </w:rPr>
        <w:t>（6</w:t>
      </w:r>
      <w:r>
        <w:rPr>
          <w:spacing w:val="-103"/>
        </w:rPr>
        <w:t>）、</w:t>
      </w:r>
      <w:r>
        <w:rPr>
          <w:spacing w:val="2"/>
        </w:rPr>
        <w:t>（</w:t>
      </w:r>
      <w:r>
        <w:rPr/>
        <w:t>1</w:t>
      </w:r>
      <w:r>
        <w:rPr>
          <w:spacing w:val="2"/>
        </w:rPr>
        <w:t>0</w:t>
      </w:r>
      <w:r>
        <w:rPr>
          <w:spacing w:val="-103"/>
        </w:rPr>
        <w:t>）、</w:t>
      </w:r>
      <w:r>
        <w:rPr>
          <w:spacing w:val="2"/>
        </w:rPr>
        <w:t>（</w:t>
      </w:r>
      <w:r>
        <w:rPr/>
        <w:t>1</w:t>
      </w:r>
      <w:r>
        <w:rPr>
          <w:spacing w:val="2"/>
        </w:rPr>
        <w:t>1）</w:t>
      </w:r>
      <w:r>
        <w:rPr>
          <w:spacing w:val="1"/>
        </w:rPr>
        <w:t>以外，因证券及期货市场波动、上市公司合并、基金</w:t>
      </w:r>
      <w:r>
        <w:rPr/>
        <w:t>规模变动、标的指数成份股调整、标的指数成份股流动性限制、目标 ETF</w:t>
      </w:r>
      <w:r>
        <w:rPr>
          <w:spacing w:val="-5"/>
        </w:rPr>
        <w:t> 暂定申购、赎回或二级市场交易停牌等基金管理人之外的因素致使基金投资比例不符合上述规定投资比例</w:t>
      </w:r>
      <w:r>
        <w:rPr>
          <w:spacing w:val="-8"/>
        </w:rPr>
        <w:t>的，基金管理人应当在 </w:t>
      </w:r>
      <w:r>
        <w:rPr/>
        <w:t>10</w:t>
      </w:r>
      <w:r>
        <w:rPr>
          <w:spacing w:val="-9"/>
        </w:rPr>
        <w:t> 个交易日内进行调整。法律、法规另有规定时，从其规定。如果</w:t>
      </w:r>
      <w:r>
        <w:rPr/>
        <w:t>法律法规对上述投资比例限制进行变更的，以变更后的规定为准。如法律法规或监管部门取消上述限制，且适用于本基金，则本基金投资不再受相关限制，但须提前公告，不需要经基金份额持有人大会审议。</w:t>
      </w:r>
    </w:p>
    <w:p>
      <w:pPr>
        <w:pStyle w:val="BodyText"/>
        <w:spacing w:line="364" w:lineRule="auto"/>
        <w:ind w:left="413" w:right="1242" w:firstLine="420"/>
      </w:pPr>
      <w:r>
        <w:rPr/>
        <w:t>本基金在开始进行股指期货投资之前，应与基金托管人就股指期货开户、清算、估值、交收等事宜另行具体协商。</w:t>
      </w:r>
    </w:p>
    <w:p>
      <w:pPr>
        <w:spacing w:after="0" w:line="364" w:lineRule="auto"/>
        <w:sectPr>
          <w:pgSz w:w="11910" w:h="16840"/>
          <w:pgMar w:header="0" w:footer="1166" w:top="1600" w:bottom="1440" w:left="1400" w:right="360"/>
        </w:sectPr>
      </w:pPr>
    </w:p>
    <w:p>
      <w:pPr>
        <w:pStyle w:val="BodyText"/>
        <w:spacing w:line="364" w:lineRule="auto" w:before="104"/>
        <w:ind w:left="413" w:right="1452" w:firstLine="420"/>
        <w:jc w:val="both"/>
      </w:pPr>
      <w:r>
        <w:rPr>
          <w:spacing w:val="-2"/>
        </w:rPr>
        <w:t>基金管理人应当自基金合同生效之日起 </w:t>
      </w:r>
      <w:r>
        <w:rPr/>
        <w:t>6</w:t>
      </w:r>
      <w:r>
        <w:rPr>
          <w:spacing w:val="-4"/>
        </w:rPr>
        <w:t> 个月内使基金的投资组合比例符合基金合同的有关约定。基金托管人对基金的投资的监督与检查自基金合同生效之日起开始。</w:t>
      </w:r>
    </w:p>
    <w:p>
      <w:pPr>
        <w:pStyle w:val="BodyText"/>
        <w:spacing w:line="364" w:lineRule="auto"/>
        <w:ind w:left="413" w:right="1451" w:firstLine="420"/>
        <w:jc w:val="both"/>
      </w:pPr>
      <w:r>
        <w:rPr/>
        <w:t>3</w:t>
      </w:r>
      <w:r>
        <w:rPr>
          <w:spacing w:val="-5"/>
        </w:rPr>
        <w:t>、基金托管人根据有关法律法规的规定及基金合同的约定，对托管协议第十五条第九</w:t>
      </w:r>
      <w:r>
        <w:rPr/>
        <w:t>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pPr>
        <w:pStyle w:val="BodyText"/>
        <w:spacing w:line="364" w:lineRule="auto"/>
        <w:ind w:left="413" w:right="1452" w:firstLine="420"/>
        <w:jc w:val="both"/>
      </w:pPr>
      <w:r>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pPr>
        <w:pStyle w:val="BodyText"/>
        <w:spacing w:line="364" w:lineRule="auto"/>
        <w:ind w:left="413" w:right="1451" w:firstLine="420"/>
        <w:jc w:val="both"/>
      </w:pPr>
      <w:r>
        <w:rPr/>
        <w:t>4</w:t>
      </w:r>
      <w:r>
        <w:rPr>
          <w:spacing w:val="-5"/>
        </w:rPr>
        <w:t>、基金托管人根据有关法律法规的规定及基金合同的约定，对基金管理人参与银行间</w:t>
      </w:r>
      <w:r>
        <w:rPr/>
        <w:t>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w:t>
      </w:r>
      <w:r>
        <w:rPr>
          <w:spacing w:val="-1"/>
        </w:rPr>
        <w:t>的，应向基金托管人说明理由，并在与交易对手发生交易前 </w:t>
      </w:r>
      <w:r>
        <w:rPr/>
        <w:t>3</w:t>
      </w:r>
      <w:r>
        <w:rPr>
          <w:spacing w:val="-5"/>
        </w:rPr>
        <w:t> 个工作日内与基金托管人协商解决。</w:t>
      </w:r>
    </w:p>
    <w:p>
      <w:pPr>
        <w:pStyle w:val="BodyText"/>
        <w:spacing w:line="364" w:lineRule="auto"/>
        <w:ind w:left="413" w:right="1452" w:firstLine="420"/>
        <w:jc w:val="both"/>
      </w:pPr>
      <w:r>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pPr>
        <w:pStyle w:val="BodyText"/>
        <w:spacing w:line="364" w:lineRule="auto"/>
        <w:ind w:left="413" w:right="1451" w:firstLine="420"/>
        <w:jc w:val="both"/>
      </w:pPr>
      <w:r>
        <w:rPr/>
        <w:t>5</w:t>
      </w:r>
      <w:r>
        <w:rPr>
          <w:spacing w:val="-5"/>
        </w:rPr>
        <w:t>、本基金投资流通受限证券，基金管理人应事先根据中国证监会相关规定，与基金托</w:t>
      </w:r>
      <w:r>
        <w:rPr/>
        <w:t>管人就相关事项签订补充协议，明确基金投资流通受限证券的比例。基金管理人应制订严格的投资决策流程和风险控制制度，防范流动性风险、法律风险和操作风险等各种风险。</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2"/>
      </w:pPr>
      <w:r>
        <w:rPr/>
        <w:t>基金托管人对基金管理人是否遵守相关制度、流动性风险处置预案以及相关投资额度和比例等的情况进行监督。</w:t>
      </w:r>
    </w:p>
    <w:p>
      <w:pPr>
        <w:pStyle w:val="BodyText"/>
        <w:spacing w:line="364" w:lineRule="auto"/>
        <w:ind w:left="413" w:right="1451" w:firstLine="420"/>
        <w:jc w:val="both"/>
      </w:pPr>
      <w:r>
        <w:rPr/>
        <w:t>6</w:t>
      </w:r>
      <w:r>
        <w:rPr>
          <w:spacing w:val="-5"/>
        </w:rPr>
        <w:t>、基金托管人根据有关法律法规的规定及基金合同的约定，对基金资产净值计算、各</w:t>
      </w:r>
      <w:r>
        <w:rPr/>
        <w:t>类基金份额净值计算、应收资金到账、基金费用开支及收入确定、基金收益分配、相关信息披露、基金宣传推介材料中登载基金业绩表现数据等进行监督和核查。</w:t>
      </w:r>
    </w:p>
    <w:p>
      <w:pPr>
        <w:pStyle w:val="BodyText"/>
        <w:spacing w:line="364" w:lineRule="auto"/>
        <w:ind w:left="413" w:right="1242" w:firstLine="420"/>
      </w:pPr>
      <w:r>
        <w:rPr/>
        <w:t>7、基金托管人发现基金管理人的上述事项及投资指令或实际投资运作违反法律法规、基金合同和本托管协议的规定，应及时以电话提醒或书面提示等方式通知基金管理人限期 纠正。基金管理人应积极配合和协助基金托管人的监督和核查。基金管理人收到书面通知 后应在下一工作日前及时核对并以书面形式给基金托管人发出回函，就基金托管人的疑义 进行解释或举证，说明违规原因及纠正期限，并保证在规定期限内及时改正。在上述规定 期限内，基金托管人有权随时对通知事项进行复查，督促基金管理人改正。基金管理人对 基金托管人通知的违规事项未能在限期内纠正的，基金托管人应报告中国证监会。</w:t>
      </w:r>
    </w:p>
    <w:p>
      <w:pPr>
        <w:pStyle w:val="BodyText"/>
        <w:spacing w:line="364" w:lineRule="auto"/>
        <w:ind w:left="413" w:right="1451" w:firstLine="420"/>
        <w:jc w:val="both"/>
      </w:pPr>
      <w:r>
        <w:rPr/>
        <w:t>8</w:t>
      </w:r>
      <w:r>
        <w:rPr>
          <w:spacing w:val="-5"/>
        </w:rPr>
        <w:t>、基金管理人有义务配合和协助基金托管人依照法律法规、基金合同和本托管协议对</w:t>
      </w:r>
      <w:r>
        <w:rPr/>
        <w:t>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pStyle w:val="BodyText"/>
        <w:spacing w:line="364" w:lineRule="auto"/>
        <w:ind w:left="413" w:right="1451" w:firstLine="420"/>
        <w:jc w:val="both"/>
      </w:pPr>
      <w:r>
        <w:rPr/>
        <w:t>9</w:t>
      </w:r>
      <w:r>
        <w:rPr>
          <w:spacing w:val="-5"/>
        </w:rPr>
        <w:t>、若基金托管人发现基金管理人依据交易程序已经生效的指令违反法律、行政法规和</w:t>
      </w:r>
      <w:r>
        <w:rPr/>
        <w:t>其他有关规定，或者违反基金合同约定的，应当立即通知基金管理人，由此造成的损失由基金管理人承担。</w:t>
      </w:r>
    </w:p>
    <w:p>
      <w:pPr>
        <w:pStyle w:val="BodyText"/>
        <w:spacing w:line="364" w:lineRule="auto"/>
        <w:ind w:left="413" w:right="1242" w:firstLine="420"/>
      </w:pPr>
      <w:r>
        <w:rPr/>
        <w:t>10、基金托管人发现基金管理人有重大违规行为，应及时报告中国证监会，同时通知 基金管理人限期纠正，并将纠正结果报告中国证监会。基金管理人无正当理由，拒绝、阻 挠对方根据本托管协议规定行使监督权，或采取拖延、欺诈等手段妨碍对方进行有效监督， 情节严重或经基金托管人提出警告仍不改正的，基金托管人应报告中国证监会。</w:t>
      </w:r>
    </w:p>
    <w:p>
      <w:pPr>
        <w:pStyle w:val="Heading3"/>
        <w:spacing w:line="358" w:lineRule="exact"/>
      </w:pPr>
      <w:bookmarkStart w:name="_bookmark98" w:id="99"/>
      <w:bookmarkEnd w:id="99"/>
      <w:r>
        <w:rPr/>
      </w:r>
      <w:r>
        <w:rPr/>
        <w:t>（三）基金管理人对基金托管人的业务核查</w:t>
      </w:r>
    </w:p>
    <w:p>
      <w:pPr>
        <w:pStyle w:val="BodyText"/>
        <w:spacing w:line="364" w:lineRule="auto" w:before="175"/>
        <w:ind w:left="413" w:right="1451" w:firstLine="420"/>
        <w:jc w:val="both"/>
      </w:pPr>
      <w:r>
        <w:rPr/>
        <w:t>1</w:t>
      </w:r>
      <w:r>
        <w:rPr>
          <w:spacing w:val="-5"/>
        </w:rPr>
        <w:t>、基金管理人对基金托管人履行托管职责情况进行核查，核查事项包括基金托管人安</w:t>
      </w:r>
      <w:r>
        <w:rPr/>
        <w:t>全保管基金财产、开设基金财产的资金账户和证券账户、复核基金管理人计算的基金资产净值和各类基金份额净值、根据基金管理人指令办理清算交收、相关信息披露和监督基金投资运作等行为。</w:t>
      </w:r>
    </w:p>
    <w:p>
      <w:pPr>
        <w:pStyle w:val="BodyText"/>
        <w:spacing w:line="364" w:lineRule="auto"/>
        <w:ind w:left="413" w:right="1451" w:firstLine="420"/>
        <w:jc w:val="both"/>
      </w:pPr>
      <w:r>
        <w:rPr/>
        <w:t>2</w:t>
      </w:r>
      <w:r>
        <w:rPr>
          <w:spacing w:val="-5"/>
        </w:rPr>
        <w:t>、基金管理人发现基金托管人擅自挪用基金财产、未对基金财产实行分账管理、未执</w:t>
      </w:r>
      <w:r>
        <w:rPr>
          <w:spacing w:val="-7"/>
        </w:rPr>
        <w:t>行或无故延迟执行基金管理人资金划拨指令、泄露基金投资信息等违反《基金法》、基金合</w:t>
      </w:r>
      <w:r>
        <w:rPr/>
        <w:t>同、本协议及其他有关规定时，应及时以书面形式通知基金托管人限期纠正。基金托管人</w:t>
      </w:r>
    </w:p>
    <w:p>
      <w:pPr>
        <w:spacing w:after="0" w:line="364" w:lineRule="auto"/>
        <w:jc w:val="both"/>
        <w:sectPr>
          <w:pgSz w:w="11910" w:h="16840"/>
          <w:pgMar w:header="0" w:footer="1166" w:top="1600" w:bottom="1440" w:left="1400" w:right="360"/>
        </w:sectPr>
      </w:pPr>
    </w:p>
    <w:p>
      <w:pPr>
        <w:pStyle w:val="BodyText"/>
        <w:spacing w:line="364" w:lineRule="auto" w:before="104"/>
        <w:ind w:left="413" w:right="1452"/>
        <w:jc w:val="both"/>
      </w:pPr>
      <w:r>
        <w:rPr/>
        <w:t>收到通知后应及时核对并以书面形式给基金管理人发出回函，说明违规原因及纠正期限， 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pStyle w:val="BodyText"/>
        <w:spacing w:line="364" w:lineRule="auto"/>
        <w:ind w:left="413" w:right="1451" w:firstLine="420"/>
        <w:jc w:val="both"/>
      </w:pPr>
      <w:r>
        <w:rPr/>
        <w:t>3</w:t>
      </w:r>
      <w:r>
        <w:rPr>
          <w:spacing w:val="-5"/>
        </w:rPr>
        <w:t>、基金管理人发现基金托管人有重大违规行为，应及时报告中国证监会，同时通知基</w:t>
      </w:r>
      <w:r>
        <w:rPr/>
        <w:t>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pStyle w:val="Heading3"/>
        <w:spacing w:line="358" w:lineRule="exact"/>
      </w:pPr>
      <w:bookmarkStart w:name="_bookmark99" w:id="100"/>
      <w:bookmarkEnd w:id="100"/>
      <w:r>
        <w:rPr/>
      </w:r>
      <w:r>
        <w:rPr/>
        <w:t>（四）基金财产的保管</w:t>
      </w:r>
    </w:p>
    <w:p>
      <w:pPr>
        <w:pStyle w:val="BodyText"/>
        <w:spacing w:before="182"/>
        <w:ind w:left="833"/>
      </w:pPr>
      <w:r>
        <w:rPr/>
        <w:t>1、基金财产保管的原则</w:t>
      </w:r>
    </w:p>
    <w:p>
      <w:pPr>
        <w:pStyle w:val="ListParagraph"/>
        <w:numPr>
          <w:ilvl w:val="0"/>
          <w:numId w:val="78"/>
        </w:numPr>
        <w:tabs>
          <w:tab w:pos="1360" w:val="left" w:leader="none"/>
        </w:tabs>
        <w:spacing w:line="240" w:lineRule="auto" w:before="140" w:after="0"/>
        <w:ind w:left="1360" w:right="0" w:hanging="527"/>
        <w:jc w:val="left"/>
        <w:rPr>
          <w:sz w:val="21"/>
        </w:rPr>
      </w:pPr>
      <w:r>
        <w:rPr>
          <w:sz w:val="21"/>
        </w:rPr>
        <w:t>基金财产应独立于基金管理人、基金托管人的固有财产。</w:t>
      </w:r>
    </w:p>
    <w:p>
      <w:pPr>
        <w:pStyle w:val="ListParagraph"/>
        <w:numPr>
          <w:ilvl w:val="0"/>
          <w:numId w:val="78"/>
        </w:numPr>
        <w:tabs>
          <w:tab w:pos="1360" w:val="left" w:leader="none"/>
        </w:tabs>
        <w:spacing w:line="240" w:lineRule="auto" w:before="139" w:after="0"/>
        <w:ind w:left="1360" w:right="0" w:hanging="527"/>
        <w:jc w:val="left"/>
        <w:rPr>
          <w:sz w:val="21"/>
        </w:rPr>
      </w:pPr>
      <w:r>
        <w:rPr>
          <w:sz w:val="21"/>
        </w:rPr>
        <w:t>基金托管人应安全保管基金财产。</w:t>
      </w:r>
    </w:p>
    <w:p>
      <w:pPr>
        <w:pStyle w:val="ListParagraph"/>
        <w:numPr>
          <w:ilvl w:val="0"/>
          <w:numId w:val="78"/>
        </w:numPr>
        <w:tabs>
          <w:tab w:pos="1360" w:val="left" w:leader="none"/>
        </w:tabs>
        <w:spacing w:line="240" w:lineRule="auto" w:before="140" w:after="0"/>
        <w:ind w:left="1360" w:right="0" w:hanging="527"/>
        <w:jc w:val="left"/>
        <w:rPr>
          <w:sz w:val="21"/>
        </w:rPr>
      </w:pPr>
      <w:r>
        <w:rPr>
          <w:sz w:val="21"/>
        </w:rPr>
        <w:t>基金托管人按照规定开设基金财产的资金账户和证券账户。</w:t>
      </w:r>
    </w:p>
    <w:p>
      <w:pPr>
        <w:pStyle w:val="ListParagraph"/>
        <w:numPr>
          <w:ilvl w:val="0"/>
          <w:numId w:val="78"/>
        </w:numPr>
        <w:tabs>
          <w:tab w:pos="1360" w:val="left" w:leader="none"/>
        </w:tabs>
        <w:spacing w:line="240" w:lineRule="auto" w:before="139" w:after="0"/>
        <w:ind w:left="1360" w:right="0" w:hanging="527"/>
        <w:jc w:val="left"/>
        <w:rPr>
          <w:sz w:val="21"/>
        </w:rPr>
      </w:pPr>
      <w:r>
        <w:rPr>
          <w:spacing w:val="-3"/>
          <w:sz w:val="21"/>
        </w:rPr>
        <w:t>基金托管人对所托管的不同基金财产分别设置账户，确保基金财产的完整与独立。</w:t>
      </w:r>
    </w:p>
    <w:p>
      <w:pPr>
        <w:pStyle w:val="ListParagraph"/>
        <w:numPr>
          <w:ilvl w:val="0"/>
          <w:numId w:val="78"/>
        </w:numPr>
        <w:tabs>
          <w:tab w:pos="1360" w:val="left" w:leader="none"/>
        </w:tabs>
        <w:spacing w:line="364" w:lineRule="auto" w:before="140" w:after="0"/>
        <w:ind w:left="413" w:right="1346" w:firstLine="420"/>
        <w:jc w:val="left"/>
        <w:rPr>
          <w:sz w:val="21"/>
        </w:rPr>
      </w:pPr>
      <w:r>
        <w:rPr>
          <w:spacing w:val="-4"/>
          <w:sz w:val="21"/>
        </w:rPr>
        <w:t>基金托管人根据基金管理人的指令，按照基金合同和本协议的约定保管基金财产，如有特殊情况双方可另行协商解决。</w:t>
      </w:r>
    </w:p>
    <w:p>
      <w:pPr>
        <w:pStyle w:val="ListParagraph"/>
        <w:numPr>
          <w:ilvl w:val="0"/>
          <w:numId w:val="78"/>
        </w:numPr>
        <w:tabs>
          <w:tab w:pos="1360" w:val="left" w:leader="none"/>
        </w:tabs>
        <w:spacing w:line="364" w:lineRule="auto" w:before="0" w:after="0"/>
        <w:ind w:left="413" w:right="1451" w:firstLine="420"/>
        <w:jc w:val="both"/>
        <w:rPr>
          <w:sz w:val="21"/>
        </w:rPr>
      </w:pPr>
      <w:r>
        <w:rPr>
          <w:spacing w:val="-2"/>
          <w:sz w:val="21"/>
        </w:rPr>
        <w:t>对于因为基金投资产生的应收资产，如基金托管人无法从公开信息或基金管理人</w:t>
      </w:r>
      <w:r>
        <w:rPr>
          <w:sz w:val="21"/>
        </w:rPr>
        <w:t>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pPr>
        <w:pStyle w:val="ListParagraph"/>
        <w:numPr>
          <w:ilvl w:val="0"/>
          <w:numId w:val="78"/>
        </w:numPr>
        <w:tabs>
          <w:tab w:pos="1360" w:val="left" w:leader="none"/>
        </w:tabs>
        <w:spacing w:line="267" w:lineRule="exact" w:before="0" w:after="0"/>
        <w:ind w:left="1360" w:right="0" w:hanging="527"/>
        <w:jc w:val="left"/>
        <w:rPr>
          <w:sz w:val="21"/>
        </w:rPr>
      </w:pPr>
      <w:r>
        <w:rPr>
          <w:spacing w:val="-4"/>
          <w:sz w:val="21"/>
        </w:rPr>
        <w:t>除依据法律法规和基金合同的规定外，基金托管人不得委托第三人托管基金财产。</w:t>
      </w:r>
    </w:p>
    <w:p>
      <w:pPr>
        <w:pStyle w:val="BodyText"/>
        <w:spacing w:before="138"/>
        <w:ind w:left="833"/>
      </w:pPr>
      <w:r>
        <w:rPr/>
        <w:t>2、基金募集期间及募集资金的验资</w:t>
      </w:r>
    </w:p>
    <w:p>
      <w:pPr>
        <w:pStyle w:val="ListParagraph"/>
        <w:numPr>
          <w:ilvl w:val="0"/>
          <w:numId w:val="79"/>
        </w:numPr>
        <w:tabs>
          <w:tab w:pos="1360" w:val="left" w:leader="none"/>
        </w:tabs>
        <w:spacing w:line="364" w:lineRule="auto" w:before="140" w:after="0"/>
        <w:ind w:left="413" w:right="1451" w:firstLine="420"/>
        <w:jc w:val="left"/>
        <w:rPr>
          <w:sz w:val="21"/>
        </w:rPr>
      </w:pPr>
      <w:r>
        <w:rPr>
          <w:spacing w:val="-2"/>
          <w:sz w:val="21"/>
        </w:rPr>
        <w:t>基金募集期间募集的资金应存于基金管理人在基金托管人的营业机构开立的“基</w:t>
      </w:r>
      <w:r>
        <w:rPr>
          <w:spacing w:val="-11"/>
          <w:sz w:val="21"/>
        </w:rPr>
        <w:t>金募集专户”。该账户由基金管理人开立并管理。</w:t>
      </w:r>
    </w:p>
    <w:p>
      <w:pPr>
        <w:pStyle w:val="ListParagraph"/>
        <w:numPr>
          <w:ilvl w:val="0"/>
          <w:numId w:val="79"/>
        </w:numPr>
        <w:tabs>
          <w:tab w:pos="1360" w:val="left" w:leader="none"/>
        </w:tabs>
        <w:spacing w:line="364" w:lineRule="auto" w:before="0" w:after="0"/>
        <w:ind w:left="413" w:right="1451" w:firstLine="420"/>
        <w:jc w:val="both"/>
        <w:rPr>
          <w:sz w:val="21"/>
        </w:rPr>
      </w:pPr>
      <w:r>
        <w:rPr>
          <w:spacing w:val="-4"/>
          <w:sz w:val="21"/>
        </w:rPr>
        <w:t>基金募集期满或基金停止募集时，募集的基金份额总额、基金募集金额、基金份</w:t>
      </w:r>
      <w:r>
        <w:rPr>
          <w:spacing w:val="-14"/>
          <w:sz w:val="21"/>
        </w:rPr>
        <w:t>额持有人人数符合《基金法》、《运作办法》等有关规定后，基金管理人应将属于基金财产的全部资金划入基金托管人开立的基金银行账户，同时在规定时间内，聘请具有从事证券</w:t>
      </w:r>
      <w:r>
        <w:rPr>
          <w:spacing w:val="-15"/>
          <w:sz w:val="21"/>
        </w:rPr>
        <w:t>相关业务资格的会计师事务所进行验资，出具验资报告。出具的验资报告由参加验资的 </w:t>
      </w:r>
      <w:r>
        <w:rPr>
          <w:sz w:val="21"/>
        </w:rPr>
        <w:t>2 </w:t>
      </w:r>
      <w:r>
        <w:rPr>
          <w:spacing w:val="-18"/>
          <w:sz w:val="21"/>
        </w:rPr>
        <w:t>名或 </w:t>
      </w:r>
      <w:r>
        <w:rPr>
          <w:sz w:val="21"/>
        </w:rPr>
        <w:t>2</w:t>
      </w:r>
      <w:r>
        <w:rPr>
          <w:spacing w:val="-8"/>
          <w:sz w:val="21"/>
        </w:rPr>
        <w:t> 名以上中国注册会计师签字方为有效。</w:t>
      </w:r>
    </w:p>
    <w:p>
      <w:pPr>
        <w:pStyle w:val="ListParagraph"/>
        <w:numPr>
          <w:ilvl w:val="0"/>
          <w:numId w:val="79"/>
        </w:numPr>
        <w:tabs>
          <w:tab w:pos="1360" w:val="left" w:leader="none"/>
        </w:tabs>
        <w:spacing w:line="267" w:lineRule="exact" w:before="0" w:after="0"/>
        <w:ind w:left="1360" w:right="0" w:hanging="527"/>
        <w:jc w:val="left"/>
        <w:rPr>
          <w:sz w:val="21"/>
        </w:rPr>
      </w:pPr>
      <w:r>
        <w:rPr>
          <w:spacing w:val="-2"/>
          <w:sz w:val="21"/>
        </w:rPr>
        <w:t>若基金募集期限届满，未能达到基金合同生效的条件，由基金管理人按规定办理</w:t>
      </w:r>
    </w:p>
    <w:p>
      <w:pPr>
        <w:spacing w:after="0" w:line="267" w:lineRule="exact"/>
        <w:jc w:val="left"/>
        <w:rPr>
          <w:sz w:val="21"/>
        </w:rPr>
        <w:sectPr>
          <w:pgSz w:w="11910" w:h="16840"/>
          <w:pgMar w:header="0" w:footer="1166" w:top="1600" w:bottom="1440" w:left="1400" w:right="360"/>
        </w:sectPr>
      </w:pPr>
    </w:p>
    <w:p>
      <w:pPr>
        <w:pStyle w:val="BodyText"/>
        <w:spacing w:before="104"/>
        <w:ind w:left="413"/>
      </w:pPr>
      <w:r>
        <w:rPr/>
        <w:t>退款等事宜。</w:t>
      </w:r>
    </w:p>
    <w:p>
      <w:pPr>
        <w:pStyle w:val="BodyText"/>
        <w:spacing w:before="139"/>
        <w:ind w:left="833"/>
      </w:pPr>
      <w:r>
        <w:rPr/>
        <w:t>3、基金银行账户的开立和管理</w:t>
      </w:r>
    </w:p>
    <w:p>
      <w:pPr>
        <w:pStyle w:val="ListParagraph"/>
        <w:numPr>
          <w:ilvl w:val="0"/>
          <w:numId w:val="80"/>
        </w:numPr>
        <w:tabs>
          <w:tab w:pos="1360" w:val="left" w:leader="none"/>
        </w:tabs>
        <w:spacing w:line="364" w:lineRule="auto" w:before="140" w:after="0"/>
        <w:ind w:left="413" w:right="1451" w:firstLine="420"/>
        <w:jc w:val="left"/>
        <w:rPr>
          <w:sz w:val="21"/>
        </w:rPr>
      </w:pPr>
      <w:r>
        <w:rPr>
          <w:spacing w:val="-2"/>
          <w:sz w:val="21"/>
        </w:rPr>
        <w:t>基金托管人可以基金的名义在其营业机构开立基金的银行账户，并根据基金管理</w:t>
      </w:r>
      <w:r>
        <w:rPr>
          <w:sz w:val="21"/>
        </w:rPr>
        <w:t>人合法合规的指令办理资金收付。本基金的银行预留印鉴由基金托管人保管和使用。</w:t>
      </w:r>
    </w:p>
    <w:p>
      <w:pPr>
        <w:pStyle w:val="ListParagraph"/>
        <w:numPr>
          <w:ilvl w:val="0"/>
          <w:numId w:val="80"/>
        </w:numPr>
        <w:tabs>
          <w:tab w:pos="1360" w:val="left" w:leader="none"/>
        </w:tabs>
        <w:spacing w:line="364" w:lineRule="auto" w:before="0" w:after="0"/>
        <w:ind w:left="413" w:right="1451" w:firstLine="420"/>
        <w:jc w:val="both"/>
        <w:rPr>
          <w:sz w:val="21"/>
        </w:rPr>
      </w:pPr>
      <w:r>
        <w:rPr>
          <w:spacing w:val="-3"/>
          <w:sz w:val="21"/>
        </w:rPr>
        <w:t>基金银行账户的开立和使用，限于满足开展本基金业务的需要。基金托管人和基</w:t>
      </w:r>
      <w:r>
        <w:rPr>
          <w:sz w:val="21"/>
        </w:rPr>
        <w:t>金管理人不得假借本基金的名义开立任何其他银行账户；亦不得使用基金的任何账户进行本基金业务以外的活动。</w:t>
      </w:r>
    </w:p>
    <w:p>
      <w:pPr>
        <w:pStyle w:val="ListParagraph"/>
        <w:numPr>
          <w:ilvl w:val="0"/>
          <w:numId w:val="80"/>
        </w:numPr>
        <w:tabs>
          <w:tab w:pos="1360" w:val="left" w:leader="none"/>
        </w:tabs>
        <w:spacing w:line="268" w:lineRule="exact" w:before="0" w:after="0"/>
        <w:ind w:left="1360" w:right="0" w:hanging="527"/>
        <w:jc w:val="left"/>
        <w:rPr>
          <w:sz w:val="21"/>
        </w:rPr>
      </w:pPr>
      <w:r>
        <w:rPr>
          <w:sz w:val="21"/>
        </w:rPr>
        <w:t>基金银行账户的开立和管理应符合银行业监督管理机构的有关规定。</w:t>
      </w:r>
    </w:p>
    <w:p>
      <w:pPr>
        <w:pStyle w:val="ListParagraph"/>
        <w:numPr>
          <w:ilvl w:val="0"/>
          <w:numId w:val="80"/>
        </w:numPr>
        <w:tabs>
          <w:tab w:pos="1360" w:val="left" w:leader="none"/>
        </w:tabs>
        <w:spacing w:line="364" w:lineRule="auto" w:before="138" w:after="0"/>
        <w:ind w:left="413" w:right="1451" w:firstLine="420"/>
        <w:jc w:val="left"/>
        <w:rPr>
          <w:sz w:val="21"/>
        </w:rPr>
      </w:pPr>
      <w:r>
        <w:rPr>
          <w:spacing w:val="-2"/>
          <w:sz w:val="21"/>
        </w:rPr>
        <w:t>在符合法律法规规定的条件下，基金托管人可以通过基金托管人专用账户办理基</w:t>
      </w:r>
      <w:r>
        <w:rPr>
          <w:sz w:val="21"/>
        </w:rPr>
        <w:t>金资产的支付。</w:t>
      </w:r>
    </w:p>
    <w:p>
      <w:pPr>
        <w:pStyle w:val="BodyText"/>
        <w:spacing w:line="268" w:lineRule="exact"/>
        <w:ind w:left="833"/>
      </w:pPr>
      <w:r>
        <w:rPr/>
        <w:t>4、基金证券账户和结算备付金账户的开立和管理</w:t>
      </w:r>
    </w:p>
    <w:p>
      <w:pPr>
        <w:pStyle w:val="ListParagraph"/>
        <w:numPr>
          <w:ilvl w:val="0"/>
          <w:numId w:val="81"/>
        </w:numPr>
        <w:tabs>
          <w:tab w:pos="1360" w:val="left" w:leader="none"/>
        </w:tabs>
        <w:spacing w:line="364" w:lineRule="auto" w:before="140" w:after="0"/>
        <w:ind w:left="413" w:right="1451" w:firstLine="420"/>
        <w:jc w:val="left"/>
        <w:rPr>
          <w:sz w:val="21"/>
        </w:rPr>
      </w:pPr>
      <w:r>
        <w:rPr>
          <w:spacing w:val="-2"/>
          <w:sz w:val="21"/>
        </w:rPr>
        <w:t>基金托管人在中国证券登记结算有限责任公司上海分公司、深圳分公司为基金开</w:t>
      </w:r>
      <w:r>
        <w:rPr>
          <w:sz w:val="21"/>
        </w:rPr>
        <w:t>立基金托管人与基金联名的证券账户。</w:t>
      </w:r>
    </w:p>
    <w:p>
      <w:pPr>
        <w:pStyle w:val="ListParagraph"/>
        <w:numPr>
          <w:ilvl w:val="0"/>
          <w:numId w:val="81"/>
        </w:numPr>
        <w:tabs>
          <w:tab w:pos="1360" w:val="left" w:leader="none"/>
        </w:tabs>
        <w:spacing w:line="364" w:lineRule="auto" w:before="0" w:after="0"/>
        <w:ind w:left="413" w:right="1451" w:firstLine="420"/>
        <w:jc w:val="both"/>
        <w:rPr>
          <w:sz w:val="21"/>
        </w:rPr>
      </w:pPr>
      <w:r>
        <w:rPr>
          <w:spacing w:val="-3"/>
          <w:sz w:val="21"/>
        </w:rPr>
        <w:t>基金证券账户的开立和使用，仅限于满足开展本基金业务的需要。基金托管人和</w:t>
      </w:r>
      <w:r>
        <w:rPr>
          <w:sz w:val="21"/>
        </w:rPr>
        <w:t>基金管理人不得出借或未经对方同意擅自转让基金的任何证券账户，亦不得使用基金的任何账户进行本基金业务以外的活动。</w:t>
      </w:r>
    </w:p>
    <w:p>
      <w:pPr>
        <w:pStyle w:val="ListParagraph"/>
        <w:numPr>
          <w:ilvl w:val="0"/>
          <w:numId w:val="81"/>
        </w:numPr>
        <w:tabs>
          <w:tab w:pos="1360" w:val="left" w:leader="none"/>
        </w:tabs>
        <w:spacing w:line="364" w:lineRule="auto" w:before="0" w:after="0"/>
        <w:ind w:left="413" w:right="1451" w:firstLine="420"/>
        <w:jc w:val="left"/>
        <w:rPr>
          <w:sz w:val="21"/>
        </w:rPr>
      </w:pPr>
      <w:r>
        <w:rPr>
          <w:spacing w:val="-2"/>
          <w:sz w:val="21"/>
        </w:rPr>
        <w:t>基金证券账户的开立和证券账户卡的保管由基金托管人负责，账户资产的管理和</w:t>
      </w:r>
      <w:r>
        <w:rPr>
          <w:sz w:val="21"/>
        </w:rPr>
        <w:t>运用由基金管理人负责。</w:t>
      </w:r>
    </w:p>
    <w:p>
      <w:pPr>
        <w:pStyle w:val="ListParagraph"/>
        <w:numPr>
          <w:ilvl w:val="0"/>
          <w:numId w:val="81"/>
        </w:numPr>
        <w:tabs>
          <w:tab w:pos="1360" w:val="left" w:leader="none"/>
        </w:tabs>
        <w:spacing w:line="364" w:lineRule="auto" w:before="0" w:after="0"/>
        <w:ind w:left="413" w:right="1242" w:firstLine="420"/>
        <w:jc w:val="left"/>
        <w:rPr>
          <w:sz w:val="21"/>
        </w:rPr>
      </w:pPr>
      <w:r>
        <w:rPr>
          <w:sz w:val="21"/>
        </w:rPr>
        <w:t>基金托管人以基金托管人的名义在中国证券登记结算有限责任公司开立结算备付金账户，并代表所托管的基金完成与中国证券登记结算有限责任公司的一级法人清算工作， 基金管理人应予以积极协助。结算备付金、结算互保基金、交收价差资金等的收取按照中 国证券登记结算有限责任公司的规定执行。</w:t>
      </w:r>
    </w:p>
    <w:p>
      <w:pPr>
        <w:pStyle w:val="ListParagraph"/>
        <w:numPr>
          <w:ilvl w:val="0"/>
          <w:numId w:val="81"/>
        </w:numPr>
        <w:tabs>
          <w:tab w:pos="1360" w:val="left" w:leader="none"/>
        </w:tabs>
        <w:spacing w:line="364" w:lineRule="auto" w:before="0" w:after="0"/>
        <w:ind w:left="413" w:right="1451" w:firstLine="420"/>
        <w:jc w:val="both"/>
        <w:rPr>
          <w:sz w:val="21"/>
        </w:rPr>
      </w:pPr>
      <w:r>
        <w:rPr>
          <w:spacing w:val="-1"/>
          <w:sz w:val="21"/>
        </w:rPr>
        <w:t>若中国证监会或其他监管机构在本托管协议订立日之后允许基金从事其他投资品</w:t>
      </w:r>
      <w:r>
        <w:rPr>
          <w:sz w:val="21"/>
        </w:rPr>
        <w:t>种的投资业务，涉及相关账户的开立、使用的，若无相关规定，则基金托管人比照上述关于账户开立、使用的规定执行。</w:t>
      </w:r>
    </w:p>
    <w:p>
      <w:pPr>
        <w:pStyle w:val="BodyText"/>
        <w:spacing w:line="268" w:lineRule="exact"/>
        <w:ind w:left="833"/>
      </w:pPr>
      <w:r>
        <w:rPr/>
        <w:t>5、债券托管专户的开设和管理</w:t>
      </w:r>
    </w:p>
    <w:p>
      <w:pPr>
        <w:pStyle w:val="BodyText"/>
        <w:spacing w:line="364" w:lineRule="auto" w:before="134"/>
        <w:ind w:left="413" w:right="1452" w:firstLine="420"/>
        <w:jc w:val="both"/>
      </w:pPr>
      <w:r>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pPr>
        <w:pStyle w:val="BodyText"/>
        <w:spacing w:line="267" w:lineRule="exact"/>
        <w:ind w:left="833"/>
      </w:pPr>
      <w:r>
        <w:rPr/>
        <w:t>6、其他账户的开立和管理</w:t>
      </w:r>
    </w:p>
    <w:p>
      <w:pPr>
        <w:pStyle w:val="ListParagraph"/>
        <w:numPr>
          <w:ilvl w:val="0"/>
          <w:numId w:val="82"/>
        </w:numPr>
        <w:tabs>
          <w:tab w:pos="1360" w:val="left" w:leader="none"/>
        </w:tabs>
        <w:spacing w:line="364" w:lineRule="auto" w:before="139" w:after="0"/>
        <w:ind w:left="413" w:right="1451" w:firstLine="420"/>
        <w:jc w:val="left"/>
        <w:rPr>
          <w:sz w:val="21"/>
        </w:rPr>
      </w:pPr>
      <w:r>
        <w:rPr>
          <w:spacing w:val="-3"/>
          <w:sz w:val="21"/>
        </w:rPr>
        <w:t>因业务发展需要而开立的其他账户，可以根据法律法规和基金合同的规定，由基</w:t>
      </w:r>
      <w:r>
        <w:rPr>
          <w:sz w:val="21"/>
        </w:rPr>
        <w:t>金托管人负责开立。新账户按有关规定使用并管理。</w:t>
      </w:r>
    </w:p>
    <w:p>
      <w:pPr>
        <w:spacing w:after="0" w:line="364" w:lineRule="auto"/>
        <w:jc w:val="left"/>
        <w:rPr>
          <w:sz w:val="21"/>
        </w:rPr>
        <w:sectPr>
          <w:pgSz w:w="11910" w:h="16840"/>
          <w:pgMar w:header="0" w:footer="1166" w:top="1600" w:bottom="1440" w:left="1400" w:right="360"/>
        </w:sectPr>
      </w:pPr>
    </w:p>
    <w:p>
      <w:pPr>
        <w:pStyle w:val="ListParagraph"/>
        <w:numPr>
          <w:ilvl w:val="0"/>
          <w:numId w:val="82"/>
        </w:numPr>
        <w:tabs>
          <w:tab w:pos="1360" w:val="left" w:leader="none"/>
        </w:tabs>
        <w:spacing w:line="240" w:lineRule="auto" w:before="104" w:after="0"/>
        <w:ind w:left="1360" w:right="0" w:hanging="527"/>
        <w:jc w:val="left"/>
        <w:rPr>
          <w:sz w:val="21"/>
        </w:rPr>
      </w:pPr>
      <w:r>
        <w:rPr>
          <w:sz w:val="21"/>
        </w:rPr>
        <w:t>法律法规等有关规定对相关账户的开立和管理另有规定的，从其规定办理。</w:t>
      </w:r>
    </w:p>
    <w:p>
      <w:pPr>
        <w:pStyle w:val="BodyText"/>
        <w:spacing w:before="139"/>
        <w:ind w:left="833"/>
      </w:pPr>
      <w:r>
        <w:rPr/>
        <w:t>7、基金财产投资的有关有价凭证等的保管</w:t>
      </w:r>
    </w:p>
    <w:p>
      <w:pPr>
        <w:pStyle w:val="BodyText"/>
        <w:spacing w:line="364" w:lineRule="auto" w:before="140"/>
        <w:ind w:left="413" w:right="1346" w:firstLine="420"/>
      </w:pPr>
      <w:r>
        <w:rPr/>
        <w:t>基金财产投资的有关实物证券、银行定期存款证实书等有价凭证由基金托管人存放于基金托管人的保管库，也可存入中央国债登记结算有限责任公司、中国证券登记结算有限</w:t>
      </w:r>
      <w:r>
        <w:rPr>
          <w:spacing w:val="-2"/>
        </w:rPr>
        <w:t>责任公司上海分公司</w:t>
      </w:r>
      <w:r>
        <w:rPr/>
        <w:t>/</w:t>
      </w:r>
      <w:r>
        <w:rPr>
          <w:spacing w:val="-7"/>
        </w:rPr>
        <w:t>深圳分公司或票据营业中心的代保管库，保管凭证由基金托管人持有。</w:t>
      </w:r>
      <w:r>
        <w:rPr/>
        <w:t>实物证券、银行定期存款证实书等有价凭证的购买和转让，由基金管理人和基金托管人共同办理。基金托管人对由基金托管人以外机构（基金托管人的代理人除外）实际有效控制的证券、存款不承担保管责任。</w:t>
      </w:r>
    </w:p>
    <w:p>
      <w:pPr>
        <w:pStyle w:val="BodyText"/>
        <w:spacing w:line="266" w:lineRule="exact"/>
        <w:ind w:left="833"/>
      </w:pPr>
      <w:r>
        <w:rPr/>
        <w:t>8、与基金财产有关的重大合同的保管</w:t>
      </w:r>
    </w:p>
    <w:p>
      <w:pPr>
        <w:pStyle w:val="BodyText"/>
        <w:spacing w:line="364" w:lineRule="auto" w:before="139"/>
        <w:ind w:left="413" w:right="1452" w:firstLine="420"/>
        <w:jc w:val="both"/>
      </w:pPr>
      <w:r>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 15 年。</w:t>
      </w:r>
    </w:p>
    <w:p>
      <w:pPr>
        <w:pStyle w:val="Heading3"/>
        <w:spacing w:line="357" w:lineRule="exact"/>
      </w:pPr>
      <w:bookmarkStart w:name="_bookmark100" w:id="101"/>
      <w:bookmarkEnd w:id="101"/>
      <w:r>
        <w:rPr/>
      </w:r>
      <w:r>
        <w:rPr/>
        <w:t>（五）基金资产净值计算与复核</w:t>
      </w:r>
    </w:p>
    <w:p>
      <w:pPr>
        <w:pStyle w:val="BodyText"/>
        <w:spacing w:before="185"/>
        <w:ind w:left="833"/>
      </w:pPr>
      <w:r>
        <w:rPr/>
        <w:t>1、基金资产净值</w:t>
      </w:r>
    </w:p>
    <w:p>
      <w:pPr>
        <w:pStyle w:val="BodyText"/>
        <w:spacing w:before="140"/>
        <w:ind w:left="833"/>
      </w:pPr>
      <w:r>
        <w:rPr/>
        <w:t>基金资产净值是指基金资产总值减去负债后的价值。</w:t>
      </w:r>
    </w:p>
    <w:p>
      <w:pPr>
        <w:pStyle w:val="BodyText"/>
        <w:spacing w:line="364" w:lineRule="auto" w:before="139"/>
        <w:ind w:left="413" w:right="1451" w:firstLine="420"/>
        <w:jc w:val="both"/>
      </w:pPr>
      <w:r>
        <w:rPr/>
        <w:t>各类基金份额净值是指该类基金资产净值除以该类基金份额总数，基金份额净值的计</w:t>
      </w:r>
      <w:r>
        <w:rPr>
          <w:spacing w:val="-11"/>
        </w:rPr>
        <w:t>算，精确到 </w:t>
      </w:r>
      <w:r>
        <w:rPr/>
        <w:t>0.0001</w:t>
      </w:r>
      <w:r>
        <w:rPr>
          <w:spacing w:val="-9"/>
        </w:rPr>
        <w:t> 元，小数点后第五位四舍五入，国家另有规定的，从其规定。本基金各</w:t>
      </w:r>
      <w:r>
        <w:rPr/>
        <w:t>类基金份额将分别计算基金份额净值。</w:t>
      </w:r>
    </w:p>
    <w:p>
      <w:pPr>
        <w:pStyle w:val="BodyText"/>
        <w:spacing w:line="364" w:lineRule="auto"/>
        <w:ind w:left="413" w:right="1452" w:firstLine="420"/>
      </w:pPr>
      <w:r>
        <w:rPr/>
        <w:t>基金管理人每个工作日计算基金资产净值及各类基金份额净值，经基金托管人复核， 按规定公告。</w:t>
      </w:r>
    </w:p>
    <w:p>
      <w:pPr>
        <w:pStyle w:val="BodyText"/>
        <w:spacing w:line="268" w:lineRule="exact"/>
        <w:ind w:left="833"/>
      </w:pPr>
      <w:r>
        <w:rPr/>
        <w:t>2、复核程序</w:t>
      </w:r>
    </w:p>
    <w:p>
      <w:pPr>
        <w:pStyle w:val="BodyText"/>
        <w:spacing w:line="364" w:lineRule="auto" w:before="138"/>
        <w:ind w:left="413" w:right="1452" w:firstLine="420"/>
      </w:pPr>
      <w:r>
        <w:rPr/>
        <w:t>基金管理人每工作日对基金资产进行估值后，将各类基金份额净值结果发送基金托管人，经基金托管人复核无误后，由基金管理人对外公布。</w:t>
      </w:r>
    </w:p>
    <w:p>
      <w:pPr>
        <w:pStyle w:val="BodyText"/>
        <w:spacing w:line="364" w:lineRule="auto"/>
        <w:ind w:left="413" w:right="1242" w:firstLine="420"/>
      </w:pPr>
      <w:r>
        <w:rPr/>
        <w:t>3、根据有关法律法规，基金资产净值计算和基金会计核算的义务由基金管理人承担。本基金的基金会计责任方由基金管理人担任，因此，就与本基金有关的会计问题，如经相 关各方在平等基础上充分讨论后，仍无法达成一致意见的，按照基金管理人对基金资产净 值的计算结果对外予以公布。</w:t>
      </w:r>
    </w:p>
    <w:p>
      <w:pPr>
        <w:spacing w:after="0" w:line="364" w:lineRule="auto"/>
        <w:sectPr>
          <w:pgSz w:w="11910" w:h="16840"/>
          <w:pgMar w:header="0" w:footer="1166" w:top="1600" w:bottom="1440" w:left="1400" w:right="360"/>
        </w:sectPr>
      </w:pPr>
    </w:p>
    <w:p>
      <w:pPr>
        <w:pStyle w:val="Heading3"/>
        <w:spacing w:before="105"/>
      </w:pPr>
      <w:bookmarkStart w:name="_bookmark101" w:id="102"/>
      <w:bookmarkEnd w:id="102"/>
      <w:r>
        <w:rPr/>
      </w:r>
      <w:r>
        <w:rPr/>
        <w:t>（六）基金份额持有人名册的登记与保管</w:t>
      </w:r>
    </w:p>
    <w:p>
      <w:pPr>
        <w:pStyle w:val="BodyText"/>
        <w:spacing w:line="364" w:lineRule="auto" w:before="185"/>
        <w:ind w:left="413" w:right="1451" w:firstLine="420"/>
        <w:jc w:val="both"/>
      </w:pPr>
      <w:r>
        <w:rPr/>
        <w:t>基金份额持有人名册至少应包括基金份额持有人的名称和持有的基金份额。基金份额持有人名册由基金注册登记机构根据基金管理人的指令编制和保管，基金管理人和基金托</w:t>
      </w:r>
      <w:r>
        <w:rPr>
          <w:spacing w:val="-4"/>
        </w:rPr>
        <w:t>管人应分别保管基金份额持有人名册，保存期不少于 </w:t>
      </w:r>
      <w:r>
        <w:rPr/>
        <w:t>15</w:t>
      </w:r>
      <w:r>
        <w:rPr>
          <w:spacing w:val="-9"/>
        </w:rPr>
        <w:t> 年。如不能妥善保管，则按相关法</w:t>
      </w:r>
      <w:r>
        <w:rPr/>
        <w:t>规承担责任。</w:t>
      </w:r>
    </w:p>
    <w:p>
      <w:pPr>
        <w:pStyle w:val="BodyText"/>
        <w:spacing w:line="364" w:lineRule="auto"/>
        <w:ind w:left="413" w:right="1452" w:firstLine="420"/>
        <w:jc w:val="both"/>
      </w:pPr>
      <w:r>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pPr>
        <w:pStyle w:val="Heading3"/>
        <w:spacing w:line="358" w:lineRule="exact"/>
      </w:pPr>
      <w:bookmarkStart w:name="_bookmark102" w:id="103"/>
      <w:bookmarkEnd w:id="103"/>
      <w:r>
        <w:rPr/>
      </w:r>
      <w:r>
        <w:rPr/>
        <w:t>（七）争议解决方式</w:t>
      </w:r>
    </w:p>
    <w:p>
      <w:pPr>
        <w:pStyle w:val="BodyText"/>
        <w:spacing w:line="364" w:lineRule="auto" w:before="183"/>
        <w:ind w:left="413" w:right="1242" w:firstLine="420"/>
      </w:pPr>
      <w:r>
        <w:rPr/>
        <w:t>因本协议产生或与之相关的争议，双方当事人应通过协商、调解解决，协商、调解不 能解决的，任何一方均有权将争议提交中国国际经济贸易仲裁委员会，仲裁地点为北京市， 按照中国国际经济贸易仲裁委员会届时有效的仲裁规则进行仲裁。仲裁裁决是终局的，对 当事人均有约束力，仲裁费用由败诉方承担。</w:t>
      </w:r>
    </w:p>
    <w:p>
      <w:pPr>
        <w:pStyle w:val="BodyText"/>
        <w:spacing w:line="364" w:lineRule="auto"/>
        <w:ind w:left="413" w:right="1452" w:firstLine="420"/>
      </w:pPr>
      <w:r>
        <w:rPr/>
        <w:t>争议处理期间，双方当事人应恪守基金管理人和基金托管人职责，各自继续忠实、勤勉、尽责地履行基金合同和本托管协议规定的义务，维护基金份额持有人的合法权益。</w:t>
      </w:r>
    </w:p>
    <w:p>
      <w:pPr>
        <w:pStyle w:val="BodyText"/>
        <w:spacing w:line="268" w:lineRule="exact"/>
        <w:ind w:left="833"/>
      </w:pPr>
      <w:r>
        <w:rPr/>
        <w:t>本协议受中国法律管辖。</w:t>
      </w:r>
    </w:p>
    <w:p>
      <w:pPr>
        <w:pStyle w:val="Heading3"/>
        <w:spacing w:before="138"/>
      </w:pPr>
      <w:bookmarkStart w:name="_bookmark103" w:id="104"/>
      <w:bookmarkEnd w:id="104"/>
      <w:r>
        <w:rPr/>
      </w:r>
      <w:r>
        <w:rPr/>
        <w:t>（八）托管协议的修改与终止</w:t>
      </w:r>
    </w:p>
    <w:p>
      <w:pPr>
        <w:pStyle w:val="BodyText"/>
        <w:spacing w:before="185"/>
        <w:ind w:left="833"/>
      </w:pPr>
      <w:r>
        <w:rPr/>
        <w:t>1、托管协议的变更程序</w:t>
      </w:r>
    </w:p>
    <w:p>
      <w:pPr>
        <w:pStyle w:val="BodyText"/>
        <w:spacing w:line="364" w:lineRule="auto" w:before="140"/>
        <w:ind w:left="413" w:right="1452" w:firstLine="420"/>
      </w:pPr>
      <w:r>
        <w:rPr/>
        <w:t>本协议双方当事人经协商一致，可以对协议进行修改。修改后的新协议，其内容不得与基金合同的规定有任何冲突。基金托管协议的变更报中国证监会备案后生效。</w:t>
      </w:r>
    </w:p>
    <w:p>
      <w:pPr>
        <w:pStyle w:val="BodyText"/>
        <w:spacing w:line="268" w:lineRule="exact"/>
        <w:ind w:left="833"/>
      </w:pPr>
      <w:r>
        <w:rPr/>
        <w:t>2、基金托管协议终止出现的情形</w:t>
      </w:r>
    </w:p>
    <w:p>
      <w:pPr>
        <w:pStyle w:val="ListParagraph"/>
        <w:numPr>
          <w:ilvl w:val="0"/>
          <w:numId w:val="83"/>
        </w:numPr>
        <w:tabs>
          <w:tab w:pos="1360" w:val="left" w:leader="none"/>
        </w:tabs>
        <w:spacing w:line="240" w:lineRule="auto" w:before="139" w:after="0"/>
        <w:ind w:left="1360" w:right="0" w:hanging="527"/>
        <w:jc w:val="left"/>
        <w:rPr>
          <w:sz w:val="21"/>
        </w:rPr>
      </w:pPr>
      <w:r>
        <w:rPr>
          <w:sz w:val="21"/>
        </w:rPr>
        <w:t>基金合同终止；</w:t>
      </w:r>
    </w:p>
    <w:p>
      <w:pPr>
        <w:pStyle w:val="ListParagraph"/>
        <w:numPr>
          <w:ilvl w:val="0"/>
          <w:numId w:val="83"/>
        </w:numPr>
        <w:tabs>
          <w:tab w:pos="1360" w:val="left" w:leader="none"/>
        </w:tabs>
        <w:spacing w:line="240" w:lineRule="auto" w:before="140" w:after="0"/>
        <w:ind w:left="1360" w:right="0" w:hanging="527"/>
        <w:jc w:val="left"/>
        <w:rPr>
          <w:sz w:val="21"/>
        </w:rPr>
      </w:pPr>
      <w:r>
        <w:rPr>
          <w:sz w:val="21"/>
        </w:rPr>
        <w:t>基金托管人解散、依法被撤销、破产或由其他基金托管人接管基金资产；</w:t>
      </w:r>
    </w:p>
    <w:p>
      <w:pPr>
        <w:pStyle w:val="ListParagraph"/>
        <w:numPr>
          <w:ilvl w:val="0"/>
          <w:numId w:val="83"/>
        </w:numPr>
        <w:tabs>
          <w:tab w:pos="1360" w:val="left" w:leader="none"/>
        </w:tabs>
        <w:spacing w:line="240" w:lineRule="auto" w:before="139" w:after="0"/>
        <w:ind w:left="1360" w:right="0" w:hanging="527"/>
        <w:jc w:val="left"/>
        <w:rPr>
          <w:sz w:val="21"/>
        </w:rPr>
      </w:pPr>
      <w:r>
        <w:rPr>
          <w:sz w:val="21"/>
        </w:rPr>
        <w:t>基金管理人解散、依法被撤销、破产或由其他基金管理人接管基金管理权；</w:t>
      </w:r>
    </w:p>
    <w:p>
      <w:pPr>
        <w:pStyle w:val="ListParagraph"/>
        <w:numPr>
          <w:ilvl w:val="0"/>
          <w:numId w:val="83"/>
        </w:numPr>
        <w:tabs>
          <w:tab w:pos="1360" w:val="left" w:leader="none"/>
        </w:tabs>
        <w:spacing w:line="240" w:lineRule="auto" w:before="139" w:after="0"/>
        <w:ind w:left="1360" w:right="0" w:hanging="527"/>
        <w:jc w:val="left"/>
        <w:rPr>
          <w:sz w:val="21"/>
        </w:rPr>
      </w:pPr>
      <w:r>
        <w:rPr>
          <w:sz w:val="21"/>
        </w:rPr>
        <w:t>发生法律法规或基金合同规定的终止事项。</w:t>
      </w:r>
    </w:p>
    <w:p>
      <w:pPr>
        <w:spacing w:after="0" w:line="240" w:lineRule="auto"/>
        <w:jc w:val="left"/>
        <w:rPr>
          <w:sz w:val="21"/>
        </w:rPr>
        <w:sectPr>
          <w:pgSz w:w="11910" w:h="16840"/>
          <w:pgMar w:header="0" w:footer="1166" w:top="1600" w:bottom="1440" w:left="1400" w:right="360"/>
        </w:sectPr>
      </w:pPr>
    </w:p>
    <w:p>
      <w:pPr>
        <w:pStyle w:val="Heading1"/>
        <w:ind w:left="2143"/>
      </w:pPr>
      <w:bookmarkStart w:name="_bookmark104" w:id="105"/>
      <w:bookmarkEnd w:id="105"/>
      <w:r>
        <w:rPr>
          <w:b w:val="0"/>
        </w:rPr>
      </w:r>
      <w:r>
        <w:rPr/>
        <w:t>二十三、对基金份额持有人的服务</w:t>
      </w:r>
    </w:p>
    <w:p>
      <w:pPr>
        <w:pStyle w:val="BodyText"/>
        <w:spacing w:line="364" w:lineRule="auto" w:before="138"/>
        <w:ind w:left="413" w:right="1452" w:firstLine="420"/>
      </w:pPr>
      <w:r>
        <w:rPr/>
        <w:t>基金管理人承诺为基金份额持有人提供一系列的服务。以下是主要的服务内容，基金管理人根据基金份额持有人的需要和市场的变化，有权增加、修改这些服务项目：</w:t>
      </w:r>
    </w:p>
    <w:p>
      <w:pPr>
        <w:pStyle w:val="Heading3"/>
      </w:pPr>
      <w:bookmarkStart w:name="_bookmark105" w:id="106"/>
      <w:bookmarkEnd w:id="106"/>
      <w:r>
        <w:rPr/>
      </w:r>
      <w:r>
        <w:rPr/>
        <w:t>（一）基金份额持有人投资交易确认服务</w:t>
      </w:r>
    </w:p>
    <w:p>
      <w:pPr>
        <w:pStyle w:val="BodyText"/>
        <w:spacing w:line="364" w:lineRule="auto" w:before="185"/>
        <w:ind w:left="833" w:right="1332"/>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413"/>
      </w:pPr>
      <w:r>
        <w:rPr/>
        <w:t>确认单。非直销销售机构应根据在其销售网点进行交易的投资者的要求提供成交确认单。</w:t>
      </w:r>
    </w:p>
    <w:p>
      <w:pPr>
        <w:pStyle w:val="Heading3"/>
        <w:spacing w:before="141"/>
      </w:pPr>
      <w:bookmarkStart w:name="_bookmark106" w:id="107"/>
      <w:bookmarkEnd w:id="107"/>
      <w:r>
        <w:rPr/>
      </w:r>
      <w:r>
        <w:rPr/>
        <w:t>（二）基金份额持有人交易记录查询服务</w:t>
      </w:r>
    </w:p>
    <w:p>
      <w:pPr>
        <w:pStyle w:val="BodyText"/>
        <w:spacing w:before="184"/>
        <w:ind w:left="833"/>
      </w:pPr>
      <w:r>
        <w:rPr/>
        <w:t>本基金份额持有人可通过基金管理人的客户服务中心查询历史交易记录。</w:t>
      </w:r>
    </w:p>
    <w:p>
      <w:pPr>
        <w:pStyle w:val="Heading3"/>
        <w:spacing w:before="141"/>
      </w:pPr>
      <w:bookmarkStart w:name="_bookmark107" w:id="108"/>
      <w:bookmarkEnd w:id="108"/>
      <w:r>
        <w:rPr/>
      </w:r>
      <w:r>
        <w:rPr/>
        <w:t>（三）基金份额持有人的对账单服务</w:t>
      </w:r>
    </w:p>
    <w:p>
      <w:pPr>
        <w:pStyle w:val="BodyText"/>
        <w:spacing w:line="364" w:lineRule="auto" w:before="185"/>
        <w:ind w:left="833" w:right="1647"/>
      </w:pPr>
      <w:hyperlink r:id="rId7">
        <w:r>
          <w:rPr/>
          <w:t>1、基金份额持有人可登录本公司网站（http://www.efunds.com.cn</w:t>
        </w:r>
      </w:hyperlink>
      <w:r>
        <w:rPr/>
        <w:t>）查阅对账单。2、基金份额持有人也可向本公司定制电子对账单。</w:t>
      </w:r>
    </w:p>
    <w:p>
      <w:pPr>
        <w:pStyle w:val="BodyText"/>
        <w:spacing w:line="268" w:lineRule="exact"/>
        <w:ind w:left="833"/>
      </w:pPr>
      <w:r>
        <w:rPr/>
        <w:t>具体查阅和定制账单的方法可参见本公司网站或拨打客服热线咨询。</w:t>
      </w:r>
    </w:p>
    <w:p>
      <w:pPr>
        <w:pStyle w:val="Heading3"/>
        <w:spacing w:before="140"/>
      </w:pPr>
      <w:bookmarkStart w:name="_bookmark108" w:id="109"/>
      <w:bookmarkEnd w:id="109"/>
      <w:r>
        <w:rPr/>
      </w:r>
      <w:r>
        <w:rPr/>
        <w:t>（四）定期定额投资计划</w:t>
      </w:r>
    </w:p>
    <w:p>
      <w:pPr>
        <w:pStyle w:val="BodyText"/>
        <w:spacing w:line="364" w:lineRule="auto" w:before="185"/>
        <w:ind w:left="413" w:right="1451" w:firstLine="420"/>
        <w:jc w:val="both"/>
      </w:pPr>
      <w:r>
        <w:rPr/>
        <w:t>基金管理人可利用非直销销售机构网点和本公司网上交易系统为投资者提供定期定额</w:t>
      </w:r>
      <w:r>
        <w:rPr>
          <w:spacing w:val="-2"/>
        </w:rPr>
        <w:t>投资的服务</w:t>
      </w:r>
      <w:r>
        <w:rPr/>
        <w:t>（本公司网上交易系统的定期定额投资服务目前仅对个人投资者开通</w:t>
      </w:r>
      <w:r>
        <w:rPr>
          <w:spacing w:val="-105"/>
        </w:rPr>
        <w:t>）</w:t>
      </w:r>
      <w:r>
        <w:rPr>
          <w:spacing w:val="-7"/>
        </w:rPr>
        <w:t>。通过定</w:t>
      </w:r>
      <w:r>
        <w:rPr/>
        <w:t>期定额投资计划，投资者可以通过固定的渠道，定期定额申购基金份额，具体实施方法见相关公告。</w:t>
      </w:r>
    </w:p>
    <w:p>
      <w:pPr>
        <w:pStyle w:val="Heading3"/>
        <w:spacing w:line="358" w:lineRule="exact"/>
      </w:pPr>
      <w:bookmarkStart w:name="_bookmark109" w:id="110"/>
      <w:bookmarkEnd w:id="110"/>
      <w:r>
        <w:rPr/>
      </w:r>
      <w:r>
        <w:rPr/>
        <w:t>（五）资讯服务</w:t>
      </w:r>
    </w:p>
    <w:p>
      <w:pPr>
        <w:pStyle w:val="BodyText"/>
        <w:spacing w:before="185"/>
        <w:ind w:left="833"/>
      </w:pPr>
      <w:r>
        <w:rPr/>
        <w:t>1、客户服务电话</w:t>
      </w:r>
    </w:p>
    <w:p>
      <w:pPr>
        <w:pStyle w:val="BodyText"/>
        <w:spacing w:line="364" w:lineRule="auto" w:before="139"/>
        <w:ind w:left="413" w:right="1242" w:firstLine="420"/>
      </w:pPr>
      <w:r>
        <w:rPr/>
        <w:t>投资者如果想了解申购与赎回的交易情况、基金账户余额、基金产品与服务等信息， </w:t>
      </w:r>
      <w:r>
        <w:rPr>
          <w:spacing w:val="4"/>
        </w:rPr>
        <w:t>或反馈投资过程中需要投诉与建议的情况，可拨打如下电话：</w:t>
      </w:r>
      <w:r>
        <w:rPr/>
        <w:t>4008818088（</w:t>
      </w:r>
      <w:r>
        <w:rPr>
          <w:spacing w:val="5"/>
        </w:rPr>
        <w:t>免长途话费</w:t>
      </w:r>
      <w:r>
        <w:rPr>
          <w:spacing w:val="-100"/>
        </w:rPr>
        <w:t>）</w:t>
      </w:r>
      <w:r>
        <w:rPr/>
        <w:t>。</w:t>
      </w:r>
      <w:r>
        <w:rPr>
          <w:spacing w:val="-9"/>
        </w:rPr>
        <w:t>投资者如果认为自己不能准确理解本基金《招募说明书》、《基金合同》的具体内容，也可 拨打上述电话详询。</w:t>
      </w:r>
    </w:p>
    <w:p>
      <w:pPr>
        <w:pStyle w:val="BodyText"/>
        <w:spacing w:line="267" w:lineRule="exact"/>
        <w:ind w:left="833"/>
      </w:pPr>
      <w:r>
        <w:rPr/>
        <w:t>2、互联网站及电子信箱</w:t>
      </w:r>
    </w:p>
    <w:p>
      <w:pPr>
        <w:pStyle w:val="BodyText"/>
        <w:spacing w:line="364" w:lineRule="auto" w:before="140"/>
        <w:ind w:left="833" w:right="6057"/>
      </w:pPr>
      <w:hyperlink r:id="rId7">
        <w:r>
          <w:rPr/>
          <w:t>网址：http://www.efunds.com.cn </w:t>
        </w:r>
      </w:hyperlink>
      <w:r>
        <w:rPr/>
        <w:t>电子信箱：</w:t>
      </w:r>
      <w:hyperlink r:id="rId242">
        <w:r>
          <w:rPr/>
          <w:t>service@efunds.com.cn</w:t>
        </w:r>
      </w:hyperlink>
    </w:p>
    <w:p>
      <w:pPr>
        <w:spacing w:after="0" w:line="364" w:lineRule="auto"/>
        <w:sectPr>
          <w:pgSz w:w="11910" w:h="16840"/>
          <w:pgMar w:header="0" w:footer="1166" w:top="1600" w:bottom="1440" w:left="1400" w:right="360"/>
        </w:sectPr>
      </w:pPr>
    </w:p>
    <w:p>
      <w:pPr>
        <w:pStyle w:val="Heading1"/>
        <w:ind w:left="2786"/>
      </w:pPr>
      <w:bookmarkStart w:name="_bookmark110" w:id="111"/>
      <w:bookmarkEnd w:id="111"/>
      <w:r>
        <w:rPr>
          <w:b w:val="0"/>
        </w:rPr>
      </w:r>
      <w:r>
        <w:rPr/>
        <w:t>二十四、其他应披露事项</w:t>
      </w:r>
    </w:p>
    <w:p>
      <w:pPr>
        <w:pStyle w:val="BodyText"/>
        <w:spacing w:before="6"/>
        <w:ind w:left="0"/>
        <w:rPr>
          <w:rFonts w:ascii="Microsoft JhengHei"/>
          <w:b/>
          <w:sz w:val="7"/>
        </w:rPr>
      </w:pPr>
    </w:p>
    <w:tbl>
      <w:tblPr>
        <w:tblW w:w="0" w:type="auto"/>
        <w:jc w:val="left"/>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3"/>
        <w:gridCol w:w="1299"/>
      </w:tblGrid>
      <w:tr>
        <w:trPr>
          <w:trHeight w:val="312" w:hRule="atLeast"/>
        </w:trPr>
        <w:tc>
          <w:tcPr>
            <w:tcW w:w="7083" w:type="dxa"/>
          </w:tcPr>
          <w:p>
            <w:pPr>
              <w:pStyle w:val="TableParagraph"/>
              <w:spacing w:before="23"/>
              <w:ind w:left="3101" w:right="3091"/>
              <w:jc w:val="center"/>
              <w:rPr>
                <w:sz w:val="21"/>
              </w:rPr>
            </w:pPr>
            <w:r>
              <w:rPr>
                <w:sz w:val="21"/>
              </w:rPr>
              <w:t>公告事项</w:t>
            </w:r>
          </w:p>
        </w:tc>
        <w:tc>
          <w:tcPr>
            <w:tcW w:w="1299" w:type="dxa"/>
          </w:tcPr>
          <w:p>
            <w:pPr>
              <w:pStyle w:val="TableParagraph"/>
              <w:spacing w:before="23"/>
              <w:ind w:left="104" w:right="95"/>
              <w:jc w:val="center"/>
              <w:rPr>
                <w:sz w:val="21"/>
              </w:rPr>
            </w:pPr>
            <w:r>
              <w:rPr>
                <w:sz w:val="21"/>
              </w:rPr>
              <w:t>披露日期</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易方达基金管理有限公司旗下部分开放式基金参加中国农业银行费率优惠</w:t>
            </w:r>
          </w:p>
          <w:p>
            <w:pPr>
              <w:pStyle w:val="TableParagraph"/>
              <w:spacing w:before="43"/>
              <w:ind w:left="108"/>
              <w:rPr>
                <w:sz w:val="21"/>
              </w:rPr>
            </w:pPr>
            <w:r>
              <w:rPr>
                <w:sz w:val="21"/>
              </w:rPr>
              <w:t>活动的公告</w:t>
            </w:r>
          </w:p>
        </w:tc>
        <w:tc>
          <w:tcPr>
            <w:tcW w:w="1299" w:type="dxa"/>
          </w:tcPr>
          <w:p>
            <w:pPr>
              <w:pStyle w:val="TableParagraph"/>
              <w:spacing w:before="179"/>
              <w:ind w:left="104" w:right="95"/>
              <w:jc w:val="center"/>
              <w:rPr>
                <w:sz w:val="21"/>
              </w:rPr>
            </w:pPr>
            <w:r>
              <w:rPr>
                <w:sz w:val="21"/>
              </w:rPr>
              <w:t>2020-01-06</w:t>
            </w:r>
          </w:p>
        </w:tc>
      </w:tr>
      <w:tr>
        <w:trPr>
          <w:trHeight w:val="311" w:hRule="atLeast"/>
        </w:trPr>
        <w:tc>
          <w:tcPr>
            <w:tcW w:w="7083" w:type="dxa"/>
          </w:tcPr>
          <w:p>
            <w:pPr>
              <w:pStyle w:val="TableParagraph"/>
              <w:spacing w:before="23"/>
              <w:ind w:left="108"/>
              <w:rPr>
                <w:sz w:val="21"/>
              </w:rPr>
            </w:pPr>
            <w:r>
              <w:rPr>
                <w:sz w:val="21"/>
              </w:rPr>
              <w:t>易方达基金管理有限公司旗下基金 2019 年第 4 季度报告提示性公告</w:t>
            </w:r>
          </w:p>
        </w:tc>
        <w:tc>
          <w:tcPr>
            <w:tcW w:w="1299" w:type="dxa"/>
          </w:tcPr>
          <w:p>
            <w:pPr>
              <w:pStyle w:val="TableParagraph"/>
              <w:spacing w:before="23"/>
              <w:ind w:left="104" w:right="95"/>
              <w:jc w:val="center"/>
              <w:rPr>
                <w:sz w:val="21"/>
              </w:rPr>
            </w:pPr>
            <w:r>
              <w:rPr>
                <w:sz w:val="21"/>
              </w:rPr>
              <w:t>2020-01-18</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易方达基金管理有限公司旗下部分开放式基金参加泉州银行费率优惠活动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2020-01-23</w:t>
            </w:r>
          </w:p>
        </w:tc>
      </w:tr>
      <w:tr>
        <w:trPr>
          <w:trHeight w:val="623" w:hRule="atLeast"/>
        </w:trPr>
        <w:tc>
          <w:tcPr>
            <w:tcW w:w="7083" w:type="dxa"/>
          </w:tcPr>
          <w:p>
            <w:pPr>
              <w:pStyle w:val="TableParagraph"/>
              <w:spacing w:before="23"/>
              <w:ind w:left="108" w:right="-15"/>
              <w:rPr>
                <w:sz w:val="21"/>
              </w:rPr>
            </w:pPr>
            <w:r>
              <w:rPr>
                <w:spacing w:val="-4"/>
                <w:sz w:val="21"/>
              </w:rPr>
              <w:t>易方达基金管理有限公司关于旗下基金 </w:t>
            </w:r>
            <w:r>
              <w:rPr>
                <w:sz w:val="21"/>
              </w:rPr>
              <w:t>2020</w:t>
            </w:r>
            <w:r>
              <w:rPr>
                <w:spacing w:val="-43"/>
                <w:sz w:val="21"/>
              </w:rPr>
              <w:t> 年 </w:t>
            </w:r>
            <w:r>
              <w:rPr>
                <w:sz w:val="21"/>
              </w:rPr>
              <w:t>1</w:t>
            </w:r>
            <w:r>
              <w:rPr>
                <w:spacing w:val="-43"/>
                <w:sz w:val="21"/>
              </w:rPr>
              <w:t> 月 </w:t>
            </w:r>
            <w:r>
              <w:rPr>
                <w:sz w:val="21"/>
              </w:rPr>
              <w:t>31</w:t>
            </w:r>
            <w:r>
              <w:rPr>
                <w:spacing w:val="-19"/>
                <w:sz w:val="21"/>
              </w:rPr>
              <w:t> 日不开放申购、赎回、</w:t>
            </w:r>
          </w:p>
          <w:p>
            <w:pPr>
              <w:pStyle w:val="TableParagraph"/>
              <w:spacing w:before="43"/>
              <w:ind w:left="108"/>
              <w:rPr>
                <w:sz w:val="21"/>
              </w:rPr>
            </w:pPr>
            <w:r>
              <w:rPr>
                <w:sz w:val="21"/>
              </w:rPr>
              <w:t>转换、定期定额投资等业务的提示性公告</w:t>
            </w:r>
          </w:p>
        </w:tc>
        <w:tc>
          <w:tcPr>
            <w:tcW w:w="1299" w:type="dxa"/>
          </w:tcPr>
          <w:p>
            <w:pPr>
              <w:pStyle w:val="TableParagraph"/>
              <w:spacing w:before="179"/>
              <w:ind w:left="104" w:right="95"/>
              <w:jc w:val="center"/>
              <w:rPr>
                <w:sz w:val="21"/>
              </w:rPr>
            </w:pPr>
            <w:r>
              <w:rPr>
                <w:sz w:val="21"/>
              </w:rPr>
              <w:t>2020-01-30</w:t>
            </w:r>
          </w:p>
        </w:tc>
      </w:tr>
      <w:tr>
        <w:trPr>
          <w:trHeight w:val="312" w:hRule="atLeast"/>
        </w:trPr>
        <w:tc>
          <w:tcPr>
            <w:tcW w:w="7083" w:type="dxa"/>
          </w:tcPr>
          <w:p>
            <w:pPr>
              <w:pStyle w:val="TableParagraph"/>
              <w:spacing w:before="23"/>
              <w:ind w:left="108"/>
              <w:rPr>
                <w:sz w:val="21"/>
              </w:rPr>
            </w:pPr>
            <w:r>
              <w:rPr>
                <w:sz w:val="21"/>
              </w:rPr>
              <w:t>易方达基金管理有限公司及全资子公司投资旗下基金相关事宜的公告</w:t>
            </w:r>
          </w:p>
        </w:tc>
        <w:tc>
          <w:tcPr>
            <w:tcW w:w="1299" w:type="dxa"/>
          </w:tcPr>
          <w:p>
            <w:pPr>
              <w:pStyle w:val="TableParagraph"/>
              <w:spacing w:before="23"/>
              <w:ind w:left="104" w:right="95"/>
              <w:jc w:val="center"/>
              <w:rPr>
                <w:sz w:val="21"/>
              </w:rPr>
            </w:pPr>
            <w:r>
              <w:rPr>
                <w:sz w:val="21"/>
              </w:rPr>
              <w:t>2020-02-04</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易方达基金管理有限公司旗下部分开放式基金增加德邦证券为销售机构、参</w:t>
            </w:r>
          </w:p>
          <w:p>
            <w:pPr>
              <w:pStyle w:val="TableParagraph"/>
              <w:spacing w:before="43"/>
              <w:ind w:left="108"/>
              <w:rPr>
                <w:sz w:val="21"/>
              </w:rPr>
            </w:pPr>
            <w:r>
              <w:rPr>
                <w:sz w:val="21"/>
              </w:rPr>
              <w:t>加德邦证券费率优惠活动的公告</w:t>
            </w:r>
          </w:p>
        </w:tc>
        <w:tc>
          <w:tcPr>
            <w:tcW w:w="1299" w:type="dxa"/>
          </w:tcPr>
          <w:p>
            <w:pPr>
              <w:pStyle w:val="TableParagraph"/>
              <w:spacing w:before="179"/>
              <w:ind w:left="104" w:right="95"/>
              <w:jc w:val="center"/>
              <w:rPr>
                <w:sz w:val="21"/>
              </w:rPr>
            </w:pPr>
            <w:r>
              <w:rPr>
                <w:sz w:val="21"/>
              </w:rPr>
              <w:t>2020-02-27</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易方达基金管理有限公司旗下部分开放式基金增加好买基金为销售机构的</w:t>
            </w:r>
          </w:p>
          <w:p>
            <w:pPr>
              <w:pStyle w:val="TableParagraph"/>
              <w:spacing w:before="43"/>
              <w:ind w:left="108"/>
              <w:rPr>
                <w:sz w:val="21"/>
              </w:rPr>
            </w:pPr>
            <w:r>
              <w:rPr>
                <w:sz w:val="21"/>
              </w:rPr>
              <w:t>公告</w:t>
            </w:r>
          </w:p>
        </w:tc>
        <w:tc>
          <w:tcPr>
            <w:tcW w:w="1299" w:type="dxa"/>
          </w:tcPr>
          <w:p>
            <w:pPr>
              <w:pStyle w:val="TableParagraph"/>
              <w:spacing w:before="179"/>
              <w:ind w:left="104" w:right="95"/>
              <w:jc w:val="center"/>
              <w:rPr>
                <w:sz w:val="21"/>
              </w:rPr>
            </w:pPr>
            <w:r>
              <w:rPr>
                <w:sz w:val="21"/>
              </w:rPr>
              <w:t>2020-03-02</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易方达基金管理有限公司旗下部分开放式基金参加中金公司费率优惠活动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2020-03-05</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易方达基金管理有限公司旗下部分开放式基金参加百度百盈费率优惠活动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2020-03-10</w:t>
            </w:r>
          </w:p>
        </w:tc>
      </w:tr>
      <w:tr>
        <w:trPr>
          <w:trHeight w:val="624" w:hRule="atLeast"/>
        </w:trPr>
        <w:tc>
          <w:tcPr>
            <w:tcW w:w="7083" w:type="dxa"/>
          </w:tcPr>
          <w:p>
            <w:pPr>
              <w:pStyle w:val="TableParagraph"/>
              <w:spacing w:before="23"/>
              <w:ind w:left="108"/>
              <w:rPr>
                <w:sz w:val="21"/>
              </w:rPr>
            </w:pPr>
            <w:r>
              <w:rPr>
                <w:sz w:val="21"/>
              </w:rPr>
              <w:t>易方达基金管理有限公司关于旗下部分开放式基金参加腾安基金费率优惠</w:t>
            </w:r>
          </w:p>
          <w:p>
            <w:pPr>
              <w:pStyle w:val="TableParagraph"/>
              <w:spacing w:before="43"/>
              <w:ind w:left="108"/>
              <w:rPr>
                <w:sz w:val="21"/>
              </w:rPr>
            </w:pPr>
            <w:r>
              <w:rPr>
                <w:sz w:val="21"/>
              </w:rPr>
              <w:t>活动的公告</w:t>
            </w:r>
          </w:p>
        </w:tc>
        <w:tc>
          <w:tcPr>
            <w:tcW w:w="1299" w:type="dxa"/>
          </w:tcPr>
          <w:p>
            <w:pPr>
              <w:pStyle w:val="TableParagraph"/>
              <w:spacing w:before="179"/>
              <w:ind w:left="104" w:right="95"/>
              <w:jc w:val="center"/>
              <w:rPr>
                <w:sz w:val="21"/>
              </w:rPr>
            </w:pPr>
            <w:r>
              <w:rPr>
                <w:sz w:val="21"/>
              </w:rPr>
              <w:t>2020-03-17</w:t>
            </w:r>
          </w:p>
        </w:tc>
      </w:tr>
      <w:tr>
        <w:trPr>
          <w:trHeight w:val="624" w:hRule="atLeast"/>
        </w:trPr>
        <w:tc>
          <w:tcPr>
            <w:tcW w:w="7083" w:type="dxa"/>
          </w:tcPr>
          <w:p>
            <w:pPr>
              <w:pStyle w:val="TableParagraph"/>
              <w:spacing w:before="23"/>
              <w:ind w:left="108"/>
              <w:rPr>
                <w:sz w:val="21"/>
              </w:rPr>
            </w:pPr>
            <w:r>
              <w:rPr>
                <w:sz w:val="21"/>
              </w:rPr>
              <w:t>易方达沪深 300 交易型开放式指数发起式证券投资基金联接基金基金经理</w:t>
            </w:r>
          </w:p>
          <w:p>
            <w:pPr>
              <w:pStyle w:val="TableParagraph"/>
              <w:spacing w:before="43"/>
              <w:ind w:left="108"/>
              <w:rPr>
                <w:sz w:val="21"/>
              </w:rPr>
            </w:pPr>
            <w:r>
              <w:rPr>
                <w:sz w:val="21"/>
              </w:rPr>
              <w:t>变更公告</w:t>
            </w:r>
          </w:p>
        </w:tc>
        <w:tc>
          <w:tcPr>
            <w:tcW w:w="1299" w:type="dxa"/>
          </w:tcPr>
          <w:p>
            <w:pPr>
              <w:pStyle w:val="TableParagraph"/>
              <w:spacing w:before="179"/>
              <w:ind w:left="104" w:right="95"/>
              <w:jc w:val="center"/>
              <w:rPr>
                <w:sz w:val="21"/>
              </w:rPr>
            </w:pPr>
            <w:r>
              <w:rPr>
                <w:sz w:val="21"/>
              </w:rPr>
              <w:t>2020-03-18</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易方达基金管理有限公司旗下部分开放式基金增加华瑞保险销售为销售机</w:t>
            </w:r>
          </w:p>
          <w:p>
            <w:pPr>
              <w:pStyle w:val="TableParagraph"/>
              <w:spacing w:before="43"/>
              <w:ind w:left="108"/>
              <w:rPr>
                <w:sz w:val="21"/>
              </w:rPr>
            </w:pPr>
            <w:r>
              <w:rPr>
                <w:sz w:val="21"/>
              </w:rPr>
              <w:t>构、参加华瑞保险销售费率优惠活动的公告</w:t>
            </w:r>
          </w:p>
        </w:tc>
        <w:tc>
          <w:tcPr>
            <w:tcW w:w="1299" w:type="dxa"/>
          </w:tcPr>
          <w:p>
            <w:pPr>
              <w:pStyle w:val="TableParagraph"/>
              <w:spacing w:before="179"/>
              <w:ind w:left="104" w:right="95"/>
              <w:jc w:val="center"/>
              <w:rPr>
                <w:sz w:val="21"/>
              </w:rPr>
            </w:pPr>
            <w:r>
              <w:rPr>
                <w:sz w:val="21"/>
              </w:rPr>
              <w:t>2020-03-23</w:t>
            </w:r>
          </w:p>
        </w:tc>
      </w:tr>
      <w:tr>
        <w:trPr>
          <w:trHeight w:val="312" w:hRule="atLeast"/>
        </w:trPr>
        <w:tc>
          <w:tcPr>
            <w:tcW w:w="7083" w:type="dxa"/>
          </w:tcPr>
          <w:p>
            <w:pPr>
              <w:pStyle w:val="TableParagraph"/>
              <w:spacing w:before="23"/>
              <w:ind w:left="108"/>
              <w:rPr>
                <w:sz w:val="21"/>
              </w:rPr>
            </w:pPr>
            <w:r>
              <w:rPr>
                <w:sz w:val="21"/>
              </w:rPr>
              <w:t>易方达基金管理有限公司旗下基金 2019 年年度报告提示性公告</w:t>
            </w:r>
          </w:p>
        </w:tc>
        <w:tc>
          <w:tcPr>
            <w:tcW w:w="1299" w:type="dxa"/>
          </w:tcPr>
          <w:p>
            <w:pPr>
              <w:pStyle w:val="TableParagraph"/>
              <w:spacing w:before="23"/>
              <w:ind w:left="104" w:right="95"/>
              <w:jc w:val="center"/>
              <w:rPr>
                <w:sz w:val="21"/>
              </w:rPr>
            </w:pPr>
            <w:r>
              <w:rPr>
                <w:sz w:val="21"/>
              </w:rPr>
              <w:t>2020-03-31</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易方达基金管理有限公司旗下部分开放式基金参加恒泰证券费率优惠活动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2020-04-08</w:t>
            </w:r>
          </w:p>
        </w:tc>
      </w:tr>
      <w:tr>
        <w:trPr>
          <w:trHeight w:val="624" w:hRule="atLeast"/>
        </w:trPr>
        <w:tc>
          <w:tcPr>
            <w:tcW w:w="7083" w:type="dxa"/>
          </w:tcPr>
          <w:p>
            <w:pPr>
              <w:pStyle w:val="TableParagraph"/>
              <w:spacing w:before="23"/>
              <w:ind w:left="108"/>
              <w:rPr>
                <w:sz w:val="21"/>
              </w:rPr>
            </w:pPr>
            <w:r>
              <w:rPr>
                <w:sz w:val="21"/>
              </w:rPr>
              <w:t>易方达沪深300 交易型开放式指数发起式证券投资基金联接基金A 类基金份</w:t>
            </w:r>
          </w:p>
          <w:p>
            <w:pPr>
              <w:pStyle w:val="TableParagraph"/>
              <w:spacing w:before="43"/>
              <w:ind w:left="108"/>
              <w:rPr>
                <w:sz w:val="21"/>
              </w:rPr>
            </w:pPr>
            <w:r>
              <w:rPr>
                <w:sz w:val="21"/>
              </w:rPr>
              <w:t>额参加招商银行费率优惠活动的公告</w:t>
            </w:r>
          </w:p>
        </w:tc>
        <w:tc>
          <w:tcPr>
            <w:tcW w:w="1299" w:type="dxa"/>
          </w:tcPr>
          <w:p>
            <w:pPr>
              <w:pStyle w:val="TableParagraph"/>
              <w:spacing w:before="179"/>
              <w:ind w:left="104" w:right="95"/>
              <w:jc w:val="center"/>
              <w:rPr>
                <w:sz w:val="21"/>
              </w:rPr>
            </w:pPr>
            <w:r>
              <w:rPr>
                <w:sz w:val="21"/>
              </w:rPr>
              <w:t>2020-04-10</w:t>
            </w:r>
          </w:p>
        </w:tc>
      </w:tr>
      <w:tr>
        <w:trPr>
          <w:trHeight w:val="624" w:hRule="atLeast"/>
        </w:trPr>
        <w:tc>
          <w:tcPr>
            <w:tcW w:w="7083" w:type="dxa"/>
          </w:tcPr>
          <w:p>
            <w:pPr>
              <w:pStyle w:val="TableParagraph"/>
              <w:spacing w:before="23"/>
              <w:ind w:left="108"/>
              <w:rPr>
                <w:sz w:val="21"/>
              </w:rPr>
            </w:pPr>
            <w:r>
              <w:rPr>
                <w:sz w:val="21"/>
              </w:rPr>
              <w:t>易方达基金管理有限公司关于提醒投资者及时提供或更新身份信息资料的</w:t>
            </w:r>
          </w:p>
          <w:p>
            <w:pPr>
              <w:pStyle w:val="TableParagraph"/>
              <w:spacing w:before="43"/>
              <w:ind w:left="108"/>
              <w:rPr>
                <w:sz w:val="21"/>
              </w:rPr>
            </w:pPr>
            <w:r>
              <w:rPr>
                <w:sz w:val="21"/>
              </w:rPr>
              <w:t>公告</w:t>
            </w:r>
          </w:p>
        </w:tc>
        <w:tc>
          <w:tcPr>
            <w:tcW w:w="1299" w:type="dxa"/>
          </w:tcPr>
          <w:p>
            <w:pPr>
              <w:pStyle w:val="TableParagraph"/>
              <w:spacing w:before="179"/>
              <w:ind w:left="104" w:right="95"/>
              <w:jc w:val="center"/>
              <w:rPr>
                <w:sz w:val="21"/>
              </w:rPr>
            </w:pPr>
            <w:r>
              <w:rPr>
                <w:sz w:val="21"/>
              </w:rPr>
              <w:t>2020-04-10</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易方达基金管理有限公司旗下部分开放式基金增加海通证券为销售机构的</w:t>
            </w:r>
          </w:p>
          <w:p>
            <w:pPr>
              <w:pStyle w:val="TableParagraph"/>
              <w:spacing w:before="43"/>
              <w:ind w:left="108"/>
              <w:rPr>
                <w:sz w:val="21"/>
              </w:rPr>
            </w:pPr>
            <w:r>
              <w:rPr>
                <w:sz w:val="21"/>
              </w:rPr>
              <w:t>公告</w:t>
            </w:r>
          </w:p>
        </w:tc>
        <w:tc>
          <w:tcPr>
            <w:tcW w:w="1299" w:type="dxa"/>
          </w:tcPr>
          <w:p>
            <w:pPr>
              <w:pStyle w:val="TableParagraph"/>
              <w:spacing w:before="179"/>
              <w:ind w:left="104" w:right="95"/>
              <w:jc w:val="center"/>
              <w:rPr>
                <w:sz w:val="21"/>
              </w:rPr>
            </w:pPr>
            <w:r>
              <w:rPr>
                <w:sz w:val="21"/>
              </w:rPr>
              <w:t>2020-04-10</w:t>
            </w:r>
          </w:p>
        </w:tc>
      </w:tr>
      <w:tr>
        <w:trPr>
          <w:trHeight w:val="623" w:hRule="atLeast"/>
        </w:trPr>
        <w:tc>
          <w:tcPr>
            <w:tcW w:w="7083" w:type="dxa"/>
          </w:tcPr>
          <w:p>
            <w:pPr>
              <w:pStyle w:val="TableParagraph"/>
              <w:spacing w:before="23"/>
              <w:ind w:left="108"/>
              <w:rPr>
                <w:sz w:val="21"/>
              </w:rPr>
            </w:pPr>
            <w:r>
              <w:rPr>
                <w:sz w:val="21"/>
              </w:rPr>
              <w:t>易方达沪深300 交易型开放式指数发起式证券投资基金联接基金C 类基金份</w:t>
            </w:r>
          </w:p>
          <w:p>
            <w:pPr>
              <w:pStyle w:val="TableParagraph"/>
              <w:spacing w:before="43"/>
              <w:ind w:left="108"/>
              <w:rPr>
                <w:sz w:val="21"/>
              </w:rPr>
            </w:pPr>
            <w:r>
              <w:rPr>
                <w:sz w:val="21"/>
              </w:rPr>
              <w:t>额增加销售机构的公告</w:t>
            </w:r>
          </w:p>
        </w:tc>
        <w:tc>
          <w:tcPr>
            <w:tcW w:w="1299" w:type="dxa"/>
          </w:tcPr>
          <w:p>
            <w:pPr>
              <w:pStyle w:val="TableParagraph"/>
              <w:spacing w:before="179"/>
              <w:ind w:left="104" w:right="95"/>
              <w:jc w:val="center"/>
              <w:rPr>
                <w:sz w:val="21"/>
              </w:rPr>
            </w:pPr>
            <w:r>
              <w:rPr>
                <w:sz w:val="21"/>
              </w:rPr>
              <w:t>2020-04-14</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易方达基金管理有限公司旗下部分开放式基金增加银河证券为销售机构的</w:t>
            </w:r>
          </w:p>
          <w:p>
            <w:pPr>
              <w:pStyle w:val="TableParagraph"/>
              <w:spacing w:before="43"/>
              <w:ind w:left="108"/>
              <w:rPr>
                <w:sz w:val="21"/>
              </w:rPr>
            </w:pPr>
            <w:r>
              <w:rPr>
                <w:sz w:val="21"/>
              </w:rPr>
              <w:t>公告</w:t>
            </w:r>
          </w:p>
        </w:tc>
        <w:tc>
          <w:tcPr>
            <w:tcW w:w="1299" w:type="dxa"/>
          </w:tcPr>
          <w:p>
            <w:pPr>
              <w:pStyle w:val="TableParagraph"/>
              <w:spacing w:before="179"/>
              <w:ind w:left="104" w:right="95"/>
              <w:jc w:val="center"/>
              <w:rPr>
                <w:sz w:val="21"/>
              </w:rPr>
            </w:pPr>
            <w:r>
              <w:rPr>
                <w:sz w:val="21"/>
              </w:rPr>
              <w:t>2020-04-14</w:t>
            </w:r>
          </w:p>
        </w:tc>
      </w:tr>
      <w:tr>
        <w:trPr>
          <w:trHeight w:val="624" w:hRule="atLeast"/>
        </w:trPr>
        <w:tc>
          <w:tcPr>
            <w:tcW w:w="7083" w:type="dxa"/>
          </w:tcPr>
          <w:p>
            <w:pPr>
              <w:pStyle w:val="TableParagraph"/>
              <w:spacing w:before="23"/>
              <w:ind w:left="108"/>
              <w:rPr>
                <w:sz w:val="21"/>
              </w:rPr>
            </w:pPr>
            <w:r>
              <w:rPr>
                <w:sz w:val="21"/>
              </w:rPr>
              <w:t>易方达沪深300 交易型开放式指数发起式证券投资基金联接基金A 类基金份</w:t>
            </w:r>
          </w:p>
          <w:p>
            <w:pPr>
              <w:pStyle w:val="TableParagraph"/>
              <w:spacing w:before="43"/>
              <w:ind w:left="108"/>
              <w:rPr>
                <w:sz w:val="21"/>
              </w:rPr>
            </w:pPr>
            <w:r>
              <w:rPr>
                <w:sz w:val="21"/>
              </w:rPr>
              <w:t>额参加中国建设银行费率优惠活动的公告</w:t>
            </w:r>
          </w:p>
        </w:tc>
        <w:tc>
          <w:tcPr>
            <w:tcW w:w="1299" w:type="dxa"/>
          </w:tcPr>
          <w:p>
            <w:pPr>
              <w:pStyle w:val="TableParagraph"/>
              <w:spacing w:before="179"/>
              <w:ind w:left="104" w:right="95"/>
              <w:jc w:val="center"/>
              <w:rPr>
                <w:sz w:val="21"/>
              </w:rPr>
            </w:pPr>
            <w:r>
              <w:rPr>
                <w:sz w:val="21"/>
              </w:rPr>
              <w:t>2020-04-17</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易方达基金管理有限公司旗下部分开放式基金参加诺亚正行费率优惠活动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2020-04-17</w:t>
            </w:r>
          </w:p>
        </w:tc>
      </w:tr>
    </w:tbl>
    <w:p>
      <w:pPr>
        <w:spacing w:after="0"/>
        <w:jc w:val="center"/>
        <w:rPr>
          <w:sz w:val="21"/>
        </w:rPr>
        <w:sectPr>
          <w:pgSz w:w="11910" w:h="16840"/>
          <w:pgMar w:header="0" w:footer="1166" w:top="1600" w:bottom="1440" w:left="1400" w:right="360"/>
        </w:sectPr>
      </w:pPr>
    </w:p>
    <w:p>
      <w:pPr>
        <w:pStyle w:val="BodyText"/>
        <w:spacing w:before="4"/>
        <w:ind w:left="0"/>
        <w:rPr>
          <w:rFonts w:ascii="Times New Roman"/>
          <w:sz w:val="8"/>
        </w:rPr>
      </w:pPr>
    </w:p>
    <w:tbl>
      <w:tblPr>
        <w:tblW w:w="0" w:type="auto"/>
        <w:jc w:val="left"/>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3"/>
        <w:gridCol w:w="1299"/>
      </w:tblGrid>
      <w:tr>
        <w:trPr>
          <w:trHeight w:val="624" w:hRule="atLeast"/>
        </w:trPr>
        <w:tc>
          <w:tcPr>
            <w:tcW w:w="7083" w:type="dxa"/>
            <w:tcBorders>
              <w:top w:val="nil"/>
            </w:tcBorders>
          </w:tcPr>
          <w:p>
            <w:pPr>
              <w:pStyle w:val="TableParagraph"/>
              <w:spacing w:before="23"/>
              <w:ind w:left="108"/>
              <w:rPr>
                <w:sz w:val="21"/>
              </w:rPr>
            </w:pPr>
            <w:r>
              <w:rPr>
                <w:sz w:val="21"/>
              </w:rPr>
              <w:t>易方达基金管理有限公司旗下部分开放式基金参加中国国际期货费率优惠</w:t>
            </w:r>
          </w:p>
          <w:p>
            <w:pPr>
              <w:pStyle w:val="TableParagraph"/>
              <w:spacing w:before="43"/>
              <w:ind w:left="108"/>
              <w:rPr>
                <w:sz w:val="21"/>
              </w:rPr>
            </w:pPr>
            <w:r>
              <w:rPr>
                <w:sz w:val="21"/>
              </w:rPr>
              <w:t>活动的公告</w:t>
            </w:r>
          </w:p>
        </w:tc>
        <w:tc>
          <w:tcPr>
            <w:tcW w:w="1299" w:type="dxa"/>
            <w:tcBorders>
              <w:top w:val="nil"/>
            </w:tcBorders>
          </w:tcPr>
          <w:p>
            <w:pPr>
              <w:pStyle w:val="TableParagraph"/>
              <w:spacing w:before="179"/>
              <w:ind w:left="104" w:right="95"/>
              <w:jc w:val="center"/>
              <w:rPr>
                <w:sz w:val="21"/>
              </w:rPr>
            </w:pPr>
            <w:r>
              <w:rPr>
                <w:sz w:val="21"/>
              </w:rPr>
              <w:t>2020-04-17</w:t>
            </w:r>
          </w:p>
        </w:tc>
      </w:tr>
      <w:tr>
        <w:trPr>
          <w:trHeight w:val="312" w:hRule="atLeast"/>
        </w:trPr>
        <w:tc>
          <w:tcPr>
            <w:tcW w:w="7083" w:type="dxa"/>
          </w:tcPr>
          <w:p>
            <w:pPr>
              <w:pStyle w:val="TableParagraph"/>
              <w:spacing w:before="23"/>
              <w:ind w:left="108"/>
              <w:rPr>
                <w:sz w:val="21"/>
              </w:rPr>
            </w:pPr>
            <w:r>
              <w:rPr>
                <w:sz w:val="21"/>
              </w:rPr>
              <w:t>易方达基金管理有限公司旗下基金 2020 年第 1 季度报告提示性公告</w:t>
            </w:r>
          </w:p>
        </w:tc>
        <w:tc>
          <w:tcPr>
            <w:tcW w:w="1299" w:type="dxa"/>
          </w:tcPr>
          <w:p>
            <w:pPr>
              <w:pStyle w:val="TableParagraph"/>
              <w:spacing w:before="23"/>
              <w:ind w:left="104" w:right="95"/>
              <w:jc w:val="center"/>
              <w:rPr>
                <w:sz w:val="21"/>
              </w:rPr>
            </w:pPr>
            <w:r>
              <w:rPr>
                <w:sz w:val="21"/>
              </w:rPr>
              <w:t>2020-04-21</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易方达基金管理有限公司旗下部分开放式基金参加国联证券费率优惠活动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2020-04-22</w:t>
            </w:r>
          </w:p>
        </w:tc>
      </w:tr>
      <w:tr>
        <w:trPr>
          <w:trHeight w:val="623" w:hRule="atLeast"/>
        </w:trPr>
        <w:tc>
          <w:tcPr>
            <w:tcW w:w="7083" w:type="dxa"/>
          </w:tcPr>
          <w:p>
            <w:pPr>
              <w:pStyle w:val="TableParagraph"/>
              <w:spacing w:before="23"/>
              <w:ind w:left="108"/>
              <w:rPr>
                <w:sz w:val="21"/>
              </w:rPr>
            </w:pPr>
            <w:r>
              <w:rPr>
                <w:sz w:val="21"/>
              </w:rPr>
              <w:t>易方达沪深300 交易型开放式指数发起式证券投资基金联接基金C 类基金份</w:t>
            </w:r>
          </w:p>
          <w:p>
            <w:pPr>
              <w:pStyle w:val="TableParagraph"/>
              <w:spacing w:before="43"/>
              <w:ind w:left="108"/>
              <w:rPr>
                <w:sz w:val="21"/>
              </w:rPr>
            </w:pPr>
            <w:r>
              <w:rPr>
                <w:sz w:val="21"/>
              </w:rPr>
              <w:t>额增加东北证券为销售机构的公告</w:t>
            </w:r>
          </w:p>
        </w:tc>
        <w:tc>
          <w:tcPr>
            <w:tcW w:w="1299" w:type="dxa"/>
          </w:tcPr>
          <w:p>
            <w:pPr>
              <w:pStyle w:val="TableParagraph"/>
              <w:spacing w:before="179"/>
              <w:ind w:left="104" w:right="95"/>
              <w:jc w:val="center"/>
              <w:rPr>
                <w:sz w:val="21"/>
              </w:rPr>
            </w:pPr>
            <w:r>
              <w:rPr>
                <w:sz w:val="21"/>
              </w:rPr>
              <w:t>2020-04-23</w:t>
            </w:r>
          </w:p>
        </w:tc>
      </w:tr>
      <w:tr>
        <w:trPr>
          <w:trHeight w:val="623" w:hRule="atLeast"/>
        </w:trPr>
        <w:tc>
          <w:tcPr>
            <w:tcW w:w="7083" w:type="dxa"/>
          </w:tcPr>
          <w:p>
            <w:pPr>
              <w:pStyle w:val="TableParagraph"/>
              <w:spacing w:before="23"/>
              <w:ind w:left="108"/>
              <w:rPr>
                <w:sz w:val="21"/>
              </w:rPr>
            </w:pPr>
            <w:r>
              <w:rPr>
                <w:sz w:val="21"/>
              </w:rPr>
              <w:t>易方达沪深300 交易型开放式指数发起式证券投资基金联接基金C 类基金份</w:t>
            </w:r>
          </w:p>
          <w:p>
            <w:pPr>
              <w:pStyle w:val="TableParagraph"/>
              <w:spacing w:before="43"/>
              <w:ind w:left="108"/>
              <w:rPr>
                <w:sz w:val="21"/>
              </w:rPr>
            </w:pPr>
            <w:r>
              <w:rPr>
                <w:sz w:val="21"/>
              </w:rPr>
              <w:t>额增加华鑫证券为销售机构的公告</w:t>
            </w:r>
          </w:p>
        </w:tc>
        <w:tc>
          <w:tcPr>
            <w:tcW w:w="1299" w:type="dxa"/>
          </w:tcPr>
          <w:p>
            <w:pPr>
              <w:pStyle w:val="TableParagraph"/>
              <w:spacing w:before="179"/>
              <w:ind w:left="104" w:right="95"/>
              <w:jc w:val="center"/>
              <w:rPr>
                <w:sz w:val="21"/>
              </w:rPr>
            </w:pPr>
            <w:r>
              <w:rPr>
                <w:sz w:val="21"/>
              </w:rPr>
              <w:t>2020-04-23</w:t>
            </w:r>
          </w:p>
        </w:tc>
      </w:tr>
      <w:tr>
        <w:trPr>
          <w:trHeight w:val="623" w:hRule="atLeast"/>
        </w:trPr>
        <w:tc>
          <w:tcPr>
            <w:tcW w:w="7083" w:type="dxa"/>
          </w:tcPr>
          <w:p>
            <w:pPr>
              <w:pStyle w:val="TableParagraph"/>
              <w:spacing w:before="23"/>
              <w:ind w:left="108"/>
              <w:rPr>
                <w:sz w:val="21"/>
              </w:rPr>
            </w:pPr>
            <w:r>
              <w:rPr>
                <w:sz w:val="21"/>
              </w:rPr>
              <w:t>易方达沪深300 交易型开放式指数发起式证券投资基金联接基金C 类基金份</w:t>
            </w:r>
          </w:p>
          <w:p>
            <w:pPr>
              <w:pStyle w:val="TableParagraph"/>
              <w:spacing w:before="43"/>
              <w:ind w:left="108"/>
              <w:rPr>
                <w:sz w:val="21"/>
              </w:rPr>
            </w:pPr>
            <w:r>
              <w:rPr>
                <w:sz w:val="21"/>
              </w:rPr>
              <w:t>额增加长江证券为销售机构的公告</w:t>
            </w:r>
          </w:p>
        </w:tc>
        <w:tc>
          <w:tcPr>
            <w:tcW w:w="1299" w:type="dxa"/>
          </w:tcPr>
          <w:p>
            <w:pPr>
              <w:pStyle w:val="TableParagraph"/>
              <w:spacing w:before="179"/>
              <w:ind w:left="104" w:right="95"/>
              <w:jc w:val="center"/>
              <w:rPr>
                <w:sz w:val="21"/>
              </w:rPr>
            </w:pPr>
            <w:r>
              <w:rPr>
                <w:sz w:val="21"/>
              </w:rPr>
              <w:t>2020-04-24</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易方达基金管理有限公司旗下部分开放式基金增加中泰证券为销售机构、参</w:t>
            </w:r>
          </w:p>
          <w:p>
            <w:pPr>
              <w:pStyle w:val="TableParagraph"/>
              <w:spacing w:before="43"/>
              <w:ind w:left="108"/>
              <w:rPr>
                <w:sz w:val="21"/>
              </w:rPr>
            </w:pPr>
            <w:r>
              <w:rPr>
                <w:sz w:val="21"/>
              </w:rPr>
              <w:t>加中泰证券费率优惠活动的公告</w:t>
            </w:r>
          </w:p>
        </w:tc>
        <w:tc>
          <w:tcPr>
            <w:tcW w:w="1299" w:type="dxa"/>
          </w:tcPr>
          <w:p>
            <w:pPr>
              <w:pStyle w:val="TableParagraph"/>
              <w:spacing w:before="179"/>
              <w:ind w:left="104" w:right="95"/>
              <w:jc w:val="center"/>
              <w:rPr>
                <w:sz w:val="21"/>
              </w:rPr>
            </w:pPr>
            <w:r>
              <w:rPr>
                <w:sz w:val="21"/>
              </w:rPr>
              <w:t>2020-04-24</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易方达基金管理有限公司旗下部分开放式基金增加青岛农商银行为销售机</w:t>
            </w:r>
          </w:p>
          <w:p>
            <w:pPr>
              <w:pStyle w:val="TableParagraph"/>
              <w:spacing w:before="43"/>
              <w:ind w:left="108"/>
              <w:rPr>
                <w:sz w:val="21"/>
              </w:rPr>
            </w:pPr>
            <w:r>
              <w:rPr>
                <w:sz w:val="21"/>
              </w:rPr>
              <w:t>构的公告</w:t>
            </w:r>
          </w:p>
        </w:tc>
        <w:tc>
          <w:tcPr>
            <w:tcW w:w="1299" w:type="dxa"/>
          </w:tcPr>
          <w:p>
            <w:pPr>
              <w:pStyle w:val="TableParagraph"/>
              <w:spacing w:before="179"/>
              <w:ind w:left="104" w:right="95"/>
              <w:jc w:val="center"/>
              <w:rPr>
                <w:sz w:val="21"/>
              </w:rPr>
            </w:pPr>
            <w:r>
              <w:rPr>
                <w:sz w:val="21"/>
              </w:rPr>
              <w:t>2020-04-27</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易方达基金管理有限公司旗下部分开放式基金增加东莞农村商业银行为销</w:t>
            </w:r>
          </w:p>
          <w:p>
            <w:pPr>
              <w:pStyle w:val="TableParagraph"/>
              <w:spacing w:before="43"/>
              <w:ind w:left="108"/>
              <w:rPr>
                <w:sz w:val="21"/>
              </w:rPr>
            </w:pPr>
            <w:r>
              <w:rPr>
                <w:sz w:val="21"/>
              </w:rPr>
              <w:t>售机构的公告</w:t>
            </w:r>
          </w:p>
        </w:tc>
        <w:tc>
          <w:tcPr>
            <w:tcW w:w="1299" w:type="dxa"/>
          </w:tcPr>
          <w:p>
            <w:pPr>
              <w:pStyle w:val="TableParagraph"/>
              <w:spacing w:before="179"/>
              <w:ind w:left="104" w:right="95"/>
              <w:jc w:val="center"/>
              <w:rPr>
                <w:sz w:val="21"/>
              </w:rPr>
            </w:pPr>
            <w:r>
              <w:rPr>
                <w:sz w:val="21"/>
              </w:rPr>
              <w:t>2020-04-29</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易方达基金管理有限公司旗下部分开放式基金增加晋商银行为销售机构的</w:t>
            </w:r>
          </w:p>
          <w:p>
            <w:pPr>
              <w:pStyle w:val="TableParagraph"/>
              <w:spacing w:before="43"/>
              <w:ind w:left="108"/>
              <w:rPr>
                <w:sz w:val="21"/>
              </w:rPr>
            </w:pPr>
            <w:r>
              <w:rPr>
                <w:sz w:val="21"/>
              </w:rPr>
              <w:t>公告</w:t>
            </w:r>
          </w:p>
        </w:tc>
        <w:tc>
          <w:tcPr>
            <w:tcW w:w="1299" w:type="dxa"/>
          </w:tcPr>
          <w:p>
            <w:pPr>
              <w:pStyle w:val="TableParagraph"/>
              <w:spacing w:before="179"/>
              <w:ind w:left="104" w:right="95"/>
              <w:jc w:val="center"/>
              <w:rPr>
                <w:sz w:val="21"/>
              </w:rPr>
            </w:pPr>
            <w:r>
              <w:rPr>
                <w:sz w:val="21"/>
              </w:rPr>
              <w:t>2020-04-29</w:t>
            </w:r>
          </w:p>
        </w:tc>
      </w:tr>
      <w:tr>
        <w:trPr>
          <w:trHeight w:val="624" w:hRule="atLeast"/>
        </w:trPr>
        <w:tc>
          <w:tcPr>
            <w:tcW w:w="7083" w:type="dxa"/>
          </w:tcPr>
          <w:p>
            <w:pPr>
              <w:pStyle w:val="TableParagraph"/>
              <w:spacing w:before="23"/>
              <w:ind w:left="108"/>
              <w:rPr>
                <w:sz w:val="21"/>
              </w:rPr>
            </w:pPr>
            <w:r>
              <w:rPr>
                <w:sz w:val="21"/>
              </w:rPr>
              <w:t>易方达沪深300 交易型开放式指数发起式证券投资基金联接基金C 类基金份</w:t>
            </w:r>
          </w:p>
          <w:p>
            <w:pPr>
              <w:pStyle w:val="TableParagraph"/>
              <w:spacing w:before="43"/>
              <w:ind w:left="108"/>
              <w:rPr>
                <w:sz w:val="21"/>
              </w:rPr>
            </w:pPr>
            <w:r>
              <w:rPr>
                <w:sz w:val="21"/>
              </w:rPr>
              <w:t>额增加南京证券为销售机构的公告</w:t>
            </w:r>
          </w:p>
        </w:tc>
        <w:tc>
          <w:tcPr>
            <w:tcW w:w="1299" w:type="dxa"/>
          </w:tcPr>
          <w:p>
            <w:pPr>
              <w:pStyle w:val="TableParagraph"/>
              <w:spacing w:before="179"/>
              <w:ind w:left="104" w:right="95"/>
              <w:jc w:val="center"/>
              <w:rPr>
                <w:sz w:val="21"/>
              </w:rPr>
            </w:pPr>
            <w:r>
              <w:rPr>
                <w:sz w:val="21"/>
              </w:rPr>
              <w:t>2020-05-08</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易方达基金管理有限公司旗下部分开放式基金参加中金公司申购费率优惠</w:t>
            </w:r>
          </w:p>
          <w:p>
            <w:pPr>
              <w:pStyle w:val="TableParagraph"/>
              <w:spacing w:before="43"/>
              <w:ind w:left="108"/>
              <w:rPr>
                <w:sz w:val="21"/>
              </w:rPr>
            </w:pPr>
            <w:r>
              <w:rPr>
                <w:sz w:val="21"/>
              </w:rPr>
              <w:t>活动的公告</w:t>
            </w:r>
          </w:p>
        </w:tc>
        <w:tc>
          <w:tcPr>
            <w:tcW w:w="1299" w:type="dxa"/>
          </w:tcPr>
          <w:p>
            <w:pPr>
              <w:pStyle w:val="TableParagraph"/>
              <w:spacing w:before="179"/>
              <w:ind w:left="104" w:right="95"/>
              <w:jc w:val="center"/>
              <w:rPr>
                <w:sz w:val="21"/>
              </w:rPr>
            </w:pPr>
            <w:r>
              <w:rPr>
                <w:sz w:val="21"/>
              </w:rPr>
              <w:t>2020-05-14</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易方达基金管理有限公司旗下部分开放式基金增加云南红塔银行为销售机</w:t>
            </w:r>
          </w:p>
          <w:p>
            <w:pPr>
              <w:pStyle w:val="TableParagraph"/>
              <w:spacing w:before="43"/>
              <w:ind w:left="108"/>
              <w:rPr>
                <w:sz w:val="21"/>
              </w:rPr>
            </w:pPr>
            <w:r>
              <w:rPr>
                <w:sz w:val="21"/>
              </w:rPr>
              <w:t>构的公告</w:t>
            </w:r>
          </w:p>
        </w:tc>
        <w:tc>
          <w:tcPr>
            <w:tcW w:w="1299" w:type="dxa"/>
          </w:tcPr>
          <w:p>
            <w:pPr>
              <w:pStyle w:val="TableParagraph"/>
              <w:spacing w:before="179"/>
              <w:ind w:left="104" w:right="95"/>
              <w:jc w:val="center"/>
              <w:rPr>
                <w:sz w:val="21"/>
              </w:rPr>
            </w:pPr>
            <w:r>
              <w:rPr>
                <w:sz w:val="21"/>
              </w:rPr>
              <w:t>2020-05-14</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易方达基金管理有限公司旗下部分开放式基金参加万联证券费率优惠活动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2020-05-18</w:t>
            </w:r>
          </w:p>
        </w:tc>
      </w:tr>
      <w:tr>
        <w:trPr>
          <w:trHeight w:val="624" w:hRule="atLeast"/>
        </w:trPr>
        <w:tc>
          <w:tcPr>
            <w:tcW w:w="7083" w:type="dxa"/>
          </w:tcPr>
          <w:p>
            <w:pPr>
              <w:pStyle w:val="TableParagraph"/>
              <w:spacing w:before="23"/>
              <w:ind w:left="108"/>
              <w:rPr>
                <w:sz w:val="21"/>
              </w:rPr>
            </w:pPr>
            <w:r>
              <w:rPr>
                <w:sz w:val="21"/>
              </w:rPr>
              <w:t>易方达沪深300 交易型开放式指数发起式证券投资基金联接基金A 类基金份</w:t>
            </w:r>
          </w:p>
          <w:p>
            <w:pPr>
              <w:pStyle w:val="TableParagraph"/>
              <w:spacing w:before="43"/>
              <w:ind w:left="108"/>
              <w:rPr>
                <w:sz w:val="21"/>
              </w:rPr>
            </w:pPr>
            <w:r>
              <w:rPr>
                <w:sz w:val="21"/>
              </w:rPr>
              <w:t>额参加长城证券费率优惠活动的公告</w:t>
            </w:r>
          </w:p>
        </w:tc>
        <w:tc>
          <w:tcPr>
            <w:tcW w:w="1299" w:type="dxa"/>
          </w:tcPr>
          <w:p>
            <w:pPr>
              <w:pStyle w:val="TableParagraph"/>
              <w:spacing w:before="179"/>
              <w:ind w:left="104" w:right="95"/>
              <w:jc w:val="center"/>
              <w:rPr>
                <w:sz w:val="21"/>
              </w:rPr>
            </w:pPr>
            <w:r>
              <w:rPr>
                <w:sz w:val="21"/>
              </w:rPr>
              <w:t>2020-05-20</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易方达基金管理有限公司旗下部分开放式基金增加金海九州为销售机构的</w:t>
            </w:r>
          </w:p>
          <w:p>
            <w:pPr>
              <w:pStyle w:val="TableParagraph"/>
              <w:spacing w:before="43"/>
              <w:ind w:left="108"/>
              <w:rPr>
                <w:sz w:val="21"/>
              </w:rPr>
            </w:pPr>
            <w:r>
              <w:rPr>
                <w:sz w:val="21"/>
              </w:rPr>
              <w:t>公告</w:t>
            </w:r>
          </w:p>
        </w:tc>
        <w:tc>
          <w:tcPr>
            <w:tcW w:w="1299" w:type="dxa"/>
          </w:tcPr>
          <w:p>
            <w:pPr>
              <w:pStyle w:val="TableParagraph"/>
              <w:spacing w:before="179"/>
              <w:ind w:left="104" w:right="95"/>
              <w:jc w:val="center"/>
              <w:rPr>
                <w:sz w:val="21"/>
              </w:rPr>
            </w:pPr>
            <w:r>
              <w:rPr>
                <w:sz w:val="21"/>
              </w:rPr>
              <w:t>2020-05-20</w:t>
            </w:r>
          </w:p>
        </w:tc>
      </w:tr>
      <w:tr>
        <w:trPr>
          <w:trHeight w:val="623" w:hRule="atLeast"/>
        </w:trPr>
        <w:tc>
          <w:tcPr>
            <w:tcW w:w="7083" w:type="dxa"/>
          </w:tcPr>
          <w:p>
            <w:pPr>
              <w:pStyle w:val="TableParagraph"/>
              <w:spacing w:before="23"/>
              <w:ind w:left="108"/>
              <w:rPr>
                <w:sz w:val="21"/>
              </w:rPr>
            </w:pPr>
            <w:r>
              <w:rPr>
                <w:sz w:val="21"/>
              </w:rPr>
              <w:t>易方达基金管理有限公司旗下部分开放式基金参加华夏财富费率优惠活动</w:t>
            </w:r>
          </w:p>
          <w:p>
            <w:pPr>
              <w:pStyle w:val="TableParagraph"/>
              <w:spacing w:before="43"/>
              <w:ind w:left="108"/>
              <w:rPr>
                <w:sz w:val="21"/>
              </w:rPr>
            </w:pPr>
            <w:r>
              <w:rPr>
                <w:sz w:val="21"/>
              </w:rPr>
              <w:t>的公告</w:t>
            </w:r>
          </w:p>
        </w:tc>
        <w:tc>
          <w:tcPr>
            <w:tcW w:w="1299" w:type="dxa"/>
          </w:tcPr>
          <w:p>
            <w:pPr>
              <w:pStyle w:val="TableParagraph"/>
              <w:spacing w:before="179"/>
              <w:ind w:left="104" w:right="95"/>
              <w:jc w:val="center"/>
              <w:rPr>
                <w:sz w:val="21"/>
              </w:rPr>
            </w:pPr>
            <w:r>
              <w:rPr>
                <w:sz w:val="21"/>
              </w:rPr>
              <w:t>2020-05-23</w:t>
            </w:r>
          </w:p>
        </w:tc>
      </w:tr>
      <w:tr>
        <w:trPr>
          <w:trHeight w:val="624" w:hRule="atLeast"/>
        </w:trPr>
        <w:tc>
          <w:tcPr>
            <w:tcW w:w="7083" w:type="dxa"/>
          </w:tcPr>
          <w:p>
            <w:pPr>
              <w:pStyle w:val="TableParagraph"/>
              <w:spacing w:before="23"/>
              <w:ind w:left="108"/>
              <w:rPr>
                <w:sz w:val="21"/>
              </w:rPr>
            </w:pPr>
            <w:r>
              <w:rPr>
                <w:sz w:val="21"/>
              </w:rPr>
              <w:t>易方达基金管理有限公司关于旗下基金在包商银行股份有限公司相关业务</w:t>
            </w:r>
          </w:p>
          <w:p>
            <w:pPr>
              <w:pStyle w:val="TableParagraph"/>
              <w:spacing w:before="43"/>
              <w:ind w:left="108"/>
              <w:rPr>
                <w:sz w:val="21"/>
              </w:rPr>
            </w:pPr>
            <w:r>
              <w:rPr>
                <w:sz w:val="21"/>
              </w:rPr>
              <w:t>安排的提示性公告</w:t>
            </w:r>
          </w:p>
        </w:tc>
        <w:tc>
          <w:tcPr>
            <w:tcW w:w="1299" w:type="dxa"/>
          </w:tcPr>
          <w:p>
            <w:pPr>
              <w:pStyle w:val="TableParagraph"/>
              <w:spacing w:before="179"/>
              <w:ind w:left="104" w:right="95"/>
              <w:jc w:val="center"/>
              <w:rPr>
                <w:sz w:val="21"/>
              </w:rPr>
            </w:pPr>
            <w:r>
              <w:rPr>
                <w:sz w:val="21"/>
              </w:rPr>
              <w:t>2020-05-29</w:t>
            </w:r>
          </w:p>
        </w:tc>
      </w:tr>
      <w:tr>
        <w:trPr>
          <w:trHeight w:val="624" w:hRule="atLeast"/>
        </w:trPr>
        <w:tc>
          <w:tcPr>
            <w:tcW w:w="7083" w:type="dxa"/>
          </w:tcPr>
          <w:p>
            <w:pPr>
              <w:pStyle w:val="TableParagraph"/>
              <w:spacing w:before="23"/>
              <w:ind w:left="108"/>
              <w:rPr>
                <w:sz w:val="21"/>
              </w:rPr>
            </w:pPr>
            <w:r>
              <w:rPr>
                <w:sz w:val="21"/>
              </w:rPr>
              <w:t>易方达基金管理有限公司关于暂停上海朝阳永续基金销售有限公司办理旗</w:t>
            </w:r>
          </w:p>
          <w:p>
            <w:pPr>
              <w:pStyle w:val="TableParagraph"/>
              <w:spacing w:before="43"/>
              <w:ind w:left="108"/>
              <w:rPr>
                <w:sz w:val="21"/>
              </w:rPr>
            </w:pPr>
            <w:r>
              <w:rPr>
                <w:sz w:val="21"/>
              </w:rPr>
              <w:t>下基金相关销售业务的公告</w:t>
            </w:r>
          </w:p>
        </w:tc>
        <w:tc>
          <w:tcPr>
            <w:tcW w:w="1299" w:type="dxa"/>
          </w:tcPr>
          <w:p>
            <w:pPr>
              <w:pStyle w:val="TableParagraph"/>
              <w:spacing w:before="179"/>
              <w:ind w:left="104" w:right="95"/>
              <w:jc w:val="center"/>
              <w:rPr>
                <w:sz w:val="21"/>
              </w:rPr>
            </w:pPr>
            <w:r>
              <w:rPr>
                <w:sz w:val="21"/>
              </w:rPr>
              <w:t>2020-06-03</w:t>
            </w:r>
          </w:p>
        </w:tc>
      </w:tr>
      <w:tr>
        <w:trPr>
          <w:trHeight w:val="311" w:hRule="atLeast"/>
        </w:trPr>
        <w:tc>
          <w:tcPr>
            <w:tcW w:w="7083" w:type="dxa"/>
          </w:tcPr>
          <w:p>
            <w:pPr>
              <w:pStyle w:val="TableParagraph"/>
              <w:spacing w:before="23"/>
              <w:ind w:left="108"/>
              <w:rPr>
                <w:sz w:val="21"/>
              </w:rPr>
            </w:pPr>
            <w:r>
              <w:rPr>
                <w:sz w:val="21"/>
              </w:rPr>
              <w:t>易方达基金管理有限公司旗下部分开放式基金增加销售机构的公告</w:t>
            </w:r>
          </w:p>
        </w:tc>
        <w:tc>
          <w:tcPr>
            <w:tcW w:w="1299" w:type="dxa"/>
          </w:tcPr>
          <w:p>
            <w:pPr>
              <w:pStyle w:val="TableParagraph"/>
              <w:spacing w:before="23"/>
              <w:ind w:left="104" w:right="95"/>
              <w:jc w:val="center"/>
              <w:rPr>
                <w:sz w:val="21"/>
              </w:rPr>
            </w:pPr>
            <w:r>
              <w:rPr>
                <w:sz w:val="21"/>
              </w:rPr>
              <w:t>2020-06-03</w:t>
            </w:r>
          </w:p>
        </w:tc>
      </w:tr>
      <w:tr>
        <w:trPr>
          <w:trHeight w:val="624" w:hRule="atLeast"/>
        </w:trPr>
        <w:tc>
          <w:tcPr>
            <w:tcW w:w="7083" w:type="dxa"/>
          </w:tcPr>
          <w:p>
            <w:pPr>
              <w:pStyle w:val="TableParagraph"/>
              <w:spacing w:before="23"/>
              <w:ind w:left="108"/>
              <w:rPr>
                <w:sz w:val="21"/>
              </w:rPr>
            </w:pPr>
            <w:r>
              <w:rPr>
                <w:sz w:val="21"/>
              </w:rPr>
              <w:t>易方达基金管理有限公司关于调整旗下部分开放式基金在招商银行最低定</w:t>
            </w:r>
          </w:p>
          <w:p>
            <w:pPr>
              <w:pStyle w:val="TableParagraph"/>
              <w:spacing w:before="43"/>
              <w:ind w:left="108"/>
              <w:rPr>
                <w:sz w:val="21"/>
              </w:rPr>
            </w:pPr>
            <w:r>
              <w:rPr>
                <w:sz w:val="21"/>
              </w:rPr>
              <w:t>期定额投资金额限制的公告</w:t>
            </w:r>
          </w:p>
        </w:tc>
        <w:tc>
          <w:tcPr>
            <w:tcW w:w="1299" w:type="dxa"/>
          </w:tcPr>
          <w:p>
            <w:pPr>
              <w:pStyle w:val="TableParagraph"/>
              <w:spacing w:before="179"/>
              <w:ind w:left="104" w:right="95"/>
              <w:jc w:val="center"/>
              <w:rPr>
                <w:sz w:val="21"/>
              </w:rPr>
            </w:pPr>
            <w:r>
              <w:rPr>
                <w:sz w:val="21"/>
              </w:rPr>
              <w:t>2020-06-04</w:t>
            </w:r>
          </w:p>
        </w:tc>
      </w:tr>
      <w:tr>
        <w:trPr>
          <w:trHeight w:val="624" w:hRule="atLeast"/>
        </w:trPr>
        <w:tc>
          <w:tcPr>
            <w:tcW w:w="7083" w:type="dxa"/>
          </w:tcPr>
          <w:p>
            <w:pPr>
              <w:pStyle w:val="TableParagraph"/>
              <w:spacing w:before="23"/>
              <w:ind w:left="108"/>
              <w:rPr>
                <w:sz w:val="21"/>
              </w:rPr>
            </w:pPr>
            <w:r>
              <w:rPr>
                <w:sz w:val="21"/>
              </w:rPr>
              <w:t>易方达基金管理有限公司旗下部分开放式基金增加国联证券为销售机构的</w:t>
            </w:r>
          </w:p>
          <w:p>
            <w:pPr>
              <w:pStyle w:val="TableParagraph"/>
              <w:spacing w:before="43"/>
              <w:ind w:left="108"/>
              <w:rPr>
                <w:sz w:val="21"/>
              </w:rPr>
            </w:pPr>
            <w:r>
              <w:rPr>
                <w:sz w:val="21"/>
              </w:rPr>
              <w:t>公告</w:t>
            </w:r>
          </w:p>
        </w:tc>
        <w:tc>
          <w:tcPr>
            <w:tcW w:w="1299" w:type="dxa"/>
          </w:tcPr>
          <w:p>
            <w:pPr>
              <w:pStyle w:val="TableParagraph"/>
              <w:spacing w:before="179"/>
              <w:ind w:left="104" w:right="95"/>
              <w:jc w:val="center"/>
              <w:rPr>
                <w:sz w:val="21"/>
              </w:rPr>
            </w:pPr>
            <w:r>
              <w:rPr>
                <w:sz w:val="21"/>
              </w:rPr>
              <w:t>2020-06-08</w:t>
            </w:r>
          </w:p>
        </w:tc>
      </w:tr>
    </w:tbl>
    <w:p>
      <w:pPr>
        <w:spacing w:after="0"/>
        <w:jc w:val="center"/>
        <w:rPr>
          <w:sz w:val="21"/>
        </w:rPr>
        <w:sectPr>
          <w:pgSz w:w="11910" w:h="16840"/>
          <w:pgMar w:header="0" w:footer="1166" w:top="1600" w:bottom="1360" w:left="1400" w:right="360"/>
        </w:sectPr>
      </w:pPr>
    </w:p>
    <w:p>
      <w:pPr>
        <w:pStyle w:val="BodyText"/>
        <w:spacing w:before="104"/>
        <w:ind w:left="413"/>
      </w:pPr>
      <w:r>
        <w:rPr/>
        <w:t>注：以上公告事项披露在指定媒介及基金管理人网站上。</w:t>
      </w:r>
    </w:p>
    <w:p>
      <w:pPr>
        <w:spacing w:after="0"/>
        <w:sectPr>
          <w:pgSz w:w="11910" w:h="16840"/>
          <w:pgMar w:header="0" w:footer="1166" w:top="1600" w:bottom="1360" w:left="1400" w:right="360"/>
        </w:sectPr>
      </w:pPr>
    </w:p>
    <w:p>
      <w:pPr>
        <w:pStyle w:val="Heading1"/>
        <w:ind w:left="1983"/>
      </w:pPr>
      <w:bookmarkStart w:name="_bookmark111" w:id="112"/>
      <w:bookmarkEnd w:id="112"/>
      <w:r>
        <w:rPr>
          <w:b w:val="0"/>
        </w:rPr>
      </w:r>
      <w:r>
        <w:rPr/>
        <w:t>二十五、招募说明书存放及查阅方式</w:t>
      </w:r>
    </w:p>
    <w:p>
      <w:pPr>
        <w:pStyle w:val="BodyText"/>
        <w:spacing w:line="364" w:lineRule="auto" w:before="138"/>
        <w:ind w:left="413" w:right="1452" w:firstLine="480"/>
        <w:jc w:val="both"/>
      </w:pPr>
      <w:r>
        <w:rPr/>
        <w:t>本招募说明书存放在基金管理人及基金销售机构处，投资者可在营业时间免费查阅， 也可按工本费购买复印件。基金管理人保证其所提供的文本的内容与所公告的内容完全一致。</w:t>
      </w:r>
    </w:p>
    <w:p>
      <w:pPr>
        <w:spacing w:after="0" w:line="364" w:lineRule="auto"/>
        <w:jc w:val="both"/>
        <w:sectPr>
          <w:pgSz w:w="11910" w:h="16840"/>
          <w:pgMar w:header="0" w:footer="1166" w:top="1600" w:bottom="1440" w:left="1400" w:right="360"/>
        </w:sectPr>
      </w:pPr>
    </w:p>
    <w:p>
      <w:pPr>
        <w:pStyle w:val="Heading1"/>
        <w:ind w:left="3268"/>
      </w:pPr>
      <w:bookmarkStart w:name="_bookmark112" w:id="113"/>
      <w:bookmarkEnd w:id="113"/>
      <w:r>
        <w:rPr>
          <w:b w:val="0"/>
        </w:rPr>
      </w:r>
      <w:r>
        <w:rPr/>
        <w:t>二十六、备查文件</w:t>
      </w:r>
    </w:p>
    <w:p>
      <w:pPr>
        <w:pStyle w:val="BodyText"/>
        <w:spacing w:line="364" w:lineRule="auto" w:before="138"/>
        <w:ind w:left="413" w:right="1452" w:firstLine="420"/>
      </w:pPr>
      <w:r>
        <w:rPr/>
        <w:t>1、中国证监会《关于易方达沪深300指数证券投资基金基金份额持有人大会决议备案的回函》；</w:t>
      </w:r>
    </w:p>
    <w:p>
      <w:pPr>
        <w:pStyle w:val="BodyText"/>
        <w:spacing w:line="268" w:lineRule="exact"/>
        <w:ind w:left="833"/>
      </w:pPr>
      <w:r>
        <w:rPr/>
        <w:t>2、《易方达沪深300交易型开放式指数发起式证券投资基金联接基金基金合同》；</w:t>
      </w:r>
    </w:p>
    <w:p>
      <w:pPr>
        <w:pStyle w:val="BodyText"/>
        <w:spacing w:before="139"/>
        <w:ind w:left="833"/>
      </w:pPr>
      <w:r>
        <w:rPr/>
        <w:t>3、《易方达基金管理有限公司开放式基金业务规则》；</w:t>
      </w:r>
    </w:p>
    <w:p>
      <w:pPr>
        <w:pStyle w:val="BodyText"/>
        <w:spacing w:before="140"/>
        <w:ind w:left="833"/>
      </w:pPr>
      <w:r>
        <w:rPr/>
        <w:t>4、《易方达沪深 300 交易型开放式指数发起式证券投资基金联接基金托管协议》；</w:t>
      </w:r>
    </w:p>
    <w:p>
      <w:pPr>
        <w:pStyle w:val="BodyText"/>
        <w:spacing w:before="139"/>
        <w:ind w:left="833"/>
      </w:pPr>
      <w:r>
        <w:rPr/>
        <w:t>5、法律意见书；</w:t>
      </w:r>
    </w:p>
    <w:p>
      <w:pPr>
        <w:pStyle w:val="BodyText"/>
        <w:spacing w:before="140"/>
        <w:ind w:left="833"/>
      </w:pPr>
      <w:r>
        <w:rPr/>
        <w:t>6、基金管理人业务资格批件和营业执照；</w:t>
      </w:r>
    </w:p>
    <w:p>
      <w:pPr>
        <w:pStyle w:val="BodyText"/>
        <w:spacing w:line="364" w:lineRule="auto" w:before="139"/>
        <w:ind w:left="833" w:right="5427"/>
      </w:pPr>
      <w:r>
        <w:rPr/>
        <w:t>7、基金托管人业务资格批件和营业执照。存放地点：基金管理人、基金托管人处</w:t>
      </w:r>
    </w:p>
    <w:p>
      <w:pPr>
        <w:pStyle w:val="BodyText"/>
        <w:spacing w:line="268" w:lineRule="exact"/>
        <w:ind w:left="833"/>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spacing w:before="1"/>
        <w:ind w:left="6383"/>
      </w:pPr>
      <w:r>
        <w:rPr/>
        <w:t>易方达基金管理有限公司</w:t>
      </w:r>
    </w:p>
    <w:p>
      <w:pPr>
        <w:pStyle w:val="BodyText"/>
        <w:spacing w:before="139"/>
        <w:ind w:left="6750"/>
      </w:pPr>
      <w:r>
        <w:rPr/>
        <w:t>2020 年 10 月 19 日</w:t>
      </w:r>
    </w:p>
    <w:sectPr>
      <w:pgSz w:w="11910" w:h="16840"/>
      <w:pgMar w:header="0" w:footer="1166" w:top="1600" w:bottom="1440" w:left="14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3.175995pt;margin-top:768.682983pt;width:7pt;height:12pt;mso-position-horizontal-relative:page;mso-position-vertical-relative:page;z-index:-2592430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1.200012pt;margin-top:768.682983pt;width:17.5pt;height:12pt;mso-position-horizontal-relative:page;mso-position-vertical-relative:page;z-index:-2592409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81">
    <w:multiLevelType w:val="hybridMultilevel"/>
    <w:lvl w:ilvl="0">
      <w:start w:val="1"/>
      <w:numFmt w:val="decimal"/>
      <w:lvlText w:val="（%1）"/>
      <w:lvlJc w:val="left"/>
      <w:pPr>
        <w:ind w:left="4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80">
    <w:multiLevelType w:val="hybridMultilevel"/>
    <w:lvl w:ilvl="0">
      <w:start w:val="1"/>
      <w:numFmt w:val="decimal"/>
      <w:lvlText w:val="（%1）"/>
      <w:lvlJc w:val="left"/>
      <w:pPr>
        <w:ind w:left="41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79">
    <w:multiLevelType w:val="hybridMultilevel"/>
    <w:lvl w:ilvl="0">
      <w:start w:val="1"/>
      <w:numFmt w:val="decimal"/>
      <w:lvlText w:val="（%1）"/>
      <w:lvlJc w:val="left"/>
      <w:pPr>
        <w:ind w:left="41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78">
    <w:multiLevelType w:val="hybridMultilevel"/>
    <w:lvl w:ilvl="0">
      <w:start w:val="1"/>
      <w:numFmt w:val="decimal"/>
      <w:lvlText w:val="（%1）"/>
      <w:lvlJc w:val="left"/>
      <w:pPr>
        <w:ind w:left="41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77">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76">
    <w:multiLevelType w:val="hybridMultilevel"/>
    <w:lvl w:ilvl="0">
      <w:start w:val="12"/>
      <w:numFmt w:val="decimal"/>
      <w:lvlText w:val="(%1)"/>
      <w:lvlJc w:val="left"/>
      <w:pPr>
        <w:ind w:left="414" w:hanging="423"/>
        <w:jc w:val="left"/>
      </w:pPr>
      <w:rPr>
        <w:rFonts w:hint="default" w:ascii="宋体" w:hAnsi="宋体" w:eastAsia="宋体" w:cs="宋体"/>
        <w:w w:val="100"/>
        <w:sz w:val="19"/>
        <w:szCs w:val="19"/>
        <w:lang w:val="zh-CN" w:eastAsia="zh-CN" w:bidi="zh-CN"/>
      </w:rPr>
    </w:lvl>
    <w:lvl w:ilvl="1">
      <w:start w:val="0"/>
      <w:numFmt w:val="bullet"/>
      <w:lvlText w:val="•"/>
      <w:lvlJc w:val="left"/>
      <w:pPr>
        <w:ind w:left="1392" w:hanging="423"/>
      </w:pPr>
      <w:rPr>
        <w:rFonts w:hint="default"/>
        <w:lang w:val="zh-CN" w:eastAsia="zh-CN" w:bidi="zh-CN"/>
      </w:rPr>
    </w:lvl>
    <w:lvl w:ilvl="2">
      <w:start w:val="0"/>
      <w:numFmt w:val="bullet"/>
      <w:lvlText w:val="•"/>
      <w:lvlJc w:val="left"/>
      <w:pPr>
        <w:ind w:left="2365" w:hanging="423"/>
      </w:pPr>
      <w:rPr>
        <w:rFonts w:hint="default"/>
        <w:lang w:val="zh-CN" w:eastAsia="zh-CN" w:bidi="zh-CN"/>
      </w:rPr>
    </w:lvl>
    <w:lvl w:ilvl="3">
      <w:start w:val="0"/>
      <w:numFmt w:val="bullet"/>
      <w:lvlText w:val="•"/>
      <w:lvlJc w:val="left"/>
      <w:pPr>
        <w:ind w:left="3338" w:hanging="423"/>
      </w:pPr>
      <w:rPr>
        <w:rFonts w:hint="default"/>
        <w:lang w:val="zh-CN" w:eastAsia="zh-CN" w:bidi="zh-CN"/>
      </w:rPr>
    </w:lvl>
    <w:lvl w:ilvl="4">
      <w:start w:val="0"/>
      <w:numFmt w:val="bullet"/>
      <w:lvlText w:val="•"/>
      <w:lvlJc w:val="left"/>
      <w:pPr>
        <w:ind w:left="4310" w:hanging="423"/>
      </w:pPr>
      <w:rPr>
        <w:rFonts w:hint="default"/>
        <w:lang w:val="zh-CN" w:eastAsia="zh-CN" w:bidi="zh-CN"/>
      </w:rPr>
    </w:lvl>
    <w:lvl w:ilvl="5">
      <w:start w:val="0"/>
      <w:numFmt w:val="bullet"/>
      <w:lvlText w:val="•"/>
      <w:lvlJc w:val="left"/>
      <w:pPr>
        <w:ind w:left="5283" w:hanging="423"/>
      </w:pPr>
      <w:rPr>
        <w:rFonts w:hint="default"/>
        <w:lang w:val="zh-CN" w:eastAsia="zh-CN" w:bidi="zh-CN"/>
      </w:rPr>
    </w:lvl>
    <w:lvl w:ilvl="6">
      <w:start w:val="0"/>
      <w:numFmt w:val="bullet"/>
      <w:lvlText w:val="•"/>
      <w:lvlJc w:val="left"/>
      <w:pPr>
        <w:ind w:left="6256" w:hanging="423"/>
      </w:pPr>
      <w:rPr>
        <w:rFonts w:hint="default"/>
        <w:lang w:val="zh-CN" w:eastAsia="zh-CN" w:bidi="zh-CN"/>
      </w:rPr>
    </w:lvl>
    <w:lvl w:ilvl="7">
      <w:start w:val="0"/>
      <w:numFmt w:val="bullet"/>
      <w:lvlText w:val="•"/>
      <w:lvlJc w:val="left"/>
      <w:pPr>
        <w:ind w:left="7228" w:hanging="423"/>
      </w:pPr>
      <w:rPr>
        <w:rFonts w:hint="default"/>
        <w:lang w:val="zh-CN" w:eastAsia="zh-CN" w:bidi="zh-CN"/>
      </w:rPr>
    </w:lvl>
    <w:lvl w:ilvl="8">
      <w:start w:val="0"/>
      <w:numFmt w:val="bullet"/>
      <w:lvlText w:val="•"/>
      <w:lvlJc w:val="left"/>
      <w:pPr>
        <w:ind w:left="8201" w:hanging="423"/>
      </w:pPr>
      <w:rPr>
        <w:rFonts w:hint="default"/>
        <w:lang w:val="zh-CN" w:eastAsia="zh-CN" w:bidi="zh-CN"/>
      </w:rPr>
    </w:lvl>
  </w:abstractNum>
  <w:abstractNum w:abstractNumId="75">
    <w:multiLevelType w:val="hybridMultilevel"/>
    <w:lvl w:ilvl="0">
      <w:start w:val="10"/>
      <w:numFmt w:val="decimal"/>
      <w:lvlText w:val="（%1）"/>
      <w:lvlJc w:val="left"/>
      <w:pPr>
        <w:ind w:left="834" w:hanging="63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70" w:hanging="631"/>
      </w:pPr>
      <w:rPr>
        <w:rFonts w:hint="default"/>
        <w:lang w:val="zh-CN" w:eastAsia="zh-CN" w:bidi="zh-CN"/>
      </w:rPr>
    </w:lvl>
    <w:lvl w:ilvl="2">
      <w:start w:val="0"/>
      <w:numFmt w:val="bullet"/>
      <w:lvlText w:val="•"/>
      <w:lvlJc w:val="left"/>
      <w:pPr>
        <w:ind w:left="2701" w:hanging="631"/>
      </w:pPr>
      <w:rPr>
        <w:rFonts w:hint="default"/>
        <w:lang w:val="zh-CN" w:eastAsia="zh-CN" w:bidi="zh-CN"/>
      </w:rPr>
    </w:lvl>
    <w:lvl w:ilvl="3">
      <w:start w:val="0"/>
      <w:numFmt w:val="bullet"/>
      <w:lvlText w:val="•"/>
      <w:lvlJc w:val="left"/>
      <w:pPr>
        <w:ind w:left="3632" w:hanging="631"/>
      </w:pPr>
      <w:rPr>
        <w:rFonts w:hint="default"/>
        <w:lang w:val="zh-CN" w:eastAsia="zh-CN" w:bidi="zh-CN"/>
      </w:rPr>
    </w:lvl>
    <w:lvl w:ilvl="4">
      <w:start w:val="0"/>
      <w:numFmt w:val="bullet"/>
      <w:lvlText w:val="•"/>
      <w:lvlJc w:val="left"/>
      <w:pPr>
        <w:ind w:left="4562" w:hanging="631"/>
      </w:pPr>
      <w:rPr>
        <w:rFonts w:hint="default"/>
        <w:lang w:val="zh-CN" w:eastAsia="zh-CN" w:bidi="zh-CN"/>
      </w:rPr>
    </w:lvl>
    <w:lvl w:ilvl="5">
      <w:start w:val="0"/>
      <w:numFmt w:val="bullet"/>
      <w:lvlText w:val="•"/>
      <w:lvlJc w:val="left"/>
      <w:pPr>
        <w:ind w:left="5493" w:hanging="631"/>
      </w:pPr>
      <w:rPr>
        <w:rFonts w:hint="default"/>
        <w:lang w:val="zh-CN" w:eastAsia="zh-CN" w:bidi="zh-CN"/>
      </w:rPr>
    </w:lvl>
    <w:lvl w:ilvl="6">
      <w:start w:val="0"/>
      <w:numFmt w:val="bullet"/>
      <w:lvlText w:val="•"/>
      <w:lvlJc w:val="left"/>
      <w:pPr>
        <w:ind w:left="6424" w:hanging="631"/>
      </w:pPr>
      <w:rPr>
        <w:rFonts w:hint="default"/>
        <w:lang w:val="zh-CN" w:eastAsia="zh-CN" w:bidi="zh-CN"/>
      </w:rPr>
    </w:lvl>
    <w:lvl w:ilvl="7">
      <w:start w:val="0"/>
      <w:numFmt w:val="bullet"/>
      <w:lvlText w:val="•"/>
      <w:lvlJc w:val="left"/>
      <w:pPr>
        <w:ind w:left="7354" w:hanging="631"/>
      </w:pPr>
      <w:rPr>
        <w:rFonts w:hint="default"/>
        <w:lang w:val="zh-CN" w:eastAsia="zh-CN" w:bidi="zh-CN"/>
      </w:rPr>
    </w:lvl>
    <w:lvl w:ilvl="8">
      <w:start w:val="0"/>
      <w:numFmt w:val="bullet"/>
      <w:lvlText w:val="•"/>
      <w:lvlJc w:val="left"/>
      <w:pPr>
        <w:ind w:left="8285" w:hanging="631"/>
      </w:pPr>
      <w:rPr>
        <w:rFonts w:hint="default"/>
        <w:lang w:val="zh-CN" w:eastAsia="zh-CN" w:bidi="zh-CN"/>
      </w:rPr>
    </w:lvl>
  </w:abstractNum>
  <w:abstractNum w:abstractNumId="74">
    <w:multiLevelType w:val="hybridMultilevel"/>
    <w:lvl w:ilvl="0">
      <w:start w:val="1"/>
      <w:numFmt w:val="decimal"/>
      <w:lvlText w:val="(%1)"/>
      <w:lvlJc w:val="left"/>
      <w:pPr>
        <w:ind w:left="414"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392" w:hanging="317"/>
      </w:pPr>
      <w:rPr>
        <w:rFonts w:hint="default"/>
        <w:lang w:val="zh-CN" w:eastAsia="zh-CN" w:bidi="zh-CN"/>
      </w:rPr>
    </w:lvl>
    <w:lvl w:ilvl="2">
      <w:start w:val="0"/>
      <w:numFmt w:val="bullet"/>
      <w:lvlText w:val="•"/>
      <w:lvlJc w:val="left"/>
      <w:pPr>
        <w:ind w:left="2365" w:hanging="317"/>
      </w:pPr>
      <w:rPr>
        <w:rFonts w:hint="default"/>
        <w:lang w:val="zh-CN" w:eastAsia="zh-CN" w:bidi="zh-CN"/>
      </w:rPr>
    </w:lvl>
    <w:lvl w:ilvl="3">
      <w:start w:val="0"/>
      <w:numFmt w:val="bullet"/>
      <w:lvlText w:val="•"/>
      <w:lvlJc w:val="left"/>
      <w:pPr>
        <w:ind w:left="3338" w:hanging="317"/>
      </w:pPr>
      <w:rPr>
        <w:rFonts w:hint="default"/>
        <w:lang w:val="zh-CN" w:eastAsia="zh-CN" w:bidi="zh-CN"/>
      </w:rPr>
    </w:lvl>
    <w:lvl w:ilvl="4">
      <w:start w:val="0"/>
      <w:numFmt w:val="bullet"/>
      <w:lvlText w:val="•"/>
      <w:lvlJc w:val="left"/>
      <w:pPr>
        <w:ind w:left="4310" w:hanging="317"/>
      </w:pPr>
      <w:rPr>
        <w:rFonts w:hint="default"/>
        <w:lang w:val="zh-CN" w:eastAsia="zh-CN" w:bidi="zh-CN"/>
      </w:rPr>
    </w:lvl>
    <w:lvl w:ilvl="5">
      <w:start w:val="0"/>
      <w:numFmt w:val="bullet"/>
      <w:lvlText w:val="•"/>
      <w:lvlJc w:val="left"/>
      <w:pPr>
        <w:ind w:left="5283" w:hanging="317"/>
      </w:pPr>
      <w:rPr>
        <w:rFonts w:hint="default"/>
        <w:lang w:val="zh-CN" w:eastAsia="zh-CN" w:bidi="zh-CN"/>
      </w:rPr>
    </w:lvl>
    <w:lvl w:ilvl="6">
      <w:start w:val="0"/>
      <w:numFmt w:val="bullet"/>
      <w:lvlText w:val="•"/>
      <w:lvlJc w:val="left"/>
      <w:pPr>
        <w:ind w:left="6256"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201" w:hanging="317"/>
      </w:pPr>
      <w:rPr>
        <w:rFonts w:hint="default"/>
        <w:lang w:val="zh-CN" w:eastAsia="zh-CN" w:bidi="zh-CN"/>
      </w:rPr>
    </w:lvl>
  </w:abstractNum>
  <w:abstractNum w:abstractNumId="73">
    <w:multiLevelType w:val="hybridMultilevel"/>
    <w:lvl w:ilvl="0">
      <w:start w:val="2"/>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72">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71">
    <w:multiLevelType w:val="hybridMultilevel"/>
    <w:lvl w:ilvl="0">
      <w:start w:val="1"/>
      <w:numFmt w:val="decimal"/>
      <w:lvlText w:val="%1)"/>
      <w:lvlJc w:val="left"/>
      <w:pPr>
        <w:ind w:left="414"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92" w:hanging="211"/>
      </w:pPr>
      <w:rPr>
        <w:rFonts w:hint="default"/>
        <w:lang w:val="zh-CN" w:eastAsia="zh-CN" w:bidi="zh-CN"/>
      </w:rPr>
    </w:lvl>
    <w:lvl w:ilvl="2">
      <w:start w:val="0"/>
      <w:numFmt w:val="bullet"/>
      <w:lvlText w:val="•"/>
      <w:lvlJc w:val="left"/>
      <w:pPr>
        <w:ind w:left="2365" w:hanging="211"/>
      </w:pPr>
      <w:rPr>
        <w:rFonts w:hint="default"/>
        <w:lang w:val="zh-CN" w:eastAsia="zh-CN" w:bidi="zh-CN"/>
      </w:rPr>
    </w:lvl>
    <w:lvl w:ilvl="3">
      <w:start w:val="0"/>
      <w:numFmt w:val="bullet"/>
      <w:lvlText w:val="•"/>
      <w:lvlJc w:val="left"/>
      <w:pPr>
        <w:ind w:left="3338" w:hanging="211"/>
      </w:pPr>
      <w:rPr>
        <w:rFonts w:hint="default"/>
        <w:lang w:val="zh-CN" w:eastAsia="zh-CN" w:bidi="zh-CN"/>
      </w:rPr>
    </w:lvl>
    <w:lvl w:ilvl="4">
      <w:start w:val="0"/>
      <w:numFmt w:val="bullet"/>
      <w:lvlText w:val="•"/>
      <w:lvlJc w:val="left"/>
      <w:pPr>
        <w:ind w:left="4310" w:hanging="211"/>
      </w:pPr>
      <w:rPr>
        <w:rFonts w:hint="default"/>
        <w:lang w:val="zh-CN" w:eastAsia="zh-CN" w:bidi="zh-CN"/>
      </w:rPr>
    </w:lvl>
    <w:lvl w:ilvl="5">
      <w:start w:val="0"/>
      <w:numFmt w:val="bullet"/>
      <w:lvlText w:val="•"/>
      <w:lvlJc w:val="left"/>
      <w:pPr>
        <w:ind w:left="5283" w:hanging="211"/>
      </w:pPr>
      <w:rPr>
        <w:rFonts w:hint="default"/>
        <w:lang w:val="zh-CN" w:eastAsia="zh-CN" w:bidi="zh-CN"/>
      </w:rPr>
    </w:lvl>
    <w:lvl w:ilvl="6">
      <w:start w:val="0"/>
      <w:numFmt w:val="bullet"/>
      <w:lvlText w:val="•"/>
      <w:lvlJc w:val="left"/>
      <w:pPr>
        <w:ind w:left="6256"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201" w:hanging="211"/>
      </w:pPr>
      <w:rPr>
        <w:rFonts w:hint="default"/>
        <w:lang w:val="zh-CN" w:eastAsia="zh-CN" w:bidi="zh-CN"/>
      </w:rPr>
    </w:lvl>
  </w:abstractNum>
  <w:abstractNum w:abstractNumId="70">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69">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68">
    <w:multiLevelType w:val="hybridMultilevel"/>
    <w:lvl w:ilvl="0">
      <w:start w:val="1"/>
      <w:numFmt w:val="decimal"/>
      <w:lvlText w:val="(%1)"/>
      <w:lvlJc w:val="left"/>
      <w:pPr>
        <w:ind w:left="41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67">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66">
    <w:multiLevelType w:val="hybridMultilevel"/>
    <w:lvl w:ilvl="0">
      <w:start w:val="1"/>
      <w:numFmt w:val="decimal"/>
      <w:lvlText w:val="%1)"/>
      <w:lvlJc w:val="left"/>
      <w:pPr>
        <w:ind w:left="1045"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65">
    <w:multiLevelType w:val="hybridMultilevel"/>
    <w:lvl w:ilvl="0">
      <w:start w:val="2"/>
      <w:numFmt w:val="decimal"/>
      <w:lvlText w:val="（%1）"/>
      <w:lvlJc w:val="left"/>
      <w:pPr>
        <w:ind w:left="136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64">
    <w:multiLevelType w:val="hybridMultilevel"/>
    <w:lvl w:ilvl="0">
      <w:start w:val="1"/>
      <w:numFmt w:val="decimal"/>
      <w:lvlText w:val="%1)"/>
      <w:lvlJc w:val="left"/>
      <w:pPr>
        <w:ind w:left="414" w:hanging="211"/>
        <w:jc w:val="left"/>
      </w:pPr>
      <w:rPr>
        <w:rFonts w:hint="default" w:ascii="宋体" w:hAnsi="宋体" w:eastAsia="宋体" w:cs="宋体"/>
        <w:spacing w:val="-58"/>
        <w:w w:val="100"/>
        <w:sz w:val="19"/>
        <w:szCs w:val="19"/>
        <w:lang w:val="zh-CN" w:eastAsia="zh-CN" w:bidi="zh-CN"/>
      </w:rPr>
    </w:lvl>
    <w:lvl w:ilvl="1">
      <w:start w:val="0"/>
      <w:numFmt w:val="bullet"/>
      <w:lvlText w:val="•"/>
      <w:lvlJc w:val="left"/>
      <w:pPr>
        <w:ind w:left="1392" w:hanging="211"/>
      </w:pPr>
      <w:rPr>
        <w:rFonts w:hint="default"/>
        <w:lang w:val="zh-CN" w:eastAsia="zh-CN" w:bidi="zh-CN"/>
      </w:rPr>
    </w:lvl>
    <w:lvl w:ilvl="2">
      <w:start w:val="0"/>
      <w:numFmt w:val="bullet"/>
      <w:lvlText w:val="•"/>
      <w:lvlJc w:val="left"/>
      <w:pPr>
        <w:ind w:left="2365" w:hanging="211"/>
      </w:pPr>
      <w:rPr>
        <w:rFonts w:hint="default"/>
        <w:lang w:val="zh-CN" w:eastAsia="zh-CN" w:bidi="zh-CN"/>
      </w:rPr>
    </w:lvl>
    <w:lvl w:ilvl="3">
      <w:start w:val="0"/>
      <w:numFmt w:val="bullet"/>
      <w:lvlText w:val="•"/>
      <w:lvlJc w:val="left"/>
      <w:pPr>
        <w:ind w:left="3338" w:hanging="211"/>
      </w:pPr>
      <w:rPr>
        <w:rFonts w:hint="default"/>
        <w:lang w:val="zh-CN" w:eastAsia="zh-CN" w:bidi="zh-CN"/>
      </w:rPr>
    </w:lvl>
    <w:lvl w:ilvl="4">
      <w:start w:val="0"/>
      <w:numFmt w:val="bullet"/>
      <w:lvlText w:val="•"/>
      <w:lvlJc w:val="left"/>
      <w:pPr>
        <w:ind w:left="4310" w:hanging="211"/>
      </w:pPr>
      <w:rPr>
        <w:rFonts w:hint="default"/>
        <w:lang w:val="zh-CN" w:eastAsia="zh-CN" w:bidi="zh-CN"/>
      </w:rPr>
    </w:lvl>
    <w:lvl w:ilvl="5">
      <w:start w:val="0"/>
      <w:numFmt w:val="bullet"/>
      <w:lvlText w:val="•"/>
      <w:lvlJc w:val="left"/>
      <w:pPr>
        <w:ind w:left="5283" w:hanging="211"/>
      </w:pPr>
      <w:rPr>
        <w:rFonts w:hint="default"/>
        <w:lang w:val="zh-CN" w:eastAsia="zh-CN" w:bidi="zh-CN"/>
      </w:rPr>
    </w:lvl>
    <w:lvl w:ilvl="6">
      <w:start w:val="0"/>
      <w:numFmt w:val="bullet"/>
      <w:lvlText w:val="•"/>
      <w:lvlJc w:val="left"/>
      <w:pPr>
        <w:ind w:left="6256"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201" w:hanging="211"/>
      </w:pPr>
      <w:rPr>
        <w:rFonts w:hint="default"/>
        <w:lang w:val="zh-CN" w:eastAsia="zh-CN" w:bidi="zh-CN"/>
      </w:rPr>
    </w:lvl>
  </w:abstractNum>
  <w:abstractNum w:abstractNumId="63">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62">
    <w:multiLevelType w:val="hybridMultilevel"/>
    <w:lvl w:ilvl="0">
      <w:start w:val="3"/>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61">
    <w:multiLevelType w:val="hybridMultilevel"/>
    <w:lvl w:ilvl="0">
      <w:start w:val="1"/>
      <w:numFmt w:val="decimal"/>
      <w:lvlText w:val="（%1）"/>
      <w:lvlJc w:val="left"/>
      <w:pPr>
        <w:ind w:left="414" w:hanging="526"/>
        <w:jc w:val="left"/>
      </w:pPr>
      <w:rPr>
        <w:rFonts w:hint="default" w:ascii="宋体" w:hAnsi="宋体" w:eastAsia="宋体" w:cs="宋体"/>
        <w:spacing w:val="-31"/>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60">
    <w:multiLevelType w:val="hybridMultilevel"/>
    <w:lvl w:ilvl="0">
      <w:start w:val="4"/>
      <w:numFmt w:val="decimal"/>
      <w:lvlText w:val="(%1)"/>
      <w:lvlJc w:val="left"/>
      <w:pPr>
        <w:ind w:left="115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59">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58">
    <w:multiLevelType w:val="hybridMultilevel"/>
    <w:lvl w:ilvl="0">
      <w:start w:val="2"/>
      <w:numFmt w:val="decimal"/>
      <w:lvlText w:val="（%1）"/>
      <w:lvlJc w:val="left"/>
      <w:pPr>
        <w:ind w:left="1360"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57">
    <w:multiLevelType w:val="hybridMultilevel"/>
    <w:lvl w:ilvl="0">
      <w:start w:val="1"/>
      <w:numFmt w:val="decimal"/>
      <w:lvlText w:val="%1)"/>
      <w:lvlJc w:val="left"/>
      <w:pPr>
        <w:ind w:left="41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92" w:hanging="213"/>
      </w:pPr>
      <w:rPr>
        <w:rFonts w:hint="default"/>
        <w:lang w:val="zh-CN" w:eastAsia="zh-CN" w:bidi="zh-CN"/>
      </w:rPr>
    </w:lvl>
    <w:lvl w:ilvl="2">
      <w:start w:val="0"/>
      <w:numFmt w:val="bullet"/>
      <w:lvlText w:val="•"/>
      <w:lvlJc w:val="left"/>
      <w:pPr>
        <w:ind w:left="2365" w:hanging="213"/>
      </w:pPr>
      <w:rPr>
        <w:rFonts w:hint="default"/>
        <w:lang w:val="zh-CN" w:eastAsia="zh-CN" w:bidi="zh-CN"/>
      </w:rPr>
    </w:lvl>
    <w:lvl w:ilvl="3">
      <w:start w:val="0"/>
      <w:numFmt w:val="bullet"/>
      <w:lvlText w:val="•"/>
      <w:lvlJc w:val="left"/>
      <w:pPr>
        <w:ind w:left="3338" w:hanging="213"/>
      </w:pPr>
      <w:rPr>
        <w:rFonts w:hint="default"/>
        <w:lang w:val="zh-CN" w:eastAsia="zh-CN" w:bidi="zh-CN"/>
      </w:rPr>
    </w:lvl>
    <w:lvl w:ilvl="4">
      <w:start w:val="0"/>
      <w:numFmt w:val="bullet"/>
      <w:lvlText w:val="•"/>
      <w:lvlJc w:val="left"/>
      <w:pPr>
        <w:ind w:left="4310" w:hanging="213"/>
      </w:pPr>
      <w:rPr>
        <w:rFonts w:hint="default"/>
        <w:lang w:val="zh-CN" w:eastAsia="zh-CN" w:bidi="zh-CN"/>
      </w:rPr>
    </w:lvl>
    <w:lvl w:ilvl="5">
      <w:start w:val="0"/>
      <w:numFmt w:val="bullet"/>
      <w:lvlText w:val="•"/>
      <w:lvlJc w:val="left"/>
      <w:pPr>
        <w:ind w:left="5283" w:hanging="213"/>
      </w:pPr>
      <w:rPr>
        <w:rFonts w:hint="default"/>
        <w:lang w:val="zh-CN" w:eastAsia="zh-CN" w:bidi="zh-CN"/>
      </w:rPr>
    </w:lvl>
    <w:lvl w:ilvl="6">
      <w:start w:val="0"/>
      <w:numFmt w:val="bullet"/>
      <w:lvlText w:val="•"/>
      <w:lvlJc w:val="left"/>
      <w:pPr>
        <w:ind w:left="6256" w:hanging="213"/>
      </w:pPr>
      <w:rPr>
        <w:rFonts w:hint="default"/>
        <w:lang w:val="zh-CN" w:eastAsia="zh-CN" w:bidi="zh-CN"/>
      </w:rPr>
    </w:lvl>
    <w:lvl w:ilvl="7">
      <w:start w:val="0"/>
      <w:numFmt w:val="bullet"/>
      <w:lvlText w:val="•"/>
      <w:lvlJc w:val="left"/>
      <w:pPr>
        <w:ind w:left="7228" w:hanging="213"/>
      </w:pPr>
      <w:rPr>
        <w:rFonts w:hint="default"/>
        <w:lang w:val="zh-CN" w:eastAsia="zh-CN" w:bidi="zh-CN"/>
      </w:rPr>
    </w:lvl>
    <w:lvl w:ilvl="8">
      <w:start w:val="0"/>
      <w:numFmt w:val="bullet"/>
      <w:lvlText w:val="•"/>
      <w:lvlJc w:val="left"/>
      <w:pPr>
        <w:ind w:left="8201" w:hanging="213"/>
      </w:pPr>
      <w:rPr>
        <w:rFonts w:hint="default"/>
        <w:lang w:val="zh-CN" w:eastAsia="zh-CN" w:bidi="zh-CN"/>
      </w:rPr>
    </w:lvl>
  </w:abstractNum>
  <w:abstractNum w:abstractNumId="56">
    <w:multiLevelType w:val="hybridMultilevel"/>
    <w:lvl w:ilvl="0">
      <w:start w:val="1"/>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55">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54">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53">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52">
    <w:multiLevelType w:val="hybridMultilevel"/>
    <w:lvl w:ilvl="0">
      <w:start w:val="2"/>
      <w:numFmt w:val="decimal"/>
      <w:lvlText w:val="(%1)"/>
      <w:lvlJc w:val="left"/>
      <w:pPr>
        <w:ind w:left="115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51">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50">
    <w:multiLevelType w:val="hybridMultilevel"/>
    <w:lvl w:ilvl="0">
      <w:start w:val="2"/>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49">
    <w:multiLevelType w:val="hybridMultilevel"/>
    <w:lvl w:ilvl="0">
      <w:start w:val="1"/>
      <w:numFmt w:val="decimal"/>
      <w:lvlText w:val="%1)"/>
      <w:lvlJc w:val="left"/>
      <w:pPr>
        <w:ind w:left="41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92" w:hanging="213"/>
      </w:pPr>
      <w:rPr>
        <w:rFonts w:hint="default"/>
        <w:lang w:val="zh-CN" w:eastAsia="zh-CN" w:bidi="zh-CN"/>
      </w:rPr>
    </w:lvl>
    <w:lvl w:ilvl="2">
      <w:start w:val="0"/>
      <w:numFmt w:val="bullet"/>
      <w:lvlText w:val="•"/>
      <w:lvlJc w:val="left"/>
      <w:pPr>
        <w:ind w:left="2365" w:hanging="213"/>
      </w:pPr>
      <w:rPr>
        <w:rFonts w:hint="default"/>
        <w:lang w:val="zh-CN" w:eastAsia="zh-CN" w:bidi="zh-CN"/>
      </w:rPr>
    </w:lvl>
    <w:lvl w:ilvl="3">
      <w:start w:val="0"/>
      <w:numFmt w:val="bullet"/>
      <w:lvlText w:val="•"/>
      <w:lvlJc w:val="left"/>
      <w:pPr>
        <w:ind w:left="3338" w:hanging="213"/>
      </w:pPr>
      <w:rPr>
        <w:rFonts w:hint="default"/>
        <w:lang w:val="zh-CN" w:eastAsia="zh-CN" w:bidi="zh-CN"/>
      </w:rPr>
    </w:lvl>
    <w:lvl w:ilvl="4">
      <w:start w:val="0"/>
      <w:numFmt w:val="bullet"/>
      <w:lvlText w:val="•"/>
      <w:lvlJc w:val="left"/>
      <w:pPr>
        <w:ind w:left="4310" w:hanging="213"/>
      </w:pPr>
      <w:rPr>
        <w:rFonts w:hint="default"/>
        <w:lang w:val="zh-CN" w:eastAsia="zh-CN" w:bidi="zh-CN"/>
      </w:rPr>
    </w:lvl>
    <w:lvl w:ilvl="5">
      <w:start w:val="0"/>
      <w:numFmt w:val="bullet"/>
      <w:lvlText w:val="•"/>
      <w:lvlJc w:val="left"/>
      <w:pPr>
        <w:ind w:left="5283" w:hanging="213"/>
      </w:pPr>
      <w:rPr>
        <w:rFonts w:hint="default"/>
        <w:lang w:val="zh-CN" w:eastAsia="zh-CN" w:bidi="zh-CN"/>
      </w:rPr>
    </w:lvl>
    <w:lvl w:ilvl="6">
      <w:start w:val="0"/>
      <w:numFmt w:val="bullet"/>
      <w:lvlText w:val="•"/>
      <w:lvlJc w:val="left"/>
      <w:pPr>
        <w:ind w:left="6256" w:hanging="213"/>
      </w:pPr>
      <w:rPr>
        <w:rFonts w:hint="default"/>
        <w:lang w:val="zh-CN" w:eastAsia="zh-CN" w:bidi="zh-CN"/>
      </w:rPr>
    </w:lvl>
    <w:lvl w:ilvl="7">
      <w:start w:val="0"/>
      <w:numFmt w:val="bullet"/>
      <w:lvlText w:val="•"/>
      <w:lvlJc w:val="left"/>
      <w:pPr>
        <w:ind w:left="7228" w:hanging="213"/>
      </w:pPr>
      <w:rPr>
        <w:rFonts w:hint="default"/>
        <w:lang w:val="zh-CN" w:eastAsia="zh-CN" w:bidi="zh-CN"/>
      </w:rPr>
    </w:lvl>
    <w:lvl w:ilvl="8">
      <w:start w:val="0"/>
      <w:numFmt w:val="bullet"/>
      <w:lvlText w:val="•"/>
      <w:lvlJc w:val="left"/>
      <w:pPr>
        <w:ind w:left="8201" w:hanging="213"/>
      </w:pPr>
      <w:rPr>
        <w:rFonts w:hint="default"/>
        <w:lang w:val="zh-CN" w:eastAsia="zh-CN" w:bidi="zh-CN"/>
      </w:rPr>
    </w:lvl>
  </w:abstractNum>
  <w:abstractNum w:abstractNumId="48">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47">
    <w:multiLevelType w:val="hybridMultilevel"/>
    <w:lvl w:ilvl="0">
      <w:start w:val="1"/>
      <w:numFmt w:val="decimal"/>
      <w:lvlText w:val="(%1)"/>
      <w:lvlJc w:val="left"/>
      <w:pPr>
        <w:ind w:left="414" w:hanging="316"/>
        <w:jc w:val="left"/>
      </w:pPr>
      <w:rPr>
        <w:rFonts w:hint="default" w:ascii="宋体" w:hAnsi="宋体" w:eastAsia="宋体" w:cs="宋体"/>
        <w:spacing w:val="-41"/>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46">
    <w:multiLevelType w:val="hybridMultilevel"/>
    <w:lvl w:ilvl="0">
      <w:start w:val="1"/>
      <w:numFmt w:val="decimal"/>
      <w:lvlText w:val="(%1)"/>
      <w:lvlJc w:val="left"/>
      <w:pPr>
        <w:ind w:left="41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45">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44">
    <w:multiLevelType w:val="hybridMultilevel"/>
    <w:lvl w:ilvl="0">
      <w:start w:val="1"/>
      <w:numFmt w:val="decimal"/>
      <w:lvlText w:val="%1)"/>
      <w:lvlJc w:val="left"/>
      <w:pPr>
        <w:ind w:left="104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950" w:hanging="211"/>
      </w:pPr>
      <w:rPr>
        <w:rFonts w:hint="default"/>
        <w:lang w:val="zh-CN" w:eastAsia="zh-CN" w:bidi="zh-CN"/>
      </w:rPr>
    </w:lvl>
    <w:lvl w:ilvl="2">
      <w:start w:val="0"/>
      <w:numFmt w:val="bullet"/>
      <w:lvlText w:val="•"/>
      <w:lvlJc w:val="left"/>
      <w:pPr>
        <w:ind w:left="2861" w:hanging="211"/>
      </w:pPr>
      <w:rPr>
        <w:rFonts w:hint="default"/>
        <w:lang w:val="zh-CN" w:eastAsia="zh-CN" w:bidi="zh-CN"/>
      </w:rPr>
    </w:lvl>
    <w:lvl w:ilvl="3">
      <w:start w:val="0"/>
      <w:numFmt w:val="bullet"/>
      <w:lvlText w:val="•"/>
      <w:lvlJc w:val="left"/>
      <w:pPr>
        <w:ind w:left="3772" w:hanging="211"/>
      </w:pPr>
      <w:rPr>
        <w:rFonts w:hint="default"/>
        <w:lang w:val="zh-CN" w:eastAsia="zh-CN" w:bidi="zh-CN"/>
      </w:rPr>
    </w:lvl>
    <w:lvl w:ilvl="4">
      <w:start w:val="0"/>
      <w:numFmt w:val="bullet"/>
      <w:lvlText w:val="•"/>
      <w:lvlJc w:val="left"/>
      <w:pPr>
        <w:ind w:left="4682" w:hanging="211"/>
      </w:pPr>
      <w:rPr>
        <w:rFonts w:hint="default"/>
        <w:lang w:val="zh-CN" w:eastAsia="zh-CN" w:bidi="zh-CN"/>
      </w:rPr>
    </w:lvl>
    <w:lvl w:ilvl="5">
      <w:start w:val="0"/>
      <w:numFmt w:val="bullet"/>
      <w:lvlText w:val="•"/>
      <w:lvlJc w:val="left"/>
      <w:pPr>
        <w:ind w:left="5593" w:hanging="211"/>
      </w:pPr>
      <w:rPr>
        <w:rFonts w:hint="default"/>
        <w:lang w:val="zh-CN" w:eastAsia="zh-CN" w:bidi="zh-CN"/>
      </w:rPr>
    </w:lvl>
    <w:lvl w:ilvl="6">
      <w:start w:val="0"/>
      <w:numFmt w:val="bullet"/>
      <w:lvlText w:val="•"/>
      <w:lvlJc w:val="left"/>
      <w:pPr>
        <w:ind w:left="6504" w:hanging="211"/>
      </w:pPr>
      <w:rPr>
        <w:rFonts w:hint="default"/>
        <w:lang w:val="zh-CN" w:eastAsia="zh-CN" w:bidi="zh-CN"/>
      </w:rPr>
    </w:lvl>
    <w:lvl w:ilvl="7">
      <w:start w:val="0"/>
      <w:numFmt w:val="bullet"/>
      <w:lvlText w:val="•"/>
      <w:lvlJc w:val="left"/>
      <w:pPr>
        <w:ind w:left="7414" w:hanging="211"/>
      </w:pPr>
      <w:rPr>
        <w:rFonts w:hint="default"/>
        <w:lang w:val="zh-CN" w:eastAsia="zh-CN" w:bidi="zh-CN"/>
      </w:rPr>
    </w:lvl>
    <w:lvl w:ilvl="8">
      <w:start w:val="0"/>
      <w:numFmt w:val="bullet"/>
      <w:lvlText w:val="•"/>
      <w:lvlJc w:val="left"/>
      <w:pPr>
        <w:ind w:left="8325" w:hanging="211"/>
      </w:pPr>
      <w:rPr>
        <w:rFonts w:hint="default"/>
        <w:lang w:val="zh-CN" w:eastAsia="zh-CN" w:bidi="zh-CN"/>
      </w:rPr>
    </w:lvl>
  </w:abstractNum>
  <w:abstractNum w:abstractNumId="43">
    <w:multiLevelType w:val="hybridMultilevel"/>
    <w:lvl w:ilvl="0">
      <w:start w:val="1"/>
      <w:numFmt w:val="decimal"/>
      <w:lvlText w:val="(%1)"/>
      <w:lvlJc w:val="left"/>
      <w:pPr>
        <w:ind w:left="414" w:hanging="316"/>
        <w:jc w:val="left"/>
      </w:pPr>
      <w:rPr>
        <w:rFonts w:hint="default" w:ascii="宋体" w:hAnsi="宋体" w:eastAsia="宋体" w:cs="宋体"/>
        <w:spacing w:val="-61"/>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42">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41">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40">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9">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8">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7">
    <w:multiLevelType w:val="hybridMultilevel"/>
    <w:lvl w:ilvl="0">
      <w:start w:val="1"/>
      <w:numFmt w:val="decimal"/>
      <w:lvlText w:val="（%1）"/>
      <w:lvlJc w:val="left"/>
      <w:pPr>
        <w:ind w:left="41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36">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5">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4">
    <w:multiLevelType w:val="hybridMultilevel"/>
    <w:lvl w:ilvl="0">
      <w:start w:val="1"/>
      <w:numFmt w:val="decimal"/>
      <w:lvlText w:val="（%1）"/>
      <w:lvlJc w:val="left"/>
      <w:pPr>
        <w:ind w:left="414" w:hanging="53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392" w:hanging="533"/>
      </w:pPr>
      <w:rPr>
        <w:rFonts w:hint="default"/>
        <w:lang w:val="zh-CN" w:eastAsia="zh-CN" w:bidi="zh-CN"/>
      </w:rPr>
    </w:lvl>
    <w:lvl w:ilvl="2">
      <w:start w:val="0"/>
      <w:numFmt w:val="bullet"/>
      <w:lvlText w:val="•"/>
      <w:lvlJc w:val="left"/>
      <w:pPr>
        <w:ind w:left="2365" w:hanging="533"/>
      </w:pPr>
      <w:rPr>
        <w:rFonts w:hint="default"/>
        <w:lang w:val="zh-CN" w:eastAsia="zh-CN" w:bidi="zh-CN"/>
      </w:rPr>
    </w:lvl>
    <w:lvl w:ilvl="3">
      <w:start w:val="0"/>
      <w:numFmt w:val="bullet"/>
      <w:lvlText w:val="•"/>
      <w:lvlJc w:val="left"/>
      <w:pPr>
        <w:ind w:left="3338" w:hanging="533"/>
      </w:pPr>
      <w:rPr>
        <w:rFonts w:hint="default"/>
        <w:lang w:val="zh-CN" w:eastAsia="zh-CN" w:bidi="zh-CN"/>
      </w:rPr>
    </w:lvl>
    <w:lvl w:ilvl="4">
      <w:start w:val="0"/>
      <w:numFmt w:val="bullet"/>
      <w:lvlText w:val="•"/>
      <w:lvlJc w:val="left"/>
      <w:pPr>
        <w:ind w:left="4310" w:hanging="533"/>
      </w:pPr>
      <w:rPr>
        <w:rFonts w:hint="default"/>
        <w:lang w:val="zh-CN" w:eastAsia="zh-CN" w:bidi="zh-CN"/>
      </w:rPr>
    </w:lvl>
    <w:lvl w:ilvl="5">
      <w:start w:val="0"/>
      <w:numFmt w:val="bullet"/>
      <w:lvlText w:val="•"/>
      <w:lvlJc w:val="left"/>
      <w:pPr>
        <w:ind w:left="5283" w:hanging="533"/>
      </w:pPr>
      <w:rPr>
        <w:rFonts w:hint="default"/>
        <w:lang w:val="zh-CN" w:eastAsia="zh-CN" w:bidi="zh-CN"/>
      </w:rPr>
    </w:lvl>
    <w:lvl w:ilvl="6">
      <w:start w:val="0"/>
      <w:numFmt w:val="bullet"/>
      <w:lvlText w:val="•"/>
      <w:lvlJc w:val="left"/>
      <w:pPr>
        <w:ind w:left="6256" w:hanging="533"/>
      </w:pPr>
      <w:rPr>
        <w:rFonts w:hint="default"/>
        <w:lang w:val="zh-CN" w:eastAsia="zh-CN" w:bidi="zh-CN"/>
      </w:rPr>
    </w:lvl>
    <w:lvl w:ilvl="7">
      <w:start w:val="0"/>
      <w:numFmt w:val="bullet"/>
      <w:lvlText w:val="•"/>
      <w:lvlJc w:val="left"/>
      <w:pPr>
        <w:ind w:left="7228" w:hanging="533"/>
      </w:pPr>
      <w:rPr>
        <w:rFonts w:hint="default"/>
        <w:lang w:val="zh-CN" w:eastAsia="zh-CN" w:bidi="zh-CN"/>
      </w:rPr>
    </w:lvl>
    <w:lvl w:ilvl="8">
      <w:start w:val="0"/>
      <w:numFmt w:val="bullet"/>
      <w:lvlText w:val="•"/>
      <w:lvlJc w:val="left"/>
      <w:pPr>
        <w:ind w:left="8201" w:hanging="533"/>
      </w:pPr>
      <w:rPr>
        <w:rFonts w:hint="default"/>
        <w:lang w:val="zh-CN" w:eastAsia="zh-CN" w:bidi="zh-CN"/>
      </w:rPr>
    </w:lvl>
  </w:abstractNum>
  <w:abstractNum w:abstractNumId="33">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2">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414" w:hanging="526"/>
        <w:jc w:val="left"/>
      </w:pPr>
      <w:rPr>
        <w:rFonts w:hint="default" w:ascii="宋体" w:hAnsi="宋体" w:eastAsia="宋体" w:cs="宋体"/>
        <w:spacing w:val="-16"/>
        <w:w w:val="100"/>
        <w:sz w:val="19"/>
        <w:szCs w:val="19"/>
        <w:lang w:val="zh-CN" w:eastAsia="zh-CN" w:bidi="zh-CN"/>
      </w:rPr>
    </w:lvl>
    <w:lvl w:ilvl="2">
      <w:start w:val="0"/>
      <w:numFmt w:val="bullet"/>
      <w:lvlText w:val="•"/>
      <w:lvlJc w:val="left"/>
      <w:pPr>
        <w:ind w:left="2336" w:hanging="526"/>
      </w:pPr>
      <w:rPr>
        <w:rFonts w:hint="default"/>
        <w:lang w:val="zh-CN" w:eastAsia="zh-CN" w:bidi="zh-CN"/>
      </w:rPr>
    </w:lvl>
    <w:lvl w:ilvl="3">
      <w:start w:val="0"/>
      <w:numFmt w:val="bullet"/>
      <w:lvlText w:val="•"/>
      <w:lvlJc w:val="left"/>
      <w:pPr>
        <w:ind w:left="3312" w:hanging="526"/>
      </w:pPr>
      <w:rPr>
        <w:rFonts w:hint="default"/>
        <w:lang w:val="zh-CN" w:eastAsia="zh-CN" w:bidi="zh-CN"/>
      </w:rPr>
    </w:lvl>
    <w:lvl w:ilvl="4">
      <w:start w:val="0"/>
      <w:numFmt w:val="bullet"/>
      <w:lvlText w:val="•"/>
      <w:lvlJc w:val="left"/>
      <w:pPr>
        <w:ind w:left="4289" w:hanging="526"/>
      </w:pPr>
      <w:rPr>
        <w:rFonts w:hint="default"/>
        <w:lang w:val="zh-CN" w:eastAsia="zh-CN" w:bidi="zh-CN"/>
      </w:rPr>
    </w:lvl>
    <w:lvl w:ilvl="5">
      <w:start w:val="0"/>
      <w:numFmt w:val="bullet"/>
      <w:lvlText w:val="•"/>
      <w:lvlJc w:val="left"/>
      <w:pPr>
        <w:ind w:left="5265" w:hanging="526"/>
      </w:pPr>
      <w:rPr>
        <w:rFonts w:hint="default"/>
        <w:lang w:val="zh-CN" w:eastAsia="zh-CN" w:bidi="zh-CN"/>
      </w:rPr>
    </w:lvl>
    <w:lvl w:ilvl="6">
      <w:start w:val="0"/>
      <w:numFmt w:val="bullet"/>
      <w:lvlText w:val="•"/>
      <w:lvlJc w:val="left"/>
      <w:pPr>
        <w:ind w:left="6241" w:hanging="526"/>
      </w:pPr>
      <w:rPr>
        <w:rFonts w:hint="default"/>
        <w:lang w:val="zh-CN" w:eastAsia="zh-CN" w:bidi="zh-CN"/>
      </w:rPr>
    </w:lvl>
    <w:lvl w:ilvl="7">
      <w:start w:val="0"/>
      <w:numFmt w:val="bullet"/>
      <w:lvlText w:val="•"/>
      <w:lvlJc w:val="left"/>
      <w:pPr>
        <w:ind w:left="7218" w:hanging="526"/>
      </w:pPr>
      <w:rPr>
        <w:rFonts w:hint="default"/>
        <w:lang w:val="zh-CN" w:eastAsia="zh-CN" w:bidi="zh-CN"/>
      </w:rPr>
    </w:lvl>
    <w:lvl w:ilvl="8">
      <w:start w:val="0"/>
      <w:numFmt w:val="bullet"/>
      <w:lvlText w:val="•"/>
      <w:lvlJc w:val="left"/>
      <w:pPr>
        <w:ind w:left="8194" w:hanging="526"/>
      </w:pPr>
      <w:rPr>
        <w:rFonts w:hint="default"/>
        <w:lang w:val="zh-CN" w:eastAsia="zh-CN" w:bidi="zh-CN"/>
      </w:rPr>
    </w:lvl>
  </w:abstractNum>
  <w:abstractNum w:abstractNumId="31">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30">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9">
    <w:multiLevelType w:val="hybridMultilevel"/>
    <w:lvl w:ilvl="0">
      <w:start w:val="1"/>
      <w:numFmt w:val="decimal"/>
      <w:lvlText w:val="（%1）"/>
      <w:lvlJc w:val="left"/>
      <w:pPr>
        <w:ind w:left="414" w:hanging="526"/>
        <w:jc w:val="left"/>
      </w:pPr>
      <w:rPr>
        <w:rFonts w:hint="default" w:ascii="宋体" w:hAnsi="宋体" w:eastAsia="宋体" w:cs="宋体"/>
        <w:spacing w:val="-41"/>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8">
    <w:multiLevelType w:val="hybridMultilevel"/>
    <w:lvl w:ilvl="0">
      <w:start w:val="1"/>
      <w:numFmt w:val="decimal"/>
      <w:lvlText w:val="（%1）"/>
      <w:lvlJc w:val="left"/>
      <w:pPr>
        <w:ind w:left="4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7">
    <w:multiLevelType w:val="hybridMultilevel"/>
    <w:lvl w:ilvl="0">
      <w:start w:val="1"/>
      <w:numFmt w:val="decimal"/>
      <w:lvlText w:val="（%1）"/>
      <w:lvlJc w:val="left"/>
      <w:pPr>
        <w:ind w:left="41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6">
    <w:multiLevelType w:val="hybridMultilevel"/>
    <w:lvl w:ilvl="0">
      <w:start w:val="1"/>
      <w:numFmt w:val="decimal"/>
      <w:lvlText w:val="（%1）"/>
      <w:lvlJc w:val="left"/>
      <w:pPr>
        <w:ind w:left="41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5">
    <w:multiLevelType w:val="hybridMultilevel"/>
    <w:lvl w:ilvl="0">
      <w:start w:val="1"/>
      <w:numFmt w:val="decimal"/>
      <w:lvlText w:val="（%1）"/>
      <w:lvlJc w:val="left"/>
      <w:pPr>
        <w:ind w:left="41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24">
    <w:multiLevelType w:val="hybridMultilevel"/>
    <w:lvl w:ilvl="0">
      <w:start w:val="2"/>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3">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2">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1">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20">
    <w:multiLevelType w:val="hybridMultilevel"/>
    <w:lvl w:ilvl="0">
      <w:start w:val="3"/>
      <w:numFmt w:val="decimal"/>
      <w:lvlText w:val="(%1)"/>
      <w:lvlJc w:val="left"/>
      <w:pPr>
        <w:ind w:left="115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040" w:hanging="316"/>
      </w:pPr>
      <w:rPr>
        <w:rFonts w:hint="default"/>
        <w:lang w:val="zh-CN" w:eastAsia="zh-CN" w:bidi="zh-CN"/>
      </w:rPr>
    </w:lvl>
    <w:lvl w:ilvl="2">
      <w:start w:val="0"/>
      <w:numFmt w:val="bullet"/>
      <w:lvlText w:val="•"/>
      <w:lvlJc w:val="left"/>
      <w:pPr>
        <w:ind w:left="2941" w:hanging="316"/>
      </w:pPr>
      <w:rPr>
        <w:rFonts w:hint="default"/>
        <w:lang w:val="zh-CN" w:eastAsia="zh-CN" w:bidi="zh-CN"/>
      </w:rPr>
    </w:lvl>
    <w:lvl w:ilvl="3">
      <w:start w:val="0"/>
      <w:numFmt w:val="bullet"/>
      <w:lvlText w:val="•"/>
      <w:lvlJc w:val="left"/>
      <w:pPr>
        <w:ind w:left="3842" w:hanging="316"/>
      </w:pPr>
      <w:rPr>
        <w:rFonts w:hint="default"/>
        <w:lang w:val="zh-CN" w:eastAsia="zh-CN" w:bidi="zh-CN"/>
      </w:rPr>
    </w:lvl>
    <w:lvl w:ilvl="4">
      <w:start w:val="0"/>
      <w:numFmt w:val="bullet"/>
      <w:lvlText w:val="•"/>
      <w:lvlJc w:val="left"/>
      <w:pPr>
        <w:ind w:left="4742" w:hanging="316"/>
      </w:pPr>
      <w:rPr>
        <w:rFonts w:hint="default"/>
        <w:lang w:val="zh-CN" w:eastAsia="zh-CN" w:bidi="zh-CN"/>
      </w:rPr>
    </w:lvl>
    <w:lvl w:ilvl="5">
      <w:start w:val="0"/>
      <w:numFmt w:val="bullet"/>
      <w:lvlText w:val="•"/>
      <w:lvlJc w:val="left"/>
      <w:pPr>
        <w:ind w:left="5643" w:hanging="316"/>
      </w:pPr>
      <w:rPr>
        <w:rFonts w:hint="default"/>
        <w:lang w:val="zh-CN" w:eastAsia="zh-CN" w:bidi="zh-CN"/>
      </w:rPr>
    </w:lvl>
    <w:lvl w:ilvl="6">
      <w:start w:val="0"/>
      <w:numFmt w:val="bullet"/>
      <w:lvlText w:val="•"/>
      <w:lvlJc w:val="left"/>
      <w:pPr>
        <w:ind w:left="6544" w:hanging="316"/>
      </w:pPr>
      <w:rPr>
        <w:rFonts w:hint="default"/>
        <w:lang w:val="zh-CN" w:eastAsia="zh-CN" w:bidi="zh-CN"/>
      </w:rPr>
    </w:lvl>
    <w:lvl w:ilvl="7">
      <w:start w:val="0"/>
      <w:numFmt w:val="bullet"/>
      <w:lvlText w:val="•"/>
      <w:lvlJc w:val="left"/>
      <w:pPr>
        <w:ind w:left="7444" w:hanging="316"/>
      </w:pPr>
      <w:rPr>
        <w:rFonts w:hint="default"/>
        <w:lang w:val="zh-CN" w:eastAsia="zh-CN" w:bidi="zh-CN"/>
      </w:rPr>
    </w:lvl>
    <w:lvl w:ilvl="8">
      <w:start w:val="0"/>
      <w:numFmt w:val="bullet"/>
      <w:lvlText w:val="•"/>
      <w:lvlJc w:val="left"/>
      <w:pPr>
        <w:ind w:left="8345" w:hanging="316"/>
      </w:pPr>
      <w:rPr>
        <w:rFonts w:hint="default"/>
        <w:lang w:val="zh-CN" w:eastAsia="zh-CN" w:bidi="zh-CN"/>
      </w:rPr>
    </w:lvl>
  </w:abstractNum>
  <w:abstractNum w:abstractNumId="19">
    <w:multiLevelType w:val="hybridMultilevel"/>
    <w:lvl w:ilvl="0">
      <w:start w:val="13"/>
      <w:numFmt w:val="decimal"/>
      <w:lvlText w:val="(%1)"/>
      <w:lvlJc w:val="left"/>
      <w:pPr>
        <w:ind w:left="834" w:hanging="42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70" w:hanging="421"/>
      </w:pPr>
      <w:rPr>
        <w:rFonts w:hint="default"/>
        <w:lang w:val="zh-CN" w:eastAsia="zh-CN" w:bidi="zh-CN"/>
      </w:rPr>
    </w:lvl>
    <w:lvl w:ilvl="2">
      <w:start w:val="0"/>
      <w:numFmt w:val="bullet"/>
      <w:lvlText w:val="•"/>
      <w:lvlJc w:val="left"/>
      <w:pPr>
        <w:ind w:left="2701" w:hanging="421"/>
      </w:pPr>
      <w:rPr>
        <w:rFonts w:hint="default"/>
        <w:lang w:val="zh-CN" w:eastAsia="zh-CN" w:bidi="zh-CN"/>
      </w:rPr>
    </w:lvl>
    <w:lvl w:ilvl="3">
      <w:start w:val="0"/>
      <w:numFmt w:val="bullet"/>
      <w:lvlText w:val="•"/>
      <w:lvlJc w:val="left"/>
      <w:pPr>
        <w:ind w:left="3632" w:hanging="421"/>
      </w:pPr>
      <w:rPr>
        <w:rFonts w:hint="default"/>
        <w:lang w:val="zh-CN" w:eastAsia="zh-CN" w:bidi="zh-CN"/>
      </w:rPr>
    </w:lvl>
    <w:lvl w:ilvl="4">
      <w:start w:val="0"/>
      <w:numFmt w:val="bullet"/>
      <w:lvlText w:val="•"/>
      <w:lvlJc w:val="left"/>
      <w:pPr>
        <w:ind w:left="4562" w:hanging="421"/>
      </w:pPr>
      <w:rPr>
        <w:rFonts w:hint="default"/>
        <w:lang w:val="zh-CN" w:eastAsia="zh-CN" w:bidi="zh-CN"/>
      </w:rPr>
    </w:lvl>
    <w:lvl w:ilvl="5">
      <w:start w:val="0"/>
      <w:numFmt w:val="bullet"/>
      <w:lvlText w:val="•"/>
      <w:lvlJc w:val="left"/>
      <w:pPr>
        <w:ind w:left="5493" w:hanging="421"/>
      </w:pPr>
      <w:rPr>
        <w:rFonts w:hint="default"/>
        <w:lang w:val="zh-CN" w:eastAsia="zh-CN" w:bidi="zh-CN"/>
      </w:rPr>
    </w:lvl>
    <w:lvl w:ilvl="6">
      <w:start w:val="0"/>
      <w:numFmt w:val="bullet"/>
      <w:lvlText w:val="•"/>
      <w:lvlJc w:val="left"/>
      <w:pPr>
        <w:ind w:left="6424" w:hanging="421"/>
      </w:pPr>
      <w:rPr>
        <w:rFonts w:hint="default"/>
        <w:lang w:val="zh-CN" w:eastAsia="zh-CN" w:bidi="zh-CN"/>
      </w:rPr>
    </w:lvl>
    <w:lvl w:ilvl="7">
      <w:start w:val="0"/>
      <w:numFmt w:val="bullet"/>
      <w:lvlText w:val="•"/>
      <w:lvlJc w:val="left"/>
      <w:pPr>
        <w:ind w:left="7354" w:hanging="421"/>
      </w:pPr>
      <w:rPr>
        <w:rFonts w:hint="default"/>
        <w:lang w:val="zh-CN" w:eastAsia="zh-CN" w:bidi="zh-CN"/>
      </w:rPr>
    </w:lvl>
    <w:lvl w:ilvl="8">
      <w:start w:val="0"/>
      <w:numFmt w:val="bullet"/>
      <w:lvlText w:val="•"/>
      <w:lvlJc w:val="left"/>
      <w:pPr>
        <w:ind w:left="8285" w:hanging="421"/>
      </w:pPr>
      <w:rPr>
        <w:rFonts w:hint="default"/>
        <w:lang w:val="zh-CN" w:eastAsia="zh-CN" w:bidi="zh-CN"/>
      </w:rPr>
    </w:lvl>
  </w:abstractNum>
  <w:abstractNum w:abstractNumId="18">
    <w:multiLevelType w:val="hybridMultilevel"/>
    <w:lvl w:ilvl="0">
      <w:start w:val="11"/>
      <w:numFmt w:val="decimal"/>
      <w:lvlText w:val="（%1）"/>
      <w:lvlJc w:val="left"/>
      <w:pPr>
        <w:ind w:left="414" w:hanging="638"/>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392" w:hanging="638"/>
      </w:pPr>
      <w:rPr>
        <w:rFonts w:hint="default"/>
        <w:lang w:val="zh-CN" w:eastAsia="zh-CN" w:bidi="zh-CN"/>
      </w:rPr>
    </w:lvl>
    <w:lvl w:ilvl="2">
      <w:start w:val="0"/>
      <w:numFmt w:val="bullet"/>
      <w:lvlText w:val="•"/>
      <w:lvlJc w:val="left"/>
      <w:pPr>
        <w:ind w:left="2365" w:hanging="638"/>
      </w:pPr>
      <w:rPr>
        <w:rFonts w:hint="default"/>
        <w:lang w:val="zh-CN" w:eastAsia="zh-CN" w:bidi="zh-CN"/>
      </w:rPr>
    </w:lvl>
    <w:lvl w:ilvl="3">
      <w:start w:val="0"/>
      <w:numFmt w:val="bullet"/>
      <w:lvlText w:val="•"/>
      <w:lvlJc w:val="left"/>
      <w:pPr>
        <w:ind w:left="3338" w:hanging="638"/>
      </w:pPr>
      <w:rPr>
        <w:rFonts w:hint="default"/>
        <w:lang w:val="zh-CN" w:eastAsia="zh-CN" w:bidi="zh-CN"/>
      </w:rPr>
    </w:lvl>
    <w:lvl w:ilvl="4">
      <w:start w:val="0"/>
      <w:numFmt w:val="bullet"/>
      <w:lvlText w:val="•"/>
      <w:lvlJc w:val="left"/>
      <w:pPr>
        <w:ind w:left="4310" w:hanging="638"/>
      </w:pPr>
      <w:rPr>
        <w:rFonts w:hint="default"/>
        <w:lang w:val="zh-CN" w:eastAsia="zh-CN" w:bidi="zh-CN"/>
      </w:rPr>
    </w:lvl>
    <w:lvl w:ilvl="5">
      <w:start w:val="0"/>
      <w:numFmt w:val="bullet"/>
      <w:lvlText w:val="•"/>
      <w:lvlJc w:val="left"/>
      <w:pPr>
        <w:ind w:left="5283" w:hanging="638"/>
      </w:pPr>
      <w:rPr>
        <w:rFonts w:hint="default"/>
        <w:lang w:val="zh-CN" w:eastAsia="zh-CN" w:bidi="zh-CN"/>
      </w:rPr>
    </w:lvl>
    <w:lvl w:ilvl="6">
      <w:start w:val="0"/>
      <w:numFmt w:val="bullet"/>
      <w:lvlText w:val="•"/>
      <w:lvlJc w:val="left"/>
      <w:pPr>
        <w:ind w:left="6256" w:hanging="638"/>
      </w:pPr>
      <w:rPr>
        <w:rFonts w:hint="default"/>
        <w:lang w:val="zh-CN" w:eastAsia="zh-CN" w:bidi="zh-CN"/>
      </w:rPr>
    </w:lvl>
    <w:lvl w:ilvl="7">
      <w:start w:val="0"/>
      <w:numFmt w:val="bullet"/>
      <w:lvlText w:val="•"/>
      <w:lvlJc w:val="left"/>
      <w:pPr>
        <w:ind w:left="7228" w:hanging="638"/>
      </w:pPr>
      <w:rPr>
        <w:rFonts w:hint="default"/>
        <w:lang w:val="zh-CN" w:eastAsia="zh-CN" w:bidi="zh-CN"/>
      </w:rPr>
    </w:lvl>
    <w:lvl w:ilvl="8">
      <w:start w:val="0"/>
      <w:numFmt w:val="bullet"/>
      <w:lvlText w:val="•"/>
      <w:lvlJc w:val="left"/>
      <w:pPr>
        <w:ind w:left="8201" w:hanging="638"/>
      </w:pPr>
      <w:rPr>
        <w:rFonts w:hint="default"/>
        <w:lang w:val="zh-CN" w:eastAsia="zh-CN" w:bidi="zh-CN"/>
      </w:rPr>
    </w:lvl>
  </w:abstractNum>
  <w:abstractNum w:abstractNumId="17">
    <w:multiLevelType w:val="hybridMultilevel"/>
    <w:lvl w:ilvl="0">
      <w:start w:val="1"/>
      <w:numFmt w:val="decimal"/>
      <w:lvlText w:val="(%1)"/>
      <w:lvlJc w:val="left"/>
      <w:pPr>
        <w:ind w:left="41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92" w:hanging="316"/>
      </w:pPr>
      <w:rPr>
        <w:rFonts w:hint="default"/>
        <w:lang w:val="zh-CN" w:eastAsia="zh-CN" w:bidi="zh-CN"/>
      </w:rPr>
    </w:lvl>
    <w:lvl w:ilvl="2">
      <w:start w:val="0"/>
      <w:numFmt w:val="bullet"/>
      <w:lvlText w:val="•"/>
      <w:lvlJc w:val="left"/>
      <w:pPr>
        <w:ind w:left="2365" w:hanging="316"/>
      </w:pPr>
      <w:rPr>
        <w:rFonts w:hint="default"/>
        <w:lang w:val="zh-CN" w:eastAsia="zh-CN" w:bidi="zh-CN"/>
      </w:rPr>
    </w:lvl>
    <w:lvl w:ilvl="3">
      <w:start w:val="0"/>
      <w:numFmt w:val="bullet"/>
      <w:lvlText w:val="•"/>
      <w:lvlJc w:val="left"/>
      <w:pPr>
        <w:ind w:left="3338" w:hanging="316"/>
      </w:pPr>
      <w:rPr>
        <w:rFonts w:hint="default"/>
        <w:lang w:val="zh-CN" w:eastAsia="zh-CN" w:bidi="zh-CN"/>
      </w:rPr>
    </w:lvl>
    <w:lvl w:ilvl="4">
      <w:start w:val="0"/>
      <w:numFmt w:val="bullet"/>
      <w:lvlText w:val="•"/>
      <w:lvlJc w:val="left"/>
      <w:pPr>
        <w:ind w:left="4310" w:hanging="316"/>
      </w:pPr>
      <w:rPr>
        <w:rFonts w:hint="default"/>
        <w:lang w:val="zh-CN" w:eastAsia="zh-CN" w:bidi="zh-CN"/>
      </w:rPr>
    </w:lvl>
    <w:lvl w:ilvl="5">
      <w:start w:val="0"/>
      <w:numFmt w:val="bullet"/>
      <w:lvlText w:val="•"/>
      <w:lvlJc w:val="left"/>
      <w:pPr>
        <w:ind w:left="5283" w:hanging="316"/>
      </w:pPr>
      <w:rPr>
        <w:rFonts w:hint="default"/>
        <w:lang w:val="zh-CN" w:eastAsia="zh-CN" w:bidi="zh-CN"/>
      </w:rPr>
    </w:lvl>
    <w:lvl w:ilvl="6">
      <w:start w:val="0"/>
      <w:numFmt w:val="bullet"/>
      <w:lvlText w:val="•"/>
      <w:lvlJc w:val="left"/>
      <w:pPr>
        <w:ind w:left="6256"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201" w:hanging="316"/>
      </w:pPr>
      <w:rPr>
        <w:rFonts w:hint="default"/>
        <w:lang w:val="zh-CN" w:eastAsia="zh-CN" w:bidi="zh-CN"/>
      </w:rPr>
    </w:lvl>
  </w:abstractNum>
  <w:abstractNum w:abstractNumId="16">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5">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4">
    <w:multiLevelType w:val="hybridMultilevel"/>
    <w:lvl w:ilvl="0">
      <w:start w:val="1"/>
      <w:numFmt w:val="decimal"/>
      <w:lvlText w:val="（%1）"/>
      <w:lvlJc w:val="left"/>
      <w:pPr>
        <w:ind w:left="4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13">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2">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1">
    <w:multiLevelType w:val="hybridMultilevel"/>
    <w:lvl w:ilvl="0">
      <w:start w:val="1"/>
      <w:numFmt w:val="decimal"/>
      <w:lvlText w:val="（%1）"/>
      <w:lvlJc w:val="left"/>
      <w:pPr>
        <w:ind w:left="136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10">
    <w:multiLevelType w:val="hybridMultilevel"/>
    <w:lvl w:ilvl="0">
      <w:start w:val="1"/>
      <w:numFmt w:val="decimal"/>
      <w:lvlText w:val="（%1）"/>
      <w:lvlJc w:val="left"/>
      <w:pPr>
        <w:ind w:left="41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9">
    <w:multiLevelType w:val="hybridMultilevel"/>
    <w:lvl w:ilvl="0">
      <w:start w:val="1"/>
      <w:numFmt w:val="decimal"/>
      <w:lvlText w:val="%1)"/>
      <w:lvlJc w:val="left"/>
      <w:pPr>
        <w:ind w:left="1088"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86" w:hanging="315"/>
      </w:pPr>
      <w:rPr>
        <w:rFonts w:hint="default"/>
        <w:lang w:val="zh-CN" w:eastAsia="zh-CN" w:bidi="zh-CN"/>
      </w:rPr>
    </w:lvl>
    <w:lvl w:ilvl="2">
      <w:start w:val="0"/>
      <w:numFmt w:val="bullet"/>
      <w:lvlText w:val="•"/>
      <w:lvlJc w:val="left"/>
      <w:pPr>
        <w:ind w:left="2893" w:hanging="315"/>
      </w:pPr>
      <w:rPr>
        <w:rFonts w:hint="default"/>
        <w:lang w:val="zh-CN" w:eastAsia="zh-CN" w:bidi="zh-CN"/>
      </w:rPr>
    </w:lvl>
    <w:lvl w:ilvl="3">
      <w:start w:val="0"/>
      <w:numFmt w:val="bullet"/>
      <w:lvlText w:val="•"/>
      <w:lvlJc w:val="left"/>
      <w:pPr>
        <w:ind w:left="3800" w:hanging="315"/>
      </w:pPr>
      <w:rPr>
        <w:rFonts w:hint="default"/>
        <w:lang w:val="zh-CN" w:eastAsia="zh-CN" w:bidi="zh-CN"/>
      </w:rPr>
    </w:lvl>
    <w:lvl w:ilvl="4">
      <w:start w:val="0"/>
      <w:numFmt w:val="bullet"/>
      <w:lvlText w:val="•"/>
      <w:lvlJc w:val="left"/>
      <w:pPr>
        <w:ind w:left="4706" w:hanging="315"/>
      </w:pPr>
      <w:rPr>
        <w:rFonts w:hint="default"/>
        <w:lang w:val="zh-CN" w:eastAsia="zh-CN" w:bidi="zh-CN"/>
      </w:rPr>
    </w:lvl>
    <w:lvl w:ilvl="5">
      <w:start w:val="0"/>
      <w:numFmt w:val="bullet"/>
      <w:lvlText w:val="•"/>
      <w:lvlJc w:val="left"/>
      <w:pPr>
        <w:ind w:left="5613" w:hanging="315"/>
      </w:pPr>
      <w:rPr>
        <w:rFonts w:hint="default"/>
        <w:lang w:val="zh-CN" w:eastAsia="zh-CN" w:bidi="zh-CN"/>
      </w:rPr>
    </w:lvl>
    <w:lvl w:ilvl="6">
      <w:start w:val="0"/>
      <w:numFmt w:val="bullet"/>
      <w:lvlText w:val="•"/>
      <w:lvlJc w:val="left"/>
      <w:pPr>
        <w:ind w:left="6520" w:hanging="315"/>
      </w:pPr>
      <w:rPr>
        <w:rFonts w:hint="default"/>
        <w:lang w:val="zh-CN" w:eastAsia="zh-CN" w:bidi="zh-CN"/>
      </w:rPr>
    </w:lvl>
    <w:lvl w:ilvl="7">
      <w:start w:val="0"/>
      <w:numFmt w:val="bullet"/>
      <w:lvlText w:val="•"/>
      <w:lvlJc w:val="left"/>
      <w:pPr>
        <w:ind w:left="7426" w:hanging="315"/>
      </w:pPr>
      <w:rPr>
        <w:rFonts w:hint="default"/>
        <w:lang w:val="zh-CN" w:eastAsia="zh-CN" w:bidi="zh-CN"/>
      </w:rPr>
    </w:lvl>
    <w:lvl w:ilvl="8">
      <w:start w:val="0"/>
      <w:numFmt w:val="bullet"/>
      <w:lvlText w:val="•"/>
      <w:lvlJc w:val="left"/>
      <w:pPr>
        <w:ind w:left="8333" w:hanging="315"/>
      </w:pPr>
      <w:rPr>
        <w:rFonts w:hint="default"/>
        <w:lang w:val="zh-CN" w:eastAsia="zh-CN" w:bidi="zh-CN"/>
      </w:rPr>
    </w:lvl>
  </w:abstractNum>
  <w:abstractNum w:abstractNumId="8">
    <w:multiLevelType w:val="hybridMultilevel"/>
    <w:lvl w:ilvl="0">
      <w:start w:val="1"/>
      <w:numFmt w:val="decimal"/>
      <w:lvlText w:val="%1)"/>
      <w:lvlJc w:val="left"/>
      <w:pPr>
        <w:ind w:left="1088"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86" w:hanging="315"/>
      </w:pPr>
      <w:rPr>
        <w:rFonts w:hint="default"/>
        <w:lang w:val="zh-CN" w:eastAsia="zh-CN" w:bidi="zh-CN"/>
      </w:rPr>
    </w:lvl>
    <w:lvl w:ilvl="2">
      <w:start w:val="0"/>
      <w:numFmt w:val="bullet"/>
      <w:lvlText w:val="•"/>
      <w:lvlJc w:val="left"/>
      <w:pPr>
        <w:ind w:left="2893" w:hanging="315"/>
      </w:pPr>
      <w:rPr>
        <w:rFonts w:hint="default"/>
        <w:lang w:val="zh-CN" w:eastAsia="zh-CN" w:bidi="zh-CN"/>
      </w:rPr>
    </w:lvl>
    <w:lvl w:ilvl="3">
      <w:start w:val="0"/>
      <w:numFmt w:val="bullet"/>
      <w:lvlText w:val="•"/>
      <w:lvlJc w:val="left"/>
      <w:pPr>
        <w:ind w:left="3800" w:hanging="315"/>
      </w:pPr>
      <w:rPr>
        <w:rFonts w:hint="default"/>
        <w:lang w:val="zh-CN" w:eastAsia="zh-CN" w:bidi="zh-CN"/>
      </w:rPr>
    </w:lvl>
    <w:lvl w:ilvl="4">
      <w:start w:val="0"/>
      <w:numFmt w:val="bullet"/>
      <w:lvlText w:val="•"/>
      <w:lvlJc w:val="left"/>
      <w:pPr>
        <w:ind w:left="4706" w:hanging="315"/>
      </w:pPr>
      <w:rPr>
        <w:rFonts w:hint="default"/>
        <w:lang w:val="zh-CN" w:eastAsia="zh-CN" w:bidi="zh-CN"/>
      </w:rPr>
    </w:lvl>
    <w:lvl w:ilvl="5">
      <w:start w:val="0"/>
      <w:numFmt w:val="bullet"/>
      <w:lvlText w:val="•"/>
      <w:lvlJc w:val="left"/>
      <w:pPr>
        <w:ind w:left="5613" w:hanging="315"/>
      </w:pPr>
      <w:rPr>
        <w:rFonts w:hint="default"/>
        <w:lang w:val="zh-CN" w:eastAsia="zh-CN" w:bidi="zh-CN"/>
      </w:rPr>
    </w:lvl>
    <w:lvl w:ilvl="6">
      <w:start w:val="0"/>
      <w:numFmt w:val="bullet"/>
      <w:lvlText w:val="•"/>
      <w:lvlJc w:val="left"/>
      <w:pPr>
        <w:ind w:left="6520" w:hanging="315"/>
      </w:pPr>
      <w:rPr>
        <w:rFonts w:hint="default"/>
        <w:lang w:val="zh-CN" w:eastAsia="zh-CN" w:bidi="zh-CN"/>
      </w:rPr>
    </w:lvl>
    <w:lvl w:ilvl="7">
      <w:start w:val="0"/>
      <w:numFmt w:val="bullet"/>
      <w:lvlText w:val="•"/>
      <w:lvlJc w:val="left"/>
      <w:pPr>
        <w:ind w:left="7426" w:hanging="315"/>
      </w:pPr>
      <w:rPr>
        <w:rFonts w:hint="default"/>
        <w:lang w:val="zh-CN" w:eastAsia="zh-CN" w:bidi="zh-CN"/>
      </w:rPr>
    </w:lvl>
    <w:lvl w:ilvl="8">
      <w:start w:val="0"/>
      <w:numFmt w:val="bullet"/>
      <w:lvlText w:val="•"/>
      <w:lvlJc w:val="left"/>
      <w:pPr>
        <w:ind w:left="8333" w:hanging="315"/>
      </w:pPr>
      <w:rPr>
        <w:rFonts w:hint="default"/>
        <w:lang w:val="zh-CN" w:eastAsia="zh-CN" w:bidi="zh-CN"/>
      </w:rPr>
    </w:lvl>
  </w:abstractNum>
  <w:abstractNum w:abstractNumId="7">
    <w:multiLevelType w:val="hybridMultilevel"/>
    <w:lvl w:ilvl="0">
      <w:start w:val="1"/>
      <w:numFmt w:val="decimal"/>
      <w:lvlText w:val="（%1）"/>
      <w:lvlJc w:val="left"/>
      <w:pPr>
        <w:ind w:left="129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84" w:hanging="526"/>
      </w:pPr>
      <w:rPr>
        <w:rFonts w:hint="default"/>
        <w:lang w:val="zh-CN" w:eastAsia="zh-CN" w:bidi="zh-CN"/>
      </w:rPr>
    </w:lvl>
    <w:lvl w:ilvl="2">
      <w:start w:val="0"/>
      <w:numFmt w:val="bullet"/>
      <w:lvlText w:val="•"/>
      <w:lvlJc w:val="left"/>
      <w:pPr>
        <w:ind w:left="3069" w:hanging="526"/>
      </w:pPr>
      <w:rPr>
        <w:rFonts w:hint="default"/>
        <w:lang w:val="zh-CN" w:eastAsia="zh-CN" w:bidi="zh-CN"/>
      </w:rPr>
    </w:lvl>
    <w:lvl w:ilvl="3">
      <w:start w:val="0"/>
      <w:numFmt w:val="bullet"/>
      <w:lvlText w:val="•"/>
      <w:lvlJc w:val="left"/>
      <w:pPr>
        <w:ind w:left="3954" w:hanging="526"/>
      </w:pPr>
      <w:rPr>
        <w:rFonts w:hint="default"/>
        <w:lang w:val="zh-CN" w:eastAsia="zh-CN" w:bidi="zh-CN"/>
      </w:rPr>
    </w:lvl>
    <w:lvl w:ilvl="4">
      <w:start w:val="0"/>
      <w:numFmt w:val="bullet"/>
      <w:lvlText w:val="•"/>
      <w:lvlJc w:val="left"/>
      <w:pPr>
        <w:ind w:left="4838" w:hanging="526"/>
      </w:pPr>
      <w:rPr>
        <w:rFonts w:hint="default"/>
        <w:lang w:val="zh-CN" w:eastAsia="zh-CN" w:bidi="zh-CN"/>
      </w:rPr>
    </w:lvl>
    <w:lvl w:ilvl="5">
      <w:start w:val="0"/>
      <w:numFmt w:val="bullet"/>
      <w:lvlText w:val="•"/>
      <w:lvlJc w:val="left"/>
      <w:pPr>
        <w:ind w:left="5723" w:hanging="526"/>
      </w:pPr>
      <w:rPr>
        <w:rFonts w:hint="default"/>
        <w:lang w:val="zh-CN" w:eastAsia="zh-CN" w:bidi="zh-CN"/>
      </w:rPr>
    </w:lvl>
    <w:lvl w:ilvl="6">
      <w:start w:val="0"/>
      <w:numFmt w:val="bullet"/>
      <w:lvlText w:val="•"/>
      <w:lvlJc w:val="left"/>
      <w:pPr>
        <w:ind w:left="6608" w:hanging="526"/>
      </w:pPr>
      <w:rPr>
        <w:rFonts w:hint="default"/>
        <w:lang w:val="zh-CN" w:eastAsia="zh-CN" w:bidi="zh-CN"/>
      </w:rPr>
    </w:lvl>
    <w:lvl w:ilvl="7">
      <w:start w:val="0"/>
      <w:numFmt w:val="bullet"/>
      <w:lvlText w:val="•"/>
      <w:lvlJc w:val="left"/>
      <w:pPr>
        <w:ind w:left="7492" w:hanging="526"/>
      </w:pPr>
      <w:rPr>
        <w:rFonts w:hint="default"/>
        <w:lang w:val="zh-CN" w:eastAsia="zh-CN" w:bidi="zh-CN"/>
      </w:rPr>
    </w:lvl>
    <w:lvl w:ilvl="8">
      <w:start w:val="0"/>
      <w:numFmt w:val="bullet"/>
      <w:lvlText w:val="•"/>
      <w:lvlJc w:val="left"/>
      <w:pPr>
        <w:ind w:left="8377" w:hanging="526"/>
      </w:pPr>
      <w:rPr>
        <w:rFonts w:hint="default"/>
        <w:lang w:val="zh-CN" w:eastAsia="zh-CN" w:bidi="zh-CN"/>
      </w:rPr>
    </w:lvl>
  </w:abstractNum>
  <w:abstractNum w:abstractNumId="6">
    <w:multiLevelType w:val="hybridMultilevel"/>
    <w:lvl w:ilvl="0">
      <w:start w:val="1"/>
      <w:numFmt w:val="decimal"/>
      <w:lvlText w:val="（%1）"/>
      <w:lvlJc w:val="left"/>
      <w:pPr>
        <w:ind w:left="1265"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414" w:hanging="526"/>
        <w:jc w:val="left"/>
      </w:pPr>
      <w:rPr>
        <w:rFonts w:hint="default" w:ascii="宋体" w:hAnsi="宋体" w:eastAsia="宋体" w:cs="宋体"/>
        <w:spacing w:val="-8"/>
        <w:w w:val="100"/>
        <w:sz w:val="19"/>
        <w:szCs w:val="19"/>
        <w:lang w:val="zh-CN" w:eastAsia="zh-CN" w:bidi="zh-CN"/>
      </w:rPr>
    </w:lvl>
    <w:lvl w:ilvl="2">
      <w:start w:val="0"/>
      <w:numFmt w:val="bullet"/>
      <w:lvlText w:val="•"/>
      <w:lvlJc w:val="left"/>
      <w:pPr>
        <w:ind w:left="2247" w:hanging="526"/>
      </w:pPr>
      <w:rPr>
        <w:rFonts w:hint="default"/>
        <w:lang w:val="zh-CN" w:eastAsia="zh-CN" w:bidi="zh-CN"/>
      </w:rPr>
    </w:lvl>
    <w:lvl w:ilvl="3">
      <w:start w:val="0"/>
      <w:numFmt w:val="bullet"/>
      <w:lvlText w:val="•"/>
      <w:lvlJc w:val="left"/>
      <w:pPr>
        <w:ind w:left="3234" w:hanging="526"/>
      </w:pPr>
      <w:rPr>
        <w:rFonts w:hint="default"/>
        <w:lang w:val="zh-CN" w:eastAsia="zh-CN" w:bidi="zh-CN"/>
      </w:rPr>
    </w:lvl>
    <w:lvl w:ilvl="4">
      <w:start w:val="0"/>
      <w:numFmt w:val="bullet"/>
      <w:lvlText w:val="•"/>
      <w:lvlJc w:val="left"/>
      <w:pPr>
        <w:ind w:left="4222" w:hanging="526"/>
      </w:pPr>
      <w:rPr>
        <w:rFonts w:hint="default"/>
        <w:lang w:val="zh-CN" w:eastAsia="zh-CN" w:bidi="zh-CN"/>
      </w:rPr>
    </w:lvl>
    <w:lvl w:ilvl="5">
      <w:start w:val="0"/>
      <w:numFmt w:val="bullet"/>
      <w:lvlText w:val="•"/>
      <w:lvlJc w:val="left"/>
      <w:pPr>
        <w:ind w:left="5209" w:hanging="526"/>
      </w:pPr>
      <w:rPr>
        <w:rFonts w:hint="default"/>
        <w:lang w:val="zh-CN" w:eastAsia="zh-CN" w:bidi="zh-CN"/>
      </w:rPr>
    </w:lvl>
    <w:lvl w:ilvl="6">
      <w:start w:val="0"/>
      <w:numFmt w:val="bullet"/>
      <w:lvlText w:val="•"/>
      <w:lvlJc w:val="left"/>
      <w:pPr>
        <w:ind w:left="6197" w:hanging="526"/>
      </w:pPr>
      <w:rPr>
        <w:rFonts w:hint="default"/>
        <w:lang w:val="zh-CN" w:eastAsia="zh-CN" w:bidi="zh-CN"/>
      </w:rPr>
    </w:lvl>
    <w:lvl w:ilvl="7">
      <w:start w:val="0"/>
      <w:numFmt w:val="bullet"/>
      <w:lvlText w:val="•"/>
      <w:lvlJc w:val="left"/>
      <w:pPr>
        <w:ind w:left="7184" w:hanging="526"/>
      </w:pPr>
      <w:rPr>
        <w:rFonts w:hint="default"/>
        <w:lang w:val="zh-CN" w:eastAsia="zh-CN" w:bidi="zh-CN"/>
      </w:rPr>
    </w:lvl>
    <w:lvl w:ilvl="8">
      <w:start w:val="0"/>
      <w:numFmt w:val="bullet"/>
      <w:lvlText w:val="•"/>
      <w:lvlJc w:val="left"/>
      <w:pPr>
        <w:ind w:left="8172" w:hanging="526"/>
      </w:pPr>
      <w:rPr>
        <w:rFonts w:hint="default"/>
        <w:lang w:val="zh-CN" w:eastAsia="zh-CN" w:bidi="zh-CN"/>
      </w:rPr>
    </w:lvl>
  </w:abstractNum>
  <w:abstractNum w:abstractNumId="5">
    <w:multiLevelType w:val="hybridMultilevel"/>
    <w:lvl w:ilvl="0">
      <w:start w:val="1"/>
      <w:numFmt w:val="decimal"/>
      <w:lvlText w:val="（%1）"/>
      <w:lvlJc w:val="left"/>
      <w:pPr>
        <w:ind w:left="1265"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148" w:hanging="567"/>
      </w:pPr>
      <w:rPr>
        <w:rFonts w:hint="default"/>
        <w:lang w:val="zh-CN" w:eastAsia="zh-CN" w:bidi="zh-CN"/>
      </w:rPr>
    </w:lvl>
    <w:lvl w:ilvl="2">
      <w:start w:val="0"/>
      <w:numFmt w:val="bullet"/>
      <w:lvlText w:val="•"/>
      <w:lvlJc w:val="left"/>
      <w:pPr>
        <w:ind w:left="3037" w:hanging="567"/>
      </w:pPr>
      <w:rPr>
        <w:rFonts w:hint="default"/>
        <w:lang w:val="zh-CN" w:eastAsia="zh-CN" w:bidi="zh-CN"/>
      </w:rPr>
    </w:lvl>
    <w:lvl w:ilvl="3">
      <w:start w:val="0"/>
      <w:numFmt w:val="bullet"/>
      <w:lvlText w:val="•"/>
      <w:lvlJc w:val="left"/>
      <w:pPr>
        <w:ind w:left="3926" w:hanging="567"/>
      </w:pPr>
      <w:rPr>
        <w:rFonts w:hint="default"/>
        <w:lang w:val="zh-CN" w:eastAsia="zh-CN" w:bidi="zh-CN"/>
      </w:rPr>
    </w:lvl>
    <w:lvl w:ilvl="4">
      <w:start w:val="0"/>
      <w:numFmt w:val="bullet"/>
      <w:lvlText w:val="•"/>
      <w:lvlJc w:val="left"/>
      <w:pPr>
        <w:ind w:left="4814" w:hanging="567"/>
      </w:pPr>
      <w:rPr>
        <w:rFonts w:hint="default"/>
        <w:lang w:val="zh-CN" w:eastAsia="zh-CN" w:bidi="zh-CN"/>
      </w:rPr>
    </w:lvl>
    <w:lvl w:ilvl="5">
      <w:start w:val="0"/>
      <w:numFmt w:val="bullet"/>
      <w:lvlText w:val="•"/>
      <w:lvlJc w:val="left"/>
      <w:pPr>
        <w:ind w:left="5703" w:hanging="567"/>
      </w:pPr>
      <w:rPr>
        <w:rFonts w:hint="default"/>
        <w:lang w:val="zh-CN" w:eastAsia="zh-CN" w:bidi="zh-CN"/>
      </w:rPr>
    </w:lvl>
    <w:lvl w:ilvl="6">
      <w:start w:val="0"/>
      <w:numFmt w:val="bullet"/>
      <w:lvlText w:val="•"/>
      <w:lvlJc w:val="left"/>
      <w:pPr>
        <w:ind w:left="6592" w:hanging="567"/>
      </w:pPr>
      <w:rPr>
        <w:rFonts w:hint="default"/>
        <w:lang w:val="zh-CN" w:eastAsia="zh-CN" w:bidi="zh-CN"/>
      </w:rPr>
    </w:lvl>
    <w:lvl w:ilvl="7">
      <w:start w:val="0"/>
      <w:numFmt w:val="bullet"/>
      <w:lvlText w:val="•"/>
      <w:lvlJc w:val="left"/>
      <w:pPr>
        <w:ind w:left="7480" w:hanging="567"/>
      </w:pPr>
      <w:rPr>
        <w:rFonts w:hint="default"/>
        <w:lang w:val="zh-CN" w:eastAsia="zh-CN" w:bidi="zh-CN"/>
      </w:rPr>
    </w:lvl>
    <w:lvl w:ilvl="8">
      <w:start w:val="0"/>
      <w:numFmt w:val="bullet"/>
      <w:lvlText w:val="•"/>
      <w:lvlJc w:val="left"/>
      <w:pPr>
        <w:ind w:left="8369" w:hanging="567"/>
      </w:pPr>
      <w:rPr>
        <w:rFonts w:hint="default"/>
        <w:lang w:val="zh-CN" w:eastAsia="zh-CN" w:bidi="zh-CN"/>
      </w:rPr>
    </w:lvl>
  </w:abstractNum>
  <w:abstractNum w:abstractNumId="4">
    <w:multiLevelType w:val="hybridMultilevel"/>
    <w:lvl w:ilvl="0">
      <w:start w:val="1"/>
      <w:numFmt w:val="decimal"/>
      <w:lvlText w:val="（%1）"/>
      <w:lvlJc w:val="left"/>
      <w:pPr>
        <w:ind w:left="414"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1392" w:hanging="567"/>
      </w:pPr>
      <w:rPr>
        <w:rFonts w:hint="default"/>
        <w:lang w:val="zh-CN" w:eastAsia="zh-CN" w:bidi="zh-CN"/>
      </w:rPr>
    </w:lvl>
    <w:lvl w:ilvl="2">
      <w:start w:val="0"/>
      <w:numFmt w:val="bullet"/>
      <w:lvlText w:val="•"/>
      <w:lvlJc w:val="left"/>
      <w:pPr>
        <w:ind w:left="2365" w:hanging="567"/>
      </w:pPr>
      <w:rPr>
        <w:rFonts w:hint="default"/>
        <w:lang w:val="zh-CN" w:eastAsia="zh-CN" w:bidi="zh-CN"/>
      </w:rPr>
    </w:lvl>
    <w:lvl w:ilvl="3">
      <w:start w:val="0"/>
      <w:numFmt w:val="bullet"/>
      <w:lvlText w:val="•"/>
      <w:lvlJc w:val="left"/>
      <w:pPr>
        <w:ind w:left="3338" w:hanging="567"/>
      </w:pPr>
      <w:rPr>
        <w:rFonts w:hint="default"/>
        <w:lang w:val="zh-CN" w:eastAsia="zh-CN" w:bidi="zh-CN"/>
      </w:rPr>
    </w:lvl>
    <w:lvl w:ilvl="4">
      <w:start w:val="0"/>
      <w:numFmt w:val="bullet"/>
      <w:lvlText w:val="•"/>
      <w:lvlJc w:val="left"/>
      <w:pPr>
        <w:ind w:left="4310" w:hanging="567"/>
      </w:pPr>
      <w:rPr>
        <w:rFonts w:hint="default"/>
        <w:lang w:val="zh-CN" w:eastAsia="zh-CN" w:bidi="zh-CN"/>
      </w:rPr>
    </w:lvl>
    <w:lvl w:ilvl="5">
      <w:start w:val="0"/>
      <w:numFmt w:val="bullet"/>
      <w:lvlText w:val="•"/>
      <w:lvlJc w:val="left"/>
      <w:pPr>
        <w:ind w:left="5283" w:hanging="567"/>
      </w:pPr>
      <w:rPr>
        <w:rFonts w:hint="default"/>
        <w:lang w:val="zh-CN" w:eastAsia="zh-CN" w:bidi="zh-CN"/>
      </w:rPr>
    </w:lvl>
    <w:lvl w:ilvl="6">
      <w:start w:val="0"/>
      <w:numFmt w:val="bullet"/>
      <w:lvlText w:val="•"/>
      <w:lvlJc w:val="left"/>
      <w:pPr>
        <w:ind w:left="6256" w:hanging="567"/>
      </w:pPr>
      <w:rPr>
        <w:rFonts w:hint="default"/>
        <w:lang w:val="zh-CN" w:eastAsia="zh-CN" w:bidi="zh-CN"/>
      </w:rPr>
    </w:lvl>
    <w:lvl w:ilvl="7">
      <w:start w:val="0"/>
      <w:numFmt w:val="bullet"/>
      <w:lvlText w:val="•"/>
      <w:lvlJc w:val="left"/>
      <w:pPr>
        <w:ind w:left="7228" w:hanging="567"/>
      </w:pPr>
      <w:rPr>
        <w:rFonts w:hint="default"/>
        <w:lang w:val="zh-CN" w:eastAsia="zh-CN" w:bidi="zh-CN"/>
      </w:rPr>
    </w:lvl>
    <w:lvl w:ilvl="8">
      <w:start w:val="0"/>
      <w:numFmt w:val="bullet"/>
      <w:lvlText w:val="•"/>
      <w:lvlJc w:val="left"/>
      <w:pPr>
        <w:ind w:left="8201" w:hanging="567"/>
      </w:pPr>
      <w:rPr>
        <w:rFonts w:hint="default"/>
        <w:lang w:val="zh-CN" w:eastAsia="zh-CN" w:bidi="zh-CN"/>
      </w:rPr>
    </w:lvl>
  </w:abstractNum>
  <w:abstractNum w:abstractNumId="3">
    <w:multiLevelType w:val="hybridMultilevel"/>
    <w:lvl w:ilvl="0">
      <w:start w:val="1"/>
      <w:numFmt w:val="decimal"/>
      <w:lvlText w:val="（%1）"/>
      <w:lvlJc w:val="left"/>
      <w:pPr>
        <w:ind w:left="1407"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274" w:hanging="567"/>
      </w:pPr>
      <w:rPr>
        <w:rFonts w:hint="default"/>
        <w:lang w:val="zh-CN" w:eastAsia="zh-CN" w:bidi="zh-CN"/>
      </w:rPr>
    </w:lvl>
    <w:lvl w:ilvl="2">
      <w:start w:val="0"/>
      <w:numFmt w:val="bullet"/>
      <w:lvlText w:val="•"/>
      <w:lvlJc w:val="left"/>
      <w:pPr>
        <w:ind w:left="3149" w:hanging="567"/>
      </w:pPr>
      <w:rPr>
        <w:rFonts w:hint="default"/>
        <w:lang w:val="zh-CN" w:eastAsia="zh-CN" w:bidi="zh-CN"/>
      </w:rPr>
    </w:lvl>
    <w:lvl w:ilvl="3">
      <w:start w:val="0"/>
      <w:numFmt w:val="bullet"/>
      <w:lvlText w:val="•"/>
      <w:lvlJc w:val="left"/>
      <w:pPr>
        <w:ind w:left="4024" w:hanging="567"/>
      </w:pPr>
      <w:rPr>
        <w:rFonts w:hint="default"/>
        <w:lang w:val="zh-CN" w:eastAsia="zh-CN" w:bidi="zh-CN"/>
      </w:rPr>
    </w:lvl>
    <w:lvl w:ilvl="4">
      <w:start w:val="0"/>
      <w:numFmt w:val="bullet"/>
      <w:lvlText w:val="•"/>
      <w:lvlJc w:val="left"/>
      <w:pPr>
        <w:ind w:left="4898" w:hanging="567"/>
      </w:pPr>
      <w:rPr>
        <w:rFonts w:hint="default"/>
        <w:lang w:val="zh-CN" w:eastAsia="zh-CN" w:bidi="zh-CN"/>
      </w:rPr>
    </w:lvl>
    <w:lvl w:ilvl="5">
      <w:start w:val="0"/>
      <w:numFmt w:val="bullet"/>
      <w:lvlText w:val="•"/>
      <w:lvlJc w:val="left"/>
      <w:pPr>
        <w:ind w:left="5773" w:hanging="567"/>
      </w:pPr>
      <w:rPr>
        <w:rFonts w:hint="default"/>
        <w:lang w:val="zh-CN" w:eastAsia="zh-CN" w:bidi="zh-CN"/>
      </w:rPr>
    </w:lvl>
    <w:lvl w:ilvl="6">
      <w:start w:val="0"/>
      <w:numFmt w:val="bullet"/>
      <w:lvlText w:val="•"/>
      <w:lvlJc w:val="left"/>
      <w:pPr>
        <w:ind w:left="6648" w:hanging="567"/>
      </w:pPr>
      <w:rPr>
        <w:rFonts w:hint="default"/>
        <w:lang w:val="zh-CN" w:eastAsia="zh-CN" w:bidi="zh-CN"/>
      </w:rPr>
    </w:lvl>
    <w:lvl w:ilvl="7">
      <w:start w:val="0"/>
      <w:numFmt w:val="bullet"/>
      <w:lvlText w:val="•"/>
      <w:lvlJc w:val="left"/>
      <w:pPr>
        <w:ind w:left="7522" w:hanging="567"/>
      </w:pPr>
      <w:rPr>
        <w:rFonts w:hint="default"/>
        <w:lang w:val="zh-CN" w:eastAsia="zh-CN" w:bidi="zh-CN"/>
      </w:rPr>
    </w:lvl>
    <w:lvl w:ilvl="8">
      <w:start w:val="0"/>
      <w:numFmt w:val="bullet"/>
      <w:lvlText w:val="•"/>
      <w:lvlJc w:val="left"/>
      <w:pPr>
        <w:ind w:left="8397" w:hanging="567"/>
      </w:pPr>
      <w:rPr>
        <w:rFonts w:hint="default"/>
        <w:lang w:val="zh-CN" w:eastAsia="zh-CN" w:bidi="zh-CN"/>
      </w:rPr>
    </w:lvl>
  </w:abstractNum>
  <w:abstractNum w:abstractNumId="2">
    <w:multiLevelType w:val="hybridMultilevel"/>
    <w:lvl w:ilvl="0">
      <w:start w:val="1"/>
      <w:numFmt w:val="decimal"/>
      <w:lvlText w:val="（%1）"/>
      <w:lvlJc w:val="left"/>
      <w:pPr>
        <w:ind w:left="41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92" w:hanging="526"/>
      </w:pPr>
      <w:rPr>
        <w:rFonts w:hint="default"/>
        <w:lang w:val="zh-CN" w:eastAsia="zh-CN" w:bidi="zh-CN"/>
      </w:rPr>
    </w:lvl>
    <w:lvl w:ilvl="2">
      <w:start w:val="0"/>
      <w:numFmt w:val="bullet"/>
      <w:lvlText w:val="•"/>
      <w:lvlJc w:val="left"/>
      <w:pPr>
        <w:ind w:left="2365" w:hanging="526"/>
      </w:pPr>
      <w:rPr>
        <w:rFonts w:hint="default"/>
        <w:lang w:val="zh-CN" w:eastAsia="zh-CN" w:bidi="zh-CN"/>
      </w:rPr>
    </w:lvl>
    <w:lvl w:ilvl="3">
      <w:start w:val="0"/>
      <w:numFmt w:val="bullet"/>
      <w:lvlText w:val="•"/>
      <w:lvlJc w:val="left"/>
      <w:pPr>
        <w:ind w:left="3338" w:hanging="526"/>
      </w:pPr>
      <w:rPr>
        <w:rFonts w:hint="default"/>
        <w:lang w:val="zh-CN" w:eastAsia="zh-CN" w:bidi="zh-CN"/>
      </w:rPr>
    </w:lvl>
    <w:lvl w:ilvl="4">
      <w:start w:val="0"/>
      <w:numFmt w:val="bullet"/>
      <w:lvlText w:val="•"/>
      <w:lvlJc w:val="left"/>
      <w:pPr>
        <w:ind w:left="4310" w:hanging="526"/>
      </w:pPr>
      <w:rPr>
        <w:rFonts w:hint="default"/>
        <w:lang w:val="zh-CN" w:eastAsia="zh-CN" w:bidi="zh-CN"/>
      </w:rPr>
    </w:lvl>
    <w:lvl w:ilvl="5">
      <w:start w:val="0"/>
      <w:numFmt w:val="bullet"/>
      <w:lvlText w:val="•"/>
      <w:lvlJc w:val="left"/>
      <w:pPr>
        <w:ind w:left="5283" w:hanging="526"/>
      </w:pPr>
      <w:rPr>
        <w:rFonts w:hint="default"/>
        <w:lang w:val="zh-CN" w:eastAsia="zh-CN" w:bidi="zh-CN"/>
      </w:rPr>
    </w:lvl>
    <w:lvl w:ilvl="6">
      <w:start w:val="0"/>
      <w:numFmt w:val="bullet"/>
      <w:lvlText w:val="•"/>
      <w:lvlJc w:val="left"/>
      <w:pPr>
        <w:ind w:left="6256"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201" w:hanging="526"/>
      </w:pPr>
      <w:rPr>
        <w:rFonts w:hint="default"/>
        <w:lang w:val="zh-CN" w:eastAsia="zh-CN" w:bidi="zh-CN"/>
      </w:rPr>
    </w:lvl>
  </w:abstractNum>
  <w:abstractNum w:abstractNumId="1">
    <w:multiLevelType w:val="hybridMultilevel"/>
    <w:lvl w:ilvl="0">
      <w:start w:val="1"/>
      <w:numFmt w:val="decimal"/>
      <w:lvlText w:val="（%1）"/>
      <w:lvlJc w:val="left"/>
      <w:pPr>
        <w:ind w:left="13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38" w:hanging="526"/>
      </w:pPr>
      <w:rPr>
        <w:rFonts w:hint="default"/>
        <w:lang w:val="zh-CN" w:eastAsia="zh-CN" w:bidi="zh-CN"/>
      </w:rPr>
    </w:lvl>
    <w:lvl w:ilvl="2">
      <w:start w:val="0"/>
      <w:numFmt w:val="bullet"/>
      <w:lvlText w:val="•"/>
      <w:lvlJc w:val="left"/>
      <w:pPr>
        <w:ind w:left="3117" w:hanging="526"/>
      </w:pPr>
      <w:rPr>
        <w:rFonts w:hint="default"/>
        <w:lang w:val="zh-CN" w:eastAsia="zh-CN" w:bidi="zh-CN"/>
      </w:rPr>
    </w:lvl>
    <w:lvl w:ilvl="3">
      <w:start w:val="0"/>
      <w:numFmt w:val="bullet"/>
      <w:lvlText w:val="•"/>
      <w:lvlJc w:val="left"/>
      <w:pPr>
        <w:ind w:left="3996" w:hanging="526"/>
      </w:pPr>
      <w:rPr>
        <w:rFonts w:hint="default"/>
        <w:lang w:val="zh-CN" w:eastAsia="zh-CN" w:bidi="zh-CN"/>
      </w:rPr>
    </w:lvl>
    <w:lvl w:ilvl="4">
      <w:start w:val="0"/>
      <w:numFmt w:val="bullet"/>
      <w:lvlText w:val="•"/>
      <w:lvlJc w:val="left"/>
      <w:pPr>
        <w:ind w:left="4874" w:hanging="526"/>
      </w:pPr>
      <w:rPr>
        <w:rFonts w:hint="default"/>
        <w:lang w:val="zh-CN" w:eastAsia="zh-CN" w:bidi="zh-CN"/>
      </w:rPr>
    </w:lvl>
    <w:lvl w:ilvl="5">
      <w:start w:val="0"/>
      <w:numFmt w:val="bullet"/>
      <w:lvlText w:val="•"/>
      <w:lvlJc w:val="left"/>
      <w:pPr>
        <w:ind w:left="5753" w:hanging="526"/>
      </w:pPr>
      <w:rPr>
        <w:rFonts w:hint="default"/>
        <w:lang w:val="zh-CN" w:eastAsia="zh-CN" w:bidi="zh-CN"/>
      </w:rPr>
    </w:lvl>
    <w:lvl w:ilvl="6">
      <w:start w:val="0"/>
      <w:numFmt w:val="bullet"/>
      <w:lvlText w:val="•"/>
      <w:lvlJc w:val="left"/>
      <w:pPr>
        <w:ind w:left="6632"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89" w:hanging="526"/>
      </w:pPr>
      <w:rPr>
        <w:rFonts w:hint="default"/>
        <w:lang w:val="zh-CN" w:eastAsia="zh-CN" w:bidi="zh-CN"/>
      </w:rPr>
    </w:lvl>
  </w:abstractNum>
  <w:abstractNum w:abstractNumId="0">
    <w:multiLevelType w:val="hybridMultilevel"/>
    <w:lvl w:ilvl="0">
      <w:start w:val="1"/>
      <w:numFmt w:val="decimal"/>
      <w:lvlText w:val="（%1）"/>
      <w:lvlJc w:val="left"/>
      <w:pPr>
        <w:ind w:left="1548" w:hanging="714"/>
        <w:jc w:val="left"/>
      </w:pPr>
      <w:rPr>
        <w:rFonts w:hint="default" w:ascii="宋体" w:hAnsi="宋体" w:eastAsia="宋体" w:cs="宋体"/>
        <w:spacing w:val="-21"/>
        <w:w w:val="100"/>
        <w:sz w:val="21"/>
        <w:szCs w:val="21"/>
        <w:lang w:val="zh-CN" w:eastAsia="zh-CN" w:bidi="zh-CN"/>
      </w:rPr>
    </w:lvl>
    <w:lvl w:ilvl="1">
      <w:start w:val="0"/>
      <w:numFmt w:val="bullet"/>
      <w:lvlText w:val="•"/>
      <w:lvlJc w:val="left"/>
      <w:pPr>
        <w:ind w:left="2400" w:hanging="714"/>
      </w:pPr>
      <w:rPr>
        <w:rFonts w:hint="default"/>
        <w:lang w:val="zh-CN" w:eastAsia="zh-CN" w:bidi="zh-CN"/>
      </w:rPr>
    </w:lvl>
    <w:lvl w:ilvl="2">
      <w:start w:val="0"/>
      <w:numFmt w:val="bullet"/>
      <w:lvlText w:val="•"/>
      <w:lvlJc w:val="left"/>
      <w:pPr>
        <w:ind w:left="3261" w:hanging="714"/>
      </w:pPr>
      <w:rPr>
        <w:rFonts w:hint="default"/>
        <w:lang w:val="zh-CN" w:eastAsia="zh-CN" w:bidi="zh-CN"/>
      </w:rPr>
    </w:lvl>
    <w:lvl w:ilvl="3">
      <w:start w:val="0"/>
      <w:numFmt w:val="bullet"/>
      <w:lvlText w:val="•"/>
      <w:lvlJc w:val="left"/>
      <w:pPr>
        <w:ind w:left="4122" w:hanging="714"/>
      </w:pPr>
      <w:rPr>
        <w:rFonts w:hint="default"/>
        <w:lang w:val="zh-CN" w:eastAsia="zh-CN" w:bidi="zh-CN"/>
      </w:rPr>
    </w:lvl>
    <w:lvl w:ilvl="4">
      <w:start w:val="0"/>
      <w:numFmt w:val="bullet"/>
      <w:lvlText w:val="•"/>
      <w:lvlJc w:val="left"/>
      <w:pPr>
        <w:ind w:left="4982" w:hanging="714"/>
      </w:pPr>
      <w:rPr>
        <w:rFonts w:hint="default"/>
        <w:lang w:val="zh-CN" w:eastAsia="zh-CN" w:bidi="zh-CN"/>
      </w:rPr>
    </w:lvl>
    <w:lvl w:ilvl="5">
      <w:start w:val="0"/>
      <w:numFmt w:val="bullet"/>
      <w:lvlText w:val="•"/>
      <w:lvlJc w:val="left"/>
      <w:pPr>
        <w:ind w:left="5843" w:hanging="714"/>
      </w:pPr>
      <w:rPr>
        <w:rFonts w:hint="default"/>
        <w:lang w:val="zh-CN" w:eastAsia="zh-CN" w:bidi="zh-CN"/>
      </w:rPr>
    </w:lvl>
    <w:lvl w:ilvl="6">
      <w:start w:val="0"/>
      <w:numFmt w:val="bullet"/>
      <w:lvlText w:val="•"/>
      <w:lvlJc w:val="left"/>
      <w:pPr>
        <w:ind w:left="6704" w:hanging="714"/>
      </w:pPr>
      <w:rPr>
        <w:rFonts w:hint="default"/>
        <w:lang w:val="zh-CN" w:eastAsia="zh-CN" w:bidi="zh-CN"/>
      </w:rPr>
    </w:lvl>
    <w:lvl w:ilvl="7">
      <w:start w:val="0"/>
      <w:numFmt w:val="bullet"/>
      <w:lvlText w:val="•"/>
      <w:lvlJc w:val="left"/>
      <w:pPr>
        <w:ind w:left="7564" w:hanging="714"/>
      </w:pPr>
      <w:rPr>
        <w:rFonts w:hint="default"/>
        <w:lang w:val="zh-CN" w:eastAsia="zh-CN" w:bidi="zh-CN"/>
      </w:rPr>
    </w:lvl>
    <w:lvl w:ilvl="8">
      <w:start w:val="0"/>
      <w:numFmt w:val="bullet"/>
      <w:lvlText w:val="•"/>
      <w:lvlJc w:val="left"/>
      <w:pPr>
        <w:ind w:left="8425" w:hanging="714"/>
      </w:pPr>
      <w:rPr>
        <w:rFonts w:hint="default"/>
        <w:lang w:val="zh-CN" w:eastAsia="zh-CN" w:bidi="zh-CN"/>
      </w:rPr>
    </w:lvl>
  </w:abstract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8"/>
      <w:ind w:right="1"/>
      <w:jc w:val="center"/>
    </w:pPr>
    <w:rPr>
      <w:rFonts w:ascii="宋体" w:hAnsi="宋体" w:eastAsia="宋体" w:cs="宋体"/>
      <w:sz w:val="21"/>
      <w:szCs w:val="21"/>
      <w:lang w:val="zh-CN" w:eastAsia="zh-CN" w:bidi="zh-CN"/>
    </w:rPr>
  </w:style>
  <w:style w:styleId="TOC2" w:type="paragraph">
    <w:name w:val="TOC 2"/>
    <w:basedOn w:val="Normal"/>
    <w:uiPriority w:val="1"/>
    <w:qFormat/>
    <w:pPr>
      <w:spacing w:before="80"/>
      <w:ind w:left="413"/>
    </w:pPr>
    <w:rPr>
      <w:rFonts w:ascii="Microsoft JhengHei" w:hAnsi="Microsoft JhengHei" w:eastAsia="Microsoft JhengHei" w:cs="Microsoft JhengHei"/>
      <w:b/>
      <w:bCs/>
      <w:sz w:val="24"/>
      <w:szCs w:val="24"/>
      <w:lang w:val="zh-CN" w:eastAsia="zh-CN" w:bidi="zh-CN"/>
    </w:rPr>
  </w:style>
  <w:style w:styleId="TOC3" w:type="paragraph">
    <w:name w:val="TOC 3"/>
    <w:basedOn w:val="Normal"/>
    <w:uiPriority w:val="1"/>
    <w:qFormat/>
    <w:pPr>
      <w:spacing w:before="191"/>
      <w:ind w:left="732"/>
    </w:pPr>
    <w:rPr>
      <w:rFonts w:ascii="宋体" w:hAnsi="宋体" w:eastAsia="宋体" w:cs="宋体"/>
      <w:sz w:val="21"/>
      <w:szCs w:val="21"/>
      <w:lang w:val="zh-CN" w:eastAsia="zh-CN" w:bidi="zh-CN"/>
    </w:rPr>
  </w:style>
  <w:style w:styleId="TOC4" w:type="paragraph">
    <w:name w:val="TOC 4"/>
    <w:basedOn w:val="Normal"/>
    <w:uiPriority w:val="1"/>
    <w:qFormat/>
    <w:pPr>
      <w:spacing w:before="178"/>
      <w:ind w:left="1463"/>
    </w:pPr>
    <w:rPr>
      <w:rFonts w:ascii="宋体" w:hAnsi="宋体" w:eastAsia="宋体" w:cs="宋体"/>
      <w:sz w:val="21"/>
      <w:szCs w:val="21"/>
      <w:lang w:val="zh-CN" w:eastAsia="zh-CN" w:bidi="zh-CN"/>
    </w:rPr>
  </w:style>
  <w:style w:styleId="BodyText" w:type="paragraph">
    <w:name w:val="Body Text"/>
    <w:basedOn w:val="Normal"/>
    <w:uiPriority w:val="1"/>
    <w:qFormat/>
    <w:pPr>
      <w:ind w:left="772"/>
    </w:pPr>
    <w:rPr>
      <w:rFonts w:ascii="宋体" w:hAnsi="宋体" w:eastAsia="宋体" w:cs="宋体"/>
      <w:sz w:val="21"/>
      <w:szCs w:val="21"/>
      <w:lang w:val="zh-CN" w:eastAsia="zh-CN" w:bidi="zh-CN"/>
    </w:rPr>
  </w:style>
  <w:style w:styleId="Heading1" w:type="paragraph">
    <w:name w:val="Heading 1"/>
    <w:basedOn w:val="Normal"/>
    <w:uiPriority w:val="1"/>
    <w:qFormat/>
    <w:pP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ind w:left="973"/>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413"/>
      <w:outlineLvl w:val="3"/>
    </w:pPr>
    <w:rPr>
      <w:rFonts w:ascii="宋体" w:hAnsi="宋体" w:eastAsia="宋体" w:cs="宋体"/>
      <w:sz w:val="28"/>
      <w:szCs w:val="28"/>
      <w:lang w:val="zh-CN" w:eastAsia="zh-CN" w:bidi="zh-CN"/>
    </w:rPr>
  </w:style>
  <w:style w:styleId="Heading4" w:type="paragraph">
    <w:name w:val="Heading 4"/>
    <w:basedOn w:val="Normal"/>
    <w:uiPriority w:val="1"/>
    <w:qFormat/>
    <w:pPr>
      <w:ind w:left="772"/>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41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ccb.com/"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icbc.com.cn/" TargetMode="External"/><Relationship Id="rId18" Type="http://schemas.openxmlformats.org/officeDocument/2006/relationships/hyperlink" Target="http://www.cmbc.com.cn/" TargetMode="External"/><Relationship Id="rId19" Type="http://schemas.openxmlformats.org/officeDocument/2006/relationships/hyperlink" Target="http://www.abchina.com/" TargetMode="External"/><Relationship Id="rId20" Type="http://schemas.openxmlformats.org/officeDocument/2006/relationships/hyperlink" Target="http://www.boc.cn/" TargetMode="External"/><Relationship Id="rId21" Type="http://schemas.openxmlformats.org/officeDocument/2006/relationships/hyperlink" Target="http://www.psbc.com/" TargetMode="External"/><Relationship Id="rId22" Type="http://schemas.openxmlformats.org/officeDocument/2006/relationships/hyperlink" Target="http://www.bsb.com.cn/" TargetMode="External"/><Relationship Id="rId23" Type="http://schemas.openxmlformats.org/officeDocument/2006/relationships/hyperlink" Target="http://www.bankofbeijing.com.cn/" TargetMode="External"/><Relationship Id="rId24" Type="http://schemas.openxmlformats.org/officeDocument/2006/relationships/hyperlink" Target="http://www.ccabchina.com/" TargetMode="External"/><Relationship Id="rId25" Type="http://schemas.openxmlformats.org/officeDocument/2006/relationships/hyperlink" Target="http://www.bankofchangsha.com/" TargetMode="External"/><Relationship Id="rId26" Type="http://schemas.openxmlformats.org/officeDocument/2006/relationships/hyperlink" Target="http://www.bankofdl.com/" TargetMode="External"/><Relationship Id="rId27" Type="http://schemas.openxmlformats.org/officeDocument/2006/relationships/hyperlink" Target="http://www.dzbchina.com/" TargetMode="External"/><Relationship Id="rId28" Type="http://schemas.openxmlformats.org/officeDocument/2006/relationships/hyperlink" Target="http://www.drcbank.com/" TargetMode="External"/><Relationship Id="rId29" Type="http://schemas.openxmlformats.org/officeDocument/2006/relationships/hyperlink" Target="http://www.dongguanbank.cn/" TargetMode="External"/><Relationship Id="rId30" Type="http://schemas.openxmlformats.org/officeDocument/2006/relationships/hyperlink" Target="http://www.foshanbank.cn/" TargetMode="External"/><Relationship Id="rId31" Type="http://schemas.openxmlformats.org/officeDocument/2006/relationships/hyperlink" Target="http://www.fjhxbank.com/" TargetMode="External"/><Relationship Id="rId32" Type="http://schemas.openxmlformats.org/officeDocument/2006/relationships/hyperlink" Target="http://www.fyrcbk.com/" TargetMode="External"/><Relationship Id="rId33" Type="http://schemas.openxmlformats.org/officeDocument/2006/relationships/hyperlink" Target="http://www.ghbank.com.cn/" TargetMode="External"/><Relationship Id="rId34" Type="http://schemas.openxmlformats.org/officeDocument/2006/relationships/hyperlink" Target="http://www.gdnybank.com/" TargetMode="External"/><Relationship Id="rId35" Type="http://schemas.openxmlformats.org/officeDocument/2006/relationships/hyperlink" Target="http://www.grcbank.com/" TargetMode="External"/><Relationship Id="rId36" Type="http://schemas.openxmlformats.org/officeDocument/2006/relationships/hyperlink" Target="http://www.gzcb.com.cn/" TargetMode="External"/><Relationship Id="rId37" Type="http://schemas.openxmlformats.org/officeDocument/2006/relationships/hyperlink" Target="http://www.hrbb.com.cn/" TargetMode="External"/><Relationship Id="rId38" Type="http://schemas.openxmlformats.org/officeDocument/2006/relationships/hyperlink" Target="http://www.urcb.com/" TargetMode="External"/><Relationship Id="rId39" Type="http://schemas.openxmlformats.org/officeDocument/2006/relationships/hyperlink" Target="http://www.hzbank.com.cn/" TargetMode="External"/><Relationship Id="rId40" Type="http://schemas.openxmlformats.org/officeDocument/2006/relationships/hyperlink" Target="http://www.hebbank.com/" TargetMode="External"/><Relationship Id="rId41" Type="http://schemas.openxmlformats.org/officeDocument/2006/relationships/hyperlink" Target="http://www.jlbank.com.cn/" TargetMode="External"/><Relationship Id="rId42" Type="http://schemas.openxmlformats.org/officeDocument/2006/relationships/hyperlink" Target="http://www.bojx.com/" TargetMode="External"/><Relationship Id="rId43" Type="http://schemas.openxmlformats.org/officeDocument/2006/relationships/hyperlink" Target="http://www.jnbank.com.cn/" TargetMode="External"/><Relationship Id="rId44" Type="http://schemas.openxmlformats.org/officeDocument/2006/relationships/hyperlink" Target="http://www.jsbchina.cn/" TargetMode="External"/><Relationship Id="rId45" Type="http://schemas.openxmlformats.org/officeDocument/2006/relationships/hyperlink" Target="http://www.jx-bank.com/" TargetMode="External"/><Relationship Id="rId46" Type="http://schemas.openxmlformats.org/officeDocument/2006/relationships/hyperlink" Target="http://www.jhccb.com.cn/" TargetMode="External"/><Relationship Id="rId47" Type="http://schemas.openxmlformats.org/officeDocument/2006/relationships/hyperlink" Target="http://www.jinzhoubank.com/" TargetMode="External"/><Relationship Id="rId48" Type="http://schemas.openxmlformats.org/officeDocument/2006/relationships/hyperlink" Target="http://www.jshbank.com/" TargetMode="External"/><Relationship Id="rId49" Type="http://schemas.openxmlformats.org/officeDocument/2006/relationships/hyperlink" Target="http://www.jjccb.com/" TargetMode="External"/><Relationship Id="rId50" Type="http://schemas.openxmlformats.org/officeDocument/2006/relationships/hyperlink" Target="http://www.jtnsh.com/" TargetMode="External"/><Relationship Id="rId51" Type="http://schemas.openxmlformats.org/officeDocument/2006/relationships/hyperlink" Target="http://www.ksrcb.com/" TargetMode="External"/><Relationship Id="rId52" Type="http://schemas.openxmlformats.org/officeDocument/2006/relationships/hyperlink" Target="http://www.lzbank.com/" TargetMode="External"/><Relationship Id="rId53" Type="http://schemas.openxmlformats.org/officeDocument/2006/relationships/hyperlink" Target="http://www.yqbank.com/" TargetMode="External"/><Relationship Id="rId54" Type="http://schemas.openxmlformats.org/officeDocument/2006/relationships/hyperlink" Target="http://www.lj-bank.com/" TargetMode="External"/><Relationship Id="rId55" Type="http://schemas.openxmlformats.org/officeDocument/2006/relationships/hyperlink" Target="http://www.lwrcb.com/" TargetMode="External"/><Relationship Id="rId56" Type="http://schemas.openxmlformats.org/officeDocument/2006/relationships/hyperlink" Target="http://www.lcrcbank.com/" TargetMode="External"/><Relationship Id="rId57" Type="http://schemas.openxmlformats.org/officeDocument/2006/relationships/hyperlink" Target="http://www.bankofluoyang.com.cn/" TargetMode="External"/><Relationship Id="rId58" Type="http://schemas.openxmlformats.org/officeDocument/2006/relationships/hyperlink" Target="http://www.nanhaibank.com/" TargetMode="External"/><Relationship Id="rId59" Type="http://schemas.openxmlformats.org/officeDocument/2006/relationships/hyperlink" Target="http://www.ncbchina.cn/cn/index.html" TargetMode="External"/><Relationship Id="rId60" Type="http://schemas.openxmlformats.org/officeDocument/2006/relationships/hyperlink" Target="http://www.nbcb.com.cn/" TargetMode="External"/><Relationship Id="rId61" Type="http://schemas.openxmlformats.org/officeDocument/2006/relationships/hyperlink" Target="http://www.bankofnx.com.cn/" TargetMode="External"/><Relationship Id="rId62" Type="http://schemas.openxmlformats.org/officeDocument/2006/relationships/hyperlink" Target="http://www.qsbank.cc/" TargetMode="External"/><Relationship Id="rId63" Type="http://schemas.openxmlformats.org/officeDocument/2006/relationships/hyperlink" Target="http://www.qrcb.com.cn/" TargetMode="External"/><Relationship Id="rId64" Type="http://schemas.openxmlformats.org/officeDocument/2006/relationships/hyperlink" Target="http://www.qdccb.com/" TargetMode="External"/><Relationship Id="rId65" Type="http://schemas.openxmlformats.org/officeDocument/2006/relationships/hyperlink" Target="http://www.qzccbank.com/" TargetMode="External"/><Relationship Id="rId66" Type="http://schemas.openxmlformats.org/officeDocument/2006/relationships/hyperlink" Target="http://www.bankofrizhao.com.cn/" TargetMode="External"/><Relationship Id="rId67" Type="http://schemas.openxmlformats.org/officeDocument/2006/relationships/hyperlink" Target="http://www.borf.cn/" TargetMode="External"/><Relationship Id="rId68" Type="http://schemas.openxmlformats.org/officeDocument/2006/relationships/hyperlink" Target="http://www.srcb.com/" TargetMode="External"/><Relationship Id="rId69" Type="http://schemas.openxmlformats.org/officeDocument/2006/relationships/hyperlink" Target="http://www.bosc.cn/" TargetMode="External"/><Relationship Id="rId70" Type="http://schemas.openxmlformats.org/officeDocument/2006/relationships/hyperlink" Target="http://www.sdebank.com/" TargetMode="External"/><Relationship Id="rId71" Type="http://schemas.openxmlformats.org/officeDocument/2006/relationships/hyperlink" Target="http://www.tf.cn/" TargetMode="External"/><Relationship Id="rId72" Type="http://schemas.openxmlformats.org/officeDocument/2006/relationships/hyperlink" Target="http://www.wjrcb.com/" TargetMode="External"/><Relationship Id="rId73" Type="http://schemas.openxmlformats.org/officeDocument/2006/relationships/hyperlink" Target="http://www.suzhoubank.com/" TargetMode="External"/><Relationship Id="rId74" Type="http://schemas.openxmlformats.org/officeDocument/2006/relationships/hyperlink" Target="http://www.bank-of-tianjin.com.cn/" TargetMode="External"/><Relationship Id="rId75" Type="http://schemas.openxmlformats.org/officeDocument/2006/relationships/hyperlink" Target="http://www.whccb.com/" TargetMode="External"/><Relationship Id="rId76" Type="http://schemas.openxmlformats.org/officeDocument/2006/relationships/hyperlink" Target="http://www.whccb.com.cn/" TargetMode="External"/><Relationship Id="rId77" Type="http://schemas.openxmlformats.org/officeDocument/2006/relationships/hyperlink" Target="http://www.wfccb.com/" TargetMode="External"/><Relationship Id="rId78" Type="http://schemas.openxmlformats.org/officeDocument/2006/relationships/hyperlink" Target="http://www.uccb.com.cn/" TargetMode="External"/><Relationship Id="rId79" Type="http://schemas.openxmlformats.org/officeDocument/2006/relationships/hyperlink" Target="http://www.whrcbank.com/" TargetMode="External"/><Relationship Id="rId80" Type="http://schemas.openxmlformats.org/officeDocument/2006/relationships/hyperlink" Target="http://www.xmbankonline.com/" TargetMode="External"/><Relationship Id="rId81" Type="http://schemas.openxmlformats.org/officeDocument/2006/relationships/hyperlink" Target="http://www.zjxsbank.com/" TargetMode="External"/><Relationship Id="rId82" Type="http://schemas.openxmlformats.org/officeDocument/2006/relationships/hyperlink" Target="http://www.yantaibank.net/" TargetMode="External"/><Relationship Id="rId83" Type="http://schemas.openxmlformats.org/officeDocument/2006/relationships/hyperlink" Target="http://www.yhrcb.com/" TargetMode="External"/><Relationship Id="rId84" Type="http://schemas.openxmlformats.org/officeDocument/2006/relationships/hyperlink" Target="http://www.ynhtbank.com/" TargetMode="External"/><Relationship Id="rId85" Type="http://schemas.openxmlformats.org/officeDocument/2006/relationships/hyperlink" Target="http://www.czcb.com.cn/" TargetMode="External"/><Relationship Id="rId86" Type="http://schemas.openxmlformats.org/officeDocument/2006/relationships/hyperlink" Target="http://www.zjtlcb.com/" TargetMode="External"/><Relationship Id="rId87" Type="http://schemas.openxmlformats.org/officeDocument/2006/relationships/hyperlink" Target="http://www.zybank.com.cn/" TargetMode="External"/><Relationship Id="rId88" Type="http://schemas.openxmlformats.org/officeDocument/2006/relationships/hyperlink" Target="http://www.cqrcb.com/" TargetMode="External"/><Relationship Id="rId89" Type="http://schemas.openxmlformats.org/officeDocument/2006/relationships/hyperlink" Target="http://www.crbank.com.cn/" TargetMode="External"/><Relationship Id="rId90" Type="http://schemas.openxmlformats.org/officeDocument/2006/relationships/hyperlink" Target="http://www.essence.com.cn/" TargetMode="External"/><Relationship Id="rId91" Type="http://schemas.openxmlformats.org/officeDocument/2006/relationships/hyperlink" Target="http://www.ewww.com.cn/" TargetMode="External"/><Relationship Id="rId92" Type="http://schemas.openxmlformats.org/officeDocument/2006/relationships/hyperlink" Target="http://www.s10000.com/" TargetMode="External"/><Relationship Id="rId93" Type="http://schemas.openxmlformats.org/officeDocument/2006/relationships/hyperlink" Target="http://www.ctsec.com/" TargetMode="External"/><Relationship Id="rId94" Type="http://schemas.openxmlformats.org/officeDocument/2006/relationships/hyperlink" Target="http://www.cfzq.com/" TargetMode="External"/><Relationship Id="rId95" Type="http://schemas.openxmlformats.org/officeDocument/2006/relationships/hyperlink" Target="http://www.gwgsc.com/" TargetMode="External"/><Relationship Id="rId96" Type="http://schemas.openxmlformats.org/officeDocument/2006/relationships/hyperlink" Target="http://www.cgws.com/" TargetMode="External"/><Relationship Id="rId97" Type="http://schemas.openxmlformats.org/officeDocument/2006/relationships/hyperlink" Target="http://www.95579.com/" TargetMode="External"/><Relationship Id="rId98" Type="http://schemas.openxmlformats.org/officeDocument/2006/relationships/hyperlink" Target="http://www.cczq.com/" TargetMode="External"/><Relationship Id="rId99" Type="http://schemas.openxmlformats.org/officeDocument/2006/relationships/hyperlink" Target="http://www.daton.com.cn/" TargetMode="External"/><Relationship Id="rId100" Type="http://schemas.openxmlformats.org/officeDocument/2006/relationships/hyperlink" Target="http://www.dtsbc.com.cn/" TargetMode="External"/><Relationship Id="rId101" Type="http://schemas.openxmlformats.org/officeDocument/2006/relationships/hyperlink" Target="http://www.tebon.com.cn/" TargetMode="External"/><Relationship Id="rId102" Type="http://schemas.openxmlformats.org/officeDocument/2006/relationships/hyperlink" Target="http://www.firstcapital.com.cn/" TargetMode="External"/><Relationship Id="rId103" Type="http://schemas.openxmlformats.org/officeDocument/2006/relationships/hyperlink" Target="http://www.nesc.cn/" TargetMode="External"/><Relationship Id="rId104" Type="http://schemas.openxmlformats.org/officeDocument/2006/relationships/hyperlink" Target="http://www.dfzq.com.cn/" TargetMode="External"/><Relationship Id="rId105" Type="http://schemas.openxmlformats.org/officeDocument/2006/relationships/hyperlink" Target="http://www.dgzq.com.cn/" TargetMode="External"/><Relationship Id="rId106" Type="http://schemas.openxmlformats.org/officeDocument/2006/relationships/hyperlink" Target="http://www.longone.com.cn/" TargetMode="External"/><Relationship Id="rId107" Type="http://schemas.openxmlformats.org/officeDocument/2006/relationships/hyperlink" Target="http://www.dwzq.com.cn/" TargetMode="External"/><Relationship Id="rId108" Type="http://schemas.openxmlformats.org/officeDocument/2006/relationships/hyperlink" Target="http://www.dxzq.net/" TargetMode="External"/><Relationship Id="rId109" Type="http://schemas.openxmlformats.org/officeDocument/2006/relationships/hyperlink" Target="http://www.foundersc.com/" TargetMode="External"/><Relationship Id="rId110" Type="http://schemas.openxmlformats.org/officeDocument/2006/relationships/hyperlink" Target="http://www.ebscn.com/" TargetMode="External"/><Relationship Id="rId111" Type="http://schemas.openxmlformats.org/officeDocument/2006/relationships/hyperlink" Target="http://www.gf.com.cn/" TargetMode="External"/><Relationship Id="rId112" Type="http://schemas.openxmlformats.org/officeDocument/2006/relationships/hyperlink" Target="http://www.guodu.com/" TargetMode="External"/><Relationship Id="rId113" Type="http://schemas.openxmlformats.org/officeDocument/2006/relationships/hyperlink" Target="http://www.ghzq.com.cn/" TargetMode="External"/><Relationship Id="rId114" Type="http://schemas.openxmlformats.org/officeDocument/2006/relationships/hyperlink" Target="http://www.gjzq.com.cn/" TargetMode="External"/><Relationship Id="rId115" Type="http://schemas.openxmlformats.org/officeDocument/2006/relationships/hyperlink" Target="http://www.glsc.com.cn/" TargetMode="External"/><Relationship Id="rId116" Type="http://schemas.openxmlformats.org/officeDocument/2006/relationships/hyperlink" Target="http://www.grzq.com/" TargetMode="External"/><Relationship Id="rId117" Type="http://schemas.openxmlformats.org/officeDocument/2006/relationships/hyperlink" Target="http://www.gszq.com/" TargetMode="External"/><Relationship Id="rId118" Type="http://schemas.openxmlformats.org/officeDocument/2006/relationships/hyperlink" Target="http://www.gtja.com/" TargetMode="External"/><Relationship Id="rId119" Type="http://schemas.openxmlformats.org/officeDocument/2006/relationships/hyperlink" Target="http://www.guosen.com.cn/" TargetMode="External"/><Relationship Id="rId120" Type="http://schemas.openxmlformats.org/officeDocument/2006/relationships/hyperlink" Target="http://www.gyzq.com.cn/" TargetMode="External"/><Relationship Id="rId121" Type="http://schemas.openxmlformats.org/officeDocument/2006/relationships/hyperlink" Target="http://www.htsec.com/" TargetMode="External"/><Relationship Id="rId122" Type="http://schemas.openxmlformats.org/officeDocument/2006/relationships/hyperlink" Target="http://www.cnht.com.cn/" TargetMode="External"/><Relationship Id="rId123" Type="http://schemas.openxmlformats.org/officeDocument/2006/relationships/hyperlink" Target="http://www.hongtastock.com/" TargetMode="External"/><Relationship Id="rId124" Type="http://schemas.openxmlformats.org/officeDocument/2006/relationships/hyperlink" Target="http://www.hazq.com/" TargetMode="External"/><Relationship Id="rId125" Type="http://schemas.openxmlformats.org/officeDocument/2006/relationships/hyperlink" Target="http://www.cnhbstock.com/" TargetMode="External"/><Relationship Id="rId126" Type="http://schemas.openxmlformats.org/officeDocument/2006/relationships/hyperlink" Target="http://www.hfzq.com.cn/" TargetMode="External"/><Relationship Id="rId127" Type="http://schemas.openxmlformats.org/officeDocument/2006/relationships/hyperlink" Target="http://www.chinalin.com/" TargetMode="External"/><Relationship Id="rId128" Type="http://schemas.openxmlformats.org/officeDocument/2006/relationships/hyperlink" Target="http://www.hlzq.com/" TargetMode="External"/><Relationship Id="rId129" Type="http://schemas.openxmlformats.org/officeDocument/2006/relationships/hyperlink" Target="http://www.hrsec.com.cn/" TargetMode="External"/><Relationship Id="rId130" Type="http://schemas.openxmlformats.org/officeDocument/2006/relationships/hyperlink" Target="http://www.htsc.com.cn/" TargetMode="External"/><Relationship Id="rId131" Type="http://schemas.openxmlformats.org/officeDocument/2006/relationships/hyperlink" Target="http://www.hx168.com.cn/" TargetMode="External"/><Relationship Id="rId132" Type="http://schemas.openxmlformats.org/officeDocument/2006/relationships/hyperlink" Target="http://www.cfsc.com.cn/" TargetMode="External"/><Relationship Id="rId133" Type="http://schemas.openxmlformats.org/officeDocument/2006/relationships/hyperlink" Target="http://www.shhxzq.com/" TargetMode="External"/><Relationship Id="rId134" Type="http://schemas.openxmlformats.org/officeDocument/2006/relationships/hyperlink" Target="http://www.jhzq.com.cn/" TargetMode="External"/><Relationship Id="rId135" Type="http://schemas.openxmlformats.org/officeDocument/2006/relationships/hyperlink" Target="http://www.jyzq.cn/" TargetMode="External"/><Relationship Id="rId136" Type="http://schemas.openxmlformats.org/officeDocument/2006/relationships/hyperlink" Target="http://www.jzsec.com/" TargetMode="External"/><Relationship Id="rId137" Type="http://schemas.openxmlformats.org/officeDocument/2006/relationships/hyperlink" Target="http://www.kysec.cn/" TargetMode="External"/><Relationship Id="rId138" Type="http://schemas.openxmlformats.org/officeDocument/2006/relationships/hyperlink" Target="http://www.lczq.com/" TargetMode="External"/><Relationship Id="rId139" Type="http://schemas.openxmlformats.org/officeDocument/2006/relationships/hyperlink" Target="http://www.mszq.com/" TargetMode="External"/><Relationship Id="rId140" Type="http://schemas.openxmlformats.org/officeDocument/2006/relationships/hyperlink" Target="http://www.njzq.com.cn/" TargetMode="External"/><Relationship Id="rId141" Type="http://schemas.openxmlformats.org/officeDocument/2006/relationships/hyperlink" Target="http://www.ubs.com/ubssecurities" TargetMode="External"/><Relationship Id="rId142" Type="http://schemas.openxmlformats.org/officeDocument/2006/relationships/hyperlink" Target="http://www.i618.com.cn/" TargetMode="External"/><Relationship Id="rId143" Type="http://schemas.openxmlformats.org/officeDocument/2006/relationships/hyperlink" Target="http://www.shzq.com/" TargetMode="External"/><Relationship Id="rId144" Type="http://schemas.openxmlformats.org/officeDocument/2006/relationships/hyperlink" Target="http://www.hysec.com/" TargetMode="External"/><Relationship Id="rId145" Type="http://schemas.openxmlformats.org/officeDocument/2006/relationships/hyperlink" Target="http://www.swhysc.com/" TargetMode="External"/><Relationship Id="rId146" Type="http://schemas.openxmlformats.org/officeDocument/2006/relationships/hyperlink" Target="http://www.csco.com.cn/" TargetMode="External"/><Relationship Id="rId147" Type="http://schemas.openxmlformats.org/officeDocument/2006/relationships/hyperlink" Target="http://www.sczq.com.cn/" TargetMode="External"/><Relationship Id="rId148" Type="http://schemas.openxmlformats.org/officeDocument/2006/relationships/hyperlink" Target="http://www.tfzq.com/" TargetMode="External"/><Relationship Id="rId149" Type="http://schemas.openxmlformats.org/officeDocument/2006/relationships/hyperlink" Target="http://www.wlzq.cn/" TargetMode="External"/><Relationship Id="rId150" Type="http://schemas.openxmlformats.org/officeDocument/2006/relationships/hyperlink" Target="http://www.wkzq.com.cn/" TargetMode="External"/><Relationship Id="rId151" Type="http://schemas.openxmlformats.org/officeDocument/2006/relationships/hyperlink" Target="http://www.westsecu.com/" TargetMode="External"/><Relationship Id="rId152" Type="http://schemas.openxmlformats.org/officeDocument/2006/relationships/hyperlink" Target="http://www.swsc.com.cn/" TargetMode="External"/><Relationship Id="rId153" Type="http://schemas.openxmlformats.org/officeDocument/2006/relationships/hyperlink" Target="http://www.xcsc.com/" TargetMode="External"/><Relationship Id="rId154" Type="http://schemas.openxmlformats.org/officeDocument/2006/relationships/hyperlink" Target="http://www.xsdzq.cn/" TargetMode="External"/><Relationship Id="rId155" Type="http://schemas.openxmlformats.org/officeDocument/2006/relationships/hyperlink" Target="http://www.cindasc.com/" TargetMode="External"/><Relationship Id="rId156" Type="http://schemas.openxmlformats.org/officeDocument/2006/relationships/hyperlink" Target="http://www.xyzq.com.cn/" TargetMode="External"/><Relationship Id="rId157" Type="http://schemas.openxmlformats.org/officeDocument/2006/relationships/hyperlink" Target="http://www.chinastock.com.cn/" TargetMode="External"/><Relationship Id="rId158" Type="http://schemas.openxmlformats.org/officeDocument/2006/relationships/hyperlink" Target="http://www.ykzq.com/" TargetMode="External"/><Relationship Id="rId159" Type="http://schemas.openxmlformats.org/officeDocument/2006/relationships/hyperlink" Target="http://www.newone.com.cn/" TargetMode="External"/><Relationship Id="rId160" Type="http://schemas.openxmlformats.org/officeDocument/2006/relationships/hyperlink" Target="http://www.stocke.com.cn/" TargetMode="External"/><Relationship Id="rId161" Type="http://schemas.openxmlformats.org/officeDocument/2006/relationships/hyperlink" Target="http://www.avicsec.com/" TargetMode="External"/><Relationship Id="rId162" Type="http://schemas.openxmlformats.org/officeDocument/2006/relationships/hyperlink" Target="http://www.ciccwm.com/" TargetMode="External"/><Relationship Id="rId163" Type="http://schemas.openxmlformats.org/officeDocument/2006/relationships/hyperlink" Target="http://www.cicc.com.cn/" TargetMode="External"/><Relationship Id="rId164" Type="http://schemas.openxmlformats.org/officeDocument/2006/relationships/hyperlink" Target="http://www.zszq.com/" TargetMode="External"/><Relationship Id="rId165" Type="http://schemas.openxmlformats.org/officeDocument/2006/relationships/hyperlink" Target="http://www.zts.com.cn/" TargetMode="External"/><Relationship Id="rId166" Type="http://schemas.openxmlformats.org/officeDocument/2006/relationships/hyperlink" Target="http://www.iztzq.com/" TargetMode="External"/><Relationship Id="rId167" Type="http://schemas.openxmlformats.org/officeDocument/2006/relationships/hyperlink" Target="http://www.csc108.com/" TargetMode="External"/><Relationship Id="rId168" Type="http://schemas.openxmlformats.org/officeDocument/2006/relationships/hyperlink" Target="http://www.cs.ecitic.com/" TargetMode="External"/><Relationship Id="rId169" Type="http://schemas.openxmlformats.org/officeDocument/2006/relationships/hyperlink" Target="http://www.gzs.com.cn/" TargetMode="External"/><Relationship Id="rId170" Type="http://schemas.openxmlformats.org/officeDocument/2006/relationships/hyperlink" Target="http://sd.citics.com/" TargetMode="External"/><Relationship Id="rId171" Type="http://schemas.openxmlformats.org/officeDocument/2006/relationships/hyperlink" Target="http://www.bocichina.com/" TargetMode="External"/><Relationship Id="rId172" Type="http://schemas.openxmlformats.org/officeDocument/2006/relationships/hyperlink" Target="http://www.cnpsec.com/" TargetMode="External"/><Relationship Id="rId173" Type="http://schemas.openxmlformats.org/officeDocument/2006/relationships/hyperlink" Target="http://www.ccnew.com/" TargetMode="External"/><Relationship Id="rId174" Type="http://schemas.openxmlformats.org/officeDocument/2006/relationships/hyperlink" Target="http://www.baiyingfund.com/" TargetMode="External"/><Relationship Id="rId175" Type="http://schemas.openxmlformats.org/officeDocument/2006/relationships/hyperlink" Target="http://www.erichfund.com/" TargetMode="External"/><Relationship Id="rId176" Type="http://schemas.openxmlformats.org/officeDocument/2006/relationships/hyperlink" Target="http://www.998fund.com/" TargetMode="External"/><Relationship Id="rId177" Type="http://schemas.openxmlformats.org/officeDocument/2006/relationships/hyperlink" Target="http://www.5irich.com/" TargetMode="External"/><Relationship Id="rId178" Type="http://schemas.openxmlformats.org/officeDocument/2006/relationships/hyperlink" Target="http://www.dtfunds.com/" TargetMode="External"/><Relationship Id="rId179" Type="http://schemas.openxmlformats.org/officeDocument/2006/relationships/hyperlink" Target="http://www.wg.com.cn/" TargetMode="External"/><Relationship Id="rId180" Type="http://schemas.openxmlformats.org/officeDocument/2006/relationships/hyperlink" Target="http://www.9ifund.com/" TargetMode="External"/><Relationship Id="rId181" Type="http://schemas.openxmlformats.org/officeDocument/2006/relationships/hyperlink" Target="http://www.dzqh.com.cn/" TargetMode="External"/><Relationship Id="rId182" Type="http://schemas.openxmlformats.org/officeDocument/2006/relationships/hyperlink" Target="http://www.puyifund.com/" TargetMode="External"/><Relationship Id="rId183" Type="http://schemas.openxmlformats.org/officeDocument/2006/relationships/hyperlink" Target="http://www.fujifund.cn/" TargetMode="External"/><Relationship Id="rId184" Type="http://schemas.openxmlformats.org/officeDocument/2006/relationships/hyperlink" Target="http://www.fundhaiyin.com/" TargetMode="External"/><Relationship Id="rId185" Type="http://schemas.openxmlformats.org/officeDocument/2006/relationships/hyperlink" Target="http://www.ehowbuy.com/" TargetMode="External"/><Relationship Id="rId186" Type="http://schemas.openxmlformats.org/officeDocument/2006/relationships/hyperlink" Target="http://licaike.hexun.com/" TargetMode="External"/><Relationship Id="rId187" Type="http://schemas.openxmlformats.org/officeDocument/2006/relationships/hyperlink" Target="http://www.chtwm.com/" TargetMode="External"/><Relationship Id="rId188" Type="http://schemas.openxmlformats.org/officeDocument/2006/relationships/hyperlink" Target="http://www.ftol.com.cn/" TargetMode="External"/><Relationship Id="rId189" Type="http://schemas.openxmlformats.org/officeDocument/2006/relationships/hyperlink" Target="http://www.hongdianfund.com/" TargetMode="External"/><Relationship Id="rId190" Type="http://schemas.openxmlformats.org/officeDocument/2006/relationships/hyperlink" Target="http://www.huaruisales.com/" TargetMode="External"/><Relationship Id="rId191" Type="http://schemas.openxmlformats.org/officeDocument/2006/relationships/hyperlink" Target="http://www.amcfortune.com/" TargetMode="External"/><Relationship Id="rId192" Type="http://schemas.openxmlformats.org/officeDocument/2006/relationships/hyperlink" Target="http://www.hsqh.net/" TargetMode="External"/><Relationship Id="rId193" Type="http://schemas.openxmlformats.org/officeDocument/2006/relationships/hyperlink" Target="http://www.hcfunds.com/" TargetMode="External"/><Relationship Id="rId194" Type="http://schemas.openxmlformats.org/officeDocument/2006/relationships/hyperlink" Target="http://www.hotjijin.com/" TargetMode="External"/><Relationship Id="rId195" Type="http://schemas.openxmlformats.org/officeDocument/2006/relationships/hyperlink" Target="http://www.jianfortune.com/" TargetMode="External"/><Relationship Id="rId196" Type="http://schemas.openxmlformats.org/officeDocument/2006/relationships/hyperlink" Target="http://www.bzfunds.com/" TargetMode="External"/><Relationship Id="rId197" Type="http://schemas.openxmlformats.org/officeDocument/2006/relationships/hyperlink" Target="http://www.harvestwm.cn/" TargetMode="External"/><Relationship Id="rId198" Type="http://schemas.openxmlformats.org/officeDocument/2006/relationships/hyperlink" Target="http://www.jsjbl.com/" TargetMode="External"/><Relationship Id="rId199" Type="http://schemas.openxmlformats.org/officeDocument/2006/relationships/hyperlink" Target="http://www.jincheng-fund.com/" TargetMode="External"/><Relationship Id="rId200" Type="http://schemas.openxmlformats.org/officeDocument/2006/relationships/hyperlink" Target="http://www.jhjzfund.com/" TargetMode="External"/><Relationship Id="rId201" Type="http://schemas.openxmlformats.org/officeDocument/2006/relationships/hyperlink" Target="http://www.jfcta.com/" TargetMode="External"/><Relationship Id="rId202" Type="http://schemas.openxmlformats.org/officeDocument/2006/relationships/hyperlink" Target="http://www.vstonewealth.com/" TargetMode="External"/><Relationship Id="rId203" Type="http://schemas.openxmlformats.org/officeDocument/2006/relationships/hyperlink" Target="http://fund.jd.com/" TargetMode="External"/><Relationship Id="rId204" Type="http://schemas.openxmlformats.org/officeDocument/2006/relationships/hyperlink" Target="http://www.leadfund.com.cn/" TargetMode="External"/><Relationship Id="rId205" Type="http://schemas.openxmlformats.org/officeDocument/2006/relationships/hyperlink" Target="http://www.66zichan.com/" TargetMode="External"/><Relationship Id="rId206" Type="http://schemas.openxmlformats.org/officeDocument/2006/relationships/hyperlink" Target="http://www.lufunds.com/" TargetMode="External"/><Relationship Id="rId207" Type="http://schemas.openxmlformats.org/officeDocument/2006/relationships/hyperlink" Target="http://www.fund123.cn/" TargetMode="External"/><Relationship Id="rId208" Type="http://schemas.openxmlformats.org/officeDocument/2006/relationships/hyperlink" Target="http://www.msftec.com/" TargetMode="External"/><Relationship Id="rId209" Type="http://schemas.openxmlformats.org/officeDocument/2006/relationships/hyperlink" Target="http://www.noah-fund.com/" TargetMode="External"/><Relationship Id="rId210" Type="http://schemas.openxmlformats.org/officeDocument/2006/relationships/hyperlink" Target="http://www.zscffund.com/" TargetMode="External"/><Relationship Id="rId211" Type="http://schemas.openxmlformats.org/officeDocument/2006/relationships/hyperlink" Target="http://www.qianjing.com/" TargetMode="External"/><Relationship Id="rId212" Type="http://schemas.openxmlformats.org/officeDocument/2006/relationships/hyperlink" Target="http://8.jrj.com.cn/" TargetMode="External"/><Relationship Id="rId213" Type="http://schemas.openxmlformats.org/officeDocument/2006/relationships/hyperlink" Target="http://www.shengshiview.com/" TargetMode="External"/><Relationship Id="rId214" Type="http://schemas.openxmlformats.org/officeDocument/2006/relationships/hyperlink" Target="http://www.snjijin.com/" TargetMode="External"/><Relationship Id="rId215" Type="http://schemas.openxmlformats.org/officeDocument/2006/relationships/hyperlink" Target="http://www.txfund.com/" TargetMode="External"/><Relationship Id="rId216" Type="http://schemas.openxmlformats.org/officeDocument/2006/relationships/hyperlink" Target="http://www.1234567.com.cn/" TargetMode="External"/><Relationship Id="rId217" Type="http://schemas.openxmlformats.org/officeDocument/2006/relationships/hyperlink" Target="http://www.tonghuafund.com/" TargetMode="External"/><Relationship Id="rId218" Type="http://schemas.openxmlformats.org/officeDocument/2006/relationships/hyperlink" Target="http://www.5ifund.com/" TargetMode="External"/><Relationship Id="rId219" Type="http://schemas.openxmlformats.org/officeDocument/2006/relationships/hyperlink" Target="http://jr.tuniu.com/" TargetMode="External"/><Relationship Id="rId220" Type="http://schemas.openxmlformats.org/officeDocument/2006/relationships/hyperlink" Target="http://www.wacaijijin.com/" TargetMode="External"/><Relationship Id="rId221" Type="http://schemas.openxmlformats.org/officeDocument/2006/relationships/hyperlink" Target="http://www.520fund.com.cn/" TargetMode="External"/><Relationship Id="rId222" Type="http://schemas.openxmlformats.org/officeDocument/2006/relationships/hyperlink" Target="http://www.wanjiawealth.com/" TargetMode="External"/><Relationship Id="rId223" Type="http://schemas.openxmlformats.org/officeDocument/2006/relationships/hyperlink" Target="http://www.xincai.com/" TargetMode="External"/><Relationship Id="rId224" Type="http://schemas.openxmlformats.org/officeDocument/2006/relationships/hyperlink" Target="http://www.xds.com.cn/" TargetMode="External"/><Relationship Id="rId225" Type="http://schemas.openxmlformats.org/officeDocument/2006/relationships/hyperlink" Target="http://fund.sinosig.com/" TargetMode="External"/><Relationship Id="rId226" Type="http://schemas.openxmlformats.org/officeDocument/2006/relationships/hyperlink" Target="http://www.yilucaifu.com/" TargetMode="External"/><Relationship Id="rId227" Type="http://schemas.openxmlformats.org/officeDocument/2006/relationships/hyperlink" Target="http://www.yitfund.com/" TargetMode="External"/><Relationship Id="rId228" Type="http://schemas.openxmlformats.org/officeDocument/2006/relationships/hyperlink" Target="http://www.yixinfund.com/" TargetMode="External"/><Relationship Id="rId229" Type="http://schemas.openxmlformats.org/officeDocument/2006/relationships/hyperlink" Target="http://www.ifastps.com.cn/" TargetMode="External"/><Relationship Id="rId230" Type="http://schemas.openxmlformats.org/officeDocument/2006/relationships/hyperlink" Target="http://www.yingmi.cn/" TargetMode="External"/><Relationship Id="rId231" Type="http://schemas.openxmlformats.org/officeDocument/2006/relationships/hyperlink" Target="http://www.zhengtongfunds.com/" TargetMode="External"/><Relationship Id="rId232" Type="http://schemas.openxmlformats.org/officeDocument/2006/relationships/hyperlink" Target="http://www.zcvc.com.cn/" TargetMode="External"/><Relationship Id="rId233" Type="http://schemas.openxmlformats.org/officeDocument/2006/relationships/hyperlink" Target="http://www.myfund.com/" TargetMode="External"/><Relationship Id="rId234" Type="http://schemas.openxmlformats.org/officeDocument/2006/relationships/hyperlink" Target="http://www.cifco.net/" TargetMode="External"/><Relationship Id="rId235" Type="http://schemas.openxmlformats.org/officeDocument/2006/relationships/hyperlink" Target="http://www.jrtoo.com/" TargetMode="External"/><Relationship Id="rId236" Type="http://schemas.openxmlformats.org/officeDocument/2006/relationships/hyperlink" Target="http://www.cfc108.com/" TargetMode="External"/><Relationship Id="rId237" Type="http://schemas.openxmlformats.org/officeDocument/2006/relationships/hyperlink" Target="http://www.citicsf.com/" TargetMode="External"/><Relationship Id="rId238" Type="http://schemas.openxmlformats.org/officeDocument/2006/relationships/hyperlink" Target="http://www.zhongzhengfund.com/" TargetMode="External"/><Relationship Id="rId239" Type="http://schemas.openxmlformats.org/officeDocument/2006/relationships/hyperlink" Target="http://www.jnlc.com/" TargetMode="External"/><Relationship Id="rId240" Type="http://schemas.openxmlformats.org/officeDocument/2006/relationships/hyperlink" Target="http://www.zlfund.cn/" TargetMode="External"/><Relationship Id="rId241" Type="http://schemas.openxmlformats.org/officeDocument/2006/relationships/hyperlink" Target="http://www.jjmmw.com/" TargetMode="External"/><Relationship Id="rId242" Type="http://schemas.openxmlformats.org/officeDocument/2006/relationships/hyperlink" Target="mailto:service@efunds.com.cn" TargetMode="External"/><Relationship Id="rId2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2020-11-18T05:55:11Z</dcterms:created>
  <dcterms:modified xsi:type="dcterms:W3CDTF">2020-11-18T05:55:11Z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