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3"/>
        </w:rPr>
      </w:pPr>
    </w:p>
    <w:p>
      <w:pPr>
        <w:spacing w:line="702" w:lineRule="exact" w:before="0"/>
        <w:ind w:left="2114" w:right="1215" w:firstLine="0"/>
        <w:jc w:val="center"/>
        <w:rPr>
          <w:rFonts w:ascii="Microsoft JhengHei" w:eastAsia="Microsoft JhengHei" w:hint="eastAsia"/>
          <w:b/>
          <w:sz w:val="44"/>
        </w:rPr>
      </w:pPr>
      <w:r>
        <w:rPr>
          <w:rFonts w:ascii="Microsoft JhengHei" w:eastAsia="Microsoft JhengHei" w:hint="eastAsia"/>
          <w:b/>
          <w:sz w:val="44"/>
        </w:rPr>
        <w:t>易方达中小盘混合型证券投资基金</w:t>
      </w:r>
    </w:p>
    <w:p>
      <w:pPr>
        <w:spacing w:before="47"/>
        <w:ind w:left="2114" w:right="1215"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7"/>
        <w:ind w:left="0"/>
        <w:rPr>
          <w:rFonts w:ascii="Microsoft JhengHei"/>
          <w:b/>
          <w:sz w:val="40"/>
        </w:rPr>
      </w:pPr>
    </w:p>
    <w:p>
      <w:pPr>
        <w:spacing w:line="364" w:lineRule="auto" w:before="0"/>
        <w:ind w:left="2533" w:right="1991" w:firstLine="0"/>
        <w:jc w:val="left"/>
        <w:rPr>
          <w:sz w:val="32"/>
        </w:rPr>
      </w:pPr>
      <w:r>
        <w:rPr>
          <w:sz w:val="32"/>
        </w:rPr>
        <w:t>基金管理人：易方达基金管理有限公司基金托管人：中国银行股份有限公司</w:t>
      </w:r>
    </w:p>
    <w:p>
      <w:pPr>
        <w:pStyle w:val="BodyText"/>
        <w:ind w:left="0"/>
        <w:rPr>
          <w:sz w:val="32"/>
        </w:rPr>
      </w:pPr>
    </w:p>
    <w:p>
      <w:pPr>
        <w:spacing w:before="211"/>
        <w:ind w:left="1797" w:right="1215" w:firstLine="0"/>
        <w:jc w:val="center"/>
        <w:rPr>
          <w:sz w:val="32"/>
        </w:rPr>
      </w:pPr>
      <w:r>
        <w:rPr>
          <w:sz w:val="32"/>
        </w:rPr>
        <w:t>二○二○年十月</w:t>
      </w:r>
    </w:p>
    <w:p>
      <w:pPr>
        <w:spacing w:after="0"/>
        <w:jc w:val="center"/>
        <w:rPr>
          <w:sz w:val="32"/>
        </w:rPr>
        <w:sectPr>
          <w:type w:val="continuous"/>
          <w:pgSz w:w="11910" w:h="16840"/>
          <w:pgMar w:top="1600" w:bottom="280" w:left="960" w:right="981"/>
        </w:sectPr>
      </w:pPr>
    </w:p>
    <w:p>
      <w:pPr>
        <w:spacing w:before="13"/>
        <w:ind w:left="1795" w:right="1215" w:firstLine="0"/>
        <w:jc w:val="center"/>
        <w:rPr>
          <w:rFonts w:ascii="Microsoft JhengHei" w:eastAsia="Microsoft JhengHei" w:hint="eastAsia"/>
          <w:b/>
          <w:sz w:val="28"/>
        </w:rPr>
      </w:pPr>
      <w:r>
        <w:rPr>
          <w:rFonts w:ascii="Microsoft JhengHei" w:eastAsia="Microsoft JhengHei" w:hint="eastAsia"/>
          <w:b/>
          <w:sz w:val="28"/>
        </w:rPr>
        <w:t>重要提示</w:t>
      </w:r>
    </w:p>
    <w:p>
      <w:pPr>
        <w:pStyle w:val="BodyText"/>
        <w:spacing w:line="364" w:lineRule="auto" w:before="121"/>
        <w:ind w:left="853" w:right="831" w:firstLine="480"/>
        <w:jc w:val="both"/>
      </w:pPr>
      <w:r>
        <w:rPr>
          <w:spacing w:val="-9"/>
        </w:rPr>
        <w:t>本基金根据 </w:t>
      </w:r>
      <w:r>
        <w:rPr/>
        <w:t>2008</w:t>
      </w:r>
      <w:r>
        <w:rPr>
          <w:spacing w:val="-36"/>
        </w:rPr>
        <w:t> 年 </w:t>
      </w:r>
      <w:r>
        <w:rPr/>
        <w:t>5</w:t>
      </w:r>
      <w:r>
        <w:rPr>
          <w:spacing w:val="-36"/>
        </w:rPr>
        <w:t> 月 </w:t>
      </w:r>
      <w:r>
        <w:rPr/>
        <w:t>6</w:t>
      </w:r>
      <w:r>
        <w:rPr>
          <w:spacing w:val="-13"/>
        </w:rPr>
        <w:t> 日中国证券监督管理委员会《关于核准易方达中小盘股票型</w:t>
      </w:r>
      <w:r>
        <w:rPr>
          <w:spacing w:val="-9"/>
        </w:rPr>
        <w:t>证券投资基金募集的批复》</w:t>
      </w:r>
      <w:r>
        <w:rPr/>
        <w:t>（证监许可[2008]644</w:t>
      </w:r>
      <w:r>
        <w:rPr>
          <w:spacing w:val="-25"/>
        </w:rPr>
        <w:t> 号</w:t>
      </w:r>
      <w:r>
        <w:rPr/>
        <w:t>）</w:t>
      </w:r>
      <w:r>
        <w:rPr>
          <w:spacing w:val="-25"/>
        </w:rPr>
        <w:t>和 </w:t>
      </w:r>
      <w:r>
        <w:rPr/>
        <w:t>2008</w:t>
      </w:r>
      <w:r>
        <w:rPr>
          <w:spacing w:val="-33"/>
        </w:rPr>
        <w:t> 年 </w:t>
      </w:r>
      <w:r>
        <w:rPr/>
        <w:t>5</w:t>
      </w:r>
      <w:r>
        <w:rPr>
          <w:spacing w:val="-33"/>
        </w:rPr>
        <w:t> 月 </w:t>
      </w:r>
      <w:r>
        <w:rPr/>
        <w:t>15</w:t>
      </w:r>
      <w:r>
        <w:rPr>
          <w:spacing w:val="-9"/>
        </w:rPr>
        <w:t> 日《关于同意易方</w:t>
      </w:r>
      <w:r>
        <w:rPr>
          <w:spacing w:val="-5"/>
        </w:rPr>
        <w:t>达中小盘股票型证券投资基金募集时间安排的确认函》</w:t>
      </w:r>
      <w:r>
        <w:rPr/>
        <w:t>（基金部函[2008]180</w:t>
      </w:r>
      <w:r>
        <w:rPr>
          <w:spacing w:val="-16"/>
        </w:rPr>
        <w:t> 号</w:t>
      </w:r>
      <w:r>
        <w:rPr/>
        <w:t>）</w:t>
      </w:r>
      <w:r>
        <w:rPr>
          <w:spacing w:val="-4"/>
        </w:rPr>
        <w:t>的核准， 进行募集。本基金的基金合同于 </w:t>
      </w:r>
      <w:r>
        <w:rPr/>
        <w:t>2008</w:t>
      </w:r>
      <w:r>
        <w:rPr>
          <w:spacing w:val="-36"/>
        </w:rPr>
        <w:t> 年 </w:t>
      </w:r>
      <w:r>
        <w:rPr/>
        <w:t>6</w:t>
      </w:r>
      <w:r>
        <w:rPr>
          <w:spacing w:val="-36"/>
        </w:rPr>
        <w:t> 月 </w:t>
      </w:r>
      <w:r>
        <w:rPr/>
        <w:t>19</w:t>
      </w:r>
      <w:r>
        <w:rPr>
          <w:spacing w:val="-9"/>
        </w:rPr>
        <w:t> 日正式生效。</w:t>
      </w:r>
    </w:p>
    <w:p>
      <w:pPr>
        <w:pStyle w:val="BodyText"/>
        <w:spacing w:line="364" w:lineRule="auto"/>
        <w:ind w:left="853" w:right="831"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853" w:right="831" w:firstLine="480"/>
      </w:pPr>
      <w:r>
        <w:rPr/>
        <w:t>基金管理人依照恪尽职守、诚实信用、谨慎勤勉的原则管理和运用基金财产，但不保证基金一定盈利，也不保证最低收益。</w:t>
      </w:r>
    </w:p>
    <w:p>
      <w:pPr>
        <w:pStyle w:val="BodyText"/>
        <w:spacing w:line="364" w:lineRule="auto"/>
        <w:ind w:left="853" w:right="725" w:firstLine="480"/>
        <w:jc w:val="both"/>
      </w:pPr>
      <w:r>
        <w:rPr/>
        <w:t>本基金投资于证券市场，基金净值会因为证券市场波动等因素产生波动，投资者在投资本基金前，需充分了解本基金的产品特性，并承担基金投资中出现的各类风险，包括： 因政治、经济、社会等环境因素对证券价格产生影响而形成的系统性风险，个别证券特有的非系统性风险，由于基金投资人连续大量赎回基金产生的流动性风险，本基金法律文件中涉及基金风险特征的表述与销售机构对基金的风险评级可能不一致的风险，基金管理人在基金管理实施过程中产生的基金管理风险，本基金的特定风险等等。投资有风险，投资</w:t>
      </w:r>
      <w:r>
        <w:rPr>
          <w:spacing w:val="-11"/>
        </w:rPr>
        <w:t>者投资于本基金前应认真阅读本基金的《招募说明书》、《基金合同》和基金产品资料概要。</w:t>
      </w:r>
    </w:p>
    <w:p>
      <w:pPr>
        <w:pStyle w:val="BodyText"/>
        <w:spacing w:line="266" w:lineRule="exact"/>
        <w:ind w:left="1333"/>
      </w:pPr>
      <w:r>
        <w:rPr/>
        <w:t>基金的过往业绩并不预示其未来表现。</w:t>
      </w:r>
    </w:p>
    <w:p>
      <w:pPr>
        <w:pStyle w:val="BodyText"/>
        <w:spacing w:line="364" w:lineRule="auto" w:before="135"/>
        <w:ind w:left="853" w:right="621" w:firstLine="420"/>
      </w:pPr>
      <w:r>
        <w:rPr/>
        <w:t>本基金本次更新招募说明书对基金合同及托管协议修订及董事、监事、高级管理人员 </w:t>
      </w:r>
      <w:r>
        <w:rPr>
          <w:spacing w:val="-4"/>
        </w:rPr>
        <w:t>相关信息进行更新，相关信息更新截止日为 </w:t>
      </w:r>
      <w:r>
        <w:rPr/>
        <w:t>2020</w:t>
      </w:r>
      <w:r>
        <w:rPr>
          <w:spacing w:val="-35"/>
        </w:rPr>
        <w:t> 年 </w:t>
      </w:r>
      <w:r>
        <w:rPr/>
        <w:t>10</w:t>
      </w:r>
      <w:r>
        <w:rPr>
          <w:spacing w:val="-35"/>
        </w:rPr>
        <w:t> 月 </w:t>
      </w:r>
      <w:r>
        <w:rPr/>
        <w:t>14</w:t>
      </w:r>
      <w:r>
        <w:rPr>
          <w:spacing w:val="-8"/>
        </w:rPr>
        <w:t> 日。除非另有说明，本招募说明</w:t>
      </w:r>
      <w:r>
        <w:rPr>
          <w:spacing w:val="-12"/>
        </w:rPr>
        <w:t>书其他所载内容截止日为 </w:t>
      </w:r>
      <w:r>
        <w:rPr/>
        <w:t>2020</w:t>
      </w:r>
      <w:r>
        <w:rPr>
          <w:spacing w:val="-31"/>
        </w:rPr>
        <w:t> 年 </w:t>
      </w:r>
      <w:r>
        <w:rPr/>
        <w:t>5</w:t>
      </w:r>
      <w:r>
        <w:rPr>
          <w:spacing w:val="-32"/>
        </w:rPr>
        <w:t> 月 </w:t>
      </w:r>
      <w:r>
        <w:rPr/>
        <w:t>16</w:t>
      </w:r>
      <w:r>
        <w:rPr>
          <w:spacing w:val="-10"/>
        </w:rPr>
        <w:t> 日，有关财务数据截止日为 </w:t>
      </w:r>
      <w:r>
        <w:rPr/>
        <w:t>2020</w:t>
      </w:r>
      <w:r>
        <w:rPr>
          <w:spacing w:val="-32"/>
        </w:rPr>
        <w:t> 年 </w:t>
      </w:r>
      <w:r>
        <w:rPr/>
        <w:t>3</w:t>
      </w:r>
      <w:r>
        <w:rPr>
          <w:spacing w:val="-31"/>
        </w:rPr>
        <w:t> 月 </w:t>
      </w:r>
      <w:r>
        <w:rPr/>
        <w:t>31</w:t>
      </w:r>
      <w:r>
        <w:rPr>
          <w:spacing w:val="-16"/>
        </w:rPr>
        <w:t> 日， </w:t>
      </w:r>
      <w:r>
        <w:rPr>
          <w:spacing w:val="-21"/>
        </w:rPr>
        <w:t>净值表现截止日为 </w:t>
      </w:r>
      <w:r>
        <w:rPr/>
        <w:t>2019</w:t>
      </w:r>
      <w:r>
        <w:rPr>
          <w:spacing w:val="-36"/>
        </w:rPr>
        <w:t> 年 </w:t>
      </w:r>
      <w:r>
        <w:rPr/>
        <w:t>12</w:t>
      </w:r>
      <w:r>
        <w:rPr>
          <w:spacing w:val="-36"/>
        </w:rPr>
        <w:t> 月 </w:t>
      </w:r>
      <w:r>
        <w:rPr/>
        <w:t>31</w:t>
      </w:r>
      <w:r>
        <w:rPr>
          <w:spacing w:val="-53"/>
        </w:rPr>
        <w:t> 日。</w:t>
      </w:r>
      <w:r>
        <w:rPr/>
        <w:t>（本报告中财务数据未经审计）</w:t>
      </w:r>
    </w:p>
    <w:p>
      <w:pPr>
        <w:spacing w:after="0" w:line="364" w:lineRule="auto"/>
        <w:sectPr>
          <w:pgSz w:w="11910" w:h="16840"/>
          <w:pgMar w:top="1600" w:bottom="280" w:left="960" w:right="981"/>
        </w:sectPr>
      </w:pPr>
    </w:p>
    <w:p>
      <w:pPr>
        <w:spacing w:before="46"/>
        <w:ind w:left="1242" w:right="742" w:firstLine="0"/>
        <w:jc w:val="center"/>
        <w:rPr>
          <w:sz w:val="30"/>
        </w:rPr>
      </w:pPr>
      <w:r>
        <w:rPr>
          <w:sz w:val="30"/>
        </w:rPr>
        <w:t>目录</w:t>
      </w:r>
    </w:p>
    <w:p>
      <w:pPr>
        <w:spacing w:after="0"/>
        <w:jc w:val="center"/>
        <w:rPr>
          <w:sz w:val="30"/>
        </w:rPr>
        <w:sectPr>
          <w:footerReference w:type="default" r:id="rId5"/>
          <w:pgSz w:w="11910" w:h="16840"/>
          <w:pgMar w:footer="638" w:header="0" w:top="1380" w:bottom="1570" w:left="960" w:right="980"/>
          <w:pgNumType w:start="1"/>
        </w:sectPr>
      </w:pPr>
    </w:p>
    <w:sdt>
      <w:sdtPr>
        <w:docPartObj>
          <w:docPartGallery w:val="Table of Contents"/>
          <w:docPartUnique/>
        </w:docPartObj>
      </w:sdtPr>
      <w:sdtEndPr/>
      <w:sdtContent>
        <w:p>
          <w:pPr>
            <w:pStyle w:val="TOC1"/>
            <w:tabs>
              <w:tab w:pos="8295" w:val="right" w:leader="dot"/>
            </w:tabs>
            <w:spacing w:before="243"/>
            <w:ind w:right="827"/>
          </w:pPr>
          <w:hyperlink w:history="true" w:anchor="_bookmark0">
            <w:r>
              <w:rPr/>
              <w:t>一、绪言</w:t>
              <w:tab/>
              <w:t>4</w:t>
            </w:r>
          </w:hyperlink>
        </w:p>
        <w:p>
          <w:pPr>
            <w:pStyle w:val="TOC1"/>
            <w:tabs>
              <w:tab w:pos="8295" w:val="right" w:leader="dot"/>
            </w:tabs>
            <w:spacing w:before="52"/>
            <w:ind w:right="827"/>
          </w:pPr>
          <w:hyperlink w:history="true" w:anchor="_bookmark1">
            <w:r>
              <w:rPr/>
              <w:t>二、释义</w:t>
              <w:tab/>
              <w:t>5</w:t>
            </w:r>
          </w:hyperlink>
        </w:p>
        <w:p>
          <w:pPr>
            <w:pStyle w:val="TOC1"/>
            <w:tabs>
              <w:tab w:pos="8295" w:val="right" w:leader="dot"/>
            </w:tabs>
            <w:spacing w:before="53"/>
            <w:ind w:right="827"/>
          </w:pPr>
          <w:hyperlink w:history="true" w:anchor="_bookmark2">
            <w:r>
              <w:rPr/>
              <w:t>三、基金管理人</w:t>
              <w:tab/>
              <w:t>8</w:t>
            </w:r>
          </w:hyperlink>
        </w:p>
        <w:p>
          <w:pPr>
            <w:pStyle w:val="TOC1"/>
            <w:tabs>
              <w:tab w:pos="7495" w:val="right" w:leader="dot"/>
            </w:tabs>
            <w:spacing w:before="9"/>
            <w:rPr>
              <w:rFonts w:ascii="Times New Roman" w:eastAsia="Times New Roman"/>
            </w:rPr>
          </w:pPr>
          <w:hyperlink w:history="true" w:anchor="_bookmark3">
            <w:r>
              <w:rPr/>
              <w:t>（一）基金管理人基本情况</w:t>
              <w:tab/>
            </w:r>
            <w:r>
              <w:rPr>
                <w:rFonts w:ascii="Times New Roman" w:eastAsia="Times New Roman"/>
              </w:rPr>
              <w:t>8</w:t>
            </w:r>
          </w:hyperlink>
        </w:p>
        <w:p>
          <w:pPr>
            <w:pStyle w:val="TOC1"/>
            <w:tabs>
              <w:tab w:pos="7495" w:val="right" w:leader="dot"/>
            </w:tabs>
            <w:rPr>
              <w:rFonts w:ascii="Times New Roman" w:eastAsia="Times New Roman"/>
            </w:rPr>
          </w:pPr>
          <w:hyperlink w:history="true" w:anchor="_bookmark4">
            <w:r>
              <w:rPr/>
              <w:t>（二）主要人员情况</w:t>
              <w:tab/>
            </w:r>
            <w:r>
              <w:rPr>
                <w:rFonts w:ascii="Times New Roman" w:eastAsia="Times New Roman"/>
              </w:rPr>
              <w:t>8</w:t>
            </w:r>
          </w:hyperlink>
        </w:p>
        <w:p>
          <w:pPr>
            <w:pStyle w:val="TOC1"/>
            <w:tabs>
              <w:tab w:pos="7495" w:val="right" w:leader="dot"/>
            </w:tabs>
            <w:spacing w:before="5"/>
            <w:rPr>
              <w:rFonts w:ascii="Times New Roman" w:eastAsia="Times New Roman"/>
            </w:rPr>
          </w:pPr>
          <w:hyperlink w:history="true" w:anchor="_bookmark5">
            <w:r>
              <w:rPr/>
              <w:t>（三）基金管理人的职责</w:t>
              <w:tab/>
            </w:r>
            <w:r>
              <w:rPr>
                <w:rFonts w:ascii="Times New Roman" w:eastAsia="Times New Roman"/>
              </w:rPr>
              <w:t>14</w:t>
            </w:r>
          </w:hyperlink>
        </w:p>
        <w:p>
          <w:pPr>
            <w:pStyle w:val="TOC1"/>
            <w:tabs>
              <w:tab w:pos="7495" w:val="right" w:leader="dot"/>
            </w:tabs>
            <w:rPr>
              <w:rFonts w:ascii="Times New Roman" w:eastAsia="Times New Roman"/>
            </w:rPr>
          </w:pPr>
          <w:hyperlink w:history="true" w:anchor="_bookmark6">
            <w:r>
              <w:rPr/>
              <w:t>（四）基金管理人的承诺</w:t>
              <w:tab/>
            </w:r>
            <w:r>
              <w:rPr>
                <w:rFonts w:ascii="Times New Roman" w:eastAsia="Times New Roman"/>
              </w:rPr>
              <w:t>14</w:t>
            </w:r>
          </w:hyperlink>
        </w:p>
        <w:p>
          <w:pPr>
            <w:pStyle w:val="TOC1"/>
            <w:tabs>
              <w:tab w:pos="7495" w:val="right" w:leader="dot"/>
            </w:tabs>
            <w:spacing w:before="5"/>
            <w:rPr>
              <w:rFonts w:ascii="Times New Roman" w:eastAsia="Times New Roman"/>
            </w:rPr>
          </w:pPr>
          <w:hyperlink w:history="true" w:anchor="_bookmark7">
            <w:r>
              <w:rPr/>
              <w:t>（五）基金管理人的内部控制制度</w:t>
              <w:tab/>
            </w:r>
            <w:r>
              <w:rPr>
                <w:rFonts w:ascii="Times New Roman" w:eastAsia="Times New Roman"/>
              </w:rPr>
              <w:t>15</w:t>
            </w:r>
          </w:hyperlink>
        </w:p>
        <w:p>
          <w:pPr>
            <w:pStyle w:val="TOC1"/>
            <w:tabs>
              <w:tab w:pos="8295" w:val="right" w:leader="dot"/>
            </w:tabs>
            <w:spacing w:before="48"/>
            <w:ind w:right="827"/>
          </w:pPr>
          <w:hyperlink w:history="true" w:anchor="_bookmark8">
            <w:r>
              <w:rPr/>
              <w:t>四、基金托管人</w:t>
              <w:tab/>
              <w:t>19</w:t>
            </w:r>
          </w:hyperlink>
        </w:p>
        <w:p>
          <w:pPr>
            <w:pStyle w:val="TOC1"/>
            <w:tabs>
              <w:tab w:pos="8295" w:val="right" w:leader="dot"/>
            </w:tabs>
            <w:spacing w:before="52"/>
            <w:ind w:right="827"/>
          </w:pPr>
          <w:hyperlink w:history="true" w:anchor="_bookmark9">
            <w:r>
              <w:rPr/>
              <w:t>五、相关服务机构</w:t>
              <w:tab/>
              <w:t>21</w:t>
            </w:r>
          </w:hyperlink>
        </w:p>
        <w:p>
          <w:pPr>
            <w:pStyle w:val="TOC1"/>
            <w:tabs>
              <w:tab w:pos="7495" w:val="right" w:leader="dot"/>
            </w:tabs>
            <w:spacing w:before="9"/>
            <w:rPr>
              <w:rFonts w:ascii="Times New Roman" w:eastAsia="Times New Roman"/>
            </w:rPr>
          </w:pPr>
          <w:hyperlink w:history="true" w:anchor="_bookmark10">
            <w:r>
              <w:rPr/>
              <w:t>（一）基金份额销售机构</w:t>
              <w:tab/>
            </w:r>
            <w:r>
              <w:rPr>
                <w:rFonts w:ascii="Times New Roman" w:eastAsia="Times New Roman"/>
              </w:rPr>
              <w:t>21</w:t>
            </w:r>
          </w:hyperlink>
        </w:p>
        <w:p>
          <w:pPr>
            <w:pStyle w:val="TOC1"/>
            <w:tabs>
              <w:tab w:pos="7495" w:val="right" w:leader="dot"/>
            </w:tabs>
            <w:spacing w:before="5"/>
            <w:rPr>
              <w:rFonts w:ascii="Times New Roman" w:eastAsia="Times New Roman"/>
            </w:rPr>
          </w:pPr>
          <w:hyperlink w:history="true" w:anchor="_bookmark11">
            <w:r>
              <w:rPr/>
              <w:t>（二）基金注册登记机构</w:t>
              <w:tab/>
            </w:r>
            <w:r>
              <w:rPr>
                <w:rFonts w:ascii="Times New Roman" w:eastAsia="Times New Roman"/>
              </w:rPr>
              <w:t>85</w:t>
            </w:r>
          </w:hyperlink>
        </w:p>
        <w:p>
          <w:pPr>
            <w:pStyle w:val="TOC1"/>
            <w:tabs>
              <w:tab w:pos="7495" w:val="right" w:leader="dot"/>
            </w:tabs>
            <w:rPr>
              <w:rFonts w:ascii="Times New Roman" w:eastAsia="Times New Roman"/>
            </w:rPr>
          </w:pPr>
          <w:hyperlink w:history="true" w:anchor="_bookmark12">
            <w:r>
              <w:rPr/>
              <w:t>（三）律师事务所和经办律师</w:t>
              <w:tab/>
            </w:r>
            <w:r>
              <w:rPr>
                <w:rFonts w:ascii="Times New Roman" w:eastAsia="Times New Roman"/>
              </w:rPr>
              <w:t>86</w:t>
            </w:r>
          </w:hyperlink>
        </w:p>
        <w:p>
          <w:pPr>
            <w:pStyle w:val="TOC1"/>
            <w:tabs>
              <w:tab w:pos="7495" w:val="right" w:leader="dot"/>
            </w:tabs>
            <w:spacing w:before="5"/>
            <w:rPr>
              <w:rFonts w:ascii="Times New Roman" w:eastAsia="Times New Roman"/>
            </w:rPr>
          </w:pPr>
          <w:hyperlink w:history="true" w:anchor="_bookmark13">
            <w:r>
              <w:rPr/>
              <w:t>（四）会计师事务所和经办注册会计师</w:t>
              <w:tab/>
            </w:r>
            <w:r>
              <w:rPr>
                <w:rFonts w:ascii="Times New Roman" w:eastAsia="Times New Roman"/>
              </w:rPr>
              <w:t>86</w:t>
            </w:r>
          </w:hyperlink>
        </w:p>
        <w:p>
          <w:pPr>
            <w:pStyle w:val="TOC1"/>
            <w:tabs>
              <w:tab w:pos="8295" w:val="right" w:leader="dot"/>
            </w:tabs>
            <w:spacing w:before="48"/>
            <w:ind w:right="827"/>
          </w:pPr>
          <w:hyperlink w:history="true" w:anchor="_bookmark14">
            <w:r>
              <w:rPr/>
              <w:t>六、基金的募集</w:t>
              <w:tab/>
              <w:t>87</w:t>
            </w:r>
          </w:hyperlink>
        </w:p>
        <w:p>
          <w:pPr>
            <w:pStyle w:val="TOC1"/>
            <w:tabs>
              <w:tab w:pos="8295" w:val="right" w:leader="dot"/>
            </w:tabs>
            <w:spacing w:before="52"/>
            <w:ind w:right="827"/>
          </w:pPr>
          <w:hyperlink w:history="true" w:anchor="_bookmark15">
            <w:r>
              <w:rPr/>
              <w:t>七、基金合同的生效</w:t>
              <w:tab/>
              <w:t>88</w:t>
            </w:r>
          </w:hyperlink>
        </w:p>
        <w:p>
          <w:pPr>
            <w:pStyle w:val="TOC1"/>
            <w:tabs>
              <w:tab w:pos="7495" w:val="right" w:leader="dot"/>
            </w:tabs>
            <w:spacing w:before="9"/>
            <w:rPr>
              <w:rFonts w:ascii="Times New Roman" w:eastAsia="Times New Roman"/>
            </w:rPr>
          </w:pPr>
          <w:hyperlink w:history="true" w:anchor="_bookmark16">
            <w:r>
              <w:rPr/>
              <w:t>（一）基金合同的生效</w:t>
              <w:tab/>
            </w:r>
            <w:r>
              <w:rPr>
                <w:rFonts w:ascii="Times New Roman" w:eastAsia="Times New Roman"/>
              </w:rPr>
              <w:t>88</w:t>
            </w:r>
          </w:hyperlink>
        </w:p>
        <w:p>
          <w:pPr>
            <w:pStyle w:val="TOC1"/>
            <w:tabs>
              <w:tab w:pos="7495" w:val="right" w:leader="dot"/>
            </w:tabs>
            <w:spacing w:before="5"/>
            <w:rPr>
              <w:rFonts w:ascii="Times New Roman" w:eastAsia="Times New Roman"/>
            </w:rPr>
          </w:pPr>
          <w:hyperlink w:history="true" w:anchor="_bookmark17">
            <w:r>
              <w:rPr/>
              <w:t>（二）基金存续期内的基金份额持有人数量和资金额</w:t>
              <w:tab/>
            </w:r>
            <w:r>
              <w:rPr>
                <w:rFonts w:ascii="Times New Roman" w:eastAsia="Times New Roman"/>
              </w:rPr>
              <w:t>88</w:t>
            </w:r>
          </w:hyperlink>
        </w:p>
        <w:p>
          <w:pPr>
            <w:pStyle w:val="TOC1"/>
            <w:tabs>
              <w:tab w:pos="8295" w:val="right" w:leader="dot"/>
            </w:tabs>
            <w:spacing w:before="48"/>
            <w:ind w:right="827"/>
          </w:pPr>
          <w:hyperlink w:history="true" w:anchor="_bookmark18">
            <w:r>
              <w:rPr/>
              <w:t>八、基金份额的申购、赎回</w:t>
              <w:tab/>
              <w:t>89</w:t>
            </w:r>
          </w:hyperlink>
        </w:p>
        <w:p>
          <w:pPr>
            <w:pStyle w:val="TOC1"/>
            <w:tabs>
              <w:tab w:pos="7495" w:val="right" w:leader="dot"/>
            </w:tabs>
            <w:spacing w:before="9"/>
            <w:rPr>
              <w:rFonts w:ascii="Times New Roman" w:eastAsia="Times New Roman"/>
            </w:rPr>
          </w:pPr>
          <w:hyperlink w:history="true" w:anchor="_bookmark19">
            <w:r>
              <w:rPr/>
              <w:t>（一）基金投资者范围</w:t>
              <w:tab/>
            </w:r>
            <w:r>
              <w:rPr>
                <w:rFonts w:ascii="Times New Roman" w:eastAsia="Times New Roman"/>
              </w:rPr>
              <w:t>89</w:t>
            </w:r>
          </w:hyperlink>
        </w:p>
        <w:p>
          <w:pPr>
            <w:pStyle w:val="TOC1"/>
            <w:tabs>
              <w:tab w:pos="7495" w:val="right" w:leader="dot"/>
            </w:tabs>
            <w:rPr>
              <w:rFonts w:ascii="Times New Roman" w:eastAsia="Times New Roman"/>
            </w:rPr>
          </w:pPr>
          <w:hyperlink w:history="true" w:anchor="_bookmark20">
            <w:r>
              <w:rPr/>
              <w:t>（二）申购与赎回的场所</w:t>
              <w:tab/>
            </w:r>
            <w:r>
              <w:rPr>
                <w:rFonts w:ascii="Times New Roman" w:eastAsia="Times New Roman"/>
              </w:rPr>
              <w:t>89</w:t>
            </w:r>
          </w:hyperlink>
        </w:p>
        <w:p>
          <w:pPr>
            <w:pStyle w:val="TOC1"/>
            <w:tabs>
              <w:tab w:pos="7495" w:val="right" w:leader="dot"/>
            </w:tabs>
            <w:spacing w:before="5"/>
            <w:rPr>
              <w:rFonts w:ascii="Times New Roman" w:eastAsia="Times New Roman"/>
            </w:rPr>
          </w:pPr>
          <w:hyperlink w:history="true" w:anchor="_bookmark21">
            <w:r>
              <w:rPr/>
              <w:t>（三）申购与赎回办理的开放日及时间</w:t>
              <w:tab/>
            </w:r>
            <w:r>
              <w:rPr>
                <w:rFonts w:ascii="Times New Roman" w:eastAsia="Times New Roman"/>
              </w:rPr>
              <w:t>89</w:t>
            </w:r>
          </w:hyperlink>
        </w:p>
        <w:p>
          <w:pPr>
            <w:pStyle w:val="TOC1"/>
            <w:tabs>
              <w:tab w:pos="7495" w:val="right" w:leader="dot"/>
            </w:tabs>
            <w:rPr>
              <w:rFonts w:ascii="Times New Roman" w:eastAsia="Times New Roman"/>
            </w:rPr>
          </w:pPr>
          <w:hyperlink w:history="true" w:anchor="_bookmark22">
            <w:r>
              <w:rPr/>
              <w:t>（四）申购与赎回的原则</w:t>
              <w:tab/>
            </w:r>
            <w:r>
              <w:rPr>
                <w:rFonts w:ascii="Times New Roman" w:eastAsia="Times New Roman"/>
              </w:rPr>
              <w:t>89</w:t>
            </w:r>
          </w:hyperlink>
        </w:p>
        <w:p>
          <w:pPr>
            <w:pStyle w:val="TOC1"/>
            <w:tabs>
              <w:tab w:pos="7495" w:val="right" w:leader="dot"/>
            </w:tabs>
            <w:spacing w:before="5"/>
            <w:rPr>
              <w:rFonts w:ascii="Times New Roman" w:eastAsia="Times New Roman"/>
            </w:rPr>
          </w:pPr>
          <w:hyperlink w:history="true" w:anchor="_bookmark23">
            <w:r>
              <w:rPr/>
              <w:t>（五）申购与赎回的程序</w:t>
              <w:tab/>
            </w:r>
            <w:r>
              <w:rPr>
                <w:rFonts w:ascii="Times New Roman" w:eastAsia="Times New Roman"/>
              </w:rPr>
              <w:t>89</w:t>
            </w:r>
          </w:hyperlink>
        </w:p>
        <w:p>
          <w:pPr>
            <w:pStyle w:val="TOC1"/>
            <w:tabs>
              <w:tab w:pos="7495" w:val="right" w:leader="dot"/>
            </w:tabs>
            <w:rPr>
              <w:rFonts w:ascii="Times New Roman" w:eastAsia="Times New Roman"/>
            </w:rPr>
          </w:pPr>
          <w:hyperlink w:history="true" w:anchor="_bookmark24">
            <w:r>
              <w:rPr/>
              <w:t>（六）申购与赎回的数额限制</w:t>
              <w:tab/>
            </w:r>
            <w:r>
              <w:rPr>
                <w:rFonts w:ascii="Times New Roman" w:eastAsia="Times New Roman"/>
              </w:rPr>
              <w:t>90</w:t>
            </w:r>
          </w:hyperlink>
        </w:p>
        <w:p>
          <w:pPr>
            <w:pStyle w:val="TOC1"/>
            <w:tabs>
              <w:tab w:pos="7495" w:val="right" w:leader="dot"/>
            </w:tabs>
            <w:spacing w:before="5"/>
            <w:rPr>
              <w:rFonts w:ascii="Times New Roman" w:eastAsia="Times New Roman"/>
            </w:rPr>
          </w:pPr>
          <w:hyperlink w:history="true" w:anchor="_bookmark25">
            <w:r>
              <w:rPr/>
              <w:t>（七）申购与赎回的费率</w:t>
              <w:tab/>
            </w:r>
            <w:r>
              <w:rPr>
                <w:rFonts w:ascii="Times New Roman" w:eastAsia="Times New Roman"/>
              </w:rPr>
              <w:t>91</w:t>
            </w:r>
          </w:hyperlink>
        </w:p>
        <w:p>
          <w:pPr>
            <w:pStyle w:val="TOC1"/>
            <w:tabs>
              <w:tab w:pos="7495" w:val="right" w:leader="dot"/>
            </w:tabs>
            <w:rPr>
              <w:rFonts w:ascii="Times New Roman" w:eastAsia="Times New Roman"/>
            </w:rPr>
          </w:pPr>
          <w:hyperlink w:history="true" w:anchor="_bookmark26">
            <w:r>
              <w:rPr/>
              <w:t>（八）申购份额、赎回金额的计算方式</w:t>
              <w:tab/>
            </w:r>
            <w:r>
              <w:rPr>
                <w:rFonts w:ascii="Times New Roman" w:eastAsia="Times New Roman"/>
              </w:rPr>
              <w:t>92</w:t>
            </w:r>
          </w:hyperlink>
        </w:p>
        <w:p>
          <w:pPr>
            <w:pStyle w:val="TOC1"/>
            <w:tabs>
              <w:tab w:pos="7495" w:val="right" w:leader="dot"/>
            </w:tabs>
            <w:spacing w:before="5"/>
            <w:rPr>
              <w:rFonts w:ascii="Times New Roman" w:eastAsia="Times New Roman"/>
            </w:rPr>
          </w:pPr>
          <w:hyperlink w:history="true" w:anchor="_bookmark27">
            <w:r>
              <w:rPr/>
              <w:t>（九）申购、赎回的注册登记</w:t>
              <w:tab/>
            </w:r>
            <w:r>
              <w:rPr>
                <w:rFonts w:ascii="Times New Roman" w:eastAsia="Times New Roman"/>
              </w:rPr>
              <w:t>93</w:t>
            </w:r>
          </w:hyperlink>
        </w:p>
        <w:p>
          <w:pPr>
            <w:pStyle w:val="TOC1"/>
            <w:tabs>
              <w:tab w:pos="7495" w:val="right" w:leader="dot"/>
            </w:tabs>
            <w:rPr>
              <w:rFonts w:ascii="Times New Roman" w:eastAsia="Times New Roman"/>
            </w:rPr>
          </w:pPr>
          <w:hyperlink w:history="true" w:anchor="_bookmark28">
            <w:r>
              <w:rPr/>
              <w:t>（十）巨额赎回的认定及处理方式</w:t>
              <w:tab/>
            </w:r>
            <w:r>
              <w:rPr>
                <w:rFonts w:ascii="Times New Roman" w:eastAsia="Times New Roman"/>
              </w:rPr>
              <w:t>93</w:t>
            </w:r>
          </w:hyperlink>
        </w:p>
        <w:p>
          <w:pPr>
            <w:pStyle w:val="TOC1"/>
            <w:tabs>
              <w:tab w:pos="7495" w:val="right" w:leader="dot"/>
            </w:tabs>
            <w:spacing w:before="5"/>
            <w:rPr>
              <w:rFonts w:ascii="Times New Roman" w:eastAsia="Times New Roman"/>
            </w:rPr>
          </w:pPr>
          <w:hyperlink w:history="true" w:anchor="_bookmark29">
            <w:r>
              <w:rPr/>
              <w:t>（十一）拒绝或暂停申购、赎回的情形及处理方式</w:t>
              <w:tab/>
            </w:r>
            <w:r>
              <w:rPr>
                <w:rFonts w:ascii="Times New Roman" w:eastAsia="Times New Roman"/>
              </w:rPr>
              <w:t>94</w:t>
            </w:r>
          </w:hyperlink>
        </w:p>
        <w:p>
          <w:pPr>
            <w:pStyle w:val="TOC1"/>
            <w:tabs>
              <w:tab w:pos="7495" w:val="right" w:leader="dot"/>
            </w:tabs>
            <w:rPr>
              <w:rFonts w:ascii="Times New Roman" w:eastAsia="Times New Roman"/>
            </w:rPr>
          </w:pPr>
          <w:hyperlink w:history="true" w:anchor="_bookmark30">
            <w:r>
              <w:rPr/>
              <w:t>（十二）定期定额投资计划</w:t>
              <w:tab/>
            </w:r>
            <w:r>
              <w:rPr>
                <w:rFonts w:ascii="Times New Roman" w:eastAsia="Times New Roman"/>
              </w:rPr>
              <w:t>95</w:t>
            </w:r>
          </w:hyperlink>
        </w:p>
        <w:p>
          <w:pPr>
            <w:pStyle w:val="TOC1"/>
            <w:tabs>
              <w:tab w:pos="8295" w:val="right" w:leader="dot"/>
            </w:tabs>
            <w:spacing w:before="48"/>
            <w:ind w:right="827"/>
          </w:pPr>
          <w:hyperlink w:history="true" w:anchor="_bookmark31">
            <w:r>
              <w:rPr/>
              <w:t>九、基金转换</w:t>
              <w:tab/>
              <w:t>96</w:t>
            </w:r>
          </w:hyperlink>
        </w:p>
        <w:p>
          <w:pPr>
            <w:pStyle w:val="TOC1"/>
            <w:tabs>
              <w:tab w:pos="7495" w:val="right" w:leader="dot"/>
            </w:tabs>
            <w:spacing w:before="9"/>
            <w:rPr>
              <w:rFonts w:ascii="Times New Roman" w:eastAsia="Times New Roman"/>
            </w:rPr>
          </w:pPr>
          <w:hyperlink w:history="true" w:anchor="_bookmark32">
            <w:r>
              <w:rPr/>
              <w:t>（一）基金转换开始日及时间</w:t>
              <w:tab/>
            </w:r>
            <w:r>
              <w:rPr>
                <w:rFonts w:ascii="Times New Roman" w:eastAsia="Times New Roman"/>
              </w:rPr>
              <w:t>96</w:t>
            </w:r>
          </w:hyperlink>
        </w:p>
        <w:p>
          <w:pPr>
            <w:pStyle w:val="TOC1"/>
            <w:tabs>
              <w:tab w:pos="7495" w:val="right" w:leader="dot"/>
            </w:tabs>
            <w:spacing w:before="5"/>
            <w:rPr>
              <w:rFonts w:ascii="Times New Roman" w:eastAsia="Times New Roman"/>
            </w:rPr>
          </w:pPr>
          <w:hyperlink w:history="true" w:anchor="_bookmark33">
            <w:r>
              <w:rPr/>
              <w:t>（二）基金转换的原则</w:t>
              <w:tab/>
            </w:r>
            <w:r>
              <w:rPr>
                <w:rFonts w:ascii="Times New Roman" w:eastAsia="Times New Roman"/>
              </w:rPr>
              <w:t>96</w:t>
            </w:r>
          </w:hyperlink>
        </w:p>
        <w:p>
          <w:pPr>
            <w:pStyle w:val="TOC1"/>
            <w:tabs>
              <w:tab w:pos="7495" w:val="right" w:leader="dot"/>
            </w:tabs>
            <w:rPr>
              <w:rFonts w:ascii="Times New Roman" w:eastAsia="Times New Roman"/>
            </w:rPr>
          </w:pPr>
          <w:hyperlink w:history="true" w:anchor="_bookmark34">
            <w:r>
              <w:rPr/>
              <w:t>（三）基金转换的程序</w:t>
              <w:tab/>
            </w:r>
            <w:r>
              <w:rPr>
                <w:rFonts w:ascii="Times New Roman" w:eastAsia="Times New Roman"/>
              </w:rPr>
              <w:t>96</w:t>
            </w:r>
          </w:hyperlink>
        </w:p>
        <w:p>
          <w:pPr>
            <w:pStyle w:val="TOC1"/>
            <w:tabs>
              <w:tab w:pos="7495" w:val="right" w:leader="dot"/>
            </w:tabs>
            <w:spacing w:before="5"/>
            <w:rPr>
              <w:rFonts w:ascii="Times New Roman" w:eastAsia="Times New Roman"/>
            </w:rPr>
          </w:pPr>
          <w:hyperlink w:history="true" w:anchor="_bookmark35">
            <w:r>
              <w:rPr/>
              <w:t>（四）基金转换的数额限制</w:t>
              <w:tab/>
            </w:r>
            <w:r>
              <w:rPr>
                <w:rFonts w:ascii="Times New Roman" w:eastAsia="Times New Roman"/>
              </w:rPr>
              <w:t>97</w:t>
            </w:r>
          </w:hyperlink>
        </w:p>
        <w:p>
          <w:pPr>
            <w:pStyle w:val="TOC1"/>
            <w:tabs>
              <w:tab w:pos="7495" w:val="right" w:leader="dot"/>
            </w:tabs>
            <w:rPr>
              <w:rFonts w:ascii="Times New Roman" w:eastAsia="Times New Roman"/>
            </w:rPr>
          </w:pPr>
          <w:hyperlink w:history="true" w:anchor="_bookmark36">
            <w:r>
              <w:rPr/>
              <w:t>（五）基金转换费率</w:t>
              <w:tab/>
            </w:r>
            <w:r>
              <w:rPr>
                <w:rFonts w:ascii="Times New Roman" w:eastAsia="Times New Roman"/>
              </w:rPr>
              <w:t>97</w:t>
            </w:r>
          </w:hyperlink>
        </w:p>
        <w:p>
          <w:pPr>
            <w:pStyle w:val="TOC1"/>
            <w:tabs>
              <w:tab w:pos="7495" w:val="right" w:leader="dot"/>
            </w:tabs>
            <w:spacing w:before="5"/>
            <w:rPr>
              <w:rFonts w:ascii="Times New Roman" w:eastAsia="Times New Roman"/>
            </w:rPr>
          </w:pPr>
          <w:hyperlink w:history="true" w:anchor="_bookmark37">
            <w:r>
              <w:rPr/>
              <w:t>（六）基金转换份额的计算方式</w:t>
              <w:tab/>
            </w:r>
            <w:r>
              <w:rPr>
                <w:rFonts w:ascii="Times New Roman" w:eastAsia="Times New Roman"/>
              </w:rPr>
              <w:t>97</w:t>
            </w:r>
          </w:hyperlink>
        </w:p>
        <w:p>
          <w:pPr>
            <w:pStyle w:val="TOC1"/>
            <w:tabs>
              <w:tab w:pos="7495" w:val="right" w:leader="dot"/>
            </w:tabs>
            <w:rPr>
              <w:rFonts w:ascii="Times New Roman" w:eastAsia="Times New Roman"/>
            </w:rPr>
          </w:pPr>
          <w:hyperlink w:history="true" w:anchor="_bookmark38">
            <w:r>
              <w:rPr/>
              <w:t>（七）基金转换的注册登记</w:t>
              <w:tab/>
            </w:r>
            <w:r>
              <w:rPr>
                <w:rFonts w:ascii="Times New Roman" w:eastAsia="Times New Roman"/>
              </w:rPr>
              <w:t>100</w:t>
            </w:r>
          </w:hyperlink>
        </w:p>
        <w:p>
          <w:pPr>
            <w:pStyle w:val="TOC1"/>
            <w:tabs>
              <w:tab w:pos="7495" w:val="right" w:leader="dot"/>
            </w:tabs>
            <w:spacing w:before="5"/>
            <w:rPr>
              <w:rFonts w:ascii="Times New Roman" w:eastAsia="Times New Roman"/>
            </w:rPr>
          </w:pPr>
          <w:hyperlink w:history="true" w:anchor="_bookmark39">
            <w:r>
              <w:rPr/>
              <w:t>（八）基金转换与巨额赎回</w:t>
              <w:tab/>
            </w:r>
            <w:r>
              <w:rPr>
                <w:rFonts w:ascii="Times New Roman" w:eastAsia="Times New Roman"/>
              </w:rPr>
              <w:t>100</w:t>
            </w:r>
          </w:hyperlink>
        </w:p>
        <w:p>
          <w:pPr>
            <w:pStyle w:val="TOC1"/>
            <w:tabs>
              <w:tab w:pos="7495" w:val="right" w:leader="dot"/>
            </w:tabs>
            <w:spacing w:after="20"/>
            <w:rPr>
              <w:rFonts w:ascii="Times New Roman" w:eastAsia="Times New Roman"/>
            </w:rPr>
          </w:pPr>
          <w:hyperlink w:history="true" w:anchor="_bookmark40">
            <w:r>
              <w:rPr/>
              <w:t>（九）拒绝或暂停基金转换的情形</w:t>
              <w:tab/>
            </w:r>
            <w:r>
              <w:rPr>
                <w:rFonts w:ascii="Times New Roman" w:eastAsia="Times New Roman"/>
              </w:rPr>
              <w:t>100</w:t>
            </w:r>
          </w:hyperlink>
        </w:p>
        <w:p>
          <w:pPr>
            <w:pStyle w:val="TOC1"/>
            <w:tabs>
              <w:tab w:pos="8295" w:val="right" w:leader="dot"/>
            </w:tabs>
            <w:spacing w:before="89"/>
            <w:ind w:right="827"/>
          </w:pPr>
          <w:hyperlink w:history="true" w:anchor="_bookmark41">
            <w:r>
              <w:rPr/>
              <w:t>十、基金的非交易过户、转托管、冻结与质押</w:t>
              <w:tab/>
              <w:t>102</w:t>
            </w:r>
          </w:hyperlink>
        </w:p>
        <w:p>
          <w:pPr>
            <w:pStyle w:val="TOC1"/>
            <w:tabs>
              <w:tab w:pos="8295" w:val="right" w:leader="dot"/>
            </w:tabs>
            <w:spacing w:before="52"/>
            <w:ind w:right="827"/>
          </w:pPr>
          <w:hyperlink w:history="true" w:anchor="_bookmark42">
            <w:r>
              <w:rPr/>
              <w:t>十一、基金的投资</w:t>
              <w:tab/>
              <w:t>103</w:t>
            </w:r>
          </w:hyperlink>
        </w:p>
        <w:p>
          <w:pPr>
            <w:pStyle w:val="TOC1"/>
            <w:tabs>
              <w:tab w:pos="7495" w:val="right" w:leader="dot"/>
            </w:tabs>
            <w:spacing w:before="9"/>
            <w:rPr>
              <w:rFonts w:ascii="Times New Roman" w:eastAsia="Times New Roman"/>
            </w:rPr>
          </w:pPr>
          <w:hyperlink w:history="true" w:anchor="_bookmark43">
            <w:r>
              <w:rPr/>
              <w:t>（一）投资目标</w:t>
              <w:tab/>
            </w:r>
            <w:r>
              <w:rPr>
                <w:rFonts w:ascii="Times New Roman" w:eastAsia="Times New Roman"/>
              </w:rPr>
              <w:t>103</w:t>
            </w:r>
          </w:hyperlink>
        </w:p>
        <w:p>
          <w:pPr>
            <w:pStyle w:val="TOC1"/>
            <w:tabs>
              <w:tab w:pos="7495" w:val="right" w:leader="dot"/>
            </w:tabs>
            <w:rPr>
              <w:rFonts w:ascii="Times New Roman" w:eastAsia="Times New Roman"/>
            </w:rPr>
          </w:pPr>
          <w:hyperlink w:history="true" w:anchor="_bookmark44">
            <w:r>
              <w:rPr/>
              <w:t>（二）投资范围</w:t>
              <w:tab/>
            </w:r>
            <w:r>
              <w:rPr>
                <w:rFonts w:ascii="Times New Roman" w:eastAsia="Times New Roman"/>
              </w:rPr>
              <w:t>103</w:t>
            </w:r>
          </w:hyperlink>
        </w:p>
        <w:p>
          <w:pPr>
            <w:pStyle w:val="TOC1"/>
            <w:tabs>
              <w:tab w:pos="7495" w:val="right" w:leader="dot"/>
            </w:tabs>
            <w:spacing w:before="5"/>
            <w:rPr>
              <w:rFonts w:ascii="Times New Roman" w:eastAsia="Times New Roman"/>
            </w:rPr>
          </w:pPr>
          <w:hyperlink w:history="true" w:anchor="_bookmark45">
            <w:r>
              <w:rPr/>
              <w:t>（三）投资理念</w:t>
              <w:tab/>
            </w:r>
            <w:r>
              <w:rPr>
                <w:rFonts w:ascii="Times New Roman" w:eastAsia="Times New Roman"/>
              </w:rPr>
              <w:t>103</w:t>
            </w:r>
          </w:hyperlink>
        </w:p>
        <w:p>
          <w:pPr>
            <w:pStyle w:val="TOC1"/>
            <w:tabs>
              <w:tab w:pos="7495" w:val="right" w:leader="dot"/>
            </w:tabs>
            <w:rPr>
              <w:rFonts w:ascii="Times New Roman" w:eastAsia="Times New Roman"/>
            </w:rPr>
          </w:pPr>
          <w:hyperlink w:history="true" w:anchor="_bookmark46">
            <w:r>
              <w:rPr/>
              <w:t>（四）投资策略</w:t>
              <w:tab/>
            </w:r>
            <w:r>
              <w:rPr>
                <w:rFonts w:ascii="Times New Roman" w:eastAsia="Times New Roman"/>
              </w:rPr>
              <w:t>103</w:t>
            </w:r>
          </w:hyperlink>
        </w:p>
        <w:p>
          <w:pPr>
            <w:pStyle w:val="TOC1"/>
            <w:tabs>
              <w:tab w:pos="7495" w:val="right" w:leader="dot"/>
            </w:tabs>
            <w:spacing w:before="5"/>
            <w:rPr>
              <w:rFonts w:ascii="Times New Roman" w:eastAsia="Times New Roman"/>
            </w:rPr>
          </w:pPr>
          <w:hyperlink w:history="true" w:anchor="_bookmark47">
            <w:r>
              <w:rPr/>
              <w:t>（五）业绩比较基准</w:t>
              <w:tab/>
            </w:r>
            <w:r>
              <w:rPr>
                <w:rFonts w:ascii="Times New Roman" w:eastAsia="Times New Roman"/>
              </w:rPr>
              <w:t>106</w:t>
            </w:r>
          </w:hyperlink>
        </w:p>
        <w:p>
          <w:pPr>
            <w:pStyle w:val="TOC1"/>
            <w:tabs>
              <w:tab w:pos="7495" w:val="right" w:leader="dot"/>
            </w:tabs>
            <w:rPr>
              <w:rFonts w:ascii="Times New Roman" w:eastAsia="Times New Roman"/>
            </w:rPr>
          </w:pPr>
          <w:hyperlink w:history="true" w:anchor="_bookmark48">
            <w:r>
              <w:rPr/>
              <w:t>（六）风险收益特征</w:t>
              <w:tab/>
            </w:r>
            <w:r>
              <w:rPr>
                <w:rFonts w:ascii="Times New Roman" w:eastAsia="Times New Roman"/>
              </w:rPr>
              <w:t>106</w:t>
            </w:r>
          </w:hyperlink>
        </w:p>
        <w:p>
          <w:pPr>
            <w:pStyle w:val="TOC1"/>
            <w:tabs>
              <w:tab w:pos="7495" w:val="right" w:leader="dot"/>
            </w:tabs>
            <w:spacing w:before="5"/>
            <w:rPr>
              <w:rFonts w:ascii="Times New Roman" w:eastAsia="Times New Roman"/>
            </w:rPr>
          </w:pPr>
          <w:hyperlink w:history="true" w:anchor="_bookmark49">
            <w:r>
              <w:rPr/>
              <w:t>（七）投资程序</w:t>
              <w:tab/>
            </w:r>
            <w:r>
              <w:rPr>
                <w:rFonts w:ascii="Times New Roman" w:eastAsia="Times New Roman"/>
              </w:rPr>
              <w:t>106</w:t>
            </w:r>
          </w:hyperlink>
        </w:p>
        <w:p>
          <w:pPr>
            <w:pStyle w:val="TOC1"/>
            <w:tabs>
              <w:tab w:pos="7495" w:val="right" w:leader="dot"/>
            </w:tabs>
            <w:rPr>
              <w:rFonts w:ascii="Times New Roman" w:eastAsia="Times New Roman"/>
            </w:rPr>
          </w:pPr>
          <w:hyperlink w:history="true" w:anchor="_bookmark50">
            <w:r>
              <w:rPr/>
              <w:t>（八）投资禁止行为与限制</w:t>
              <w:tab/>
            </w:r>
            <w:r>
              <w:rPr>
                <w:rFonts w:ascii="Times New Roman" w:eastAsia="Times New Roman"/>
              </w:rPr>
              <w:t>106</w:t>
            </w:r>
          </w:hyperlink>
        </w:p>
        <w:p>
          <w:pPr>
            <w:pStyle w:val="TOC1"/>
            <w:tabs>
              <w:tab w:pos="7495" w:val="right" w:leader="dot"/>
            </w:tabs>
            <w:spacing w:before="5"/>
            <w:rPr>
              <w:rFonts w:ascii="Times New Roman" w:eastAsia="Times New Roman"/>
            </w:rPr>
          </w:pPr>
          <w:hyperlink w:history="true" w:anchor="_bookmark51">
            <w:r>
              <w:rPr/>
              <w:t>（九）投资组合比例调整</w:t>
              <w:tab/>
            </w:r>
            <w:r>
              <w:rPr>
                <w:rFonts w:ascii="Times New Roman" w:eastAsia="Times New Roman"/>
              </w:rPr>
              <w:t>107</w:t>
            </w:r>
          </w:hyperlink>
        </w:p>
        <w:p>
          <w:pPr>
            <w:pStyle w:val="TOC1"/>
            <w:tabs>
              <w:tab w:pos="7495" w:val="right" w:leader="dot"/>
            </w:tabs>
            <w:rPr>
              <w:rFonts w:ascii="Times New Roman" w:eastAsia="Times New Roman"/>
            </w:rPr>
          </w:pPr>
          <w:hyperlink w:history="true" w:anchor="_bookmark52">
            <w:r>
              <w:rPr/>
              <w:t>（十）基金的融资、融券</w:t>
              <w:tab/>
            </w:r>
            <w:r>
              <w:rPr>
                <w:rFonts w:ascii="Times New Roman" w:eastAsia="Times New Roman"/>
              </w:rPr>
              <w:t>108</w:t>
            </w:r>
          </w:hyperlink>
        </w:p>
        <w:p>
          <w:pPr>
            <w:pStyle w:val="TOC2"/>
            <w:tabs>
              <w:tab w:pos="9135" w:val="right" w:leader="dot"/>
            </w:tabs>
            <w:spacing w:line="242" w:lineRule="auto"/>
            <w:rPr>
              <w:rFonts w:ascii="Times New Roman" w:eastAsia="Times New Roman"/>
            </w:rPr>
          </w:pPr>
          <w:hyperlink w:history="true" w:anchor="_bookmark53">
            <w:r>
              <w:rPr/>
              <w:t>（十一）基金管理人代表基金行使所投资证券产生权利的处理原则及方</w:t>
            </w:r>
          </w:hyperlink>
          <w:hyperlink w:history="true" w:anchor="_bookmark53">
            <w:r>
              <w:rPr/>
              <w:t>法</w:t>
              <w:tab/>
            </w:r>
            <w:r>
              <w:rPr>
                <w:rFonts w:ascii="Times New Roman" w:eastAsia="Times New Roman"/>
              </w:rPr>
              <w:t>108</w:t>
            </w:r>
          </w:hyperlink>
        </w:p>
        <w:p>
          <w:pPr>
            <w:pStyle w:val="TOC1"/>
            <w:tabs>
              <w:tab w:pos="7495" w:val="right" w:leader="dot"/>
            </w:tabs>
            <w:spacing w:before="3"/>
            <w:rPr>
              <w:rFonts w:ascii="Times New Roman" w:eastAsia="Times New Roman"/>
            </w:rPr>
          </w:pPr>
          <w:hyperlink w:history="true" w:anchor="_bookmark54">
            <w:r>
              <w:rPr/>
              <w:t>（十二）基金投资组合报告(未经审计)</w:t>
              <w:tab/>
            </w:r>
            <w:r>
              <w:rPr>
                <w:rFonts w:ascii="Times New Roman" w:eastAsia="Times New Roman"/>
              </w:rPr>
              <w:t>108</w:t>
            </w:r>
          </w:hyperlink>
        </w:p>
        <w:p>
          <w:pPr>
            <w:pStyle w:val="TOC1"/>
            <w:tabs>
              <w:tab w:pos="8295" w:val="right" w:leader="dot"/>
            </w:tabs>
            <w:spacing w:before="48"/>
            <w:ind w:right="827"/>
          </w:pPr>
          <w:hyperlink w:history="true" w:anchor="_bookmark55">
            <w:r>
              <w:rPr/>
              <w:t>十二、基金的业绩</w:t>
              <w:tab/>
              <w:t>112</w:t>
            </w:r>
          </w:hyperlink>
        </w:p>
        <w:p>
          <w:pPr>
            <w:pStyle w:val="TOC1"/>
            <w:tabs>
              <w:tab w:pos="8295" w:val="right" w:leader="dot"/>
            </w:tabs>
            <w:spacing w:before="53"/>
            <w:ind w:right="827"/>
          </w:pPr>
          <w:hyperlink w:history="true" w:anchor="_bookmark56">
            <w:r>
              <w:rPr/>
              <w:t>十三、基金的财产</w:t>
              <w:tab/>
              <w:t>113</w:t>
            </w:r>
          </w:hyperlink>
        </w:p>
        <w:p>
          <w:pPr>
            <w:pStyle w:val="TOC1"/>
            <w:tabs>
              <w:tab w:pos="7495" w:val="right" w:leader="dot"/>
            </w:tabs>
            <w:spacing w:before="8"/>
            <w:rPr>
              <w:rFonts w:ascii="Times New Roman" w:eastAsia="Times New Roman"/>
            </w:rPr>
          </w:pPr>
          <w:hyperlink w:history="true" w:anchor="_bookmark57">
            <w:r>
              <w:rPr/>
              <w:t>（一）基金资产总值</w:t>
              <w:tab/>
            </w:r>
            <w:r>
              <w:rPr>
                <w:rFonts w:ascii="Times New Roman" w:eastAsia="Times New Roman"/>
              </w:rPr>
              <w:t>113</w:t>
            </w:r>
          </w:hyperlink>
        </w:p>
        <w:p>
          <w:pPr>
            <w:pStyle w:val="TOC1"/>
            <w:tabs>
              <w:tab w:pos="7495" w:val="right" w:leader="dot"/>
            </w:tabs>
            <w:spacing w:before="5"/>
            <w:rPr>
              <w:rFonts w:ascii="Times New Roman" w:eastAsia="Times New Roman"/>
            </w:rPr>
          </w:pPr>
          <w:hyperlink w:history="true" w:anchor="_bookmark58">
            <w:r>
              <w:rPr/>
              <w:t>（二）基金资产净值</w:t>
              <w:tab/>
            </w:r>
            <w:r>
              <w:rPr>
                <w:rFonts w:ascii="Times New Roman" w:eastAsia="Times New Roman"/>
              </w:rPr>
              <w:t>113</w:t>
            </w:r>
          </w:hyperlink>
        </w:p>
        <w:p>
          <w:pPr>
            <w:pStyle w:val="TOC1"/>
            <w:tabs>
              <w:tab w:pos="7495" w:val="right" w:leader="dot"/>
            </w:tabs>
            <w:rPr>
              <w:rFonts w:ascii="Times New Roman" w:eastAsia="Times New Roman"/>
            </w:rPr>
          </w:pPr>
          <w:hyperlink w:history="true" w:anchor="_bookmark59">
            <w:r>
              <w:rPr/>
              <w:t>（三）基金财产的账户</w:t>
              <w:tab/>
            </w:r>
            <w:r>
              <w:rPr>
                <w:rFonts w:ascii="Times New Roman" w:eastAsia="Times New Roman"/>
              </w:rPr>
              <w:t>113</w:t>
            </w:r>
          </w:hyperlink>
        </w:p>
        <w:p>
          <w:pPr>
            <w:pStyle w:val="TOC1"/>
            <w:tabs>
              <w:tab w:pos="7495" w:val="right" w:leader="dot"/>
            </w:tabs>
            <w:spacing w:before="5"/>
            <w:rPr>
              <w:rFonts w:ascii="Times New Roman" w:eastAsia="Times New Roman"/>
            </w:rPr>
          </w:pPr>
          <w:hyperlink w:history="true" w:anchor="_bookmark60">
            <w:r>
              <w:rPr/>
              <w:t>（四）基金财产的保管与处分</w:t>
              <w:tab/>
            </w:r>
            <w:r>
              <w:rPr>
                <w:rFonts w:ascii="Times New Roman" w:eastAsia="Times New Roman"/>
              </w:rPr>
              <w:t>113</w:t>
            </w:r>
          </w:hyperlink>
        </w:p>
        <w:p>
          <w:pPr>
            <w:pStyle w:val="TOC1"/>
            <w:tabs>
              <w:tab w:pos="8295" w:val="right" w:leader="dot"/>
            </w:tabs>
            <w:spacing w:before="48"/>
            <w:ind w:right="827"/>
          </w:pPr>
          <w:hyperlink w:history="true" w:anchor="_bookmark61">
            <w:r>
              <w:rPr/>
              <w:t>十四、基金资产的估值</w:t>
              <w:tab/>
              <w:t>114</w:t>
            </w:r>
          </w:hyperlink>
        </w:p>
        <w:p>
          <w:pPr>
            <w:pStyle w:val="TOC1"/>
            <w:tabs>
              <w:tab w:pos="7495" w:val="right" w:leader="dot"/>
            </w:tabs>
            <w:spacing w:before="9"/>
            <w:rPr>
              <w:rFonts w:ascii="Times New Roman" w:eastAsia="Times New Roman"/>
            </w:rPr>
          </w:pPr>
          <w:hyperlink w:history="true" w:anchor="_bookmark62">
            <w:r>
              <w:rPr/>
              <w:t>（一）估值目的</w:t>
              <w:tab/>
            </w:r>
            <w:r>
              <w:rPr>
                <w:rFonts w:ascii="Times New Roman" w:eastAsia="Times New Roman"/>
              </w:rPr>
              <w:t>114</w:t>
            </w:r>
          </w:hyperlink>
        </w:p>
        <w:p>
          <w:pPr>
            <w:pStyle w:val="TOC1"/>
            <w:tabs>
              <w:tab w:pos="7495" w:val="right" w:leader="dot"/>
            </w:tabs>
            <w:rPr>
              <w:rFonts w:ascii="Times New Roman" w:eastAsia="Times New Roman"/>
            </w:rPr>
          </w:pPr>
          <w:hyperlink w:history="true" w:anchor="_bookmark63">
            <w:r>
              <w:rPr/>
              <w:t>（二）估值日</w:t>
              <w:tab/>
            </w:r>
            <w:r>
              <w:rPr>
                <w:rFonts w:ascii="Times New Roman" w:eastAsia="Times New Roman"/>
              </w:rPr>
              <w:t>114</w:t>
            </w:r>
          </w:hyperlink>
        </w:p>
        <w:p>
          <w:pPr>
            <w:pStyle w:val="TOC1"/>
            <w:tabs>
              <w:tab w:pos="7495" w:val="right" w:leader="dot"/>
            </w:tabs>
            <w:spacing w:before="5"/>
            <w:rPr>
              <w:rFonts w:ascii="Times New Roman" w:eastAsia="Times New Roman"/>
            </w:rPr>
          </w:pPr>
          <w:hyperlink w:history="true" w:anchor="_bookmark64">
            <w:r>
              <w:rPr/>
              <w:t>（三）估值对象</w:t>
              <w:tab/>
            </w:r>
            <w:r>
              <w:rPr>
                <w:rFonts w:ascii="Times New Roman" w:eastAsia="Times New Roman"/>
              </w:rPr>
              <w:t>114</w:t>
            </w:r>
          </w:hyperlink>
        </w:p>
        <w:p>
          <w:pPr>
            <w:pStyle w:val="TOC1"/>
            <w:tabs>
              <w:tab w:pos="7495" w:val="right" w:leader="dot"/>
            </w:tabs>
            <w:rPr>
              <w:rFonts w:ascii="Times New Roman" w:eastAsia="Times New Roman"/>
            </w:rPr>
          </w:pPr>
          <w:hyperlink w:history="true" w:anchor="_bookmark65">
            <w:r>
              <w:rPr/>
              <w:t>（四）估值方法</w:t>
              <w:tab/>
            </w:r>
            <w:r>
              <w:rPr>
                <w:rFonts w:ascii="Times New Roman" w:eastAsia="Times New Roman"/>
              </w:rPr>
              <w:t>114</w:t>
            </w:r>
          </w:hyperlink>
        </w:p>
        <w:p>
          <w:pPr>
            <w:pStyle w:val="TOC1"/>
            <w:tabs>
              <w:tab w:pos="7495" w:val="right" w:leader="dot"/>
            </w:tabs>
            <w:spacing w:before="5"/>
            <w:rPr>
              <w:rFonts w:ascii="Times New Roman" w:eastAsia="Times New Roman"/>
            </w:rPr>
          </w:pPr>
          <w:hyperlink w:history="true" w:anchor="_bookmark66">
            <w:r>
              <w:rPr/>
              <w:t>（五）估值程序</w:t>
              <w:tab/>
            </w:r>
            <w:r>
              <w:rPr>
                <w:rFonts w:ascii="Times New Roman" w:eastAsia="Times New Roman"/>
              </w:rPr>
              <w:t>115</w:t>
            </w:r>
          </w:hyperlink>
        </w:p>
        <w:p>
          <w:pPr>
            <w:pStyle w:val="TOC1"/>
            <w:tabs>
              <w:tab w:pos="7495" w:val="right" w:leader="dot"/>
            </w:tabs>
            <w:rPr>
              <w:rFonts w:ascii="Times New Roman" w:eastAsia="Times New Roman"/>
            </w:rPr>
          </w:pPr>
          <w:hyperlink w:history="true" w:anchor="_bookmark67">
            <w:r>
              <w:rPr/>
              <w:t>（六）暂停估值的情形</w:t>
              <w:tab/>
            </w:r>
            <w:r>
              <w:rPr>
                <w:rFonts w:ascii="Times New Roman" w:eastAsia="Times New Roman"/>
              </w:rPr>
              <w:t>115</w:t>
            </w:r>
          </w:hyperlink>
        </w:p>
        <w:p>
          <w:pPr>
            <w:pStyle w:val="TOC1"/>
            <w:tabs>
              <w:tab w:pos="7495" w:val="right" w:leader="dot"/>
            </w:tabs>
            <w:spacing w:before="5"/>
            <w:rPr>
              <w:rFonts w:ascii="Times New Roman" w:eastAsia="Times New Roman"/>
            </w:rPr>
          </w:pPr>
          <w:hyperlink w:history="true" w:anchor="_bookmark68">
            <w:r>
              <w:rPr/>
              <w:t>（七）基金份额净值的确认</w:t>
              <w:tab/>
            </w:r>
            <w:r>
              <w:rPr>
                <w:rFonts w:ascii="Times New Roman" w:eastAsia="Times New Roman"/>
              </w:rPr>
              <w:t>115</w:t>
            </w:r>
          </w:hyperlink>
        </w:p>
        <w:p>
          <w:pPr>
            <w:pStyle w:val="TOC1"/>
            <w:tabs>
              <w:tab w:pos="7495" w:val="right" w:leader="dot"/>
            </w:tabs>
            <w:rPr>
              <w:rFonts w:ascii="Times New Roman" w:eastAsia="Times New Roman"/>
            </w:rPr>
          </w:pPr>
          <w:hyperlink w:history="true" w:anchor="_bookmark69">
            <w:r>
              <w:rPr/>
              <w:t>（八）估值错误的处理</w:t>
              <w:tab/>
            </w:r>
            <w:r>
              <w:rPr>
                <w:rFonts w:ascii="Times New Roman" w:eastAsia="Times New Roman"/>
              </w:rPr>
              <w:t>116</w:t>
            </w:r>
          </w:hyperlink>
        </w:p>
        <w:p>
          <w:pPr>
            <w:pStyle w:val="TOC1"/>
            <w:tabs>
              <w:tab w:pos="7495" w:val="right" w:leader="dot"/>
            </w:tabs>
            <w:spacing w:before="5"/>
            <w:rPr>
              <w:rFonts w:ascii="Times New Roman" w:eastAsia="Times New Roman"/>
            </w:rPr>
          </w:pPr>
          <w:hyperlink w:history="true" w:anchor="_bookmark70">
            <w:r>
              <w:rPr/>
              <w:t>（九）特殊情形的处理</w:t>
              <w:tab/>
            </w:r>
            <w:r>
              <w:rPr>
                <w:rFonts w:ascii="Times New Roman" w:eastAsia="Times New Roman"/>
              </w:rPr>
              <w:t>116</w:t>
            </w:r>
          </w:hyperlink>
        </w:p>
        <w:p>
          <w:pPr>
            <w:pStyle w:val="TOC1"/>
            <w:tabs>
              <w:tab w:pos="8295" w:val="right" w:leader="dot"/>
            </w:tabs>
            <w:spacing w:before="48"/>
            <w:ind w:right="827"/>
          </w:pPr>
          <w:hyperlink w:history="true" w:anchor="_bookmark71">
            <w:r>
              <w:rPr/>
              <w:t>十五、基金的收益分配</w:t>
              <w:tab/>
              <w:t>117</w:t>
            </w:r>
          </w:hyperlink>
        </w:p>
        <w:p>
          <w:pPr>
            <w:pStyle w:val="TOC1"/>
            <w:tabs>
              <w:tab w:pos="7495" w:val="right" w:leader="dot"/>
            </w:tabs>
            <w:spacing w:before="9"/>
            <w:rPr>
              <w:rFonts w:ascii="Times New Roman" w:eastAsia="Times New Roman"/>
            </w:rPr>
          </w:pPr>
          <w:hyperlink w:history="true" w:anchor="_bookmark72">
            <w:r>
              <w:rPr/>
              <w:t>（一）收益的构成</w:t>
              <w:tab/>
            </w:r>
            <w:r>
              <w:rPr>
                <w:rFonts w:ascii="Times New Roman" w:eastAsia="Times New Roman"/>
              </w:rPr>
              <w:t>117</w:t>
            </w:r>
          </w:hyperlink>
        </w:p>
        <w:p>
          <w:pPr>
            <w:pStyle w:val="TOC1"/>
            <w:tabs>
              <w:tab w:pos="7495" w:val="right" w:leader="dot"/>
            </w:tabs>
            <w:rPr>
              <w:rFonts w:ascii="Times New Roman" w:eastAsia="Times New Roman"/>
            </w:rPr>
          </w:pPr>
          <w:hyperlink w:history="true" w:anchor="_bookmark73">
            <w:r>
              <w:rPr/>
              <w:t>（二）收益分配原则</w:t>
              <w:tab/>
            </w:r>
            <w:r>
              <w:rPr>
                <w:rFonts w:ascii="Times New Roman" w:eastAsia="Times New Roman"/>
              </w:rPr>
              <w:t>117</w:t>
            </w:r>
          </w:hyperlink>
        </w:p>
        <w:p>
          <w:pPr>
            <w:pStyle w:val="TOC1"/>
            <w:tabs>
              <w:tab w:pos="7495" w:val="right" w:leader="dot"/>
            </w:tabs>
            <w:spacing w:before="5"/>
            <w:rPr>
              <w:rFonts w:ascii="Times New Roman" w:eastAsia="Times New Roman"/>
            </w:rPr>
          </w:pPr>
          <w:hyperlink w:history="true" w:anchor="_bookmark74">
            <w:r>
              <w:rPr/>
              <w:t>（三）收益分配方案</w:t>
              <w:tab/>
            </w:r>
            <w:r>
              <w:rPr>
                <w:rFonts w:ascii="Times New Roman" w:eastAsia="Times New Roman"/>
              </w:rPr>
              <w:t>117</w:t>
            </w:r>
          </w:hyperlink>
        </w:p>
        <w:p>
          <w:pPr>
            <w:pStyle w:val="TOC1"/>
            <w:tabs>
              <w:tab w:pos="7495" w:val="right" w:leader="dot"/>
            </w:tabs>
            <w:rPr>
              <w:rFonts w:ascii="Times New Roman" w:eastAsia="Times New Roman"/>
            </w:rPr>
          </w:pPr>
          <w:hyperlink w:history="true" w:anchor="_bookmark75">
            <w:r>
              <w:rPr/>
              <w:t>（四）收益分配方案的确定与公告</w:t>
              <w:tab/>
            </w:r>
            <w:r>
              <w:rPr>
                <w:rFonts w:ascii="Times New Roman" w:eastAsia="Times New Roman"/>
              </w:rPr>
              <w:t>117</w:t>
            </w:r>
          </w:hyperlink>
        </w:p>
        <w:p>
          <w:pPr>
            <w:pStyle w:val="TOC1"/>
            <w:tabs>
              <w:tab w:pos="7495" w:val="right" w:leader="dot"/>
            </w:tabs>
            <w:spacing w:before="5"/>
            <w:rPr>
              <w:rFonts w:ascii="Times New Roman" w:eastAsia="Times New Roman"/>
            </w:rPr>
          </w:pPr>
          <w:hyperlink w:history="true" w:anchor="_bookmark76">
            <w:r>
              <w:rPr/>
              <w:t>（五）收益分配中发生的费用</w:t>
              <w:tab/>
            </w:r>
            <w:r>
              <w:rPr>
                <w:rFonts w:ascii="Times New Roman" w:eastAsia="Times New Roman"/>
              </w:rPr>
              <w:t>117</w:t>
            </w:r>
          </w:hyperlink>
        </w:p>
        <w:p>
          <w:pPr>
            <w:pStyle w:val="TOC1"/>
            <w:tabs>
              <w:tab w:pos="8295" w:val="right" w:leader="dot"/>
            </w:tabs>
            <w:spacing w:before="48"/>
            <w:ind w:right="827"/>
          </w:pPr>
          <w:hyperlink w:history="true" w:anchor="_bookmark77">
            <w:r>
              <w:rPr/>
              <w:t>十六、基金的费用与税收</w:t>
              <w:tab/>
              <w:t>118</w:t>
            </w:r>
          </w:hyperlink>
        </w:p>
        <w:p>
          <w:pPr>
            <w:pStyle w:val="TOC1"/>
            <w:tabs>
              <w:tab w:pos="7495" w:val="right" w:leader="dot"/>
            </w:tabs>
            <w:spacing w:before="9"/>
            <w:rPr>
              <w:rFonts w:ascii="Times New Roman" w:eastAsia="Times New Roman"/>
            </w:rPr>
          </w:pPr>
          <w:hyperlink w:history="true" w:anchor="_bookmark78">
            <w:r>
              <w:rPr/>
              <w:t>（一）与基金运作相关的费用</w:t>
              <w:tab/>
            </w:r>
            <w:r>
              <w:rPr>
                <w:rFonts w:ascii="Times New Roman" w:eastAsia="Times New Roman"/>
              </w:rPr>
              <w:t>118</w:t>
            </w:r>
          </w:hyperlink>
        </w:p>
        <w:p>
          <w:pPr>
            <w:pStyle w:val="TOC1"/>
            <w:tabs>
              <w:tab w:pos="7495" w:val="right" w:leader="dot"/>
            </w:tabs>
            <w:rPr>
              <w:rFonts w:ascii="Times New Roman" w:eastAsia="Times New Roman"/>
            </w:rPr>
          </w:pPr>
          <w:hyperlink w:history="true" w:anchor="_bookmark79">
            <w:r>
              <w:rPr/>
              <w:t>（二）与基金销售有关的费用</w:t>
              <w:tab/>
            </w:r>
            <w:r>
              <w:rPr>
                <w:rFonts w:ascii="Times New Roman" w:eastAsia="Times New Roman"/>
              </w:rPr>
              <w:t>119</w:t>
            </w:r>
          </w:hyperlink>
        </w:p>
        <w:p>
          <w:pPr>
            <w:pStyle w:val="TOC1"/>
            <w:tabs>
              <w:tab w:pos="7495" w:val="right" w:leader="dot"/>
            </w:tabs>
            <w:spacing w:before="5"/>
            <w:rPr>
              <w:rFonts w:ascii="Times New Roman" w:eastAsia="Times New Roman"/>
            </w:rPr>
          </w:pPr>
          <w:hyperlink w:history="true" w:anchor="_bookmark80">
            <w:r>
              <w:rPr/>
              <w:t>（三）基金的税收</w:t>
              <w:tab/>
            </w:r>
            <w:r>
              <w:rPr>
                <w:rFonts w:ascii="Times New Roman" w:eastAsia="Times New Roman"/>
              </w:rPr>
              <w:t>119</w:t>
            </w:r>
          </w:hyperlink>
        </w:p>
        <w:p>
          <w:pPr>
            <w:pStyle w:val="TOC1"/>
            <w:tabs>
              <w:tab w:pos="8295" w:val="right" w:leader="dot"/>
            </w:tabs>
            <w:spacing w:before="48"/>
            <w:ind w:right="827"/>
          </w:pPr>
          <w:hyperlink w:history="true" w:anchor="_bookmark81">
            <w:r>
              <w:rPr/>
              <w:t>十七、基金的会计与审计</w:t>
              <w:tab/>
              <w:t>120</w:t>
            </w:r>
          </w:hyperlink>
        </w:p>
        <w:p>
          <w:pPr>
            <w:pStyle w:val="TOC1"/>
            <w:tabs>
              <w:tab w:pos="7495" w:val="right" w:leader="dot"/>
            </w:tabs>
            <w:spacing w:before="9" w:after="27"/>
            <w:rPr>
              <w:rFonts w:ascii="Times New Roman" w:eastAsia="Times New Roman"/>
            </w:rPr>
          </w:pPr>
          <w:hyperlink w:history="true" w:anchor="_bookmark82">
            <w:r>
              <w:rPr/>
              <w:t>（一）基金会计政策</w:t>
              <w:tab/>
            </w:r>
            <w:r>
              <w:rPr>
                <w:rFonts w:ascii="Times New Roman" w:eastAsia="Times New Roman"/>
              </w:rPr>
              <w:t>120</w:t>
            </w:r>
          </w:hyperlink>
        </w:p>
        <w:p>
          <w:pPr>
            <w:pStyle w:val="TOC1"/>
            <w:tabs>
              <w:tab w:pos="7495" w:val="right" w:leader="dot"/>
            </w:tabs>
            <w:spacing w:before="46"/>
            <w:rPr>
              <w:rFonts w:ascii="Times New Roman" w:eastAsia="Times New Roman"/>
            </w:rPr>
          </w:pPr>
          <w:hyperlink w:history="true" w:anchor="_bookmark83">
            <w:r>
              <w:rPr/>
              <w:t>（二）基金的审计</w:t>
              <w:tab/>
            </w:r>
            <w:r>
              <w:rPr>
                <w:rFonts w:ascii="Times New Roman" w:eastAsia="Times New Roman"/>
              </w:rPr>
              <w:t>120</w:t>
            </w:r>
          </w:hyperlink>
        </w:p>
        <w:p>
          <w:pPr>
            <w:pStyle w:val="TOC1"/>
            <w:tabs>
              <w:tab w:pos="8295" w:val="right" w:leader="dot"/>
            </w:tabs>
            <w:spacing w:before="48"/>
            <w:ind w:right="827"/>
          </w:pPr>
          <w:hyperlink w:history="true" w:anchor="_bookmark84">
            <w:r>
              <w:rPr/>
              <w:t>十八、基金的信息披露</w:t>
              <w:tab/>
              <w:t>121</w:t>
            </w:r>
          </w:hyperlink>
        </w:p>
        <w:p>
          <w:pPr>
            <w:pStyle w:val="TOC1"/>
            <w:tabs>
              <w:tab w:pos="7495" w:val="right" w:leader="dot"/>
            </w:tabs>
            <w:spacing w:before="9"/>
            <w:rPr>
              <w:rFonts w:ascii="Times New Roman" w:eastAsia="Times New Roman"/>
            </w:rPr>
          </w:pPr>
          <w:hyperlink w:history="true" w:anchor="_bookmark85">
            <w:r>
              <w:rPr/>
              <w:t>（一）信息披露的形式</w:t>
              <w:tab/>
            </w:r>
            <w:r>
              <w:rPr>
                <w:rFonts w:ascii="Times New Roman" w:eastAsia="Times New Roman"/>
              </w:rPr>
              <w:t>121</w:t>
            </w:r>
          </w:hyperlink>
        </w:p>
        <w:p>
          <w:pPr>
            <w:pStyle w:val="TOC1"/>
            <w:tabs>
              <w:tab w:pos="7495" w:val="right" w:leader="dot"/>
            </w:tabs>
            <w:rPr>
              <w:rFonts w:ascii="Times New Roman" w:eastAsia="Times New Roman"/>
            </w:rPr>
          </w:pPr>
          <w:hyperlink w:history="true" w:anchor="_bookmark86">
            <w:r>
              <w:rPr/>
              <w:t>（二）信息披露的种类、披露时间和披露形式</w:t>
              <w:tab/>
            </w:r>
            <w:r>
              <w:rPr>
                <w:rFonts w:ascii="Times New Roman" w:eastAsia="Times New Roman"/>
              </w:rPr>
              <w:t>121</w:t>
            </w:r>
          </w:hyperlink>
        </w:p>
        <w:p>
          <w:pPr>
            <w:pStyle w:val="TOC1"/>
            <w:tabs>
              <w:tab w:pos="7495" w:val="right" w:leader="dot"/>
            </w:tabs>
            <w:spacing w:before="5"/>
            <w:rPr>
              <w:rFonts w:ascii="Times New Roman" w:eastAsia="Times New Roman"/>
            </w:rPr>
          </w:pPr>
          <w:hyperlink w:history="true" w:anchor="_bookmark87">
            <w:r>
              <w:rPr/>
              <w:t>（三）信息披露事务管理</w:t>
              <w:tab/>
            </w:r>
            <w:r>
              <w:rPr>
                <w:rFonts w:ascii="Times New Roman" w:eastAsia="Times New Roman"/>
              </w:rPr>
              <w:t>123</w:t>
            </w:r>
          </w:hyperlink>
        </w:p>
        <w:p>
          <w:pPr>
            <w:pStyle w:val="TOC1"/>
            <w:tabs>
              <w:tab w:pos="7495" w:val="right" w:leader="dot"/>
            </w:tabs>
            <w:rPr>
              <w:rFonts w:ascii="Times New Roman" w:eastAsia="Times New Roman"/>
            </w:rPr>
          </w:pPr>
          <w:hyperlink w:history="true" w:anchor="_bookmark88">
            <w:r>
              <w:rPr/>
              <w:t>（四）信息披露文件的存放与查阅</w:t>
              <w:tab/>
            </w:r>
            <w:r>
              <w:rPr>
                <w:rFonts w:ascii="Times New Roman" w:eastAsia="Times New Roman"/>
              </w:rPr>
              <w:t>124</w:t>
            </w:r>
          </w:hyperlink>
        </w:p>
        <w:p>
          <w:pPr>
            <w:pStyle w:val="TOC1"/>
            <w:tabs>
              <w:tab w:pos="8295" w:val="right" w:leader="dot"/>
            </w:tabs>
            <w:spacing w:before="49"/>
            <w:ind w:right="827"/>
          </w:pPr>
          <w:hyperlink w:history="true" w:anchor="_bookmark89">
            <w:r>
              <w:rPr/>
              <w:t>十九、风险揭示</w:t>
              <w:tab/>
              <w:t>125</w:t>
            </w:r>
          </w:hyperlink>
        </w:p>
        <w:p>
          <w:pPr>
            <w:pStyle w:val="TOC1"/>
            <w:tabs>
              <w:tab w:pos="7495" w:val="right" w:leader="dot"/>
            </w:tabs>
            <w:spacing w:before="8"/>
            <w:rPr>
              <w:rFonts w:ascii="Times New Roman" w:eastAsia="Times New Roman"/>
            </w:rPr>
          </w:pPr>
          <w:hyperlink w:history="true" w:anchor="_bookmark90">
            <w:r>
              <w:rPr/>
              <w:t>（一）市场风险</w:t>
              <w:tab/>
            </w:r>
            <w:r>
              <w:rPr>
                <w:rFonts w:ascii="Times New Roman" w:eastAsia="Times New Roman"/>
              </w:rPr>
              <w:t>125</w:t>
            </w:r>
          </w:hyperlink>
        </w:p>
        <w:p>
          <w:pPr>
            <w:pStyle w:val="TOC1"/>
            <w:tabs>
              <w:tab w:pos="7495" w:val="right" w:leader="dot"/>
            </w:tabs>
            <w:spacing w:before="5"/>
            <w:rPr>
              <w:rFonts w:ascii="Times New Roman" w:eastAsia="Times New Roman"/>
            </w:rPr>
          </w:pPr>
          <w:hyperlink w:history="true" w:anchor="_bookmark91">
            <w:r>
              <w:rPr/>
              <w:t>（二）本基金特有的风险</w:t>
              <w:tab/>
            </w:r>
            <w:r>
              <w:rPr>
                <w:rFonts w:ascii="Times New Roman" w:eastAsia="Times New Roman"/>
              </w:rPr>
              <w:t>125</w:t>
            </w:r>
          </w:hyperlink>
        </w:p>
        <w:p>
          <w:pPr>
            <w:pStyle w:val="TOC1"/>
            <w:tabs>
              <w:tab w:pos="7495" w:val="right" w:leader="dot"/>
            </w:tabs>
            <w:rPr>
              <w:rFonts w:ascii="Times New Roman" w:eastAsia="Times New Roman"/>
            </w:rPr>
          </w:pPr>
          <w:hyperlink w:history="true" w:anchor="_bookmark92">
            <w:r>
              <w:rPr/>
              <w:t>（三）流动性风险</w:t>
              <w:tab/>
            </w:r>
            <w:r>
              <w:rPr>
                <w:rFonts w:ascii="Times New Roman" w:eastAsia="Times New Roman"/>
              </w:rPr>
              <w:t>126</w:t>
            </w:r>
          </w:hyperlink>
        </w:p>
        <w:p>
          <w:pPr>
            <w:pStyle w:val="TOC2"/>
            <w:tabs>
              <w:tab w:pos="9135" w:val="right" w:leader="dot"/>
            </w:tabs>
            <w:spacing w:line="242" w:lineRule="auto"/>
            <w:rPr>
              <w:rFonts w:ascii="Times New Roman" w:eastAsia="Times New Roman"/>
            </w:rPr>
          </w:pPr>
          <w:hyperlink w:history="true" w:anchor="_bookmark93">
            <w:r>
              <w:rPr/>
              <w:t>（四）本基金法律文件中涉及基金风险特征的表述与销售机构对基金的</w:t>
            </w:r>
          </w:hyperlink>
          <w:hyperlink w:history="true" w:anchor="_bookmark93">
            <w:r>
              <w:rPr/>
              <w:t>风险评级可能不一致的风险</w:t>
              <w:tab/>
            </w:r>
            <w:r>
              <w:rPr>
                <w:rFonts w:ascii="Times New Roman" w:eastAsia="Times New Roman"/>
              </w:rPr>
              <w:t>127</w:t>
            </w:r>
          </w:hyperlink>
        </w:p>
        <w:p>
          <w:pPr>
            <w:pStyle w:val="TOC1"/>
            <w:tabs>
              <w:tab w:pos="7495" w:val="right" w:leader="dot"/>
            </w:tabs>
            <w:spacing w:before="3"/>
            <w:rPr>
              <w:rFonts w:ascii="Times New Roman" w:eastAsia="Times New Roman"/>
            </w:rPr>
          </w:pPr>
          <w:hyperlink w:history="true" w:anchor="_bookmark94">
            <w:r>
              <w:rPr/>
              <w:t>（五）管理风险</w:t>
              <w:tab/>
            </w:r>
            <w:r>
              <w:rPr>
                <w:rFonts w:ascii="Times New Roman" w:eastAsia="Times New Roman"/>
              </w:rPr>
              <w:t>128</w:t>
            </w:r>
          </w:hyperlink>
        </w:p>
        <w:p>
          <w:pPr>
            <w:pStyle w:val="TOC1"/>
            <w:tabs>
              <w:tab w:pos="7495" w:val="right" w:leader="dot"/>
            </w:tabs>
            <w:rPr>
              <w:rFonts w:ascii="Times New Roman" w:eastAsia="Times New Roman"/>
            </w:rPr>
          </w:pPr>
          <w:hyperlink w:history="true" w:anchor="_bookmark95">
            <w:r>
              <w:rPr/>
              <w:t>（六）其他风险</w:t>
              <w:tab/>
            </w:r>
            <w:r>
              <w:rPr>
                <w:rFonts w:ascii="Times New Roman" w:eastAsia="Times New Roman"/>
              </w:rPr>
              <w:t>128</w:t>
            </w:r>
          </w:hyperlink>
        </w:p>
        <w:p>
          <w:pPr>
            <w:pStyle w:val="TOC1"/>
            <w:tabs>
              <w:tab w:pos="8295" w:val="right" w:leader="dot"/>
            </w:tabs>
            <w:spacing w:before="49"/>
            <w:ind w:right="827"/>
          </w:pPr>
          <w:hyperlink w:history="true" w:anchor="_bookmark96">
            <w:r>
              <w:rPr/>
              <w:t>二十、基金合同的变更、终止与基金财产的清算</w:t>
              <w:tab/>
              <w:t>129</w:t>
            </w:r>
          </w:hyperlink>
        </w:p>
        <w:p>
          <w:pPr>
            <w:pStyle w:val="TOC1"/>
            <w:tabs>
              <w:tab w:pos="7495" w:val="right" w:leader="dot"/>
            </w:tabs>
            <w:spacing w:before="8"/>
            <w:rPr>
              <w:rFonts w:ascii="Times New Roman" w:eastAsia="Times New Roman"/>
            </w:rPr>
          </w:pPr>
          <w:hyperlink w:history="true" w:anchor="_bookmark97">
            <w:r>
              <w:rPr/>
              <w:t>（一）基金合同的变更</w:t>
              <w:tab/>
            </w:r>
            <w:r>
              <w:rPr>
                <w:rFonts w:ascii="Times New Roman" w:eastAsia="Times New Roman"/>
              </w:rPr>
              <w:t>129</w:t>
            </w:r>
          </w:hyperlink>
        </w:p>
        <w:p>
          <w:pPr>
            <w:pStyle w:val="TOC1"/>
            <w:tabs>
              <w:tab w:pos="7495" w:val="right" w:leader="dot"/>
            </w:tabs>
            <w:spacing w:before="5"/>
            <w:rPr>
              <w:rFonts w:ascii="Times New Roman" w:eastAsia="Times New Roman"/>
            </w:rPr>
          </w:pPr>
          <w:hyperlink w:history="true" w:anchor="_bookmark98">
            <w:r>
              <w:rPr/>
              <w:t>（二）基金合同的终止</w:t>
              <w:tab/>
            </w:r>
            <w:r>
              <w:rPr>
                <w:rFonts w:ascii="Times New Roman" w:eastAsia="Times New Roman"/>
              </w:rPr>
              <w:t>129</w:t>
            </w:r>
          </w:hyperlink>
        </w:p>
        <w:p>
          <w:pPr>
            <w:pStyle w:val="TOC1"/>
            <w:tabs>
              <w:tab w:pos="7495" w:val="right" w:leader="dot"/>
            </w:tabs>
            <w:rPr>
              <w:rFonts w:ascii="Times New Roman" w:eastAsia="Times New Roman"/>
            </w:rPr>
          </w:pPr>
          <w:hyperlink w:history="true" w:anchor="_bookmark99">
            <w:r>
              <w:rPr/>
              <w:t>（三）基金财产的清算</w:t>
              <w:tab/>
            </w:r>
            <w:r>
              <w:rPr>
                <w:rFonts w:ascii="Times New Roman" w:eastAsia="Times New Roman"/>
              </w:rPr>
              <w:t>129</w:t>
            </w:r>
          </w:hyperlink>
        </w:p>
        <w:p>
          <w:pPr>
            <w:pStyle w:val="TOC1"/>
            <w:tabs>
              <w:tab w:pos="8295" w:val="right" w:leader="dot"/>
            </w:tabs>
            <w:spacing w:before="49"/>
            <w:ind w:right="827"/>
          </w:pPr>
          <w:hyperlink w:history="true" w:anchor="_bookmark100">
            <w:r>
              <w:rPr/>
              <w:t>二十一、基金合同的内容摘要</w:t>
              <w:tab/>
              <w:t>131</w:t>
            </w:r>
          </w:hyperlink>
        </w:p>
        <w:p>
          <w:pPr>
            <w:pStyle w:val="TOC1"/>
            <w:tabs>
              <w:tab w:pos="7495" w:val="right" w:leader="dot"/>
            </w:tabs>
            <w:spacing w:before="8"/>
            <w:rPr>
              <w:rFonts w:ascii="Times New Roman" w:eastAsia="Times New Roman"/>
            </w:rPr>
          </w:pPr>
          <w:hyperlink w:history="true" w:anchor="_bookmark101">
            <w:r>
              <w:rPr/>
              <w:t>（一）基金管理人的权利和义务</w:t>
              <w:tab/>
            </w:r>
            <w:r>
              <w:rPr>
                <w:rFonts w:ascii="Times New Roman" w:eastAsia="Times New Roman"/>
              </w:rPr>
              <w:t>131</w:t>
            </w:r>
          </w:hyperlink>
        </w:p>
        <w:p>
          <w:pPr>
            <w:pStyle w:val="TOC1"/>
            <w:tabs>
              <w:tab w:pos="7495" w:val="right" w:leader="dot"/>
            </w:tabs>
            <w:spacing w:before="5"/>
            <w:rPr>
              <w:rFonts w:ascii="Times New Roman" w:eastAsia="Times New Roman"/>
            </w:rPr>
          </w:pPr>
          <w:hyperlink w:history="true" w:anchor="_bookmark102">
            <w:r>
              <w:rPr/>
              <w:t>（二）基金托管人的权利和义务</w:t>
              <w:tab/>
            </w:r>
            <w:r>
              <w:rPr>
                <w:rFonts w:ascii="Times New Roman" w:eastAsia="Times New Roman"/>
              </w:rPr>
              <w:t>132</w:t>
            </w:r>
          </w:hyperlink>
        </w:p>
        <w:p>
          <w:pPr>
            <w:pStyle w:val="TOC1"/>
            <w:tabs>
              <w:tab w:pos="7495" w:val="right" w:leader="dot"/>
            </w:tabs>
            <w:rPr>
              <w:rFonts w:ascii="Times New Roman" w:eastAsia="Times New Roman"/>
            </w:rPr>
          </w:pPr>
          <w:hyperlink w:history="true" w:anchor="_bookmark103">
            <w:r>
              <w:rPr/>
              <w:t>（三）基金份额持有人的权利和义务</w:t>
              <w:tab/>
            </w:r>
            <w:r>
              <w:rPr>
                <w:rFonts w:ascii="Times New Roman" w:eastAsia="Times New Roman"/>
              </w:rPr>
              <w:t>134</w:t>
            </w:r>
          </w:hyperlink>
        </w:p>
        <w:p>
          <w:pPr>
            <w:pStyle w:val="TOC1"/>
            <w:tabs>
              <w:tab w:pos="7495" w:val="right" w:leader="dot"/>
            </w:tabs>
            <w:spacing w:before="5"/>
            <w:rPr>
              <w:rFonts w:ascii="Times New Roman" w:eastAsia="Times New Roman"/>
            </w:rPr>
          </w:pPr>
          <w:hyperlink w:history="true" w:anchor="_bookmark104">
            <w:r>
              <w:rPr/>
              <w:t>（四）基金份额持有人大会</w:t>
              <w:tab/>
            </w:r>
            <w:r>
              <w:rPr>
                <w:rFonts w:ascii="Times New Roman" w:eastAsia="Times New Roman"/>
              </w:rPr>
              <w:t>134</w:t>
            </w:r>
          </w:hyperlink>
        </w:p>
        <w:p>
          <w:pPr>
            <w:pStyle w:val="TOC1"/>
            <w:tabs>
              <w:tab w:pos="7495" w:val="right" w:leader="dot"/>
            </w:tabs>
            <w:rPr>
              <w:rFonts w:ascii="Times New Roman" w:eastAsia="Times New Roman"/>
            </w:rPr>
          </w:pPr>
          <w:hyperlink w:history="true" w:anchor="_bookmark105">
            <w:r>
              <w:rPr/>
              <w:t>（五）基金合同的终止</w:t>
              <w:tab/>
            </w:r>
            <w:r>
              <w:rPr>
                <w:rFonts w:ascii="Times New Roman" w:eastAsia="Times New Roman"/>
              </w:rPr>
              <w:t>139</w:t>
            </w:r>
          </w:hyperlink>
        </w:p>
        <w:p>
          <w:pPr>
            <w:pStyle w:val="TOC1"/>
            <w:tabs>
              <w:tab w:pos="7495" w:val="right" w:leader="dot"/>
            </w:tabs>
            <w:spacing w:before="5"/>
            <w:rPr>
              <w:rFonts w:ascii="Times New Roman" w:eastAsia="Times New Roman"/>
            </w:rPr>
          </w:pPr>
          <w:hyperlink w:history="true" w:anchor="_bookmark106">
            <w:r>
              <w:rPr/>
              <w:t>（六）争议的处理</w:t>
              <w:tab/>
            </w:r>
            <w:r>
              <w:rPr>
                <w:rFonts w:ascii="Times New Roman" w:eastAsia="Times New Roman"/>
              </w:rPr>
              <w:t>139</w:t>
            </w:r>
          </w:hyperlink>
        </w:p>
        <w:p>
          <w:pPr>
            <w:pStyle w:val="TOC1"/>
            <w:tabs>
              <w:tab w:pos="7495" w:val="right" w:leader="dot"/>
            </w:tabs>
            <w:rPr>
              <w:rFonts w:ascii="Times New Roman" w:eastAsia="Times New Roman"/>
            </w:rPr>
          </w:pPr>
          <w:hyperlink w:history="true" w:anchor="_bookmark107">
            <w:r>
              <w:rPr/>
              <w:t>（七）基金合同的效力</w:t>
              <w:tab/>
            </w:r>
            <w:r>
              <w:rPr>
                <w:rFonts w:ascii="Times New Roman" w:eastAsia="Times New Roman"/>
              </w:rPr>
              <w:t>139</w:t>
            </w:r>
          </w:hyperlink>
        </w:p>
        <w:p>
          <w:pPr>
            <w:pStyle w:val="TOC1"/>
            <w:tabs>
              <w:tab w:pos="8295" w:val="right" w:leader="dot"/>
            </w:tabs>
            <w:spacing w:before="49"/>
            <w:ind w:right="827"/>
          </w:pPr>
          <w:hyperlink w:history="true" w:anchor="_bookmark108">
            <w:r>
              <w:rPr/>
              <w:t>二十二、基金托管协议的内容摘要</w:t>
              <w:tab/>
              <w:t>141</w:t>
            </w:r>
          </w:hyperlink>
        </w:p>
        <w:p>
          <w:pPr>
            <w:pStyle w:val="TOC1"/>
            <w:tabs>
              <w:tab w:pos="7495" w:val="right" w:leader="dot"/>
            </w:tabs>
            <w:spacing w:before="8"/>
            <w:rPr>
              <w:rFonts w:ascii="Times New Roman" w:eastAsia="Times New Roman"/>
            </w:rPr>
          </w:pPr>
          <w:hyperlink w:history="true" w:anchor="_bookmark109">
            <w:r>
              <w:rPr/>
              <w:t>（一）托管协议当事人</w:t>
              <w:tab/>
            </w:r>
            <w:r>
              <w:rPr>
                <w:rFonts w:ascii="Times New Roman" w:eastAsia="Times New Roman"/>
              </w:rPr>
              <w:t>141</w:t>
            </w:r>
          </w:hyperlink>
        </w:p>
        <w:p>
          <w:pPr>
            <w:pStyle w:val="TOC1"/>
            <w:tabs>
              <w:tab w:pos="7495" w:val="right" w:leader="dot"/>
            </w:tabs>
            <w:spacing w:before="5"/>
            <w:rPr>
              <w:rFonts w:ascii="Times New Roman" w:eastAsia="Times New Roman"/>
            </w:rPr>
          </w:pPr>
          <w:hyperlink w:history="true" w:anchor="_bookmark110">
            <w:r>
              <w:rPr/>
              <w:t>（二）基金托管人对基金管理人的业务监督、核查</w:t>
              <w:tab/>
            </w:r>
            <w:r>
              <w:rPr>
                <w:rFonts w:ascii="Times New Roman" w:eastAsia="Times New Roman"/>
              </w:rPr>
              <w:t>142</w:t>
            </w:r>
          </w:hyperlink>
        </w:p>
        <w:p>
          <w:pPr>
            <w:pStyle w:val="TOC1"/>
            <w:tabs>
              <w:tab w:pos="7495" w:val="right" w:leader="dot"/>
            </w:tabs>
            <w:rPr>
              <w:rFonts w:ascii="Times New Roman" w:eastAsia="Times New Roman"/>
            </w:rPr>
          </w:pPr>
          <w:hyperlink w:history="true" w:anchor="_bookmark111">
            <w:r>
              <w:rPr/>
              <w:t>（三）基金管理人对基金托管人的业务核查</w:t>
              <w:tab/>
            </w:r>
            <w:r>
              <w:rPr>
                <w:rFonts w:ascii="Times New Roman" w:eastAsia="Times New Roman"/>
              </w:rPr>
              <w:t>143</w:t>
            </w:r>
          </w:hyperlink>
        </w:p>
        <w:p>
          <w:pPr>
            <w:pStyle w:val="TOC1"/>
            <w:tabs>
              <w:tab w:pos="7495" w:val="right" w:leader="dot"/>
            </w:tabs>
            <w:spacing w:before="5"/>
            <w:rPr>
              <w:rFonts w:ascii="Times New Roman" w:eastAsia="Times New Roman"/>
            </w:rPr>
          </w:pPr>
          <w:hyperlink w:history="true" w:anchor="_bookmark112">
            <w:r>
              <w:rPr/>
              <w:t>（四）基金财产的保管</w:t>
              <w:tab/>
            </w:r>
            <w:r>
              <w:rPr>
                <w:rFonts w:ascii="Times New Roman" w:eastAsia="Times New Roman"/>
              </w:rPr>
              <w:t>144</w:t>
            </w:r>
          </w:hyperlink>
        </w:p>
        <w:p>
          <w:pPr>
            <w:pStyle w:val="TOC1"/>
            <w:tabs>
              <w:tab w:pos="7495" w:val="right" w:leader="dot"/>
            </w:tabs>
            <w:rPr>
              <w:rFonts w:ascii="Times New Roman" w:eastAsia="Times New Roman"/>
            </w:rPr>
          </w:pPr>
          <w:hyperlink w:history="true" w:anchor="_bookmark113">
            <w:r>
              <w:rPr/>
              <w:t>（五）基金资产净值计算与复核</w:t>
              <w:tab/>
            </w:r>
            <w:r>
              <w:rPr>
                <w:rFonts w:ascii="Times New Roman" w:eastAsia="Times New Roman"/>
              </w:rPr>
              <w:t>145</w:t>
            </w:r>
          </w:hyperlink>
        </w:p>
        <w:p>
          <w:pPr>
            <w:pStyle w:val="TOC1"/>
            <w:tabs>
              <w:tab w:pos="7495" w:val="right" w:leader="dot"/>
            </w:tabs>
            <w:spacing w:before="5"/>
            <w:rPr>
              <w:rFonts w:ascii="Times New Roman" w:eastAsia="Times New Roman"/>
            </w:rPr>
          </w:pPr>
          <w:hyperlink w:history="true" w:anchor="_bookmark114">
            <w:r>
              <w:rPr/>
              <w:t>（六）基金份额持有人名册的保管</w:t>
              <w:tab/>
            </w:r>
            <w:r>
              <w:rPr>
                <w:rFonts w:ascii="Times New Roman" w:eastAsia="Times New Roman"/>
              </w:rPr>
              <w:t>146</w:t>
            </w:r>
          </w:hyperlink>
        </w:p>
        <w:p>
          <w:pPr>
            <w:pStyle w:val="TOC1"/>
            <w:tabs>
              <w:tab w:pos="7495" w:val="right" w:leader="dot"/>
            </w:tabs>
            <w:rPr>
              <w:rFonts w:ascii="Times New Roman" w:eastAsia="Times New Roman"/>
            </w:rPr>
          </w:pPr>
          <w:hyperlink w:history="true" w:anchor="_bookmark115">
            <w:r>
              <w:rPr/>
              <w:t>（七）适用法律与争议解决方式</w:t>
              <w:tab/>
            </w:r>
            <w:r>
              <w:rPr>
                <w:rFonts w:ascii="Times New Roman" w:eastAsia="Times New Roman"/>
              </w:rPr>
              <w:t>147</w:t>
            </w:r>
          </w:hyperlink>
        </w:p>
        <w:p>
          <w:pPr>
            <w:pStyle w:val="TOC1"/>
            <w:tabs>
              <w:tab w:pos="7495" w:val="right" w:leader="dot"/>
            </w:tabs>
            <w:spacing w:before="5"/>
            <w:rPr>
              <w:rFonts w:ascii="Times New Roman" w:eastAsia="Times New Roman"/>
            </w:rPr>
          </w:pPr>
          <w:hyperlink w:history="true" w:anchor="_bookmark116">
            <w:r>
              <w:rPr/>
              <w:t>（八）托管协议的变更与终止</w:t>
              <w:tab/>
            </w:r>
            <w:r>
              <w:rPr>
                <w:rFonts w:ascii="Times New Roman" w:eastAsia="Times New Roman"/>
              </w:rPr>
              <w:t>147</w:t>
            </w:r>
          </w:hyperlink>
        </w:p>
        <w:p>
          <w:pPr>
            <w:pStyle w:val="TOC1"/>
            <w:tabs>
              <w:tab w:pos="8295" w:val="right" w:leader="dot"/>
            </w:tabs>
            <w:spacing w:before="48"/>
            <w:ind w:right="827"/>
          </w:pPr>
          <w:hyperlink w:history="true" w:anchor="_bookmark117">
            <w:r>
              <w:rPr/>
              <w:t>二十三、对基金份额持有人的服务</w:t>
              <w:tab/>
              <w:t>148</w:t>
            </w:r>
          </w:hyperlink>
        </w:p>
        <w:p>
          <w:pPr>
            <w:pStyle w:val="TOC1"/>
            <w:tabs>
              <w:tab w:pos="8295" w:val="right" w:leader="dot"/>
            </w:tabs>
            <w:spacing w:before="53"/>
            <w:ind w:right="827"/>
          </w:pPr>
          <w:hyperlink w:history="true" w:anchor="_bookmark118">
            <w:r>
              <w:rPr/>
              <w:t>二十四、其他应披露事项</w:t>
              <w:tab/>
              <w:t>149</w:t>
            </w:r>
          </w:hyperlink>
        </w:p>
        <w:p>
          <w:pPr>
            <w:pStyle w:val="TOC1"/>
            <w:tabs>
              <w:tab w:pos="8295" w:val="right" w:leader="dot"/>
            </w:tabs>
            <w:spacing w:before="52"/>
            <w:ind w:right="827"/>
          </w:pPr>
          <w:hyperlink w:history="true" w:anchor="_bookmark119">
            <w:r>
              <w:rPr/>
              <w:t>二十五、招募说明书的存放及查阅方式</w:t>
              <w:tab/>
              <w:t>152</w:t>
            </w:r>
          </w:hyperlink>
        </w:p>
        <w:p>
          <w:pPr>
            <w:pStyle w:val="TOC1"/>
            <w:tabs>
              <w:tab w:pos="8295" w:val="right" w:leader="dot"/>
            </w:tabs>
            <w:spacing w:before="53"/>
            <w:ind w:right="827"/>
          </w:pPr>
          <w:hyperlink w:history="true" w:anchor="_bookmark120">
            <w:r>
              <w:rPr/>
              <w:t>二十六、备查文件</w:t>
              <w:tab/>
              <w:t>153</w:t>
            </w:r>
          </w:hyperlink>
        </w:p>
      </w:sdtContent>
    </w:sdt>
    <w:p>
      <w:pPr>
        <w:spacing w:after="0"/>
        <w:sectPr>
          <w:type w:val="continuous"/>
          <w:pgSz w:w="11910" w:h="16840"/>
          <w:pgMar w:top="1400" w:bottom="1570" w:left="960" w:right="980"/>
        </w:sectPr>
      </w:pPr>
    </w:p>
    <w:p>
      <w:pPr>
        <w:spacing w:before="27"/>
        <w:ind w:left="1242" w:right="622" w:firstLine="0"/>
        <w:jc w:val="center"/>
        <w:rPr>
          <w:sz w:val="32"/>
        </w:rPr>
      </w:pPr>
      <w:bookmarkStart w:name="_bookmark0" w:id="1"/>
      <w:bookmarkEnd w:id="1"/>
      <w:r>
        <w:rPr/>
      </w:r>
      <w:r>
        <w:rPr>
          <w:sz w:val="30"/>
        </w:rPr>
        <w:t>一、</w:t>
      </w:r>
      <w:r>
        <w:rPr>
          <w:sz w:val="32"/>
        </w:rPr>
        <w:t>绪言</w:t>
      </w:r>
    </w:p>
    <w:p>
      <w:pPr>
        <w:pStyle w:val="BodyText"/>
        <w:spacing w:line="364" w:lineRule="auto" w:before="210"/>
        <w:ind w:left="840" w:right="713" w:firstLine="420"/>
      </w:pPr>
      <w:r>
        <w:rPr>
          <w:spacing w:val="-11"/>
        </w:rPr>
        <w:t>本招募说明书依据《中华人民共和国证券投资基金法》</w:t>
      </w:r>
      <w:r>
        <w:rPr/>
        <w:t>（</w:t>
      </w:r>
      <w:r>
        <w:rPr>
          <w:spacing w:val="-18"/>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840" w:right="713"/>
      </w:pPr>
      <w:r>
        <w:rPr/>
        <w:t>（</w:t>
      </w:r>
      <w:r>
        <w:rPr>
          <w:spacing w:val="-17"/>
        </w:rPr>
        <w:t>以下简称《销售办法》</w:t>
      </w:r>
      <w:r>
        <w:rPr>
          <w:spacing w:val="-105"/>
        </w:rPr>
        <w:t>）</w:t>
      </w:r>
      <w:r>
        <w:rPr>
          <w:spacing w:val="-16"/>
        </w:rPr>
        <w:t>、《公开募集证券投资基金信息披露管理办法》</w:t>
      </w:r>
      <w:r>
        <w:rPr/>
        <w:t>（</w:t>
      </w:r>
      <w:r>
        <w:rPr>
          <w:spacing w:val="-7"/>
        </w:rPr>
        <w:t>以下简称《信息披</w:t>
      </w:r>
      <w:r>
        <w:rPr>
          <w:spacing w:val="-20"/>
        </w:rPr>
        <w:t>露办法》</w:t>
      </w:r>
      <w:r>
        <w:rPr>
          <w:spacing w:val="-98"/>
        </w:rPr>
        <w:t>）</w:t>
      </w:r>
      <w:r>
        <w:rPr>
          <w:spacing w:val="-4"/>
        </w:rPr>
        <w:t>、《证券投资基金信息披露内容与格式准则第</w:t>
      </w:r>
      <w:r>
        <w:rPr>
          <w:spacing w:val="7"/>
        </w:rPr>
        <w:t>5</w:t>
      </w:r>
      <w:r>
        <w:rPr/>
        <w:t>号&lt;招募说明书的内容与格式&gt;》、</w:t>
      </w:r>
    </w:p>
    <w:p>
      <w:pPr>
        <w:pStyle w:val="BodyText"/>
        <w:spacing w:line="364" w:lineRule="auto"/>
        <w:ind w:left="840" w:right="818"/>
      </w:pPr>
      <w:r>
        <w:rPr>
          <w:spacing w:val="-5"/>
        </w:rPr>
        <w:t>《公开募集开放式证券投资基金流动性风险管理规定》</w:t>
      </w:r>
      <w:r>
        <w:rPr/>
        <w:t>（</w:t>
      </w:r>
      <w:r>
        <w:rPr>
          <w:spacing w:val="-10"/>
        </w:rPr>
        <w:t>以下简称“《管理规定》</w:t>
      </w:r>
      <w:r>
        <w:rPr>
          <w:spacing w:val="-105"/>
        </w:rPr>
        <w:t>”）</w:t>
      </w:r>
      <w:r>
        <w:rPr>
          <w:spacing w:val="-27"/>
        </w:rPr>
        <w:t>、《易方</w:t>
      </w:r>
      <w:r>
        <w:rPr>
          <w:spacing w:val="-32"/>
        </w:rPr>
        <w:t>达中小盘混合型证券投资基金基金合同》</w:t>
      </w:r>
      <w:r>
        <w:rPr/>
        <w:t>（以下简称基金合同）及其它有关规定等编写。</w:t>
      </w:r>
    </w:p>
    <w:p>
      <w:pPr>
        <w:pStyle w:val="BodyText"/>
        <w:spacing w:line="364" w:lineRule="auto"/>
        <w:ind w:left="840" w:right="8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840" w:right="8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pgSz w:w="11910" w:h="16840"/>
          <w:pgMar w:header="0" w:footer="638" w:top="1400" w:bottom="900" w:left="960" w:right="980"/>
        </w:sectPr>
      </w:pPr>
    </w:p>
    <w:p>
      <w:pPr>
        <w:pStyle w:val="Heading1"/>
        <w:ind w:right="622"/>
        <w:jc w:val="center"/>
      </w:pPr>
      <w:bookmarkStart w:name="_bookmark1" w:id="2"/>
      <w:bookmarkEnd w:id="2"/>
      <w:r>
        <w:rPr/>
      </w:r>
      <w:r>
        <w:rPr/>
        <w:t>二、释义</w:t>
      </w:r>
    </w:p>
    <w:p>
      <w:pPr>
        <w:pStyle w:val="BodyText"/>
        <w:spacing w:before="198"/>
        <w:ind w:left="1260"/>
      </w:pPr>
      <w:r>
        <w:rPr/>
        <w:t>本招募说明书中除非文意另有所指，下列词语有如下含义：</w:t>
      </w:r>
    </w:p>
    <w:p>
      <w:pPr>
        <w:pStyle w:val="BodyText"/>
        <w:tabs>
          <w:tab w:pos="3641" w:val="left" w:leader="none"/>
        </w:tabs>
        <w:spacing w:line="364" w:lineRule="auto" w:before="140"/>
        <w:ind w:left="3641" w:right="936" w:hanging="2552"/>
      </w:pPr>
      <w:r>
        <w:rPr/>
        <w:t>《基金合同》：</w:t>
        <w:tab/>
      </w:r>
      <w:r>
        <w:rPr>
          <w:spacing w:val="-38"/>
        </w:rPr>
        <w:t>指</w:t>
      </w:r>
      <w:r>
        <w:rPr/>
        <w:t>《易方达中小盘混合型证券投资基金基金合同</w:t>
      </w:r>
      <w:r>
        <w:rPr>
          <w:spacing w:val="-38"/>
        </w:rPr>
        <w:t>》</w:t>
      </w:r>
      <w:r>
        <w:rPr/>
        <w:t>及对本</w:t>
      </w:r>
      <w:r>
        <w:rPr>
          <w:spacing w:val="-15"/>
        </w:rPr>
        <w:t>基</w:t>
      </w:r>
      <w:r>
        <w:rPr/>
        <w:t>金合同的任何有效修订和补充；</w:t>
      </w:r>
    </w:p>
    <w:p>
      <w:pPr>
        <w:pStyle w:val="BodyText"/>
        <w:tabs>
          <w:tab w:pos="3641" w:val="left" w:leader="none"/>
        </w:tabs>
        <w:spacing w:line="268" w:lineRule="exact"/>
        <w:ind w:left="1090"/>
      </w:pPr>
      <w:r>
        <w:rPr/>
        <w:t>《托管协议》：</w:t>
        <w:tab/>
      </w:r>
      <w:r>
        <w:rPr>
          <w:spacing w:val="-38"/>
        </w:rPr>
        <w:t>指</w:t>
      </w:r>
      <w:r>
        <w:rPr/>
        <w:t>《易方达中小盘混合型证券投资基金托管协议</w:t>
      </w:r>
      <w:r>
        <w:rPr>
          <w:spacing w:val="-38"/>
        </w:rPr>
        <w:t>》</w:t>
      </w:r>
      <w:r>
        <w:rPr/>
        <w:t>及其任何</w:t>
      </w:r>
    </w:p>
    <w:p>
      <w:pPr>
        <w:pStyle w:val="BodyText"/>
        <w:spacing w:before="139"/>
        <w:ind w:left="3641"/>
      </w:pPr>
      <w:r>
        <w:rPr/>
        <w:t>有效修订和补充；</w:t>
      </w:r>
    </w:p>
    <w:p>
      <w:pPr>
        <w:pStyle w:val="BodyText"/>
        <w:tabs>
          <w:tab w:pos="3641" w:val="left" w:leader="none"/>
        </w:tabs>
        <w:spacing w:before="139"/>
        <w:ind w:left="1090"/>
      </w:pPr>
      <w:r>
        <w:rPr/>
        <w:t>基金产品资料概要：</w:t>
        <w:tab/>
        <w:t>指《易方达中小盘混合型证券投资基金基金产品资料概要》</w:t>
      </w:r>
    </w:p>
    <w:p>
      <w:pPr>
        <w:pStyle w:val="BodyText"/>
        <w:spacing w:before="140"/>
        <w:ind w:left="3641"/>
      </w:pPr>
      <w:r>
        <w:rPr/>
        <w:t>及其更新；</w:t>
      </w:r>
    </w:p>
    <w:p>
      <w:pPr>
        <w:pStyle w:val="BodyText"/>
        <w:tabs>
          <w:tab w:pos="3641" w:val="left" w:leader="none"/>
        </w:tabs>
        <w:spacing w:before="139"/>
        <w:ind w:left="1090"/>
      </w:pPr>
      <w:r>
        <w:rPr/>
        <w:t>《证券法》：</w:t>
        <w:tab/>
        <w:t>指《中华人民共和国证券法</w:t>
      </w:r>
      <w:r>
        <w:rPr>
          <w:spacing w:val="-105"/>
        </w:rPr>
        <w:t>》</w:t>
      </w:r>
      <w:r>
        <w:rPr/>
        <w:t>；</w:t>
      </w:r>
    </w:p>
    <w:p>
      <w:pPr>
        <w:pStyle w:val="BodyText"/>
        <w:tabs>
          <w:tab w:pos="3641" w:val="left" w:leader="none"/>
        </w:tabs>
        <w:spacing w:before="140"/>
        <w:ind w:left="1090"/>
      </w:pPr>
      <w:r>
        <w:rPr/>
        <w:t>《基金法》：</w:t>
        <w:tab/>
        <w:t>指</w:t>
      </w:r>
      <w:r>
        <w:rPr>
          <w:spacing w:val="-52"/>
        </w:rPr>
        <w:t> </w:t>
      </w:r>
      <w:r>
        <w:rPr/>
        <w:t>2012</w:t>
      </w:r>
      <w:r>
        <w:rPr>
          <w:spacing w:val="-51"/>
        </w:rPr>
        <w:t> </w:t>
      </w:r>
      <w:r>
        <w:rPr/>
        <w:t>年</w:t>
      </w:r>
      <w:r>
        <w:rPr>
          <w:spacing w:val="-51"/>
        </w:rPr>
        <w:t> </w:t>
      </w:r>
      <w:r>
        <w:rPr/>
        <w:t>12</w:t>
      </w:r>
      <w:r>
        <w:rPr>
          <w:spacing w:val="-52"/>
        </w:rPr>
        <w:t> </w:t>
      </w:r>
      <w:r>
        <w:rPr/>
        <w:t>月</w:t>
      </w:r>
      <w:r>
        <w:rPr>
          <w:spacing w:val="-51"/>
        </w:rPr>
        <w:t> </w:t>
      </w:r>
      <w:r>
        <w:rPr/>
        <w:t>28</w:t>
      </w:r>
      <w:r>
        <w:rPr>
          <w:spacing w:val="-51"/>
        </w:rPr>
        <w:t> </w:t>
      </w:r>
      <w:r>
        <w:rPr/>
        <w:t>日经第十一届全国人民代表大会常务委</w:t>
      </w:r>
    </w:p>
    <w:p>
      <w:pPr>
        <w:pStyle w:val="BodyText"/>
        <w:spacing w:line="364" w:lineRule="auto" w:before="139"/>
        <w:ind w:left="3641" w:right="937"/>
      </w:pPr>
      <w:r>
        <w:rPr>
          <w:spacing w:val="-4"/>
        </w:rPr>
        <w:t>员会第三十次会议通过的自 </w:t>
      </w:r>
      <w:r>
        <w:rPr/>
        <w:t>2013</w:t>
      </w:r>
      <w:r>
        <w:rPr>
          <w:spacing w:val="-33"/>
        </w:rPr>
        <w:t> 年 </w:t>
      </w:r>
      <w:r>
        <w:rPr/>
        <w:t>6</w:t>
      </w:r>
      <w:r>
        <w:rPr>
          <w:spacing w:val="-33"/>
        </w:rPr>
        <w:t> 月 </w:t>
      </w:r>
      <w:r>
        <w:rPr/>
        <w:t>1</w:t>
      </w:r>
      <w:r>
        <w:rPr>
          <w:spacing w:val="-8"/>
        </w:rPr>
        <w:t> 日起施行的《中华人民共和国证券投资基金法》及不时做出的修订；</w:t>
      </w:r>
    </w:p>
    <w:p>
      <w:pPr>
        <w:spacing w:after="0" w:line="364" w:lineRule="auto"/>
        <w:sectPr>
          <w:pgSz w:w="11910" w:h="16840"/>
          <w:pgMar w:header="0" w:footer="638" w:top="1380" w:bottom="900" w:left="960" w:right="980"/>
        </w:sectPr>
      </w:pPr>
    </w:p>
    <w:p>
      <w:pPr>
        <w:pStyle w:val="BodyText"/>
        <w:spacing w:line="269" w:lineRule="exact"/>
        <w:ind w:left="1090"/>
      </w:pPr>
      <w:r>
        <w:rPr>
          <w:spacing w:val="-3"/>
        </w:rPr>
        <w:t>《运作办法》：</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1090"/>
      </w:pPr>
      <w:r>
        <w:rPr>
          <w:spacing w:val="-3"/>
        </w:rPr>
        <w:t>《管理规定》：</w:t>
      </w:r>
    </w:p>
    <w:p>
      <w:pPr>
        <w:pStyle w:val="BodyText"/>
        <w:spacing w:line="364" w:lineRule="auto"/>
        <w:ind w:left="1041" w:right="936"/>
        <w:jc w:val="both"/>
      </w:pPr>
      <w:r>
        <w:rPr/>
        <w:br w:type="column"/>
      </w:r>
      <w:r>
        <w:rPr>
          <w:spacing w:val="-26"/>
        </w:rPr>
        <w:t>指 </w:t>
      </w:r>
      <w:r>
        <w:rPr/>
        <w:t>2014</w:t>
      </w:r>
      <w:r>
        <w:rPr>
          <w:spacing w:val="-35"/>
        </w:rPr>
        <w:t> 年 </w:t>
      </w:r>
      <w:r>
        <w:rPr/>
        <w:t>7</w:t>
      </w:r>
      <w:r>
        <w:rPr>
          <w:spacing w:val="-34"/>
        </w:rPr>
        <w:t> 月 </w:t>
      </w:r>
      <w:r>
        <w:rPr/>
        <w:t>7</w:t>
      </w:r>
      <w:r>
        <w:rPr>
          <w:spacing w:val="-11"/>
        </w:rPr>
        <w:t> 日由中国证监会公布并于同年 </w:t>
      </w:r>
      <w:r>
        <w:rPr/>
        <w:t>8</w:t>
      </w:r>
      <w:r>
        <w:rPr>
          <w:spacing w:val="-34"/>
        </w:rPr>
        <w:t> 月 </w:t>
      </w:r>
      <w:r>
        <w:rPr/>
        <w:t>8</w:t>
      </w:r>
      <w:r>
        <w:rPr>
          <w:spacing w:val="-18"/>
        </w:rPr>
        <w:t> 日起</w:t>
      </w:r>
      <w:r>
        <w:rPr>
          <w:spacing w:val="-12"/>
        </w:rPr>
        <w:t>施行的《公开募集证券投资基金运作管理办法》及不时做出</w:t>
      </w:r>
      <w:r>
        <w:rPr/>
        <w:t>的修订；</w:t>
      </w:r>
    </w:p>
    <w:p>
      <w:pPr>
        <w:pStyle w:val="BodyText"/>
        <w:spacing w:line="364" w:lineRule="auto"/>
        <w:ind w:left="1041" w:right="936"/>
        <w:jc w:val="both"/>
      </w:pPr>
      <w:r>
        <w:rPr>
          <w:spacing w:val="-8"/>
        </w:rPr>
        <w:t>指中国证监会 </w:t>
      </w:r>
      <w:r>
        <w:rPr/>
        <w:t>2017</w:t>
      </w:r>
      <w:r>
        <w:rPr>
          <w:spacing w:val="-35"/>
        </w:rPr>
        <w:t> 年 </w:t>
      </w:r>
      <w:r>
        <w:rPr/>
        <w:t>8</w:t>
      </w:r>
      <w:r>
        <w:rPr>
          <w:spacing w:val="-35"/>
        </w:rPr>
        <w:t> 月 </w:t>
      </w:r>
      <w:r>
        <w:rPr/>
        <w:t>31</w:t>
      </w:r>
      <w:r>
        <w:rPr>
          <w:spacing w:val="-15"/>
        </w:rPr>
        <w:t> 日颁布、同年 </w:t>
      </w:r>
      <w:r>
        <w:rPr/>
        <w:t>10</w:t>
      </w:r>
      <w:r>
        <w:rPr>
          <w:spacing w:val="-35"/>
        </w:rPr>
        <w:t> 月 </w:t>
      </w:r>
      <w:r>
        <w:rPr/>
        <w:t>1</w:t>
      </w:r>
      <w:r>
        <w:rPr>
          <w:spacing w:val="-14"/>
        </w:rPr>
        <w:t> 日实施</w:t>
      </w:r>
      <w:r>
        <w:rPr>
          <w:spacing w:val="-9"/>
        </w:rPr>
        <w:t>的《公开募集开放式证券投资基金流动性风险管理规定》及</w:t>
      </w:r>
      <w:r>
        <w:rPr/>
        <w:t>颁布机关对其不时做出的修订；</w:t>
      </w:r>
    </w:p>
    <w:p>
      <w:pPr>
        <w:spacing w:after="0" w:line="364" w:lineRule="auto"/>
        <w:jc w:val="both"/>
        <w:sectPr>
          <w:type w:val="continuous"/>
          <w:pgSz w:w="11910" w:h="16840"/>
          <w:pgMar w:top="1600" w:bottom="280" w:left="960" w:right="980"/>
          <w:cols w:num="2" w:equalWidth="0">
            <w:col w:w="2561" w:space="40"/>
            <w:col w:w="7369"/>
          </w:cols>
        </w:sectPr>
      </w:pPr>
    </w:p>
    <w:p>
      <w:pPr>
        <w:pStyle w:val="BodyText"/>
        <w:tabs>
          <w:tab w:pos="3641" w:val="left" w:leader="none"/>
        </w:tabs>
        <w:spacing w:line="266" w:lineRule="exact"/>
        <w:ind w:left="1090"/>
      </w:pPr>
      <w:r>
        <w:rPr/>
        <w:t>《销售办法》：</w:t>
        <w:tab/>
        <w:t>指</w:t>
      </w:r>
      <w:r>
        <w:rPr>
          <w:spacing w:val="-61"/>
        </w:rPr>
        <w:t> </w:t>
      </w:r>
      <w:r>
        <w:rPr/>
        <w:t>2013</w:t>
      </w:r>
      <w:r>
        <w:rPr>
          <w:spacing w:val="-60"/>
        </w:rPr>
        <w:t> </w:t>
      </w:r>
      <w:r>
        <w:rPr/>
        <w:t>年</w:t>
      </w:r>
      <w:r>
        <w:rPr>
          <w:spacing w:val="-61"/>
        </w:rPr>
        <w:t> </w:t>
      </w:r>
      <w:r>
        <w:rPr/>
        <w:t>3</w:t>
      </w:r>
      <w:r>
        <w:rPr>
          <w:spacing w:val="-61"/>
        </w:rPr>
        <w:t> </w:t>
      </w:r>
      <w:r>
        <w:rPr/>
        <w:t>月</w:t>
      </w:r>
      <w:r>
        <w:rPr>
          <w:spacing w:val="-61"/>
        </w:rPr>
        <w:t> </w:t>
      </w:r>
      <w:r>
        <w:rPr/>
        <w:t>15</w:t>
      </w:r>
      <w:r>
        <w:rPr>
          <w:spacing w:val="-60"/>
        </w:rPr>
        <w:t> </w:t>
      </w:r>
      <w:r>
        <w:rPr/>
        <w:t>日由中国证监会公布并于同年</w:t>
      </w:r>
      <w:r>
        <w:rPr>
          <w:spacing w:val="-61"/>
        </w:rPr>
        <w:t> </w:t>
      </w:r>
      <w:r>
        <w:rPr/>
        <w:t>6</w:t>
      </w:r>
      <w:r>
        <w:rPr>
          <w:spacing w:val="-61"/>
        </w:rPr>
        <w:t> </w:t>
      </w:r>
      <w:r>
        <w:rPr/>
        <w:t>月</w:t>
      </w:r>
      <w:r>
        <w:rPr>
          <w:spacing w:val="-60"/>
        </w:rPr>
        <w:t> </w:t>
      </w:r>
      <w:r>
        <w:rPr/>
        <w:t>1</w:t>
      </w:r>
      <w:r>
        <w:rPr>
          <w:spacing w:val="-61"/>
        </w:rPr>
        <w:t> </w:t>
      </w:r>
      <w:r>
        <w:rPr/>
        <w:t>日起</w:t>
      </w:r>
    </w:p>
    <w:p>
      <w:pPr>
        <w:pStyle w:val="BodyText"/>
        <w:spacing w:before="139"/>
        <w:ind w:left="3641"/>
      </w:pPr>
      <w:r>
        <w:rPr/>
        <w:t>施行的《证券投资基金销售管理办法》及不时做出的修订；</w:t>
      </w:r>
    </w:p>
    <w:p>
      <w:pPr>
        <w:pStyle w:val="BodyText"/>
        <w:tabs>
          <w:tab w:pos="3641" w:val="left" w:leader="none"/>
        </w:tabs>
        <w:spacing w:before="140"/>
        <w:ind w:left="1090"/>
      </w:pPr>
      <w:r>
        <w:rPr/>
        <w:t>《信息披露办法》：</w:t>
        <w:tab/>
        <w:t>指中国证监会</w:t>
      </w:r>
      <w:r>
        <w:rPr>
          <w:spacing w:val="-53"/>
        </w:rPr>
        <w:t> </w:t>
      </w:r>
      <w:r>
        <w:rPr/>
        <w:t>2019</w:t>
      </w:r>
      <w:r>
        <w:rPr>
          <w:spacing w:val="-53"/>
        </w:rPr>
        <w:t> </w:t>
      </w:r>
      <w:r>
        <w:rPr/>
        <w:t>年</w:t>
      </w:r>
      <w:r>
        <w:rPr>
          <w:spacing w:val="-53"/>
        </w:rPr>
        <w:t> </w:t>
      </w:r>
      <w:r>
        <w:rPr/>
        <w:t>7</w:t>
      </w:r>
      <w:r>
        <w:rPr>
          <w:spacing w:val="-53"/>
        </w:rPr>
        <w:t> </w:t>
      </w:r>
      <w:r>
        <w:rPr/>
        <w:t>月</w:t>
      </w:r>
      <w:r>
        <w:rPr>
          <w:spacing w:val="-53"/>
        </w:rPr>
        <w:t> </w:t>
      </w:r>
      <w:r>
        <w:rPr/>
        <w:t>26</w:t>
      </w:r>
      <w:r>
        <w:rPr>
          <w:spacing w:val="-53"/>
        </w:rPr>
        <w:t> </w:t>
      </w:r>
      <w:r>
        <w:rPr/>
        <w:t>日颁布</w:t>
      </w:r>
      <w:r>
        <w:rPr>
          <w:spacing w:val="-75"/>
        </w:rPr>
        <w:t>、</w:t>
      </w:r>
      <w:r>
        <w:rPr/>
        <w:t>同年</w:t>
      </w:r>
      <w:r>
        <w:rPr>
          <w:spacing w:val="-53"/>
        </w:rPr>
        <w:t> </w:t>
      </w:r>
      <w:r>
        <w:rPr/>
        <w:t>9</w:t>
      </w:r>
      <w:r>
        <w:rPr>
          <w:spacing w:val="-53"/>
        </w:rPr>
        <w:t> </w:t>
      </w:r>
      <w:r>
        <w:rPr/>
        <w:t>月</w:t>
      </w:r>
      <w:r>
        <w:rPr>
          <w:spacing w:val="-53"/>
        </w:rPr>
        <w:t> </w:t>
      </w:r>
      <w:r>
        <w:rPr/>
        <w:t>1</w:t>
      </w:r>
      <w:r>
        <w:rPr>
          <w:spacing w:val="-53"/>
        </w:rPr>
        <w:t> </w:t>
      </w:r>
      <w:r>
        <w:rPr/>
        <w:t>日实施的</w:t>
      </w:r>
    </w:p>
    <w:p>
      <w:pPr>
        <w:pStyle w:val="BodyText"/>
        <w:spacing w:line="364" w:lineRule="auto" w:before="139"/>
        <w:ind w:left="3641" w:right="862"/>
      </w:pPr>
      <w:r>
        <w:rPr/>
        <w:t>《公开募集证券投资基金信息披露管理办法》及不时作出的修订；</w:t>
      </w:r>
    </w:p>
    <w:p>
      <w:pPr>
        <w:pStyle w:val="BodyText"/>
        <w:tabs>
          <w:tab w:pos="3641" w:val="left" w:leader="none"/>
        </w:tabs>
        <w:spacing w:line="268" w:lineRule="exact"/>
        <w:ind w:left="1090"/>
      </w:pPr>
      <w:r>
        <w:rPr/>
        <w:t>元：</w:t>
        <w:tab/>
        <w:t>指人民币元；</w:t>
      </w:r>
    </w:p>
    <w:p>
      <w:pPr>
        <w:pStyle w:val="BodyText"/>
        <w:tabs>
          <w:tab w:pos="3641" w:val="left" w:leader="none"/>
        </w:tabs>
        <w:spacing w:line="364" w:lineRule="auto" w:before="139"/>
        <w:ind w:left="1090" w:right="2753"/>
      </w:pPr>
      <w:r>
        <w:rPr/>
        <w:t>基金或本基金：</w:t>
        <w:tab/>
        <w:t>指易方达中小盘混合型证券投资基金</w:t>
      </w:r>
      <w:r>
        <w:rPr>
          <w:spacing w:val="-18"/>
        </w:rPr>
        <w:t>； </w:t>
      </w:r>
      <w:r>
        <w:rPr/>
        <w:t>中国证监会：</w:t>
        <w:tab/>
        <w:t>指中国证券监督管理委员会；</w:t>
      </w:r>
    </w:p>
    <w:p>
      <w:pPr>
        <w:pStyle w:val="BodyText"/>
        <w:tabs>
          <w:tab w:pos="3641" w:val="left" w:leader="none"/>
        </w:tabs>
        <w:spacing w:line="268" w:lineRule="exact"/>
        <w:ind w:left="1090"/>
      </w:pPr>
      <w:r>
        <w:rPr/>
        <w:t>基金管理人：</w:t>
        <w:tab/>
        <w:t>指易方达基金管理有限公司；</w:t>
      </w:r>
    </w:p>
    <w:p>
      <w:pPr>
        <w:pStyle w:val="BodyText"/>
        <w:tabs>
          <w:tab w:pos="3641" w:val="left" w:leader="none"/>
        </w:tabs>
        <w:spacing w:before="140"/>
        <w:ind w:left="1090"/>
      </w:pPr>
      <w:r>
        <w:rPr/>
        <w:t>基金托管人：</w:t>
        <w:tab/>
        <w:t>指中国银行股份有限公司；</w:t>
      </w:r>
    </w:p>
    <w:p>
      <w:pPr>
        <w:pStyle w:val="BodyText"/>
        <w:tabs>
          <w:tab w:pos="3641" w:val="left" w:leader="none"/>
        </w:tabs>
        <w:spacing w:before="139"/>
        <w:ind w:left="1090"/>
      </w:pPr>
      <w:r>
        <w:rPr/>
        <w:t>销售机构：</w:t>
        <w:tab/>
        <w:t>指直销机构和非直销销售机构</w:t>
      </w:r>
    </w:p>
    <w:p>
      <w:pPr>
        <w:pStyle w:val="BodyText"/>
        <w:tabs>
          <w:tab w:pos="3641" w:val="left" w:leader="none"/>
        </w:tabs>
        <w:spacing w:before="140"/>
        <w:ind w:left="1090"/>
      </w:pPr>
      <w:r>
        <w:rPr/>
        <w:t>非直销销售机构：</w:t>
        <w:tab/>
        <w:t>指符</w:t>
      </w:r>
      <w:r>
        <w:rPr>
          <w:spacing w:val="-25"/>
        </w:rPr>
        <w:t>合</w:t>
      </w:r>
      <w:r>
        <w:rPr/>
        <w:t>《销售办法</w:t>
      </w:r>
      <w:r>
        <w:rPr>
          <w:spacing w:val="-25"/>
        </w:rPr>
        <w:t>》</w:t>
      </w:r>
      <w:r>
        <w:rPr/>
        <w:t>和中国证监会规定的其他条件</w:t>
      </w:r>
      <w:r>
        <w:rPr>
          <w:spacing w:val="-25"/>
        </w:rPr>
        <w:t>，</w:t>
      </w:r>
      <w:r>
        <w:rPr/>
        <w:t>取得基</w:t>
      </w:r>
    </w:p>
    <w:p>
      <w:pPr>
        <w:pStyle w:val="BodyText"/>
        <w:spacing w:line="364" w:lineRule="auto" w:before="139"/>
        <w:ind w:left="3641" w:right="863"/>
      </w:pPr>
      <w:r>
        <w:rPr>
          <w:spacing w:val="-1"/>
        </w:rPr>
        <w:t>金销售业务资格并与基金管理人签订了基金销售服务协议， </w:t>
      </w:r>
      <w:r>
        <w:rPr/>
        <w:t>办理基金销售业务的机构；</w:t>
      </w:r>
    </w:p>
    <w:p>
      <w:pPr>
        <w:pStyle w:val="BodyText"/>
        <w:tabs>
          <w:tab w:pos="3641" w:val="left" w:leader="none"/>
        </w:tabs>
        <w:spacing w:line="268" w:lineRule="exact"/>
        <w:ind w:left="1090"/>
      </w:pPr>
      <w:r>
        <w:rPr/>
        <w:t>直销机构：</w:t>
        <w:tab/>
        <w:t>指易方达基金管理有限公司</w:t>
      </w:r>
    </w:p>
    <w:p>
      <w:pPr>
        <w:spacing w:after="0" w:line="268" w:lineRule="exact"/>
        <w:sectPr>
          <w:type w:val="continuous"/>
          <w:pgSz w:w="11910" w:h="16840"/>
          <w:pgMar w:top="1600" w:bottom="280" w:left="960" w:right="980"/>
        </w:sectPr>
      </w:pPr>
    </w:p>
    <w:p>
      <w:pPr>
        <w:pStyle w:val="BodyText"/>
        <w:tabs>
          <w:tab w:pos="3641" w:val="left" w:leader="none"/>
        </w:tabs>
        <w:spacing w:before="45"/>
        <w:ind w:left="1090"/>
      </w:pPr>
      <w:r>
        <w:rPr/>
        <w:t>基金销售网点：</w:t>
        <w:tab/>
        <w:t>指直销机构的直销网点及非直销销售机构的销售网点；</w:t>
      </w:r>
    </w:p>
    <w:p>
      <w:pPr>
        <w:pStyle w:val="BodyText"/>
        <w:tabs>
          <w:tab w:pos="3641" w:val="left" w:leader="none"/>
        </w:tabs>
        <w:spacing w:before="139"/>
        <w:ind w:left="1090"/>
      </w:pPr>
      <w:r>
        <w:rPr/>
        <w:t>基金注册登记机构：</w:t>
        <w:tab/>
        <w:t>指办理本基金注册登记业务的机构</w:t>
      </w:r>
      <w:r>
        <w:rPr>
          <w:spacing w:val="-75"/>
        </w:rPr>
        <w:t>。</w:t>
      </w:r>
      <w:r>
        <w:rPr/>
        <w:t>本基金的注册登记机构</w:t>
      </w:r>
    </w:p>
    <w:p>
      <w:pPr>
        <w:pStyle w:val="BodyText"/>
        <w:spacing w:line="364" w:lineRule="auto" w:before="140"/>
        <w:ind w:left="3641" w:right="937"/>
      </w:pPr>
      <w:r>
        <w:rPr/>
        <w:t>为易方达基金管理有限公司或接受易方达基金管理有限公司委托代为办理本基金注册登记业务的机构；</w:t>
      </w:r>
    </w:p>
    <w:p>
      <w:pPr>
        <w:pStyle w:val="BodyText"/>
        <w:tabs>
          <w:tab w:pos="3641" w:val="left" w:leader="none"/>
        </w:tabs>
        <w:spacing w:line="268" w:lineRule="exact"/>
        <w:ind w:left="1090"/>
      </w:pPr>
      <w:r>
        <w:rPr/>
        <w:t>个人投资者：</w:t>
        <w:tab/>
      </w:r>
      <w:r>
        <w:rPr>
          <w:spacing w:val="5"/>
        </w:rPr>
        <w:t>指依据中华人民共和国有关法律法规可以投资于证券投</w:t>
      </w:r>
      <w:r>
        <w:rPr/>
        <w:t>资</w:t>
      </w:r>
    </w:p>
    <w:p>
      <w:pPr>
        <w:pStyle w:val="BodyText"/>
        <w:spacing w:before="139"/>
        <w:ind w:left="3641"/>
      </w:pPr>
      <w:r>
        <w:rPr/>
        <w:t>基金的自然人；</w:t>
      </w:r>
    </w:p>
    <w:p>
      <w:pPr>
        <w:pStyle w:val="BodyText"/>
        <w:tabs>
          <w:tab w:pos="3641" w:val="left" w:leader="none"/>
        </w:tabs>
        <w:spacing w:before="140"/>
        <w:ind w:left="1090"/>
      </w:pPr>
      <w:r>
        <w:rPr/>
        <w:t>机构投资者：</w:t>
        <w:tab/>
      </w:r>
      <w:r>
        <w:rPr>
          <w:spacing w:val="5"/>
        </w:rPr>
        <w:t>指在中国境内合法注册登记或经有权政府部门批准设立</w:t>
      </w:r>
      <w:r>
        <w:rPr/>
        <w:t>和</w:t>
      </w:r>
    </w:p>
    <w:p>
      <w:pPr>
        <w:pStyle w:val="BodyText"/>
        <w:spacing w:line="364" w:lineRule="auto" w:before="139"/>
        <w:ind w:left="3641" w:right="862"/>
      </w:pPr>
      <w:r>
        <w:rPr/>
        <w:t>有效存续并依法可以投资于证券投资基金的企业法人、事业法人、社会团体或其他组织；</w:t>
      </w:r>
    </w:p>
    <w:p>
      <w:pPr>
        <w:pStyle w:val="BodyText"/>
        <w:ind w:left="0"/>
        <w:rPr>
          <w:sz w:val="20"/>
        </w:rPr>
      </w:pPr>
    </w:p>
    <w:p>
      <w:pPr>
        <w:pStyle w:val="BodyText"/>
        <w:tabs>
          <w:tab w:pos="3641" w:val="left" w:leader="none"/>
        </w:tabs>
        <w:spacing w:before="151"/>
        <w:ind w:left="1090"/>
      </w:pPr>
      <w:r>
        <w:rPr/>
        <w:t>合格境外机构投资者：</w:t>
        <w:tab/>
        <w:t>指符</w:t>
      </w:r>
      <w:r>
        <w:rPr>
          <w:spacing w:val="-38"/>
        </w:rPr>
        <w:t>合</w:t>
      </w:r>
      <w:r>
        <w:rPr/>
        <w:t>《合格境外机构投资者境内证券投资管理办法</w:t>
      </w:r>
      <w:r>
        <w:rPr>
          <w:spacing w:val="-38"/>
        </w:rPr>
        <w:t>》</w:t>
      </w:r>
      <w:r>
        <w:rPr/>
        <w:t>及相</w:t>
      </w:r>
    </w:p>
    <w:p>
      <w:pPr>
        <w:pStyle w:val="BodyText"/>
        <w:spacing w:line="364" w:lineRule="auto" w:before="140"/>
        <w:ind w:left="3641" w:right="937"/>
      </w:pPr>
      <w:r>
        <w:rPr/>
        <w:t>关法律法规规定可以投资于在中国境内依法募集的证券投资基金的中国境外的机构投资者；</w:t>
      </w:r>
    </w:p>
    <w:p>
      <w:pPr>
        <w:pStyle w:val="BodyText"/>
        <w:tabs>
          <w:tab w:pos="3641" w:val="left" w:leader="none"/>
        </w:tabs>
        <w:spacing w:line="364" w:lineRule="auto"/>
        <w:ind w:left="3641" w:right="831" w:hanging="2552"/>
      </w:pPr>
      <w:r>
        <w:rPr/>
        <w:t>募集期：</w:t>
        <w:tab/>
        <w:t>指基金合同和招募说明书中载明</w:t>
      </w:r>
      <w:r>
        <w:rPr>
          <w:spacing w:val="-75"/>
        </w:rPr>
        <w:t>，</w:t>
      </w:r>
      <w:r>
        <w:rPr/>
        <w:t>并经中国证监会核准的基金份额募集期限</w:t>
      </w:r>
      <w:r>
        <w:rPr>
          <w:spacing w:val="-105"/>
        </w:rPr>
        <w:t>，</w:t>
      </w:r>
      <w:r>
        <w:rPr/>
        <w:t>自基金份额发售之日起最长不超过</w:t>
      </w:r>
      <w:r>
        <w:rPr>
          <w:spacing w:val="-64"/>
        </w:rPr>
        <w:t> </w:t>
      </w:r>
      <w:r>
        <w:rPr/>
        <w:t>3</w:t>
      </w:r>
      <w:r>
        <w:rPr>
          <w:spacing w:val="-64"/>
        </w:rPr>
        <w:t> </w:t>
      </w:r>
      <w:r>
        <w:rPr/>
        <w:t>个</w:t>
      </w:r>
      <w:r>
        <w:rPr>
          <w:spacing w:val="-53"/>
        </w:rPr>
        <w:t>月</w:t>
      </w:r>
      <w:r>
        <w:rPr>
          <w:spacing w:val="-15"/>
        </w:rPr>
        <w:t>；</w:t>
      </w:r>
    </w:p>
    <w:p>
      <w:pPr>
        <w:pStyle w:val="BodyText"/>
        <w:tabs>
          <w:tab w:pos="3641" w:val="left" w:leader="none"/>
        </w:tabs>
        <w:spacing w:line="268" w:lineRule="exact"/>
        <w:ind w:left="1090"/>
      </w:pPr>
      <w:r>
        <w:rPr/>
        <w:t>基金合同生效日：</w:t>
        <w:tab/>
        <w:t>指募集结束</w:t>
      </w:r>
      <w:r>
        <w:rPr>
          <w:spacing w:val="-38"/>
        </w:rPr>
        <w:t>，</w:t>
      </w:r>
      <w:r>
        <w:rPr/>
        <w:t>基金募集的基金份额总额</w:t>
      </w:r>
      <w:r>
        <w:rPr>
          <w:spacing w:val="-38"/>
        </w:rPr>
        <w:t>、</w:t>
      </w:r>
      <w:r>
        <w:rPr/>
        <w:t>募集金额和基金份</w:t>
      </w:r>
    </w:p>
    <w:p>
      <w:pPr>
        <w:pStyle w:val="BodyText"/>
        <w:spacing w:line="364" w:lineRule="auto" w:before="138"/>
        <w:ind w:left="3641" w:right="936"/>
        <w:jc w:val="both"/>
      </w:pPr>
      <w:r>
        <w:rPr>
          <w:spacing w:val="-5"/>
        </w:rPr>
        <w:t>额持有人人数符合相关法律法规和基金合同规定，基金管理</w:t>
      </w:r>
      <w:r>
        <w:rPr>
          <w:spacing w:val="-10"/>
        </w:rPr>
        <w:t>人依据《基金法》向中国证监会办理备案手续后，中国证监</w:t>
      </w:r>
      <w:r>
        <w:rPr/>
        <w:t>会的书面确认之日；</w:t>
      </w:r>
    </w:p>
    <w:p>
      <w:pPr>
        <w:pStyle w:val="BodyText"/>
        <w:tabs>
          <w:tab w:pos="3641" w:val="left" w:leader="none"/>
        </w:tabs>
        <w:spacing w:line="268" w:lineRule="exact"/>
        <w:ind w:left="1090"/>
        <w:jc w:val="both"/>
      </w:pPr>
      <w:r>
        <w:rPr/>
        <w:t>存续期限：</w:t>
        <w:tab/>
        <w:t>指本基金合同生效至终止之间的不定期期限；</w:t>
      </w:r>
    </w:p>
    <w:p>
      <w:pPr>
        <w:pStyle w:val="BodyText"/>
        <w:tabs>
          <w:tab w:pos="3641" w:val="left" w:leader="none"/>
        </w:tabs>
        <w:spacing w:before="140"/>
        <w:ind w:left="1090"/>
      </w:pPr>
      <w:r>
        <w:rPr/>
        <w:t>工作日：</w:t>
        <w:tab/>
        <w:t>指上海证券交易所和深圳证券交易所的正常交易日；</w:t>
      </w:r>
    </w:p>
    <w:p>
      <w:pPr>
        <w:pStyle w:val="BodyText"/>
        <w:tabs>
          <w:tab w:pos="3641" w:val="left" w:leader="none"/>
        </w:tabs>
        <w:spacing w:before="139"/>
        <w:ind w:left="1090"/>
      </w:pPr>
      <w:r>
        <w:rPr/>
        <w:t>开放日：</w:t>
        <w:tab/>
        <w:t>指为投资者办理基金份额申购、赎回等业务的工作日；</w:t>
      </w:r>
    </w:p>
    <w:p>
      <w:pPr>
        <w:pStyle w:val="BodyText"/>
        <w:tabs>
          <w:tab w:pos="3641" w:val="left" w:leader="none"/>
        </w:tabs>
        <w:spacing w:before="140"/>
        <w:ind w:left="1090"/>
      </w:pPr>
      <w:r>
        <w:rPr/>
        <w:t>T</w:t>
      </w:r>
      <w:r>
        <w:rPr>
          <w:spacing w:val="-53"/>
        </w:rPr>
        <w:t> </w:t>
      </w:r>
      <w:r>
        <w:rPr/>
        <w:t>日：</w:t>
        <w:tab/>
        <w:t>指销售机构受理投资者申购、赎回或其他业务申请的日期；</w:t>
      </w:r>
    </w:p>
    <w:p>
      <w:pPr>
        <w:pStyle w:val="BodyText"/>
        <w:tabs>
          <w:tab w:pos="3641" w:val="left" w:leader="none"/>
        </w:tabs>
        <w:spacing w:line="364" w:lineRule="auto" w:before="139"/>
        <w:ind w:left="3641" w:right="936" w:hanging="2552"/>
      </w:pPr>
      <w:r>
        <w:rPr/>
        <w:t>认购：</w:t>
        <w:tab/>
        <w:t>指在基金募集期内</w:t>
      </w:r>
      <w:r>
        <w:rPr>
          <w:spacing w:val="-75"/>
        </w:rPr>
        <w:t>，</w:t>
      </w:r>
      <w:r>
        <w:rPr/>
        <w:t>投资者按照本基金合同的规定申请购</w:t>
      </w:r>
      <w:r>
        <w:rPr>
          <w:spacing w:val="-16"/>
        </w:rPr>
        <w:t>买</w:t>
      </w:r>
      <w:r>
        <w:rPr/>
        <w:t>本基金基金份额的行为；</w:t>
      </w:r>
    </w:p>
    <w:p>
      <w:pPr>
        <w:pStyle w:val="BodyText"/>
        <w:tabs>
          <w:tab w:pos="3641" w:val="left" w:leader="none"/>
        </w:tabs>
        <w:spacing w:line="364" w:lineRule="auto"/>
        <w:ind w:left="3641" w:right="936" w:hanging="2552"/>
      </w:pPr>
      <w:r>
        <w:rPr/>
        <w:t>申购：</w:t>
        <w:tab/>
        <w:t>指在本基金合同生效后的存续期间</w:t>
      </w:r>
      <w:r>
        <w:rPr>
          <w:spacing w:val="-75"/>
        </w:rPr>
        <w:t>，</w:t>
      </w:r>
      <w:r>
        <w:rPr/>
        <w:t>投资者申请购买本基</w:t>
      </w:r>
      <w:r>
        <w:rPr>
          <w:spacing w:val="-16"/>
        </w:rPr>
        <w:t>金</w:t>
      </w:r>
      <w:r>
        <w:rPr/>
        <w:t>基金份额的行为；</w:t>
      </w:r>
    </w:p>
    <w:p>
      <w:pPr>
        <w:pStyle w:val="BodyText"/>
        <w:tabs>
          <w:tab w:pos="3641" w:val="left" w:leader="none"/>
        </w:tabs>
        <w:spacing w:line="364" w:lineRule="auto"/>
        <w:ind w:left="3641" w:right="952" w:hanging="2552"/>
      </w:pPr>
      <w:r>
        <w:rPr/>
        <w:t>转换：</w:t>
        <w:tab/>
        <w:t>指基金份额持有人按基金管理人规定的条件</w:t>
      </w:r>
      <w:r>
        <w:rPr>
          <w:spacing w:val="-91"/>
        </w:rPr>
        <w:t>，</w:t>
      </w:r>
      <w:r>
        <w:rPr/>
        <w:t>申请将其持</w:t>
      </w:r>
      <w:r>
        <w:rPr>
          <w:spacing w:val="-16"/>
        </w:rPr>
        <w:t>有</w:t>
      </w:r>
      <w:r>
        <w:rPr/>
        <w:t>的基金管理人管理的某一基金的基金份额转换为基金管理人管理的其他基金的基金份额的行为；</w:t>
      </w:r>
    </w:p>
    <w:p>
      <w:pPr>
        <w:pStyle w:val="BodyText"/>
        <w:tabs>
          <w:tab w:pos="3641" w:val="left" w:leader="none"/>
        </w:tabs>
        <w:spacing w:line="364" w:lineRule="auto"/>
        <w:ind w:left="3641" w:right="936" w:hanging="2552"/>
      </w:pPr>
      <w:r>
        <w:rPr/>
        <w:t>赎回：</w:t>
        <w:tab/>
        <w:t>指在本基金合同生效后的存续期间</w:t>
      </w:r>
      <w:r>
        <w:rPr>
          <w:spacing w:val="-75"/>
        </w:rPr>
        <w:t>，</w:t>
      </w:r>
      <w:r>
        <w:rPr/>
        <w:t>基金份额持有人按基</w:t>
      </w:r>
      <w:r>
        <w:rPr>
          <w:spacing w:val="-16"/>
        </w:rPr>
        <w:t>金</w:t>
      </w:r>
      <w:r>
        <w:rPr/>
        <w:t>合同规定的条件要求基金管理人购回本基金基金份额的行为；</w:t>
      </w:r>
    </w:p>
    <w:p>
      <w:pPr>
        <w:pStyle w:val="BodyText"/>
        <w:tabs>
          <w:tab w:pos="3641" w:val="left" w:leader="none"/>
        </w:tabs>
        <w:spacing w:line="268" w:lineRule="exact"/>
        <w:ind w:left="1090"/>
      </w:pPr>
      <w:r>
        <w:rPr/>
        <w:t>更新的招募说明书：</w:t>
        <w:tab/>
        <w:t>指基金合同生效后</w:t>
      </w:r>
      <w:r>
        <w:rPr>
          <w:spacing w:val="-75"/>
        </w:rPr>
        <w:t>，</w:t>
      </w:r>
      <w:r>
        <w:rPr/>
        <w:t>基金管理人每六个月对原招募说明书进</w:t>
      </w:r>
    </w:p>
    <w:p>
      <w:pPr>
        <w:spacing w:after="0" w:line="268" w:lineRule="exact"/>
        <w:sectPr>
          <w:pgSz w:w="11910" w:h="16840"/>
          <w:pgMar w:header="0" w:footer="638" w:top="1380" w:bottom="900" w:left="960" w:right="980"/>
        </w:sectPr>
      </w:pPr>
    </w:p>
    <w:p>
      <w:pPr>
        <w:pStyle w:val="BodyText"/>
        <w:spacing w:before="45"/>
        <w:ind w:left="441" w:right="1652"/>
        <w:jc w:val="center"/>
      </w:pPr>
      <w:r>
        <w:rPr/>
        <w:t>行的内容更新；</w:t>
      </w:r>
    </w:p>
    <w:p>
      <w:pPr>
        <w:pStyle w:val="BodyText"/>
        <w:tabs>
          <w:tab w:pos="3641" w:val="left" w:leader="none"/>
        </w:tabs>
        <w:spacing w:before="139"/>
        <w:ind w:left="1090"/>
      </w:pPr>
      <w:r>
        <w:rPr/>
        <w:t>基金份额持有人服务：</w:t>
        <w:tab/>
        <w:t>指基金管理人承诺为基金份额持有人提供的一系列服务；</w:t>
      </w:r>
    </w:p>
    <w:p>
      <w:pPr>
        <w:spacing w:after="0"/>
        <w:sectPr>
          <w:pgSz w:w="11910" w:h="16840"/>
          <w:pgMar w:header="0" w:footer="638" w:top="1380" w:bottom="900" w:left="960" w:right="980"/>
        </w:sectPr>
      </w:pPr>
    </w:p>
    <w:p>
      <w:pPr>
        <w:pStyle w:val="BodyText"/>
        <w:spacing w:before="140"/>
        <w:ind w:left="1090"/>
      </w:pPr>
      <w:r>
        <w:rPr/>
        <w:t>指定媒介：</w:t>
      </w:r>
    </w:p>
    <w:p>
      <w:pPr>
        <w:pStyle w:val="BodyText"/>
        <w:ind w:left="0"/>
        <w:rPr>
          <w:sz w:val="20"/>
        </w:rPr>
      </w:pPr>
    </w:p>
    <w:p>
      <w:pPr>
        <w:pStyle w:val="BodyText"/>
        <w:spacing w:before="9"/>
        <w:ind w:left="0"/>
        <w:rPr>
          <w:sz w:val="22"/>
        </w:rPr>
      </w:pPr>
    </w:p>
    <w:p>
      <w:pPr>
        <w:pStyle w:val="BodyText"/>
        <w:spacing w:before="1"/>
        <w:ind w:left="1090"/>
      </w:pPr>
      <w:r>
        <w:rPr/>
        <w:t>流动性受限资产：</w:t>
      </w:r>
    </w:p>
    <w:p>
      <w:pPr>
        <w:pStyle w:val="BodyText"/>
        <w:spacing w:line="364" w:lineRule="auto" w:before="140"/>
        <w:ind w:left="831" w:right="936"/>
        <w:jc w:val="both"/>
      </w:pPr>
      <w:r>
        <w:rPr/>
        <w:br w:type="column"/>
      </w:r>
      <w:r>
        <w:rPr>
          <w:spacing w:val="4"/>
        </w:rPr>
        <w:t>指中国证监会指定的用以进行信息披露的全国性报刊及指</w:t>
      </w:r>
      <w:r>
        <w:rPr>
          <w:spacing w:val="-1"/>
        </w:rPr>
        <w:t>定互联网网站</w:t>
      </w:r>
      <w:r>
        <w:rPr/>
        <w:t>（</w:t>
      </w:r>
      <w:r>
        <w:rPr>
          <w:spacing w:val="-6"/>
        </w:rPr>
        <w:t>包括基金管理人网站、基金托管人网站、中</w:t>
      </w:r>
      <w:r>
        <w:rPr/>
        <w:t>国证监会基金电子披露网站）等媒介；</w:t>
      </w:r>
    </w:p>
    <w:p>
      <w:pPr>
        <w:pStyle w:val="BodyText"/>
        <w:spacing w:line="364" w:lineRule="auto"/>
        <w:ind w:left="831" w:right="936"/>
        <w:jc w:val="both"/>
      </w:pPr>
      <w:r>
        <w:rPr>
          <w:spacing w:val="-9"/>
        </w:rPr>
        <w:t>指由于法律法规、监管、合同或操作障碍等原因无法以合理</w:t>
      </w:r>
      <w:r>
        <w:rPr>
          <w:spacing w:val="-3"/>
        </w:rPr>
        <w:t>价格予以变现的资产，包括但不限于到期日在 </w:t>
      </w:r>
      <w:r>
        <w:rPr/>
        <w:t>10</w:t>
      </w:r>
      <w:r>
        <w:rPr>
          <w:spacing w:val="-9"/>
        </w:rPr>
        <w:t> 个交易日</w:t>
      </w:r>
      <w:r>
        <w:rPr>
          <w:spacing w:val="-15"/>
        </w:rPr>
        <w:t>以上的逆回购与银行定期存款</w:t>
      </w:r>
      <w:r>
        <w:rPr/>
        <w:t>（</w:t>
      </w:r>
      <w:r>
        <w:rPr>
          <w:spacing w:val="-2"/>
        </w:rPr>
        <w:t>含协议约定有条件提前支取</w:t>
      </w:r>
      <w:r>
        <w:rPr/>
        <w:t>的银行存款</w:t>
      </w:r>
      <w:r>
        <w:rPr>
          <w:spacing w:val="-53"/>
        </w:rPr>
        <w:t>）</w:t>
      </w:r>
      <w:r>
        <w:rPr>
          <w:spacing w:val="-6"/>
        </w:rPr>
        <w:t>、停牌股票、流通受限的新股及非公开发行股</w:t>
      </w:r>
      <w:r>
        <w:rPr>
          <w:spacing w:val="-10"/>
        </w:rPr>
        <w:t>票、资产支持证券、因发行人债务违约无法进行转让或交易</w:t>
      </w:r>
      <w:r>
        <w:rPr/>
        <w:t>的债券等；</w:t>
      </w:r>
    </w:p>
    <w:p>
      <w:pPr>
        <w:spacing w:after="0" w:line="364" w:lineRule="auto"/>
        <w:jc w:val="both"/>
        <w:sectPr>
          <w:type w:val="continuous"/>
          <w:pgSz w:w="11910" w:h="16840"/>
          <w:pgMar w:top="1600" w:bottom="280" w:left="960" w:right="980"/>
          <w:cols w:num="2" w:equalWidth="0">
            <w:col w:w="2771" w:space="40"/>
            <w:col w:w="7159"/>
          </w:cols>
        </w:sectPr>
      </w:pPr>
    </w:p>
    <w:p>
      <w:pPr>
        <w:spacing w:before="27"/>
        <w:ind w:left="1242" w:right="582" w:firstLine="0"/>
        <w:jc w:val="center"/>
        <w:rPr>
          <w:sz w:val="32"/>
        </w:rPr>
      </w:pPr>
      <w:bookmarkStart w:name="_bookmark2" w:id="3"/>
      <w:bookmarkEnd w:id="3"/>
      <w:r>
        <w:rPr/>
      </w:r>
      <w:r>
        <w:rPr>
          <w:sz w:val="32"/>
        </w:rPr>
        <w:t>三、基金管理人</w:t>
      </w:r>
    </w:p>
    <w:p>
      <w:pPr>
        <w:spacing w:before="212"/>
        <w:ind w:left="840" w:right="0" w:firstLine="0"/>
        <w:jc w:val="left"/>
        <w:rPr>
          <w:sz w:val="28"/>
        </w:rPr>
      </w:pPr>
      <w:bookmarkStart w:name="_bookmark3" w:id="4"/>
      <w:bookmarkEnd w:id="4"/>
      <w:r>
        <w:rPr/>
      </w:r>
      <w:r>
        <w:rPr>
          <w:sz w:val="28"/>
        </w:rPr>
        <w:t>（一）基金管理人基本情况</w:t>
      </w:r>
    </w:p>
    <w:p>
      <w:pPr>
        <w:pStyle w:val="BodyText"/>
        <w:spacing w:before="184"/>
        <w:ind w:left="1260"/>
      </w:pPr>
      <w:r>
        <w:rPr/>
        <w:t>1、基金管理人：易方达基金管理有限公司</w:t>
      </w:r>
    </w:p>
    <w:p>
      <w:pPr>
        <w:pStyle w:val="BodyText"/>
        <w:spacing w:line="364" w:lineRule="auto" w:before="140"/>
        <w:ind w:left="1260"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260" w:right="602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1260" w:right="6605"/>
      </w:pPr>
      <w:r>
        <w:rPr/>
        <w:t>联系电话：4008818088 联系人：李红枫</w:t>
      </w:r>
    </w:p>
    <w:p>
      <w:pPr>
        <w:pStyle w:val="BodyText"/>
        <w:spacing w:line="268" w:lineRule="exact"/>
        <w:ind w:left="1260"/>
      </w:pPr>
      <w:r>
        <w:rPr/>
        <w:t>注册资本：13,244.2 万元人民币</w:t>
      </w:r>
    </w:p>
    <w:p>
      <w:pPr>
        <w:pStyle w:val="BodyText"/>
        <w:spacing w:before="137"/>
        <w:ind w:left="1260"/>
      </w:pPr>
      <w:r>
        <w:rPr/>
        <w:t>2、股权结构：</w:t>
      </w:r>
    </w:p>
    <w:p>
      <w:pPr>
        <w:pStyle w:val="BodyText"/>
        <w:spacing w:before="8"/>
        <w:ind w:left="0"/>
        <w:rPr>
          <w:sz w:val="10"/>
        </w:rPr>
      </w:pPr>
    </w:p>
    <w:tbl>
      <w:tblPr>
        <w:tblW w:w="0" w:type="auto"/>
        <w:jc w:val="left"/>
        <w:tblInd w:w="1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6"/>
        <w:gridCol w:w="1837"/>
      </w:tblGrid>
      <w:tr>
        <w:trPr>
          <w:trHeight w:val="408" w:hRule="atLeast"/>
        </w:trPr>
        <w:tc>
          <w:tcPr>
            <w:tcW w:w="4926" w:type="dxa"/>
          </w:tcPr>
          <w:p>
            <w:pPr>
              <w:pStyle w:val="TableParagraph"/>
              <w:spacing w:line="320" w:lineRule="exact" w:before="0"/>
              <w:ind w:left="2232" w:right="1803"/>
              <w:jc w:val="center"/>
              <w:rPr>
                <w:rFonts w:ascii="Microsoft JhengHei" w:eastAsia="Microsoft JhengHei" w:hint="eastAsia"/>
                <w:b/>
                <w:sz w:val="21"/>
              </w:rPr>
            </w:pPr>
            <w:r>
              <w:rPr>
                <w:rFonts w:ascii="Microsoft JhengHei" w:eastAsia="Microsoft JhengHei" w:hint="eastAsia"/>
                <w:b/>
                <w:sz w:val="21"/>
              </w:rPr>
              <w:t>股东名称</w:t>
            </w:r>
          </w:p>
        </w:tc>
        <w:tc>
          <w:tcPr>
            <w:tcW w:w="1837" w:type="dxa"/>
          </w:tcPr>
          <w:p>
            <w:pPr>
              <w:pStyle w:val="TableParagraph"/>
              <w:spacing w:line="320" w:lineRule="exact" w:before="0"/>
              <w:ind w:right="275"/>
              <w:jc w:val="right"/>
              <w:rPr>
                <w:rFonts w:ascii="Microsoft JhengHei" w:eastAsia="Microsoft JhengHei" w:hint="eastAsia"/>
                <w:b/>
                <w:sz w:val="21"/>
              </w:rPr>
            </w:pPr>
            <w:r>
              <w:rPr>
                <w:rFonts w:ascii="Microsoft JhengHei" w:eastAsia="Microsoft JhengHei" w:hint="eastAsia"/>
                <w:b/>
                <w:sz w:val="21"/>
              </w:rPr>
              <w:t>出资比例</w:t>
            </w:r>
          </w:p>
        </w:tc>
      </w:tr>
      <w:tr>
        <w:trPr>
          <w:trHeight w:val="408" w:hRule="atLeast"/>
        </w:trPr>
        <w:tc>
          <w:tcPr>
            <w:tcW w:w="4926" w:type="dxa"/>
          </w:tcPr>
          <w:p>
            <w:pPr>
              <w:pStyle w:val="TableParagraph"/>
              <w:ind w:left="527"/>
              <w:rPr>
                <w:sz w:val="21"/>
              </w:rPr>
            </w:pPr>
            <w:r>
              <w:rPr>
                <w:sz w:val="21"/>
              </w:rPr>
              <w:t>广东粤财信托有限公司</w:t>
            </w:r>
          </w:p>
        </w:tc>
        <w:tc>
          <w:tcPr>
            <w:tcW w:w="1837" w:type="dxa"/>
          </w:tcPr>
          <w:p>
            <w:pPr>
              <w:pStyle w:val="TableParagraph"/>
              <w:ind w:right="225"/>
              <w:jc w:val="right"/>
              <w:rPr>
                <w:sz w:val="21"/>
              </w:rPr>
            </w:pPr>
            <w:r>
              <w:rPr>
                <w:sz w:val="21"/>
              </w:rPr>
              <w:t>22.6514％</w:t>
            </w:r>
          </w:p>
        </w:tc>
      </w:tr>
      <w:tr>
        <w:trPr>
          <w:trHeight w:val="408" w:hRule="atLeast"/>
        </w:trPr>
        <w:tc>
          <w:tcPr>
            <w:tcW w:w="4926" w:type="dxa"/>
          </w:tcPr>
          <w:p>
            <w:pPr>
              <w:pStyle w:val="TableParagraph"/>
              <w:ind w:left="527"/>
              <w:rPr>
                <w:sz w:val="21"/>
              </w:rPr>
            </w:pPr>
            <w:r>
              <w:rPr>
                <w:sz w:val="21"/>
              </w:rPr>
              <w:t>广发证券股份有限公司</w:t>
            </w:r>
          </w:p>
        </w:tc>
        <w:tc>
          <w:tcPr>
            <w:tcW w:w="1837" w:type="dxa"/>
          </w:tcPr>
          <w:p>
            <w:pPr>
              <w:pStyle w:val="TableParagraph"/>
              <w:ind w:right="225"/>
              <w:jc w:val="right"/>
              <w:rPr>
                <w:sz w:val="21"/>
              </w:rPr>
            </w:pPr>
            <w:r>
              <w:rPr>
                <w:sz w:val="21"/>
              </w:rPr>
              <w:t>22.6514％</w:t>
            </w:r>
          </w:p>
        </w:tc>
      </w:tr>
      <w:tr>
        <w:trPr>
          <w:trHeight w:val="408" w:hRule="atLeast"/>
        </w:trPr>
        <w:tc>
          <w:tcPr>
            <w:tcW w:w="4926" w:type="dxa"/>
          </w:tcPr>
          <w:p>
            <w:pPr>
              <w:pStyle w:val="TableParagraph"/>
              <w:ind w:left="527"/>
              <w:rPr>
                <w:sz w:val="21"/>
              </w:rPr>
            </w:pPr>
            <w:r>
              <w:rPr>
                <w:sz w:val="21"/>
              </w:rPr>
              <w:t>盈峰控股集团有限公司</w:t>
            </w:r>
          </w:p>
        </w:tc>
        <w:tc>
          <w:tcPr>
            <w:tcW w:w="1837" w:type="dxa"/>
          </w:tcPr>
          <w:p>
            <w:pPr>
              <w:pStyle w:val="TableParagraph"/>
              <w:ind w:right="225"/>
              <w:jc w:val="right"/>
              <w:rPr>
                <w:sz w:val="21"/>
              </w:rPr>
            </w:pPr>
            <w:r>
              <w:rPr>
                <w:sz w:val="21"/>
              </w:rPr>
              <w:t>22.6514％</w:t>
            </w:r>
          </w:p>
        </w:tc>
      </w:tr>
      <w:tr>
        <w:trPr>
          <w:trHeight w:val="408" w:hRule="atLeast"/>
        </w:trPr>
        <w:tc>
          <w:tcPr>
            <w:tcW w:w="4926" w:type="dxa"/>
          </w:tcPr>
          <w:p>
            <w:pPr>
              <w:pStyle w:val="TableParagraph"/>
              <w:ind w:left="527"/>
              <w:rPr>
                <w:sz w:val="21"/>
              </w:rPr>
            </w:pPr>
            <w:r>
              <w:rPr>
                <w:sz w:val="21"/>
              </w:rPr>
              <w:t>广东省广晟资产经营有限公司</w:t>
            </w:r>
          </w:p>
        </w:tc>
        <w:tc>
          <w:tcPr>
            <w:tcW w:w="1837" w:type="dxa"/>
          </w:tcPr>
          <w:p>
            <w:pPr>
              <w:pStyle w:val="TableParagraph"/>
              <w:ind w:right="225"/>
              <w:jc w:val="right"/>
              <w:rPr>
                <w:sz w:val="21"/>
              </w:rPr>
            </w:pPr>
            <w:r>
              <w:rPr>
                <w:sz w:val="21"/>
              </w:rPr>
              <w:t>15.1010％</w:t>
            </w:r>
          </w:p>
        </w:tc>
      </w:tr>
      <w:tr>
        <w:trPr>
          <w:trHeight w:val="408" w:hRule="atLeast"/>
        </w:trPr>
        <w:tc>
          <w:tcPr>
            <w:tcW w:w="4926" w:type="dxa"/>
          </w:tcPr>
          <w:p>
            <w:pPr>
              <w:pStyle w:val="TableParagraph"/>
              <w:ind w:left="527"/>
              <w:rPr>
                <w:sz w:val="21"/>
              </w:rPr>
            </w:pPr>
            <w:r>
              <w:rPr>
                <w:sz w:val="21"/>
              </w:rPr>
              <w:t>广州市广永国有资产经营有限公司</w:t>
            </w:r>
          </w:p>
        </w:tc>
        <w:tc>
          <w:tcPr>
            <w:tcW w:w="1837" w:type="dxa"/>
          </w:tcPr>
          <w:p>
            <w:pPr>
              <w:pStyle w:val="TableParagraph"/>
              <w:ind w:right="276"/>
              <w:jc w:val="right"/>
              <w:rPr>
                <w:sz w:val="21"/>
              </w:rPr>
            </w:pPr>
            <w:r>
              <w:rPr>
                <w:sz w:val="21"/>
              </w:rPr>
              <w:t>7.5505％</w:t>
            </w:r>
          </w:p>
        </w:tc>
      </w:tr>
      <w:tr>
        <w:trPr>
          <w:trHeight w:val="408" w:hRule="atLeast"/>
        </w:trPr>
        <w:tc>
          <w:tcPr>
            <w:tcW w:w="4926" w:type="dxa"/>
          </w:tcPr>
          <w:p>
            <w:pPr>
              <w:pStyle w:val="TableParagraph"/>
              <w:ind w:left="527"/>
              <w:rPr>
                <w:sz w:val="21"/>
              </w:rPr>
            </w:pPr>
            <w:r>
              <w:rPr>
                <w:sz w:val="21"/>
              </w:rPr>
              <w:t>珠海祺荣宝股权投资合伙企业（有限合伙）</w:t>
            </w:r>
          </w:p>
        </w:tc>
        <w:tc>
          <w:tcPr>
            <w:tcW w:w="1837" w:type="dxa"/>
          </w:tcPr>
          <w:p>
            <w:pPr>
              <w:pStyle w:val="TableParagraph"/>
              <w:ind w:right="276"/>
              <w:jc w:val="right"/>
              <w:rPr>
                <w:sz w:val="21"/>
              </w:rPr>
            </w:pPr>
            <w:r>
              <w:rPr>
                <w:sz w:val="21"/>
              </w:rPr>
              <w:t>1.5087％</w:t>
            </w:r>
          </w:p>
        </w:tc>
      </w:tr>
      <w:tr>
        <w:trPr>
          <w:trHeight w:val="408" w:hRule="atLeast"/>
        </w:trPr>
        <w:tc>
          <w:tcPr>
            <w:tcW w:w="4926" w:type="dxa"/>
          </w:tcPr>
          <w:p>
            <w:pPr>
              <w:pStyle w:val="TableParagraph"/>
              <w:ind w:left="527"/>
              <w:rPr>
                <w:sz w:val="21"/>
              </w:rPr>
            </w:pPr>
            <w:r>
              <w:rPr>
                <w:sz w:val="21"/>
              </w:rPr>
              <w:t>珠海祺泰宝股权投资合伙企业（有限合伙）</w:t>
            </w:r>
          </w:p>
        </w:tc>
        <w:tc>
          <w:tcPr>
            <w:tcW w:w="1837" w:type="dxa"/>
          </w:tcPr>
          <w:p>
            <w:pPr>
              <w:pStyle w:val="TableParagraph"/>
              <w:ind w:right="276"/>
              <w:jc w:val="right"/>
              <w:rPr>
                <w:sz w:val="21"/>
              </w:rPr>
            </w:pPr>
            <w:r>
              <w:rPr>
                <w:sz w:val="21"/>
              </w:rPr>
              <w:t>1.6205％</w:t>
            </w:r>
          </w:p>
        </w:tc>
      </w:tr>
      <w:tr>
        <w:trPr>
          <w:trHeight w:val="408" w:hRule="atLeast"/>
        </w:trPr>
        <w:tc>
          <w:tcPr>
            <w:tcW w:w="4926" w:type="dxa"/>
          </w:tcPr>
          <w:p>
            <w:pPr>
              <w:pStyle w:val="TableParagraph"/>
              <w:ind w:left="527"/>
              <w:rPr>
                <w:sz w:val="21"/>
              </w:rPr>
            </w:pPr>
            <w:r>
              <w:rPr>
                <w:sz w:val="21"/>
              </w:rPr>
              <w:t>珠海祺丰宝股权投资合伙企业（有限合伙）</w:t>
            </w:r>
          </w:p>
        </w:tc>
        <w:tc>
          <w:tcPr>
            <w:tcW w:w="1837" w:type="dxa"/>
          </w:tcPr>
          <w:p>
            <w:pPr>
              <w:pStyle w:val="TableParagraph"/>
              <w:ind w:right="276"/>
              <w:jc w:val="right"/>
              <w:rPr>
                <w:sz w:val="21"/>
              </w:rPr>
            </w:pPr>
            <w:r>
              <w:rPr>
                <w:sz w:val="21"/>
              </w:rPr>
              <w:t>1.5309％</w:t>
            </w:r>
          </w:p>
        </w:tc>
      </w:tr>
      <w:tr>
        <w:trPr>
          <w:trHeight w:val="408" w:hRule="atLeast"/>
        </w:trPr>
        <w:tc>
          <w:tcPr>
            <w:tcW w:w="4926" w:type="dxa"/>
          </w:tcPr>
          <w:p>
            <w:pPr>
              <w:pStyle w:val="TableParagraph"/>
              <w:ind w:left="527"/>
              <w:rPr>
                <w:sz w:val="21"/>
              </w:rPr>
            </w:pPr>
            <w:r>
              <w:rPr>
                <w:sz w:val="21"/>
              </w:rPr>
              <w:t>珠海聚莱康股权投资合伙企业（有限合伙）</w:t>
            </w:r>
          </w:p>
        </w:tc>
        <w:tc>
          <w:tcPr>
            <w:tcW w:w="1837" w:type="dxa"/>
          </w:tcPr>
          <w:p>
            <w:pPr>
              <w:pStyle w:val="TableParagraph"/>
              <w:ind w:right="276"/>
              <w:jc w:val="right"/>
              <w:rPr>
                <w:sz w:val="21"/>
              </w:rPr>
            </w:pPr>
            <w:r>
              <w:rPr>
                <w:sz w:val="21"/>
              </w:rPr>
              <w:t>1.7558％</w:t>
            </w:r>
          </w:p>
        </w:tc>
      </w:tr>
      <w:tr>
        <w:trPr>
          <w:trHeight w:val="408" w:hRule="atLeast"/>
        </w:trPr>
        <w:tc>
          <w:tcPr>
            <w:tcW w:w="4926" w:type="dxa"/>
          </w:tcPr>
          <w:p>
            <w:pPr>
              <w:pStyle w:val="TableParagraph"/>
              <w:ind w:left="527"/>
              <w:rPr>
                <w:sz w:val="21"/>
              </w:rPr>
            </w:pPr>
            <w:r>
              <w:rPr>
                <w:sz w:val="21"/>
              </w:rPr>
              <w:t>珠海聚宁康股权投资合伙企业（有限合伙）</w:t>
            </w:r>
          </w:p>
        </w:tc>
        <w:tc>
          <w:tcPr>
            <w:tcW w:w="1837" w:type="dxa"/>
          </w:tcPr>
          <w:p>
            <w:pPr>
              <w:pStyle w:val="TableParagraph"/>
              <w:ind w:right="276"/>
              <w:jc w:val="right"/>
              <w:rPr>
                <w:sz w:val="21"/>
              </w:rPr>
            </w:pPr>
            <w:r>
              <w:rPr>
                <w:sz w:val="21"/>
              </w:rPr>
              <w:t>1.4396％</w:t>
            </w:r>
          </w:p>
        </w:tc>
      </w:tr>
      <w:tr>
        <w:trPr>
          <w:trHeight w:val="408" w:hRule="atLeast"/>
        </w:trPr>
        <w:tc>
          <w:tcPr>
            <w:tcW w:w="4926" w:type="dxa"/>
          </w:tcPr>
          <w:p>
            <w:pPr>
              <w:pStyle w:val="TableParagraph"/>
              <w:ind w:left="527"/>
              <w:rPr>
                <w:sz w:val="21"/>
              </w:rPr>
            </w:pPr>
            <w:r>
              <w:rPr>
                <w:sz w:val="21"/>
              </w:rPr>
              <w:t>珠海聚弘康股权投资合伙企业（有限合伙）</w:t>
            </w:r>
          </w:p>
        </w:tc>
        <w:tc>
          <w:tcPr>
            <w:tcW w:w="1837" w:type="dxa"/>
          </w:tcPr>
          <w:p>
            <w:pPr>
              <w:pStyle w:val="TableParagraph"/>
              <w:ind w:right="276"/>
              <w:jc w:val="right"/>
              <w:rPr>
                <w:sz w:val="21"/>
              </w:rPr>
            </w:pPr>
            <w:r>
              <w:rPr>
                <w:sz w:val="21"/>
              </w:rPr>
              <w:t>1.5388％</w:t>
            </w:r>
          </w:p>
        </w:tc>
      </w:tr>
      <w:tr>
        <w:trPr>
          <w:trHeight w:val="408" w:hRule="atLeast"/>
        </w:trPr>
        <w:tc>
          <w:tcPr>
            <w:tcW w:w="4926" w:type="dxa"/>
          </w:tcPr>
          <w:p>
            <w:pPr>
              <w:pStyle w:val="TableParagraph"/>
              <w:ind w:left="527"/>
              <w:rPr>
                <w:sz w:val="21"/>
              </w:rPr>
            </w:pPr>
            <w:r>
              <w:rPr>
                <w:sz w:val="21"/>
              </w:rPr>
              <w:t>总计</w:t>
            </w:r>
          </w:p>
        </w:tc>
        <w:tc>
          <w:tcPr>
            <w:tcW w:w="1837" w:type="dxa"/>
          </w:tcPr>
          <w:p>
            <w:pPr>
              <w:pStyle w:val="TableParagraph"/>
              <w:ind w:left="866"/>
              <w:rPr>
                <w:sz w:val="21"/>
              </w:rPr>
            </w:pPr>
            <w:r>
              <w:rPr>
                <w:sz w:val="21"/>
              </w:rPr>
              <w:t>100％</w:t>
            </w:r>
          </w:p>
        </w:tc>
      </w:tr>
    </w:tbl>
    <w:p>
      <w:pPr>
        <w:spacing w:before="4"/>
        <w:ind w:left="840" w:right="0" w:firstLine="0"/>
        <w:jc w:val="left"/>
        <w:rPr>
          <w:sz w:val="28"/>
        </w:rPr>
      </w:pPr>
      <w:bookmarkStart w:name="_bookmark4" w:id="5"/>
      <w:bookmarkEnd w:id="5"/>
      <w:r>
        <w:rPr/>
      </w:r>
      <w:r>
        <w:rPr>
          <w:sz w:val="28"/>
        </w:rPr>
        <w:t>（二）主要人员情况</w:t>
      </w:r>
    </w:p>
    <w:p>
      <w:pPr>
        <w:pStyle w:val="Heading3"/>
        <w:spacing w:before="116"/>
      </w:pPr>
      <w:r>
        <w:rPr/>
        <w:t>1、董事、监事及高级管理人员</w:t>
      </w:r>
    </w:p>
    <w:p>
      <w:pPr>
        <w:pStyle w:val="BodyText"/>
        <w:spacing w:line="364" w:lineRule="auto" w:before="91"/>
        <w:ind w:left="840" w:right="8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spacing w:after="0" w:line="364" w:lineRule="auto"/>
        <w:jc w:val="both"/>
        <w:sectPr>
          <w:pgSz w:w="11910" w:h="16840"/>
          <w:pgMar w:header="0" w:footer="638" w:top="1400" w:bottom="900" w:left="960" w:right="980"/>
        </w:sectPr>
      </w:pPr>
    </w:p>
    <w:p>
      <w:pPr>
        <w:pStyle w:val="BodyText"/>
        <w:spacing w:line="364" w:lineRule="auto" w:before="45"/>
        <w:ind w:left="840" w:right="8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364" w:lineRule="auto"/>
        <w:ind w:left="840" w:right="7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840" w:right="8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840" w:right="8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840" w:right="7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840" w:right="6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有限公司独立董事，上海汇招信息技术 有限公司董事，上海卡恩文化传播股份有限公司独立董事。</w:t>
      </w:r>
    </w:p>
    <w:p>
      <w:pPr>
        <w:pStyle w:val="BodyText"/>
        <w:spacing w:line="364" w:lineRule="auto"/>
        <w:ind w:left="840" w:right="713" w:firstLine="420"/>
      </w:pPr>
      <w:r>
        <w:rPr/>
        <w:t>谭劲松先生，管理学博士（会计学</w:t>
      </w:r>
      <w:r>
        <w:rPr>
          <w:spacing w:val="-105"/>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p>
    <w:p>
      <w:pPr>
        <w:spacing w:after="0" w:line="364" w:lineRule="auto"/>
        <w:sectPr>
          <w:pgSz w:w="11910" w:h="16840"/>
          <w:pgMar w:header="0" w:footer="638" w:top="1380" w:bottom="900" w:left="960" w:right="980"/>
        </w:sectPr>
      </w:pPr>
    </w:p>
    <w:p>
      <w:pPr>
        <w:pStyle w:val="BodyText"/>
        <w:spacing w:line="364" w:lineRule="auto" w:before="45"/>
        <w:ind w:left="840" w:right="818"/>
        <w:jc w:val="both"/>
      </w:pPr>
      <w:r>
        <w:rPr>
          <w:spacing w:val="-4"/>
        </w:rPr>
        <w:t>航空股份有限公司独立董事，广州环保投资集团有限公司外部董事，玉山银行</w:t>
      </w:r>
      <w:r>
        <w:rPr/>
        <w:t>（中国</w:t>
      </w:r>
      <w:r>
        <w:rPr>
          <w:spacing w:val="-24"/>
        </w:rPr>
        <w:t>）</w:t>
      </w:r>
      <w:r>
        <w:rPr>
          <w:spacing w:val="-8"/>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840" w:right="8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t>广信君达律师事务所高级合伙人。</w:t>
      </w:r>
    </w:p>
    <w:p>
      <w:pPr>
        <w:pStyle w:val="BodyText"/>
        <w:spacing w:line="364" w:lineRule="auto"/>
        <w:ind w:left="840" w:right="6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840" w:right="8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840" w:right="7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840" w:right="8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840" w:right="8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840" w:right="712" w:firstLine="420"/>
      </w:pPr>
      <w:r>
        <w:rPr/>
        <w:t>马骏先生，工商管理硕士（EMBA</w:t>
      </w:r>
      <w:r>
        <w:rPr>
          <w:spacing w:val="-105"/>
        </w:rPr>
        <w:t>）</w:t>
      </w:r>
      <w:r>
        <w:rPr/>
        <w:t>，常务副总裁。曾任君安证券有限公司营业部职员，</w:t>
      </w:r>
      <w:r>
        <w:rPr>
          <w:spacing w:val="-5"/>
        </w:rPr>
        <w:t>深圳众大投资有限公司投资部副总经理，广发证券有限责任公司研究员，易方达基金管理有</w:t>
      </w:r>
      <w:r>
        <w:rPr>
          <w:spacing w:val="-16"/>
        </w:rPr>
        <w:t>限公司基金经理、固定收益部总经理、现金管理部总经理、固定收益总部总经理、总裁助理、</w:t>
      </w:r>
      <w:r>
        <w:rPr>
          <w:spacing w:val="-7"/>
        </w:rPr>
        <w:t>固定收益投资总监、固定收益首席投资官，易方达资产管理有限公司董事。现任易方达基金</w:t>
      </w:r>
    </w:p>
    <w:p>
      <w:pPr>
        <w:spacing w:after="0" w:line="364" w:lineRule="auto"/>
        <w:sectPr>
          <w:pgSz w:w="11910" w:h="16840"/>
          <w:pgMar w:header="0" w:footer="638" w:top="1380" w:bottom="900" w:left="960" w:right="980"/>
        </w:sectPr>
      </w:pPr>
    </w:p>
    <w:p>
      <w:pPr>
        <w:pStyle w:val="BodyText"/>
        <w:spacing w:line="364" w:lineRule="auto" w:before="45"/>
        <w:ind w:left="840" w:right="817"/>
        <w:jc w:val="both"/>
      </w:pPr>
      <w:r>
        <w:rPr>
          <w:spacing w:val="-4"/>
        </w:rPr>
        <w:t>管理有限公司常务副总裁、固定收益投资决策委员会委员，易方达资产管理</w:t>
      </w:r>
      <w:r>
        <w:rPr/>
        <w:t>（香港</w:t>
      </w:r>
      <w:r>
        <w:rPr>
          <w:spacing w:val="-24"/>
        </w:rPr>
        <w:t>）</w:t>
      </w:r>
      <w:r>
        <w:rPr>
          <w:spacing w:val="-5"/>
        </w:rPr>
        <w:t>有限公司董事长、人民币合格境外投资者</w:t>
      </w:r>
      <w:r>
        <w:rPr/>
        <w:t>（RQFII</w:t>
      </w:r>
      <w:r>
        <w:rPr>
          <w:spacing w:val="-16"/>
        </w:rPr>
        <w:t>）</w:t>
      </w:r>
      <w:r>
        <w:rPr>
          <w:spacing w:val="-4"/>
        </w:rPr>
        <w:t>业务负责人、证券交易负责人员</w:t>
      </w:r>
      <w:r>
        <w:rPr/>
        <w:t>（RO</w:t>
      </w:r>
      <w:r>
        <w:rPr>
          <w:spacing w:val="-105"/>
        </w:rPr>
        <w:t>）</w:t>
      </w:r>
      <w:r>
        <w:rPr>
          <w:spacing w:val="-9"/>
        </w:rPr>
        <w:t>、就证券</w:t>
      </w:r>
      <w:r>
        <w:rPr>
          <w:spacing w:val="-3"/>
        </w:rPr>
        <w:t>提供意见负责人员</w:t>
      </w:r>
      <w:r>
        <w:rPr/>
        <w:t>（RO</w:t>
      </w:r>
      <w:r>
        <w:rPr>
          <w:spacing w:val="-105"/>
        </w:rPr>
        <w:t>）</w:t>
      </w:r>
      <w:r>
        <w:rPr>
          <w:spacing w:val="-7"/>
        </w:rPr>
        <w:t>、提供资产管理负责人员</w:t>
      </w:r>
      <w:r>
        <w:rPr/>
        <w:t>（RO</w:t>
      </w:r>
      <w:r>
        <w:rPr>
          <w:spacing w:val="-105"/>
        </w:rPr>
        <w:t>）</w:t>
      </w:r>
      <w:r>
        <w:rPr>
          <w:spacing w:val="-7"/>
        </w:rPr>
        <w:t>、固定收益投资决策委员会委员、产</w:t>
      </w:r>
      <w:r>
        <w:rPr/>
        <w:t>品审批委员会委员。</w:t>
      </w:r>
    </w:p>
    <w:p>
      <w:pPr>
        <w:pStyle w:val="BodyText"/>
        <w:spacing w:line="364" w:lineRule="auto"/>
        <w:ind w:left="840" w:right="7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364" w:lineRule="auto"/>
        <w:ind w:left="840" w:right="8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840" w:right="8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840" w:right="8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840" w:right="8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ind w:left="1260"/>
      </w:pPr>
      <w:r>
        <w:rPr/>
        <w:t>关秀霞女士，工商管理硕士、金融学硕士，副总经理级高级管理人员。曾任中国银行</w:t>
      </w:r>
    </w:p>
    <w:p>
      <w:pPr>
        <w:pStyle w:val="BodyText"/>
        <w:spacing w:line="364" w:lineRule="auto" w:before="129"/>
        <w:ind w:left="840" w:right="81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364" w:lineRule="auto"/>
        <w:ind w:left="840" w:right="7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w:t>
      </w:r>
    </w:p>
    <w:p>
      <w:pPr>
        <w:spacing w:after="0" w:line="364" w:lineRule="auto"/>
        <w:sectPr>
          <w:pgSz w:w="11910" w:h="16840"/>
          <w:pgMar w:header="0" w:footer="638" w:top="1380" w:bottom="900" w:left="960" w:right="980"/>
        </w:sectPr>
      </w:pPr>
    </w:p>
    <w:p>
      <w:pPr>
        <w:pStyle w:val="BodyText"/>
        <w:spacing w:before="45"/>
        <w:ind w:left="840"/>
      </w:pPr>
      <w:r>
        <w:rPr/>
        <w:t>易方达资产管理有限公司监事，易方达海外投资（深圳）有限公司监事。</w:t>
      </w:r>
    </w:p>
    <w:p>
      <w:pPr>
        <w:pStyle w:val="BodyText"/>
        <w:spacing w:line="364" w:lineRule="auto" w:before="139"/>
        <w:ind w:left="840" w:right="8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840" w:right="8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840" w:right="8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840" w:right="7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840" w:right="8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840" w:right="8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840" w:right="6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基金管理有限公司副总经理级高级管理人员、投资一部总经理、权益投资决策委员会委员、基金经理。</w:t>
      </w:r>
    </w:p>
    <w:p>
      <w:pPr>
        <w:pStyle w:val="Heading3"/>
        <w:spacing w:line="315" w:lineRule="exact"/>
      </w:pPr>
      <w:r>
        <w:rPr/>
        <w:t>2、基金经理</w:t>
      </w:r>
    </w:p>
    <w:p>
      <w:pPr>
        <w:pStyle w:val="BodyText"/>
        <w:spacing w:line="364" w:lineRule="auto" w:before="80"/>
        <w:ind w:left="840" w:right="818" w:firstLine="420"/>
      </w:pPr>
      <w:r>
        <w:rPr>
          <w:spacing w:val="-10"/>
        </w:rPr>
        <w:t>张坤先生，理学硕士。曾任易方达基金管理有限公司行业研究员、基金经理助理、研究</w:t>
      </w:r>
      <w:r>
        <w:rPr/>
        <w:t>部总经理助理。现任易方达基金管理有限公司易方达中小盘混合型证券投资基金基金经理</w:t>
      </w:r>
    </w:p>
    <w:p>
      <w:pPr>
        <w:spacing w:after="0" w:line="364" w:lineRule="auto"/>
        <w:sectPr>
          <w:pgSz w:w="11910" w:h="16840"/>
          <w:pgMar w:header="0" w:footer="638" w:top="1380" w:bottom="900" w:left="960" w:right="980"/>
        </w:sectPr>
      </w:pPr>
    </w:p>
    <w:p>
      <w:pPr>
        <w:pStyle w:val="BodyText"/>
        <w:spacing w:before="45"/>
        <w:ind w:left="840"/>
        <w:jc w:val="both"/>
      </w:pPr>
      <w:r>
        <w:rPr/>
        <w:t>（</w:t>
      </w:r>
      <w:r>
        <w:rPr>
          <w:spacing w:val="-23"/>
        </w:rPr>
        <w:t>自 </w:t>
      </w:r>
      <w:r>
        <w:rPr/>
        <w:t>2012</w:t>
      </w:r>
      <w:r>
        <w:rPr>
          <w:spacing w:val="-29"/>
        </w:rPr>
        <w:t> 年 </w:t>
      </w:r>
      <w:r>
        <w:rPr/>
        <w:t>9</w:t>
      </w:r>
      <w:r>
        <w:rPr>
          <w:spacing w:val="-29"/>
        </w:rPr>
        <w:t> 月 </w:t>
      </w:r>
      <w:r>
        <w:rPr/>
        <w:t>28</w:t>
      </w:r>
      <w:r>
        <w:rPr>
          <w:spacing w:val="-8"/>
        </w:rPr>
        <w:t> 日起任职</w:t>
      </w:r>
      <w:r>
        <w:rPr>
          <w:spacing w:val="-102"/>
        </w:rPr>
        <w:t>）</w:t>
      </w:r>
      <w:r>
        <w:rPr/>
        <w:t>、易方达亚洲精选股票型证券投资基金基金经理（</w:t>
      </w:r>
      <w:r>
        <w:rPr>
          <w:spacing w:val="-22"/>
        </w:rPr>
        <w:t>自 </w:t>
      </w:r>
      <w:r>
        <w:rPr/>
        <w:t>2014</w:t>
      </w:r>
    </w:p>
    <w:p>
      <w:pPr>
        <w:pStyle w:val="BodyText"/>
        <w:spacing w:before="139"/>
        <w:ind w:left="840"/>
        <w:jc w:val="both"/>
      </w:pPr>
      <w:r>
        <w:rPr>
          <w:spacing w:val="-27"/>
        </w:rPr>
        <w:t>年 </w:t>
      </w:r>
      <w:r>
        <w:rPr/>
        <w:t>4</w:t>
      </w:r>
      <w:r>
        <w:rPr>
          <w:spacing w:val="-35"/>
        </w:rPr>
        <w:t> 月 </w:t>
      </w:r>
      <w:r>
        <w:rPr/>
        <w:t>8</w:t>
      </w:r>
      <w:r>
        <w:rPr>
          <w:spacing w:val="-12"/>
        </w:rPr>
        <w:t> 日起任职</w:t>
      </w:r>
      <w:r>
        <w:rPr>
          <w:spacing w:val="-105"/>
        </w:rPr>
        <w:t>）</w:t>
      </w:r>
      <w:r>
        <w:rPr/>
        <w:t>、易方达新丝路灵活配置混合型证券投资基金基金经理（</w:t>
      </w:r>
      <w:r>
        <w:rPr>
          <w:spacing w:val="-27"/>
        </w:rPr>
        <w:t>自 </w:t>
      </w:r>
      <w:r>
        <w:rPr/>
        <w:t>2015</w:t>
      </w:r>
      <w:r>
        <w:rPr>
          <w:spacing w:val="-35"/>
        </w:rPr>
        <w:t> 年 </w:t>
      </w:r>
      <w:r>
        <w:rPr/>
        <w:t>11</w:t>
      </w:r>
    </w:p>
    <w:p>
      <w:pPr>
        <w:pStyle w:val="BodyText"/>
        <w:spacing w:before="140"/>
        <w:ind w:left="840"/>
        <w:jc w:val="both"/>
      </w:pPr>
      <w:r>
        <w:rPr>
          <w:spacing w:val="-22"/>
        </w:rPr>
        <w:t>月 </w:t>
      </w:r>
      <w:r>
        <w:rPr/>
        <w:t>7</w:t>
      </w:r>
      <w:r>
        <w:rPr>
          <w:spacing w:val="-9"/>
        </w:rPr>
        <w:t> 日起任职</w:t>
      </w:r>
      <w:r>
        <w:rPr>
          <w:spacing w:val="-103"/>
        </w:rPr>
        <w:t>）</w:t>
      </w:r>
      <w:r>
        <w:rPr/>
        <w:t>、易方达蓝筹精选混合型证券投资基金基金经理（</w:t>
      </w:r>
      <w:r>
        <w:rPr>
          <w:spacing w:val="-22"/>
        </w:rPr>
        <w:t>自 </w:t>
      </w:r>
      <w:r>
        <w:rPr/>
        <w:t>2018</w:t>
      </w:r>
      <w:r>
        <w:rPr>
          <w:spacing w:val="-28"/>
        </w:rPr>
        <w:t> 年 </w:t>
      </w:r>
      <w:r>
        <w:rPr/>
        <w:t>9</w:t>
      </w:r>
      <w:r>
        <w:rPr>
          <w:spacing w:val="-28"/>
        </w:rPr>
        <w:t> 月 </w:t>
      </w:r>
      <w:r>
        <w:rPr/>
        <w:t>5</w:t>
      </w:r>
      <w:r>
        <w:rPr>
          <w:spacing w:val="-11"/>
        </w:rPr>
        <w:t> 日起任</w:t>
      </w:r>
    </w:p>
    <w:p>
      <w:pPr>
        <w:pStyle w:val="BodyText"/>
        <w:spacing w:line="364" w:lineRule="auto" w:before="139"/>
        <w:ind w:left="840" w:right="818"/>
        <w:jc w:val="both"/>
      </w:pPr>
      <w:r>
        <w:rPr/>
        <w:t>职</w:t>
      </w:r>
      <w:r>
        <w:rPr>
          <w:spacing w:val="-105"/>
        </w:rPr>
        <w:t>）</w:t>
      </w:r>
      <w:r>
        <w:rPr/>
        <w:t>、易方达优质企业三年持有期混合型证券投资基金基金经理（</w:t>
      </w:r>
      <w:r>
        <w:rPr>
          <w:spacing w:val="-27"/>
        </w:rPr>
        <w:t>自 </w:t>
      </w:r>
      <w:r>
        <w:rPr/>
        <w:t>2020</w:t>
      </w:r>
      <w:r>
        <w:rPr>
          <w:spacing w:val="-36"/>
        </w:rPr>
        <w:t> 年 </w:t>
      </w:r>
      <w:r>
        <w:rPr/>
        <w:t>6</w:t>
      </w:r>
      <w:r>
        <w:rPr>
          <w:spacing w:val="-36"/>
        </w:rPr>
        <w:t> 月 </w:t>
      </w:r>
      <w:r>
        <w:rPr/>
        <w:t>17</w:t>
      </w:r>
      <w:r>
        <w:rPr>
          <w:spacing w:val="-14"/>
        </w:rPr>
        <w:t> 日起任职</w:t>
      </w:r>
      <w:r>
        <w:rPr>
          <w:spacing w:val="-105"/>
        </w:rPr>
        <w:t>）</w:t>
      </w:r>
      <w:r>
        <w:rPr/>
        <w:t>。</w:t>
      </w:r>
    </w:p>
    <w:p>
      <w:pPr>
        <w:pStyle w:val="BodyText"/>
        <w:spacing w:line="364" w:lineRule="auto"/>
        <w:ind w:left="840" w:right="817" w:firstLine="420"/>
        <w:jc w:val="both"/>
      </w:pPr>
      <w:r>
        <w:rPr>
          <w:spacing w:val="-11"/>
        </w:rPr>
        <w:t>于博先生，理学硕士。曾任鹏华基金管理有限公司研究部研究员，易方达基金管理有限公司行业研究员。现任易方达基金管理有限公司易方达中小盘混合型证券投资基金基金经理</w:t>
      </w:r>
      <w:r>
        <w:rPr/>
        <w:t>助理、易方达蓝筹精选混合型证券投资基金基金经理助理。</w:t>
      </w:r>
    </w:p>
    <w:p>
      <w:pPr>
        <w:pStyle w:val="BodyText"/>
        <w:spacing w:line="364" w:lineRule="auto"/>
        <w:ind w:left="840" w:right="870" w:firstLine="420"/>
        <w:jc w:val="both"/>
      </w:pPr>
      <w:r>
        <w:rPr>
          <w:spacing w:val="-7"/>
        </w:rPr>
        <w:t>本基金历任基金经理情况：何云峰先生，管理时间为 </w:t>
      </w:r>
      <w:r>
        <w:rPr/>
        <w:t>2008</w:t>
      </w:r>
      <w:r>
        <w:rPr>
          <w:spacing w:val="-36"/>
        </w:rPr>
        <w:t> 年 </w:t>
      </w:r>
      <w:r>
        <w:rPr/>
        <w:t>6</w:t>
      </w:r>
      <w:r>
        <w:rPr>
          <w:spacing w:val="-36"/>
        </w:rPr>
        <w:t> 月 </w:t>
      </w:r>
      <w:r>
        <w:rPr/>
        <w:t>19</w:t>
      </w:r>
      <w:r>
        <w:rPr>
          <w:spacing w:val="-27"/>
        </w:rPr>
        <w:t> 日至 </w:t>
      </w:r>
      <w:r>
        <w:rPr/>
        <w:t>2012</w:t>
      </w:r>
      <w:r>
        <w:rPr>
          <w:spacing w:val="-36"/>
        </w:rPr>
        <w:t> 年 </w:t>
      </w:r>
      <w:r>
        <w:rPr/>
        <w:t>9</w:t>
      </w:r>
      <w:r>
        <w:rPr>
          <w:spacing w:val="-33"/>
        </w:rPr>
        <w:t> 月</w:t>
      </w:r>
      <w:r>
        <w:rPr/>
        <w:t>27</w:t>
      </w:r>
      <w:r>
        <w:rPr>
          <w:spacing w:val="-18"/>
        </w:rPr>
        <w:t> 日。</w:t>
      </w:r>
    </w:p>
    <w:p>
      <w:pPr>
        <w:pStyle w:val="Heading3"/>
        <w:spacing w:line="316" w:lineRule="exact"/>
      </w:pPr>
      <w:r>
        <w:rPr/>
        <w:t>3、权益投资决策委员会成员</w:t>
      </w:r>
    </w:p>
    <w:p>
      <w:pPr>
        <w:pStyle w:val="BodyText"/>
        <w:spacing w:line="364" w:lineRule="auto" w:before="90"/>
        <w:ind w:left="840" w:right="608" w:firstLine="420"/>
      </w:pPr>
      <w:r>
        <w:rPr/>
        <w:t>本公司权益投资决策委员会成员包括：吴欣荣先生、冯波先生、陈皓先生、张坤先生、孙松先生、付浩先生。</w:t>
      </w:r>
    </w:p>
    <w:p>
      <w:pPr>
        <w:pStyle w:val="BodyText"/>
        <w:spacing w:line="268" w:lineRule="exact"/>
        <w:ind w:left="1260"/>
      </w:pPr>
      <w:r>
        <w:rPr/>
        <w:t>吴欣荣先生，同上。</w:t>
      </w:r>
    </w:p>
    <w:p>
      <w:pPr>
        <w:pStyle w:val="BodyText"/>
        <w:spacing w:line="364" w:lineRule="auto" w:before="139"/>
        <w:ind w:left="840" w:right="817" w:firstLine="420"/>
        <w:jc w:val="both"/>
      </w:pPr>
      <w:r>
        <w:rPr>
          <w:spacing w:val="-12"/>
        </w:rPr>
        <w:t>冯波先生，经济学硕士。曾任广东发展银行行员，易方达基金管理有限公司市场拓展部</w:t>
      </w:r>
      <w:r>
        <w:rPr>
          <w:spacing w:val="-10"/>
        </w:rPr>
        <w:t>研究员、市场拓展部副经理、市场部大区销售经理、北京分公司副总经理、行业研究员、基</w:t>
      </w:r>
      <w:r>
        <w:rPr>
          <w:spacing w:val="-11"/>
        </w:rPr>
        <w:t>金经理助理、研究部总经理助理、研究部副总经理、易方达科汇灵活配置混合型证券投资基</w:t>
      </w:r>
      <w:r>
        <w:rPr>
          <w:spacing w:val="-10"/>
        </w:rPr>
        <w:t>金基金经理。现任易方达基金管理有限公司研究部总经理、易方达行业领先企业混合型证券</w:t>
      </w:r>
      <w:r>
        <w:rPr>
          <w:spacing w:val="-9"/>
        </w:rPr>
        <w:t>投资基金基金经理、易方达中盘成长混合型证券投资基金基金经理、易方达研究精选股票型</w:t>
      </w:r>
      <w:r>
        <w:rPr/>
        <w:t>证券投资基金基金经理。</w:t>
      </w:r>
    </w:p>
    <w:p>
      <w:pPr>
        <w:pStyle w:val="BodyText"/>
        <w:spacing w:line="364" w:lineRule="auto"/>
        <w:ind w:left="840" w:right="817"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0"/>
        </w:rPr>
        <w:t>金经理、易方达供给改革灵活配置混合型证券投资基金基金经理、易方达国防军工混合型证</w:t>
      </w:r>
      <w:r>
        <w:rPr>
          <w:spacing w:val="-8"/>
        </w:rPr>
        <w:t>券投资基金基金经理。现任易方达基金管理有限公司投资一部总经理、易方达平稳增长证券</w:t>
      </w:r>
      <w:r>
        <w:rPr>
          <w:spacing w:val="-9"/>
        </w:rPr>
        <w:t>投资基金基金经理、易方达科翔混合型证券投资基金基金经理、易方达新经济灵活配置混合</w:t>
      </w:r>
      <w:r>
        <w:rPr>
          <w:spacing w:val="-7"/>
        </w:rPr>
        <w:t>型证券投资基金基金经理、易方达科讯混合型证券投资基金基金经理、易方达科融混合型证</w:t>
      </w:r>
      <w:r>
        <w:rPr/>
        <w:t>券投资基金基金经理、易方达均衡成长股票型证券投资基金基金经理。</w:t>
      </w:r>
    </w:p>
    <w:p>
      <w:pPr>
        <w:pStyle w:val="BodyText"/>
        <w:spacing w:line="266" w:lineRule="exact"/>
        <w:ind w:left="1260"/>
      </w:pPr>
      <w:r>
        <w:rPr/>
        <w:t>张坤先生，同上。</w:t>
      </w:r>
    </w:p>
    <w:p>
      <w:pPr>
        <w:pStyle w:val="BodyText"/>
        <w:spacing w:line="364" w:lineRule="auto" w:before="137"/>
        <w:ind w:left="840" w:right="608" w:firstLine="420"/>
      </w:pPr>
      <w:r>
        <w:rPr>
          <w:spacing w:val="-9"/>
        </w:rPr>
        <w:t>孙松先生，经济学硕士。曾任易方达基金管理有限公司交易员、集中交易室主管、集中 </w:t>
      </w:r>
      <w:r>
        <w:rPr>
          <w:spacing w:val="-7"/>
        </w:rPr>
        <w:t>交易室经理、行业研究员、基金经理助理、机构理财部总经理助理、机构理财部副总经理、</w:t>
      </w:r>
      <w:r>
        <w:rPr>
          <w:spacing w:val="-13"/>
        </w:rPr>
        <w:t>权益投资总部副总经理、专户投资部总经理、养老金与专户权益投资部总经理。现任易方达 </w:t>
      </w:r>
      <w:r>
        <w:rPr>
          <w:spacing w:val="-18"/>
        </w:rPr>
        <w:t>基金管理有限公司投资二部总经理、投资经理、易方达新常态灵活配置混合型证券投资基金 基金经理。</w:t>
      </w:r>
    </w:p>
    <w:p>
      <w:pPr>
        <w:pStyle w:val="BodyText"/>
        <w:spacing w:line="267" w:lineRule="exact"/>
        <w:ind w:left="1260"/>
      </w:pPr>
      <w:r>
        <w:rPr/>
        <w:t>付浩先生，经济学硕士。曾任广东粤财信托投资有限公司国际金融部职员，深圳和君创</w:t>
      </w:r>
    </w:p>
    <w:p>
      <w:pPr>
        <w:spacing w:after="0" w:line="267" w:lineRule="exact"/>
        <w:sectPr>
          <w:pgSz w:w="11910" w:h="16840"/>
          <w:pgMar w:header="0" w:footer="638" w:top="1380" w:bottom="900" w:left="960" w:right="980"/>
        </w:sectPr>
      </w:pPr>
    </w:p>
    <w:p>
      <w:pPr>
        <w:pStyle w:val="BodyText"/>
        <w:spacing w:line="364" w:lineRule="auto" w:before="45"/>
        <w:ind w:left="840" w:right="817"/>
        <w:jc w:val="both"/>
      </w:pPr>
      <w:r>
        <w:rPr>
          <w:spacing w:val="-6"/>
        </w:rPr>
        <w:t>业研究咨询有限公司管理咨询项目经理，湖南证券投资银行总部项目经理，融通基金管理有</w:t>
      </w:r>
      <w:r>
        <w:rPr>
          <w:spacing w:val="-7"/>
        </w:rPr>
        <w:t>限公司研究策划部研究员，易方达基金管理有限公司权益投资总部副总经理、养老金与专户</w:t>
      </w:r>
      <w:r>
        <w:rPr>
          <w:spacing w:val="-8"/>
        </w:rPr>
        <w:t>权益投资部副总经理、公募基金投资部总经理、基金经理助理、易方达策略成长证券投资基</w:t>
      </w:r>
      <w:r>
        <w:rPr>
          <w:spacing w:val="-10"/>
        </w:rPr>
        <w:t>金基金经理、科瑞证券投资基金基金经理、易方达科翔股票型证券投资基金基金经理、易方</w:t>
      </w:r>
      <w:r>
        <w:rPr>
          <w:spacing w:val="-6"/>
        </w:rPr>
        <w:t>达科汇灵活配置混合型证券投资基金基金经理。现任易方达基金管理有限公司权益投资管理</w:t>
      </w:r>
      <w:r>
        <w:rPr>
          <w:spacing w:val="-4"/>
        </w:rPr>
        <w:t>部总经理、投资经理、易方达 </w:t>
      </w:r>
      <w:r>
        <w:rPr/>
        <w:t>3</w:t>
      </w:r>
      <w:r>
        <w:rPr>
          <w:spacing w:val="-8"/>
        </w:rPr>
        <w:t> 年封闭运作战略配售灵活配置混合型证券投资基金</w:t>
      </w:r>
      <w:r>
        <w:rPr/>
        <w:t>（LOF） 基金经理。</w:t>
      </w:r>
    </w:p>
    <w:p>
      <w:pPr>
        <w:pStyle w:val="Heading3"/>
        <w:spacing w:line="314" w:lineRule="exact"/>
      </w:pPr>
      <w:r>
        <w:rPr/>
        <w:t>4、上述人员之间均不存在近亲属关系。</w:t>
      </w:r>
    </w:p>
    <w:p>
      <w:pPr>
        <w:spacing w:before="93"/>
        <w:ind w:left="840" w:right="0" w:firstLine="0"/>
        <w:jc w:val="left"/>
        <w:rPr>
          <w:sz w:val="28"/>
        </w:rPr>
      </w:pPr>
      <w:bookmarkStart w:name="_bookmark5" w:id="6"/>
      <w:bookmarkEnd w:id="6"/>
      <w:r>
        <w:rPr/>
      </w:r>
      <w:r>
        <w:rPr>
          <w:sz w:val="28"/>
        </w:rPr>
        <w:t>（三）基金管理人的职责</w:t>
      </w:r>
    </w:p>
    <w:p>
      <w:pPr>
        <w:pStyle w:val="BodyText"/>
        <w:spacing w:before="185"/>
        <w:ind w:left="1260"/>
      </w:pPr>
      <w:r>
        <w:rPr/>
        <w:t>1、依法募集资金，办理基金份额的发售和登记事宜；</w:t>
      </w:r>
    </w:p>
    <w:p>
      <w:pPr>
        <w:pStyle w:val="BodyText"/>
        <w:spacing w:before="139"/>
        <w:ind w:left="1260"/>
      </w:pPr>
      <w:r>
        <w:rPr/>
        <w:t>2、办理基金备案手续；</w:t>
      </w:r>
    </w:p>
    <w:p>
      <w:pPr>
        <w:pStyle w:val="BodyText"/>
        <w:spacing w:before="139"/>
        <w:ind w:left="1260"/>
      </w:pPr>
      <w:r>
        <w:rPr/>
        <w:t>3、对所管理的不同基金财产分别管理、分别记账，进行证券投资；</w:t>
      </w:r>
    </w:p>
    <w:p>
      <w:pPr>
        <w:pStyle w:val="BodyText"/>
        <w:spacing w:before="140"/>
        <w:ind w:left="1260"/>
      </w:pPr>
      <w:r>
        <w:rPr/>
        <w:t>4、按照基金合同的约定确定基金收益分配方案，及时向基金份额持有人分配收益；</w:t>
      </w:r>
    </w:p>
    <w:p>
      <w:pPr>
        <w:pStyle w:val="BodyText"/>
        <w:spacing w:before="139"/>
        <w:ind w:left="1260"/>
      </w:pPr>
      <w:r>
        <w:rPr/>
        <w:t>5、进行基金会计核算并编制基金财务会计报告；</w:t>
      </w:r>
    </w:p>
    <w:p>
      <w:pPr>
        <w:pStyle w:val="BodyText"/>
        <w:spacing w:before="140"/>
        <w:ind w:left="1260"/>
      </w:pPr>
      <w:r>
        <w:rPr/>
        <w:t>6、编制季度报告、中期报告和年度报告；</w:t>
      </w:r>
    </w:p>
    <w:p>
      <w:pPr>
        <w:pStyle w:val="BodyText"/>
        <w:spacing w:before="139"/>
        <w:ind w:left="1260"/>
      </w:pPr>
      <w:r>
        <w:rPr/>
        <w:t>7、计算并公告基金净值信息，确定基金份额申购、赎回价格；</w:t>
      </w:r>
    </w:p>
    <w:p>
      <w:pPr>
        <w:pStyle w:val="BodyText"/>
        <w:spacing w:before="140"/>
        <w:ind w:left="1260"/>
      </w:pPr>
      <w:r>
        <w:rPr/>
        <w:t>8、办理与基金财产管理业务活动有关的信息披露事项；</w:t>
      </w:r>
    </w:p>
    <w:p>
      <w:pPr>
        <w:pStyle w:val="BodyText"/>
        <w:spacing w:before="139"/>
        <w:ind w:left="1260"/>
      </w:pPr>
      <w:r>
        <w:rPr/>
        <w:t>9、按照规定召集基金份额持有人大会；</w:t>
      </w:r>
    </w:p>
    <w:p>
      <w:pPr>
        <w:pStyle w:val="BodyText"/>
        <w:spacing w:before="140"/>
        <w:ind w:left="1260"/>
      </w:pPr>
      <w:r>
        <w:rPr/>
        <w:t>10、保存基金财产管理业务活动的记录、账册、报表和其他相关资料；</w:t>
      </w:r>
    </w:p>
    <w:p>
      <w:pPr>
        <w:pStyle w:val="BodyText"/>
        <w:spacing w:before="139"/>
        <w:ind w:left="1260"/>
      </w:pPr>
      <w:r>
        <w:rPr/>
        <w:t>11、以基金管理人名义，代表基金份额持有人利益行使诉讼权利或者实施其他法律行为；</w:t>
      </w:r>
    </w:p>
    <w:p>
      <w:pPr>
        <w:pStyle w:val="BodyText"/>
        <w:spacing w:before="139"/>
        <w:ind w:left="1260"/>
      </w:pPr>
      <w:r>
        <w:rPr/>
        <w:t>12、国务院证券监督管理机构规定的其他职责。</w:t>
      </w:r>
    </w:p>
    <w:p>
      <w:pPr>
        <w:spacing w:before="141"/>
        <w:ind w:left="840" w:right="0" w:firstLine="0"/>
        <w:jc w:val="left"/>
        <w:rPr>
          <w:sz w:val="28"/>
        </w:rPr>
      </w:pPr>
      <w:bookmarkStart w:name="_bookmark6" w:id="7"/>
      <w:bookmarkEnd w:id="7"/>
      <w:r>
        <w:rPr/>
      </w:r>
      <w:r>
        <w:rPr>
          <w:sz w:val="28"/>
        </w:rPr>
        <w:t>（四）基金管理人的承诺</w:t>
      </w:r>
    </w:p>
    <w:p>
      <w:pPr>
        <w:pStyle w:val="BodyText"/>
        <w:spacing w:line="364" w:lineRule="auto" w:before="185"/>
        <w:ind w:left="840" w:right="6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840" w:right="81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786" w:val="left" w:leader="none"/>
        </w:tabs>
        <w:spacing w:line="268" w:lineRule="exact" w:before="0" w:after="0"/>
        <w:ind w:left="1786" w:right="0" w:hanging="526"/>
        <w:jc w:val="left"/>
        <w:rPr>
          <w:sz w:val="21"/>
        </w:rPr>
      </w:pPr>
      <w:r>
        <w:rPr>
          <w:sz w:val="21"/>
        </w:rPr>
        <w:t>将其固有财产或者他人财产混同于基金财产从事证券投资；</w:t>
      </w:r>
    </w:p>
    <w:p>
      <w:pPr>
        <w:pStyle w:val="ListParagraph"/>
        <w:numPr>
          <w:ilvl w:val="0"/>
          <w:numId w:val="1"/>
        </w:numPr>
        <w:tabs>
          <w:tab w:pos="1786" w:val="left" w:leader="none"/>
        </w:tabs>
        <w:spacing w:line="240" w:lineRule="auto" w:before="138" w:after="0"/>
        <w:ind w:left="1786" w:right="0" w:hanging="526"/>
        <w:jc w:val="left"/>
        <w:rPr>
          <w:sz w:val="21"/>
        </w:rPr>
      </w:pPr>
      <w:r>
        <w:rPr>
          <w:sz w:val="21"/>
        </w:rPr>
        <w:t>不公平地对待其管理的不同基金财产；</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利用基金财产或者职务之便为基金份额持有人以外的第三人谋取利益；</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向基金份额持有人违规承诺收益或者承担损失；</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侵占、挪用基金财产；</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泄露因职务便利获取的未公开信息、利用该信息从事或者明示、暗示他人从事相</w:t>
      </w:r>
    </w:p>
    <w:p>
      <w:pPr>
        <w:spacing w:after="0" w:line="240" w:lineRule="auto"/>
        <w:jc w:val="left"/>
        <w:rPr>
          <w:sz w:val="21"/>
        </w:rPr>
        <w:sectPr>
          <w:pgSz w:w="11910" w:h="16840"/>
          <w:pgMar w:header="0" w:footer="638" w:top="1380" w:bottom="900" w:left="960" w:right="980"/>
        </w:sectPr>
      </w:pPr>
    </w:p>
    <w:p>
      <w:pPr>
        <w:pStyle w:val="BodyText"/>
        <w:spacing w:before="45"/>
        <w:ind w:left="840"/>
      </w:pPr>
      <w:r>
        <w:rPr/>
        <w:t>关的交易活动；</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玩忽职守，不按照规定履行职责；</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法律、行政法规和中国证监会规定禁止的其他行为。</w:t>
      </w:r>
    </w:p>
    <w:p>
      <w:pPr>
        <w:pStyle w:val="BodyText"/>
        <w:spacing w:line="364" w:lineRule="auto" w:before="139"/>
        <w:ind w:left="840" w:right="8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越权或违规经营；</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违反基金合同或托管协议；</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故意损害基金份额持有人或其他基金相关机构的合法利益；</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在向中国证监会报送的资料中弄虚作假；</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拒绝、干扰、阻挠或严重影响中国证监会依法监管；</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玩忽职守、滥用职权；</w:t>
      </w:r>
    </w:p>
    <w:p>
      <w:pPr>
        <w:pStyle w:val="ListParagraph"/>
        <w:numPr>
          <w:ilvl w:val="0"/>
          <w:numId w:val="2"/>
        </w:numPr>
        <w:tabs>
          <w:tab w:pos="1786" w:val="left" w:leader="none"/>
        </w:tabs>
        <w:spacing w:line="364" w:lineRule="auto" w:before="140" w:after="0"/>
        <w:ind w:left="840" w:right="8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786" w:val="left" w:leader="none"/>
        </w:tabs>
        <w:spacing w:line="364" w:lineRule="auto" w:before="0" w:after="0"/>
        <w:ind w:left="840" w:right="830"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贬损同行，以抬高自己；</w:t>
      </w:r>
    </w:p>
    <w:p>
      <w:pPr>
        <w:pStyle w:val="ListParagraph"/>
        <w:numPr>
          <w:ilvl w:val="0"/>
          <w:numId w:val="2"/>
        </w:numPr>
        <w:tabs>
          <w:tab w:pos="1891" w:val="left" w:leader="none"/>
        </w:tabs>
        <w:spacing w:line="240" w:lineRule="auto" w:before="138" w:after="0"/>
        <w:ind w:left="1891" w:right="0" w:hanging="631"/>
        <w:jc w:val="left"/>
        <w:rPr>
          <w:sz w:val="21"/>
        </w:rPr>
      </w:pPr>
      <w:r>
        <w:rPr>
          <w:sz w:val="21"/>
        </w:rPr>
        <w:t>以不正当手段谋求业务发展；</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有悖社会公德，损害证券投资基金人员形象；</w:t>
      </w:r>
    </w:p>
    <w:p>
      <w:pPr>
        <w:pStyle w:val="ListParagraph"/>
        <w:numPr>
          <w:ilvl w:val="0"/>
          <w:numId w:val="2"/>
        </w:numPr>
        <w:tabs>
          <w:tab w:pos="1891" w:val="left" w:leader="none"/>
        </w:tabs>
        <w:spacing w:line="240" w:lineRule="auto" w:before="140" w:after="0"/>
        <w:ind w:left="1891" w:right="0" w:hanging="631"/>
        <w:jc w:val="left"/>
        <w:rPr>
          <w:sz w:val="21"/>
        </w:rPr>
      </w:pPr>
      <w:r>
        <w:rPr>
          <w:sz w:val="21"/>
        </w:rPr>
        <w:t>在公开信息披露和广告中故意含有虚假、误导、欺诈成分；</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其他法律、行政法规以及中国证监会禁止的行为。</w:t>
      </w:r>
    </w:p>
    <w:p>
      <w:pPr>
        <w:pStyle w:val="BodyText"/>
        <w:spacing w:before="140"/>
        <w:ind w:left="1260"/>
      </w:pPr>
      <w:r>
        <w:rPr/>
        <w:t>4、基金经理承诺</w:t>
      </w:r>
    </w:p>
    <w:p>
      <w:pPr>
        <w:pStyle w:val="ListParagraph"/>
        <w:numPr>
          <w:ilvl w:val="0"/>
          <w:numId w:val="3"/>
        </w:numPr>
        <w:tabs>
          <w:tab w:pos="1786" w:val="left" w:leader="none"/>
        </w:tabs>
        <w:spacing w:line="364" w:lineRule="auto" w:before="139" w:after="0"/>
        <w:ind w:left="840" w:right="8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不利用职务之便为自己及其代理人、受雇人或任何第三人谋取利益；</w:t>
      </w:r>
    </w:p>
    <w:p>
      <w:pPr>
        <w:pStyle w:val="ListParagraph"/>
        <w:numPr>
          <w:ilvl w:val="0"/>
          <w:numId w:val="3"/>
        </w:numPr>
        <w:tabs>
          <w:tab w:pos="1786" w:val="left" w:leader="none"/>
        </w:tabs>
        <w:spacing w:line="364" w:lineRule="auto" w:before="140" w:after="0"/>
        <w:ind w:left="840" w:right="8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不从事损害基金财产和基金份额持有人利益的证券交易及其他活动。</w:t>
      </w:r>
    </w:p>
    <w:p>
      <w:pPr>
        <w:spacing w:before="140"/>
        <w:ind w:left="840" w:right="0" w:firstLine="0"/>
        <w:jc w:val="left"/>
        <w:rPr>
          <w:sz w:val="28"/>
        </w:rPr>
      </w:pPr>
      <w:bookmarkStart w:name="_bookmark7" w:id="8"/>
      <w:bookmarkEnd w:id="8"/>
      <w:r>
        <w:rPr/>
      </w:r>
      <w:r>
        <w:rPr>
          <w:sz w:val="28"/>
        </w:rPr>
        <w:t>（五）基金管理人的内部控制制度</w:t>
      </w:r>
    </w:p>
    <w:p>
      <w:pPr>
        <w:pStyle w:val="BodyText"/>
        <w:spacing w:line="364" w:lineRule="auto" w:before="185"/>
        <w:ind w:left="840" w:right="7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3"/>
        <w:spacing w:line="315" w:lineRule="exact"/>
      </w:pPr>
      <w:r>
        <w:rPr/>
        <w:t>1、公司内部控制的总体目标</w:t>
      </w:r>
    </w:p>
    <w:p>
      <w:pPr>
        <w:spacing w:after="0" w:line="315" w:lineRule="exact"/>
        <w:sectPr>
          <w:pgSz w:w="11910" w:h="16840"/>
          <w:pgMar w:header="0" w:footer="638" w:top="1380" w:bottom="900" w:left="960" w:right="980"/>
        </w:sectPr>
      </w:pPr>
    </w:p>
    <w:p>
      <w:pPr>
        <w:pStyle w:val="ListParagraph"/>
        <w:numPr>
          <w:ilvl w:val="0"/>
          <w:numId w:val="4"/>
        </w:numPr>
        <w:tabs>
          <w:tab w:pos="1691" w:val="left" w:leader="none"/>
        </w:tabs>
        <w:spacing w:line="240" w:lineRule="auto" w:before="45" w:after="0"/>
        <w:ind w:left="1691" w:right="0" w:hanging="568"/>
        <w:jc w:val="left"/>
        <w:rPr>
          <w:sz w:val="21"/>
        </w:rPr>
      </w:pPr>
      <w:r>
        <w:rPr>
          <w:sz w:val="21"/>
        </w:rPr>
        <w:t>保证公司经营管理活动的合法合规性；</w:t>
      </w:r>
    </w:p>
    <w:p>
      <w:pPr>
        <w:pStyle w:val="ListParagraph"/>
        <w:numPr>
          <w:ilvl w:val="0"/>
          <w:numId w:val="4"/>
        </w:numPr>
        <w:tabs>
          <w:tab w:pos="1691" w:val="left" w:leader="none"/>
        </w:tabs>
        <w:spacing w:line="240" w:lineRule="auto" w:before="139" w:after="0"/>
        <w:ind w:left="1691" w:right="0" w:hanging="568"/>
        <w:jc w:val="left"/>
        <w:rPr>
          <w:sz w:val="21"/>
        </w:rPr>
      </w:pPr>
      <w:r>
        <w:rPr>
          <w:sz w:val="21"/>
        </w:rPr>
        <w:t>保证基金份额持有人的合法权益不受侵犯；</w:t>
      </w:r>
    </w:p>
    <w:p>
      <w:pPr>
        <w:pStyle w:val="ListParagraph"/>
        <w:numPr>
          <w:ilvl w:val="0"/>
          <w:numId w:val="4"/>
        </w:numPr>
        <w:tabs>
          <w:tab w:pos="1691" w:val="left" w:leader="none"/>
        </w:tabs>
        <w:spacing w:line="240" w:lineRule="auto" w:before="140" w:after="0"/>
        <w:ind w:left="1691" w:right="0" w:hanging="568"/>
        <w:jc w:val="left"/>
        <w:rPr>
          <w:sz w:val="21"/>
        </w:rPr>
      </w:pPr>
      <w:r>
        <w:rPr>
          <w:sz w:val="21"/>
        </w:rPr>
        <w:t>实现公司稳健、持续发展，维护股东权益；</w:t>
      </w:r>
    </w:p>
    <w:p>
      <w:pPr>
        <w:pStyle w:val="ListParagraph"/>
        <w:numPr>
          <w:ilvl w:val="0"/>
          <w:numId w:val="4"/>
        </w:numPr>
        <w:tabs>
          <w:tab w:pos="1691" w:val="left" w:leader="none"/>
        </w:tabs>
        <w:spacing w:line="240" w:lineRule="auto" w:before="139" w:after="0"/>
        <w:ind w:left="1691" w:right="0" w:hanging="568"/>
        <w:jc w:val="left"/>
        <w:rPr>
          <w:sz w:val="21"/>
        </w:rPr>
      </w:pPr>
      <w:r>
        <w:rPr>
          <w:sz w:val="21"/>
        </w:rPr>
        <w:t>促进公司全体员工恪守职业操守，正直诚信，廉洁自律，勤勉尽责；</w:t>
      </w:r>
    </w:p>
    <w:p>
      <w:pPr>
        <w:pStyle w:val="ListParagraph"/>
        <w:numPr>
          <w:ilvl w:val="0"/>
          <w:numId w:val="4"/>
        </w:numPr>
        <w:tabs>
          <w:tab w:pos="1691" w:val="left" w:leader="none"/>
        </w:tabs>
        <w:spacing w:line="240" w:lineRule="auto" w:before="140" w:after="0"/>
        <w:ind w:left="1691" w:right="0" w:hanging="568"/>
        <w:jc w:val="left"/>
        <w:rPr>
          <w:sz w:val="21"/>
        </w:rPr>
      </w:pPr>
      <w:r>
        <w:rPr>
          <w:sz w:val="21"/>
        </w:rPr>
        <w:t>保护公司最重要的资本：公司声誉。</w:t>
      </w:r>
    </w:p>
    <w:p>
      <w:pPr>
        <w:pStyle w:val="Heading3"/>
        <w:spacing w:before="70"/>
      </w:pPr>
      <w:r>
        <w:rPr>
          <w:rFonts w:ascii="宋体" w:eastAsia="宋体" w:hint="eastAsia"/>
          <w:b w:val="0"/>
        </w:rPr>
        <w:t>2、</w:t>
      </w:r>
      <w:r>
        <w:rPr/>
        <w:t>公司内部控制遵循的原则</w:t>
      </w:r>
    </w:p>
    <w:p>
      <w:pPr>
        <w:pStyle w:val="ListParagraph"/>
        <w:numPr>
          <w:ilvl w:val="1"/>
          <w:numId w:val="4"/>
        </w:numPr>
        <w:tabs>
          <w:tab w:pos="1680" w:val="left" w:leader="none"/>
        </w:tabs>
        <w:spacing w:line="364" w:lineRule="auto" w:before="92" w:after="0"/>
        <w:ind w:left="840" w:right="818" w:firstLine="420"/>
        <w:jc w:val="both"/>
        <w:rPr>
          <w:sz w:val="21"/>
        </w:rPr>
      </w:pPr>
      <w:r>
        <w:rPr>
          <w:spacing w:val="-12"/>
          <w:sz w:val="21"/>
        </w:rPr>
        <w:t>全面性原则：内部控制必须覆盖公司的所有部门和岗位，渗透各项业务过程和业务</w:t>
      </w:r>
      <w:r>
        <w:rPr>
          <w:sz w:val="21"/>
        </w:rPr>
        <w:t>环节，并普遍适用于公司每一位职员；</w:t>
      </w:r>
    </w:p>
    <w:p>
      <w:pPr>
        <w:pStyle w:val="ListParagraph"/>
        <w:numPr>
          <w:ilvl w:val="1"/>
          <w:numId w:val="4"/>
        </w:numPr>
        <w:tabs>
          <w:tab w:pos="1680" w:val="left" w:leader="none"/>
        </w:tabs>
        <w:spacing w:line="364" w:lineRule="auto" w:before="0" w:after="0"/>
        <w:ind w:left="840" w:right="818" w:firstLine="420"/>
        <w:jc w:val="both"/>
        <w:rPr>
          <w:sz w:val="21"/>
        </w:rPr>
      </w:pPr>
      <w:r>
        <w:rPr>
          <w:spacing w:val="-12"/>
          <w:sz w:val="21"/>
        </w:rPr>
        <w:t>审慎性原则：内部控制的核心是有效防范各种风险，公司组织体系的构成、内部管</w:t>
      </w:r>
      <w:r>
        <w:rPr>
          <w:sz w:val="21"/>
        </w:rPr>
        <w:t>理制度的建立都要以防范风险、审慎经营为出发点；</w:t>
      </w:r>
    </w:p>
    <w:p>
      <w:pPr>
        <w:pStyle w:val="ListParagraph"/>
        <w:numPr>
          <w:ilvl w:val="1"/>
          <w:numId w:val="4"/>
        </w:numPr>
        <w:tabs>
          <w:tab w:pos="1680" w:val="left" w:leader="none"/>
        </w:tabs>
        <w:spacing w:line="268" w:lineRule="exact" w:before="0" w:after="0"/>
        <w:ind w:left="1680" w:right="0" w:hanging="420"/>
        <w:jc w:val="both"/>
        <w:rPr>
          <w:sz w:val="21"/>
        </w:rPr>
      </w:pPr>
      <w:r>
        <w:rPr>
          <w:sz w:val="21"/>
        </w:rPr>
        <w:t>相互制约原则：公司设置的各部门、各岗位权责分明、相互制衡。</w:t>
      </w:r>
    </w:p>
    <w:p>
      <w:pPr>
        <w:pStyle w:val="ListParagraph"/>
        <w:numPr>
          <w:ilvl w:val="1"/>
          <w:numId w:val="4"/>
        </w:numPr>
        <w:tabs>
          <w:tab w:pos="1680" w:val="left" w:leader="none"/>
        </w:tabs>
        <w:spacing w:line="364" w:lineRule="auto" w:before="138" w:after="0"/>
        <w:ind w:left="840" w:right="818" w:firstLine="420"/>
        <w:jc w:val="both"/>
        <w:rPr>
          <w:sz w:val="21"/>
        </w:rPr>
      </w:pPr>
      <w:r>
        <w:rPr>
          <w:spacing w:val="-10"/>
          <w:sz w:val="21"/>
        </w:rPr>
        <w:t>独立性原则：公司根据业务的需要设立相对独立的机构、部门和岗位；公司内部部</w:t>
      </w:r>
      <w:r>
        <w:rPr>
          <w:sz w:val="21"/>
        </w:rPr>
        <w:t>门和岗位的设置必须权责分明；</w:t>
      </w:r>
    </w:p>
    <w:p>
      <w:pPr>
        <w:pStyle w:val="ListParagraph"/>
        <w:numPr>
          <w:ilvl w:val="1"/>
          <w:numId w:val="4"/>
        </w:numPr>
        <w:tabs>
          <w:tab w:pos="1680" w:val="left" w:leader="none"/>
        </w:tabs>
        <w:spacing w:line="364" w:lineRule="auto" w:before="0" w:after="0"/>
        <w:ind w:left="840" w:right="818" w:firstLine="420"/>
        <w:jc w:val="both"/>
        <w:rPr>
          <w:sz w:val="21"/>
        </w:rPr>
      </w:pPr>
      <w:r>
        <w:rPr>
          <w:spacing w:val="-12"/>
          <w:sz w:val="21"/>
        </w:rPr>
        <w:t>有效性原则：各种内部管理制度具有高度的权威性，应是所有员工严格遵守的行动</w:t>
      </w:r>
      <w:r>
        <w:rPr>
          <w:sz w:val="21"/>
        </w:rPr>
        <w:t>指南；执行内部管理制度不能有任何例外，任何人不得拥有超越制度或违反规章的权力；</w:t>
      </w:r>
    </w:p>
    <w:p>
      <w:pPr>
        <w:pStyle w:val="ListParagraph"/>
        <w:numPr>
          <w:ilvl w:val="1"/>
          <w:numId w:val="4"/>
        </w:numPr>
        <w:tabs>
          <w:tab w:pos="1680" w:val="left" w:leader="none"/>
        </w:tabs>
        <w:spacing w:line="364" w:lineRule="auto" w:before="0" w:after="0"/>
        <w:ind w:left="840" w:right="818" w:firstLine="420"/>
        <w:jc w:val="both"/>
        <w:rPr>
          <w:sz w:val="21"/>
        </w:rPr>
      </w:pPr>
      <w:r>
        <w:rPr>
          <w:spacing w:val="-12"/>
          <w:sz w:val="21"/>
        </w:rPr>
        <w:t>适时性原则：内部控制应具有前瞻性，并且必须随着公司经营战略、经营方针、经</w:t>
      </w:r>
      <w:r>
        <w:rPr>
          <w:spacing w:val="-7"/>
          <w:sz w:val="21"/>
        </w:rPr>
        <w:t>营理念等内部环境的变化和国家法律、法规、政策制度等外部环境的改变及时进行相应的修</w:t>
      </w:r>
      <w:r>
        <w:rPr>
          <w:sz w:val="21"/>
        </w:rPr>
        <w:t>改和完善；</w:t>
      </w:r>
    </w:p>
    <w:p>
      <w:pPr>
        <w:pStyle w:val="ListParagraph"/>
        <w:numPr>
          <w:ilvl w:val="1"/>
          <w:numId w:val="4"/>
        </w:numPr>
        <w:tabs>
          <w:tab w:pos="1680" w:val="left" w:leader="none"/>
        </w:tabs>
        <w:spacing w:line="364" w:lineRule="auto" w:before="0" w:after="0"/>
        <w:ind w:left="840" w:right="818" w:firstLine="420"/>
        <w:jc w:val="both"/>
        <w:rPr>
          <w:sz w:val="21"/>
        </w:rPr>
      </w:pPr>
      <w:r>
        <w:rPr>
          <w:spacing w:val="-11"/>
          <w:sz w:val="21"/>
        </w:rPr>
        <w:t>成本效益原则：公司运用科学化的经营管理方法降低运作成本，提高经济效益，力</w:t>
      </w:r>
      <w:r>
        <w:rPr>
          <w:sz w:val="21"/>
        </w:rPr>
        <w:t>争以合理的控制成本达到最佳的内部控制效果。</w:t>
      </w:r>
    </w:p>
    <w:p>
      <w:pPr>
        <w:pStyle w:val="Heading3"/>
        <w:spacing w:line="316" w:lineRule="exact"/>
      </w:pPr>
      <w:r>
        <w:rPr/>
        <w:t>3、内部控制的制度体系</w:t>
      </w:r>
    </w:p>
    <w:p>
      <w:pPr>
        <w:pStyle w:val="BodyText"/>
        <w:spacing w:line="364" w:lineRule="auto" w:before="88"/>
        <w:ind w:left="840" w:right="6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3"/>
        <w:spacing w:line="314" w:lineRule="exact"/>
      </w:pPr>
      <w:r>
        <w:rPr/>
        <w:t>4、关于授权、研究、投资、交易等方面的控制点</w:t>
      </w:r>
    </w:p>
    <w:p>
      <w:pPr>
        <w:pStyle w:val="ListParagraph"/>
        <w:numPr>
          <w:ilvl w:val="0"/>
          <w:numId w:val="5"/>
        </w:numPr>
        <w:tabs>
          <w:tab w:pos="1650" w:val="left" w:leader="none"/>
        </w:tabs>
        <w:spacing w:line="240" w:lineRule="auto" w:before="92" w:after="0"/>
        <w:ind w:left="1650" w:right="0" w:hanging="527"/>
        <w:jc w:val="left"/>
        <w:rPr>
          <w:sz w:val="21"/>
        </w:rPr>
      </w:pPr>
      <w:r>
        <w:rPr>
          <w:sz w:val="21"/>
        </w:rPr>
        <w:t>授权制度</w:t>
      </w:r>
    </w:p>
    <w:p>
      <w:pPr>
        <w:pStyle w:val="BodyText"/>
        <w:spacing w:line="364" w:lineRule="auto" w:before="139"/>
        <w:ind w:left="840" w:right="8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w:t>
      </w:r>
    </w:p>
    <w:p>
      <w:pPr>
        <w:spacing w:after="0" w:line="364" w:lineRule="auto"/>
        <w:jc w:val="both"/>
        <w:sectPr>
          <w:pgSz w:w="11910" w:h="16840"/>
          <w:pgMar w:header="0" w:footer="638" w:top="1380" w:bottom="900" w:left="960" w:right="980"/>
        </w:sectPr>
      </w:pPr>
    </w:p>
    <w:p>
      <w:pPr>
        <w:pStyle w:val="BodyText"/>
        <w:spacing w:line="364" w:lineRule="auto" w:before="45"/>
        <w:ind w:left="840" w:right="818"/>
      </w:pPr>
      <w:r>
        <w:rPr>
          <w:spacing w:val="-10"/>
        </w:rPr>
        <w:t>授权要适当，对已获授权的部门和人员应建立有效的评价和反馈机制，对已不适用的授权应</w:t>
      </w:r>
      <w:r>
        <w:rPr/>
        <w:t>及时修改或取消授权。</w:t>
      </w:r>
    </w:p>
    <w:p>
      <w:pPr>
        <w:pStyle w:val="ListParagraph"/>
        <w:numPr>
          <w:ilvl w:val="0"/>
          <w:numId w:val="5"/>
        </w:numPr>
        <w:tabs>
          <w:tab w:pos="1650" w:val="left" w:leader="none"/>
        </w:tabs>
        <w:spacing w:line="268" w:lineRule="exact" w:before="0" w:after="0"/>
        <w:ind w:left="1650" w:right="0" w:hanging="527"/>
        <w:jc w:val="left"/>
        <w:rPr>
          <w:sz w:val="21"/>
        </w:rPr>
      </w:pPr>
      <w:r>
        <w:rPr>
          <w:sz w:val="21"/>
        </w:rPr>
        <w:t>公司研究业务</w:t>
      </w:r>
    </w:p>
    <w:p>
      <w:pPr>
        <w:pStyle w:val="BodyText"/>
        <w:spacing w:line="364" w:lineRule="auto" w:before="139"/>
        <w:ind w:left="840" w:right="8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650" w:val="left" w:leader="none"/>
        </w:tabs>
        <w:spacing w:line="267" w:lineRule="exact" w:before="0" w:after="0"/>
        <w:ind w:left="1650" w:right="0" w:hanging="527"/>
        <w:jc w:val="left"/>
        <w:rPr>
          <w:sz w:val="21"/>
        </w:rPr>
      </w:pPr>
      <w:r>
        <w:rPr>
          <w:sz w:val="21"/>
        </w:rPr>
        <w:t>基金投资业务</w:t>
      </w:r>
    </w:p>
    <w:p>
      <w:pPr>
        <w:pStyle w:val="BodyText"/>
        <w:spacing w:line="364" w:lineRule="auto" w:before="140"/>
        <w:ind w:left="840" w:right="8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5"/>
        </w:numPr>
        <w:tabs>
          <w:tab w:pos="1650" w:val="left" w:leader="none"/>
        </w:tabs>
        <w:spacing w:line="267" w:lineRule="exact" w:before="0" w:after="0"/>
        <w:ind w:left="1650" w:right="0" w:hanging="527"/>
        <w:jc w:val="left"/>
        <w:rPr>
          <w:sz w:val="21"/>
        </w:rPr>
      </w:pPr>
      <w:r>
        <w:rPr>
          <w:sz w:val="21"/>
        </w:rPr>
        <w:t>交易业务</w:t>
      </w:r>
    </w:p>
    <w:p>
      <w:pPr>
        <w:pStyle w:val="BodyText"/>
        <w:spacing w:line="364" w:lineRule="auto" w:before="139"/>
        <w:ind w:left="840" w:right="7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650" w:val="left" w:leader="none"/>
        </w:tabs>
        <w:spacing w:line="267" w:lineRule="exact" w:before="0" w:after="0"/>
        <w:ind w:left="1650" w:right="0" w:hanging="527"/>
        <w:jc w:val="left"/>
        <w:rPr>
          <w:sz w:val="21"/>
        </w:rPr>
      </w:pPr>
      <w:r>
        <w:rPr>
          <w:sz w:val="21"/>
        </w:rPr>
        <w:t>基金会计核算</w:t>
      </w:r>
    </w:p>
    <w:p>
      <w:pPr>
        <w:pStyle w:val="BodyText"/>
        <w:spacing w:line="364" w:lineRule="auto" w:before="140"/>
        <w:ind w:left="840" w:right="6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5"/>
        </w:numPr>
        <w:tabs>
          <w:tab w:pos="1650" w:val="left" w:leader="none"/>
        </w:tabs>
        <w:spacing w:line="267" w:lineRule="exact" w:before="0" w:after="0"/>
        <w:ind w:left="1650" w:right="0" w:hanging="527"/>
        <w:jc w:val="left"/>
        <w:rPr>
          <w:sz w:val="21"/>
        </w:rPr>
      </w:pPr>
      <w:r>
        <w:rPr>
          <w:sz w:val="21"/>
        </w:rPr>
        <w:t>信息披露</w:t>
      </w:r>
    </w:p>
    <w:p>
      <w:pPr>
        <w:pStyle w:val="BodyText"/>
        <w:spacing w:line="364" w:lineRule="auto" w:before="139"/>
        <w:ind w:left="840" w:right="8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5"/>
        </w:numPr>
        <w:tabs>
          <w:tab w:pos="1786" w:val="left" w:leader="none"/>
        </w:tabs>
        <w:spacing w:line="267" w:lineRule="exact" w:before="0" w:after="0"/>
        <w:ind w:left="1786" w:right="0" w:hanging="526"/>
        <w:jc w:val="left"/>
        <w:rPr>
          <w:sz w:val="21"/>
        </w:rPr>
      </w:pPr>
      <w:r>
        <w:rPr>
          <w:sz w:val="21"/>
        </w:rPr>
        <w:t>监察与合规管理</w:t>
      </w:r>
    </w:p>
    <w:p>
      <w:pPr>
        <w:pStyle w:val="BodyText"/>
        <w:spacing w:line="364" w:lineRule="auto" w:before="140"/>
        <w:ind w:left="840" w:right="8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267" w:lineRule="exact"/>
        <w:ind w:left="1260"/>
      </w:pPr>
      <w:r>
        <w:rPr/>
        <w:t>公司设立监察合规管理部门开展监察与合规管理工作，并保证监察合规管理部门的独立</w:t>
      </w:r>
    </w:p>
    <w:p>
      <w:pPr>
        <w:spacing w:after="0" w:line="267" w:lineRule="exact"/>
        <w:sectPr>
          <w:pgSz w:w="11910" w:h="16840"/>
          <w:pgMar w:header="0" w:footer="638" w:top="1380" w:bottom="900" w:left="960" w:right="980"/>
        </w:sectPr>
      </w:pPr>
    </w:p>
    <w:p>
      <w:pPr>
        <w:pStyle w:val="BodyText"/>
        <w:spacing w:line="364" w:lineRule="auto" w:before="45"/>
        <w:ind w:left="840" w:right="818"/>
      </w:pPr>
      <w:r>
        <w:rPr>
          <w:spacing w:val="-10"/>
        </w:rPr>
        <w:t>性和权威性。公司明确了监察合规管理部门及内部各岗位的具体职责，严格制订了专业任职</w:t>
      </w:r>
      <w:r>
        <w:rPr/>
        <w:t>条件、操作程序和组织纪律。</w:t>
      </w:r>
    </w:p>
    <w:p>
      <w:pPr>
        <w:pStyle w:val="BodyText"/>
        <w:spacing w:line="364" w:lineRule="auto"/>
        <w:ind w:left="840" w:right="6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1123" w:right="818"/>
      </w:pPr>
      <w:r>
        <w:rPr/>
        <w:t>公司董事会和管理层充分重视和支持监察与合规管理工作，对违反法律、法规和公司内部控制制度的，追究有关部门和人员的责任。</w:t>
      </w:r>
    </w:p>
    <w:p>
      <w:pPr>
        <w:pStyle w:val="Heading3"/>
        <w:spacing w:line="316" w:lineRule="exact"/>
      </w:pPr>
      <w:r>
        <w:rPr/>
        <w:t>2、基金管理人关于内部控制制度声明书</w:t>
      </w:r>
    </w:p>
    <w:p>
      <w:pPr>
        <w:pStyle w:val="ListParagraph"/>
        <w:numPr>
          <w:ilvl w:val="0"/>
          <w:numId w:val="6"/>
        </w:numPr>
        <w:tabs>
          <w:tab w:pos="1650" w:val="left" w:leader="none"/>
        </w:tabs>
        <w:spacing w:line="240" w:lineRule="auto" w:before="90" w:after="0"/>
        <w:ind w:left="1650" w:right="0" w:hanging="527"/>
        <w:jc w:val="left"/>
        <w:rPr>
          <w:sz w:val="21"/>
        </w:rPr>
      </w:pPr>
      <w:r>
        <w:rPr>
          <w:sz w:val="21"/>
        </w:rPr>
        <w:t>本公司承诺以上关于内部控制制度的披露真实、准确；</w:t>
      </w:r>
    </w:p>
    <w:p>
      <w:pPr>
        <w:pStyle w:val="ListParagraph"/>
        <w:numPr>
          <w:ilvl w:val="0"/>
          <w:numId w:val="6"/>
        </w:numPr>
        <w:tabs>
          <w:tab w:pos="1650" w:val="left" w:leader="none"/>
        </w:tabs>
        <w:spacing w:line="240" w:lineRule="auto" w:before="139" w:after="0"/>
        <w:ind w:left="165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638" w:top="1380" w:bottom="900" w:left="960" w:right="980"/>
        </w:sectPr>
      </w:pPr>
    </w:p>
    <w:p>
      <w:pPr>
        <w:spacing w:before="27"/>
        <w:ind w:left="1242" w:right="582" w:firstLine="0"/>
        <w:jc w:val="center"/>
        <w:rPr>
          <w:sz w:val="32"/>
        </w:rPr>
      </w:pPr>
      <w:bookmarkStart w:name="_bookmark8" w:id="9"/>
      <w:bookmarkEnd w:id="9"/>
      <w:r>
        <w:rPr/>
      </w:r>
      <w:r>
        <w:rPr>
          <w:sz w:val="32"/>
        </w:rPr>
        <w:t>四、基金托管人</w:t>
      </w:r>
    </w:p>
    <w:p>
      <w:pPr>
        <w:pStyle w:val="BodyText"/>
        <w:spacing w:before="7"/>
        <w:ind w:left="0"/>
        <w:rPr>
          <w:sz w:val="18"/>
        </w:rPr>
      </w:pPr>
    </w:p>
    <w:p>
      <w:pPr>
        <w:pStyle w:val="BodyText"/>
        <w:spacing w:before="71"/>
        <w:ind w:left="1260"/>
      </w:pPr>
      <w:r>
        <w:rPr/>
        <w:t>（一）基本情况</w:t>
      </w:r>
    </w:p>
    <w:p>
      <w:pPr>
        <w:pStyle w:val="BodyText"/>
        <w:spacing w:before="6"/>
        <w:ind w:left="0"/>
        <w:rPr>
          <w:sz w:val="15"/>
        </w:rPr>
      </w:pPr>
    </w:p>
    <w:p>
      <w:pPr>
        <w:pStyle w:val="BodyText"/>
        <w:spacing w:line="417" w:lineRule="auto"/>
        <w:ind w:left="1260" w:right="3980"/>
      </w:pPr>
      <w:r>
        <w:rPr/>
        <w:t>名称：中国银行股份有限公司（</w:t>
      </w:r>
      <w:r>
        <w:rPr>
          <w:spacing w:val="-15"/>
        </w:rPr>
        <w:t>简称“中国银行”</w:t>
      </w:r>
      <w:r>
        <w:rPr>
          <w:spacing w:val="-10"/>
        </w:rPr>
        <w:t>）</w:t>
      </w:r>
      <w:r>
        <w:rPr>
          <w:spacing w:val="-3"/>
        </w:rPr>
        <w:t>住所及办公地址：北京市西城区复兴门内大街 </w:t>
      </w:r>
      <w:r>
        <w:rPr/>
        <w:t>1</w:t>
      </w:r>
      <w:r>
        <w:rPr>
          <w:spacing w:val="-27"/>
        </w:rPr>
        <w:t> 号首次注册登记日期：1983</w:t>
      </w:r>
      <w:r>
        <w:rPr>
          <w:spacing w:val="-36"/>
        </w:rPr>
        <w:t> 年 </w:t>
      </w:r>
      <w:r>
        <w:rPr/>
        <w:t>10</w:t>
      </w:r>
      <w:r>
        <w:rPr>
          <w:spacing w:val="-36"/>
        </w:rPr>
        <w:t> 月 </w:t>
      </w:r>
      <w:r>
        <w:rPr/>
        <w:t>31</w:t>
      </w:r>
      <w:r>
        <w:rPr>
          <w:spacing w:val="-27"/>
        </w:rPr>
        <w:t> 日</w:t>
      </w:r>
    </w:p>
    <w:p>
      <w:pPr>
        <w:pStyle w:val="BodyText"/>
        <w:spacing w:line="417" w:lineRule="auto"/>
        <w:ind w:left="1260" w:right="1775"/>
      </w:pPr>
      <w:r>
        <w:rPr/>
        <w:t>注册资本：人民币贰仟玖佰肆拾叁亿捌仟柒佰柒拾玖万壹仟贰佰肆拾壹元整法定代表人：刘连舸</w:t>
      </w:r>
    </w:p>
    <w:p>
      <w:pPr>
        <w:pStyle w:val="BodyText"/>
        <w:spacing w:line="417" w:lineRule="auto"/>
        <w:ind w:left="1260" w:right="3140"/>
      </w:pPr>
      <w:r>
        <w:rPr/>
        <w:t>基金托管业务批准文号：中国证监会证监基字【1998】24 号托管部门信息披露联系人：许俊</w:t>
      </w:r>
    </w:p>
    <w:p>
      <w:pPr>
        <w:pStyle w:val="BodyText"/>
        <w:spacing w:line="417" w:lineRule="auto"/>
        <w:ind w:left="1260" w:right="6290"/>
      </w:pPr>
      <w:r>
        <w:rPr/>
        <w:t>传 真 ：（010）66594942 中国银行客服电话：95566</w:t>
      </w:r>
    </w:p>
    <w:p>
      <w:pPr>
        <w:pStyle w:val="BodyText"/>
        <w:spacing w:line="269" w:lineRule="exact"/>
        <w:ind w:left="1260"/>
      </w:pPr>
      <w:r>
        <w:rPr/>
        <w:t>（二）基金托管部门及主要人员情况</w:t>
      </w:r>
    </w:p>
    <w:p>
      <w:pPr>
        <w:pStyle w:val="BodyText"/>
        <w:spacing w:before="6"/>
        <w:ind w:left="0"/>
        <w:rPr>
          <w:sz w:val="15"/>
        </w:rPr>
      </w:pPr>
    </w:p>
    <w:p>
      <w:pPr>
        <w:pStyle w:val="BodyText"/>
        <w:spacing w:line="417" w:lineRule="auto"/>
        <w:ind w:left="840" w:right="608" w:firstLine="420"/>
      </w:pPr>
      <w:r>
        <w:rPr>
          <w:spacing w:val="-5"/>
        </w:rPr>
        <w:t>中国银行托管业务部设立于 </w:t>
      </w:r>
      <w:r>
        <w:rPr/>
        <w:t>1998</w:t>
      </w:r>
      <w:r>
        <w:rPr>
          <w:spacing w:val="-15"/>
        </w:rPr>
        <w:t> 年，现有员工 </w:t>
      </w:r>
      <w:r>
        <w:rPr/>
        <w:t>110</w:t>
      </w:r>
      <w:r>
        <w:rPr>
          <w:spacing w:val="-8"/>
        </w:rPr>
        <w:t> 余人，大部分员工具有丰富的银行、</w:t>
      </w:r>
      <w:r>
        <w:rPr>
          <w:spacing w:val="-10"/>
        </w:rPr>
        <w:t>证券、基金、信托从业经验，且具有海外工作、学习或培训经历，</w:t>
      </w:r>
      <w:r>
        <w:rPr>
          <w:spacing w:val="-5"/>
        </w:rPr>
        <w:t>60％</w:t>
      </w:r>
      <w:r>
        <w:rPr/>
        <w:t>以上的员工具有硕士 </w:t>
      </w:r>
      <w:r>
        <w:rPr>
          <w:spacing w:val="-7"/>
        </w:rPr>
        <w:t>以上学位或高级职称。为给客户提供专业化的托管服务，中国银行已在境内、外分行开展托 管业务。</w:t>
      </w:r>
    </w:p>
    <w:p>
      <w:pPr>
        <w:pStyle w:val="BodyText"/>
        <w:spacing w:line="417" w:lineRule="auto"/>
        <w:ind w:left="840" w:right="817" w:firstLine="420"/>
        <w:jc w:val="both"/>
      </w:pPr>
      <w:r>
        <w:rPr>
          <w:spacing w:val="-5"/>
        </w:rPr>
        <w:t>作为国内首批开展证券投资基金托管业务的商业银行，中国银行拥有证券投资基金、基</w:t>
      </w:r>
      <w:r>
        <w:rPr>
          <w:spacing w:val="-11"/>
        </w:rPr>
        <w:t>金</w:t>
      </w:r>
      <w:r>
        <w:rPr/>
        <w:t>（</w:t>
      </w:r>
      <w:r>
        <w:rPr>
          <w:spacing w:val="-3"/>
        </w:rPr>
        <w:t>一对多、一对一</w:t>
      </w:r>
      <w:r>
        <w:rPr>
          <w:spacing w:val="-105"/>
        </w:rPr>
        <w:t>）</w:t>
      </w:r>
      <w:r>
        <w:rPr>
          <w:spacing w:val="-6"/>
        </w:rPr>
        <w:t>、社保基金、保险资金、</w:t>
      </w:r>
      <w:r>
        <w:rPr/>
        <w:t>QFII</w:t>
      </w:r>
      <w:r>
        <w:rPr>
          <w:spacing w:val="-11"/>
        </w:rPr>
        <w:t>、</w:t>
      </w:r>
      <w:r>
        <w:rPr/>
        <w:t>RQFII</w:t>
      </w:r>
      <w:r>
        <w:rPr>
          <w:spacing w:val="-11"/>
        </w:rPr>
        <w:t>、</w:t>
      </w:r>
      <w:r>
        <w:rPr/>
        <w:t>QDII</w:t>
      </w:r>
      <w:r>
        <w:rPr>
          <w:spacing w:val="-5"/>
        </w:rPr>
        <w:t>、境外三类机构、券商资</w:t>
      </w:r>
      <w:r>
        <w:rPr>
          <w:spacing w:val="-10"/>
        </w:rPr>
        <w:t>产管理计划、信托计划、企业年金、银行理财产品、股权基金、私募基金、资金托管等门类齐全、产品丰富的托管业务体系。在国内，中国银行首家开展绩效评估、风险分析等增值服</w:t>
      </w:r>
      <w:r>
        <w:rPr/>
        <w:t>务，为各类客户提供个性化的托管增值服务，是国内领先的大型中资托管银行。</w:t>
      </w:r>
    </w:p>
    <w:p>
      <w:pPr>
        <w:pStyle w:val="BodyText"/>
        <w:spacing w:line="268" w:lineRule="exact"/>
        <w:ind w:left="1260"/>
      </w:pPr>
      <w:r>
        <w:rPr/>
        <w:t>（三）证券投资基金托管情况</w:t>
      </w:r>
    </w:p>
    <w:p>
      <w:pPr>
        <w:pStyle w:val="BodyText"/>
        <w:spacing w:before="6"/>
        <w:ind w:left="0"/>
        <w:rPr>
          <w:sz w:val="15"/>
        </w:rPr>
      </w:pPr>
    </w:p>
    <w:p>
      <w:pPr>
        <w:pStyle w:val="BodyText"/>
        <w:spacing w:line="417" w:lineRule="auto"/>
        <w:ind w:left="840" w:right="608" w:firstLine="420"/>
      </w:pPr>
      <w:r>
        <w:rPr>
          <w:spacing w:val="-16"/>
        </w:rPr>
        <w:t>截至 </w:t>
      </w:r>
      <w:r>
        <w:rPr/>
        <w:t>2020</w:t>
      </w:r>
      <w:r>
        <w:rPr>
          <w:spacing w:val="-33"/>
        </w:rPr>
        <w:t> 年 </w:t>
      </w:r>
      <w:r>
        <w:rPr/>
        <w:t>3</w:t>
      </w:r>
      <w:r>
        <w:rPr>
          <w:spacing w:val="-33"/>
        </w:rPr>
        <w:t> 月 </w:t>
      </w:r>
      <w:r>
        <w:rPr/>
        <w:t>31</w:t>
      </w:r>
      <w:r>
        <w:rPr>
          <w:spacing w:val="-9"/>
        </w:rPr>
        <w:t> 日，中国银行已托管 </w:t>
      </w:r>
      <w:r>
        <w:rPr/>
        <w:t>780</w:t>
      </w:r>
      <w:r>
        <w:rPr>
          <w:spacing w:val="-8"/>
        </w:rPr>
        <w:t> 只证券投资基金，其中境内基金 </w:t>
      </w:r>
      <w:r>
        <w:rPr/>
        <w:t>735</w:t>
      </w:r>
      <w:r>
        <w:rPr>
          <w:spacing w:val="-16"/>
        </w:rPr>
        <w:t> 只， QDII</w:t>
      </w:r>
      <w:r>
        <w:rPr>
          <w:spacing w:val="-25"/>
        </w:rPr>
        <w:t> 基金 </w:t>
      </w:r>
      <w:r>
        <w:rPr/>
        <w:t>45</w:t>
      </w:r>
      <w:r>
        <w:rPr>
          <w:spacing w:val="-7"/>
        </w:rPr>
        <w:t> 只，覆盖了股票型、债券型、混合型、货币型、指数型、</w:t>
      </w:r>
      <w:r>
        <w:rPr/>
        <w:t>FOF</w:t>
      </w:r>
      <w:r>
        <w:rPr>
          <w:spacing w:val="-7"/>
        </w:rPr>
        <w:t> 等多种类型的基金，满足了不同客户多元化的投资理财需求，基金托管规模位居同业前列。</w:t>
      </w:r>
    </w:p>
    <w:p>
      <w:pPr>
        <w:pStyle w:val="BodyText"/>
        <w:spacing w:line="269" w:lineRule="exact"/>
        <w:ind w:left="1260"/>
      </w:pPr>
      <w:r>
        <w:rPr/>
        <w:t>（四）托管业务的内部控制制度</w:t>
      </w:r>
    </w:p>
    <w:p>
      <w:pPr>
        <w:pStyle w:val="BodyText"/>
        <w:spacing w:before="7"/>
        <w:ind w:left="0"/>
        <w:rPr>
          <w:sz w:val="15"/>
        </w:rPr>
      </w:pPr>
    </w:p>
    <w:p>
      <w:pPr>
        <w:pStyle w:val="BodyText"/>
        <w:spacing w:line="417" w:lineRule="auto"/>
        <w:ind w:left="840" w:right="817" w:firstLine="420"/>
        <w:jc w:val="both"/>
      </w:pPr>
      <w:r>
        <w:rPr>
          <w:spacing w:val="-4"/>
        </w:rPr>
        <w:t>中国银行托管业务部风险管理与控制工作是中国银行全面风险控制工作的组成部分，秉</w:t>
      </w:r>
      <w:r>
        <w:rPr>
          <w:spacing w:val="-8"/>
        </w:rPr>
        <w:t>承中国银行风险控制理念，坚持“规范运作、稳健经营”的原则。中国银行托管业务部风险</w:t>
      </w:r>
      <w:r>
        <w:rPr>
          <w:spacing w:val="-7"/>
        </w:rPr>
        <w:t>控制工作贯穿业务各环节，通过风险识别与评估、风险控制措施设定及制度建设、内外部检</w:t>
      </w:r>
    </w:p>
    <w:p>
      <w:pPr>
        <w:spacing w:after="0" w:line="417" w:lineRule="auto"/>
        <w:jc w:val="both"/>
        <w:sectPr>
          <w:pgSz w:w="11910" w:h="16840"/>
          <w:pgMar w:header="0" w:footer="638" w:top="1400" w:bottom="900" w:left="960" w:right="980"/>
        </w:sectPr>
      </w:pPr>
    </w:p>
    <w:p>
      <w:pPr>
        <w:pStyle w:val="BodyText"/>
        <w:spacing w:before="43"/>
        <w:ind w:left="840"/>
      </w:pPr>
      <w:r>
        <w:rPr/>
        <w:t>查及审计等措施强化托管业务全员、全面、全程的风险管控。</w:t>
      </w:r>
    </w:p>
    <w:p>
      <w:pPr>
        <w:pStyle w:val="BodyText"/>
        <w:spacing w:before="6"/>
        <w:ind w:left="0"/>
        <w:rPr>
          <w:sz w:val="15"/>
        </w:rPr>
      </w:pPr>
    </w:p>
    <w:p>
      <w:pPr>
        <w:pStyle w:val="BodyText"/>
        <w:spacing w:line="417" w:lineRule="auto" w:before="1"/>
        <w:ind w:left="840" w:right="608" w:firstLine="420"/>
      </w:pPr>
      <w:r>
        <w:rPr/>
        <w:t>2007</w:t>
      </w:r>
      <w:r>
        <w:rPr>
          <w:spacing w:val="-6"/>
        </w:rPr>
        <w:t> 年起，中国银行连续聘请外部会计会计师事务所开展托管业务内部控制审阅工作。</w:t>
      </w:r>
      <w:r>
        <w:rPr>
          <w:spacing w:val="-13"/>
        </w:rPr>
        <w:t>先后获得基于 </w:t>
      </w:r>
      <w:r>
        <w:rPr/>
        <w:t>“SAS70</w:t>
      </w:r>
      <w:r>
        <w:rPr>
          <w:spacing w:val="-105"/>
        </w:rPr>
        <w:t>”、</w:t>
      </w:r>
      <w:r>
        <w:rPr/>
        <w:t>“AAF01/06”</w:t>
      </w:r>
      <w:r>
        <w:rPr>
          <w:spacing w:val="-53"/>
        </w:rPr>
        <w:t> </w:t>
      </w:r>
      <w:r>
        <w:rPr/>
        <w:t>“ISAE3402</w:t>
      </w:r>
      <w:r>
        <w:rPr>
          <w:spacing w:val="-32"/>
        </w:rPr>
        <w:t>”和</w:t>
      </w:r>
      <w:r>
        <w:rPr/>
        <w:t>“SSAE16</w:t>
      </w:r>
      <w:r>
        <w:rPr>
          <w:spacing w:val="-6"/>
        </w:rPr>
        <w:t>”等国际主流内控审阅准则 </w:t>
      </w:r>
      <w:r>
        <w:rPr/>
        <w:t>的无保留意见的审阅报告。2017 年，中国银行继续获得了基于“ISAE3402”和“SSAE16” </w:t>
      </w:r>
      <w:r>
        <w:rPr>
          <w:spacing w:val="-6"/>
        </w:rPr>
        <w:t>双准则的内部控制审计报告。中国银行托管业务内控制度完善，内控措施严密，能够有效保 证托管资产的安全。</w:t>
      </w:r>
    </w:p>
    <w:p>
      <w:pPr>
        <w:pStyle w:val="BodyText"/>
        <w:spacing w:line="268" w:lineRule="exact"/>
        <w:ind w:left="1260"/>
      </w:pPr>
      <w:r>
        <w:rPr/>
        <w:t>（五）托管人对管理人运作基金进行监督的方法和程序</w:t>
      </w:r>
    </w:p>
    <w:p>
      <w:pPr>
        <w:pStyle w:val="BodyText"/>
        <w:spacing w:before="6"/>
        <w:ind w:left="0"/>
        <w:rPr>
          <w:sz w:val="15"/>
        </w:rPr>
      </w:pPr>
    </w:p>
    <w:p>
      <w:pPr>
        <w:pStyle w:val="BodyText"/>
        <w:spacing w:line="417" w:lineRule="auto"/>
        <w:ind w:left="840" w:right="817" w:firstLine="420"/>
        <w:jc w:val="both"/>
      </w:pPr>
      <w:r>
        <w:rPr>
          <w:spacing w:val="-19"/>
        </w:rPr>
        <w:t>根据《中华人民共和国证券投资基金法》、《公开募集证券投资基金运作管理办法》的相</w:t>
      </w:r>
      <w:r>
        <w:rPr>
          <w:spacing w:val="-9"/>
        </w:rPr>
        <w:t>关规定，基金托管人发现基金管理人的投资指令违反法律、行政法规和其他有关规定，或者</w:t>
      </w:r>
      <w:r>
        <w:rPr>
          <w:spacing w:val="-8"/>
        </w:rPr>
        <w:t>违反基金合同约定的，应当拒绝执行，及时通知基金管理人，并及时向国务院证券监督管理</w:t>
      </w:r>
      <w:r>
        <w:rPr>
          <w:spacing w:val="-10"/>
        </w:rPr>
        <w:t>机构报告。基金托管人如发现基金管理人依据交易程序已经生效的投资指令违反法律、行政</w:t>
      </w:r>
      <w:r>
        <w:rPr/>
        <w:t>法规和其他有关规定，或者违反基金合同约定的,应当及时通知基金管理人，并及时向国务院证券监督管理机构报告。</w:t>
      </w:r>
    </w:p>
    <w:p>
      <w:pPr>
        <w:spacing w:after="0" w:line="417" w:lineRule="auto"/>
        <w:jc w:val="both"/>
        <w:sectPr>
          <w:pgSz w:w="11910" w:h="16840"/>
          <w:pgMar w:header="0" w:footer="638" w:top="1480" w:bottom="900" w:left="960" w:right="980"/>
        </w:sectPr>
      </w:pPr>
    </w:p>
    <w:p>
      <w:pPr>
        <w:spacing w:before="27"/>
        <w:ind w:left="1242" w:right="582" w:firstLine="0"/>
        <w:jc w:val="center"/>
        <w:rPr>
          <w:sz w:val="32"/>
        </w:rPr>
      </w:pPr>
      <w:bookmarkStart w:name="_bookmark9" w:id="10"/>
      <w:bookmarkEnd w:id="10"/>
      <w:r>
        <w:rPr/>
      </w:r>
      <w:r>
        <w:rPr>
          <w:sz w:val="32"/>
        </w:rPr>
        <w:t>五、相关服务机构</w:t>
      </w:r>
    </w:p>
    <w:p>
      <w:pPr>
        <w:spacing w:before="119"/>
        <w:ind w:left="1400" w:right="0" w:firstLine="0"/>
        <w:jc w:val="left"/>
        <w:rPr>
          <w:rFonts w:ascii="Microsoft JhengHei" w:eastAsia="Microsoft JhengHei" w:hint="eastAsia"/>
          <w:b/>
          <w:sz w:val="28"/>
        </w:rPr>
      </w:pPr>
      <w:bookmarkStart w:name="_bookmark10" w:id="11"/>
      <w:bookmarkEnd w:id="11"/>
      <w:r>
        <w:rPr/>
      </w:r>
      <w:r>
        <w:rPr>
          <w:rFonts w:ascii="Microsoft JhengHei" w:eastAsia="Microsoft JhengHei" w:hint="eastAsia"/>
          <w:b/>
          <w:sz w:val="28"/>
        </w:rPr>
        <w:t>（一）基金份额销售机构</w:t>
      </w:r>
    </w:p>
    <w:p>
      <w:pPr>
        <w:pStyle w:val="BodyText"/>
        <w:spacing w:before="121"/>
        <w:ind w:left="1260"/>
      </w:pPr>
      <w:r>
        <w:rPr/>
        <w:t>1、直销机构：易方达基金管理有限公司</w:t>
      </w:r>
    </w:p>
    <w:p>
      <w:pPr>
        <w:pStyle w:val="BodyText"/>
        <w:spacing w:line="364" w:lineRule="auto" w:before="140"/>
        <w:ind w:left="1260"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260" w:right="6815"/>
        <w:jc w:val="both"/>
      </w:pPr>
      <w:r>
        <w:rPr/>
        <w:t>法定代表人：刘晓艳电话：020-85102506 传真：4008818099</w:t>
      </w:r>
    </w:p>
    <w:p>
      <w:pPr>
        <w:pStyle w:val="BodyText"/>
        <w:spacing w:line="268" w:lineRule="exact"/>
        <w:ind w:left="1260"/>
      </w:pPr>
      <w:r>
        <w:rPr/>
        <w:t>联系人：王峰</w:t>
      </w:r>
    </w:p>
    <w:p>
      <w:pPr>
        <w:pStyle w:val="BodyText"/>
        <w:spacing w:line="364" w:lineRule="auto" w:before="138"/>
        <w:ind w:left="1260" w:right="6290"/>
      </w:pPr>
      <w:hyperlink r:id="rId6">
        <w:r>
          <w:rPr/>
          <w:t>网址：www.efunds.com.cn </w:t>
        </w:r>
      </w:hyperlink>
      <w:r>
        <w:rPr/>
        <w:t>直销机构网点信息：</w:t>
      </w:r>
    </w:p>
    <w:p>
      <w:pPr>
        <w:pStyle w:val="ListParagraph"/>
        <w:numPr>
          <w:ilvl w:val="1"/>
          <w:numId w:val="6"/>
        </w:numPr>
        <w:tabs>
          <w:tab w:pos="1786" w:val="left" w:leader="none"/>
        </w:tabs>
        <w:spacing w:line="268" w:lineRule="exact" w:before="0" w:after="0"/>
        <w:ind w:left="1786" w:right="0" w:hanging="526"/>
        <w:jc w:val="left"/>
        <w:rPr>
          <w:sz w:val="21"/>
        </w:rPr>
      </w:pPr>
      <w:r>
        <w:rPr>
          <w:sz w:val="21"/>
        </w:rPr>
        <w:t>易方达基金管理有限公司广州直销中心</w:t>
      </w:r>
    </w:p>
    <w:p>
      <w:pPr>
        <w:pStyle w:val="BodyText"/>
        <w:spacing w:line="364" w:lineRule="auto" w:before="140"/>
        <w:ind w:left="1260" w:right="24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1260"/>
      </w:pPr>
      <w:r>
        <w:rPr/>
        <w:t>传真：4008818099</w:t>
      </w:r>
    </w:p>
    <w:p>
      <w:pPr>
        <w:pStyle w:val="BodyText"/>
        <w:spacing w:before="139"/>
        <w:ind w:left="1260"/>
      </w:pPr>
      <w:r>
        <w:rPr/>
        <w:t>联系人：王峰</w:t>
      </w:r>
    </w:p>
    <w:p>
      <w:pPr>
        <w:pStyle w:val="ListParagraph"/>
        <w:numPr>
          <w:ilvl w:val="1"/>
          <w:numId w:val="6"/>
        </w:numPr>
        <w:tabs>
          <w:tab w:pos="1786" w:val="left" w:leader="none"/>
        </w:tabs>
        <w:spacing w:line="240" w:lineRule="auto" w:before="140" w:after="0"/>
        <w:ind w:left="1786" w:right="0" w:hanging="526"/>
        <w:jc w:val="left"/>
        <w:rPr>
          <w:sz w:val="21"/>
        </w:rPr>
      </w:pPr>
      <w:r>
        <w:rPr>
          <w:sz w:val="21"/>
        </w:rPr>
        <w:t>易方达基金管理有限公司北京直销中心</w:t>
      </w:r>
    </w:p>
    <w:p>
      <w:pPr>
        <w:pStyle w:val="BodyText"/>
        <w:spacing w:line="364" w:lineRule="auto" w:before="139"/>
        <w:ind w:left="1260" w:right="33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1260"/>
      </w:pPr>
      <w:r>
        <w:rPr/>
        <w:t>传真：4008818099</w:t>
      </w:r>
    </w:p>
    <w:p>
      <w:pPr>
        <w:pStyle w:val="BodyText"/>
        <w:spacing w:before="139"/>
        <w:ind w:left="1260"/>
      </w:pPr>
      <w:r>
        <w:rPr/>
        <w:t>联系人：刘蕾</w:t>
      </w:r>
    </w:p>
    <w:p>
      <w:pPr>
        <w:pStyle w:val="ListParagraph"/>
        <w:numPr>
          <w:ilvl w:val="1"/>
          <w:numId w:val="6"/>
        </w:numPr>
        <w:tabs>
          <w:tab w:pos="1786" w:val="left" w:leader="none"/>
        </w:tabs>
        <w:spacing w:line="240" w:lineRule="auto" w:before="140" w:after="0"/>
        <w:ind w:left="1786" w:right="0" w:hanging="526"/>
        <w:jc w:val="left"/>
        <w:rPr>
          <w:sz w:val="21"/>
        </w:rPr>
      </w:pPr>
      <w:r>
        <w:rPr>
          <w:sz w:val="21"/>
        </w:rPr>
        <w:t>易方达基金管理有限公司上海直销中心</w:t>
      </w:r>
    </w:p>
    <w:p>
      <w:pPr>
        <w:pStyle w:val="BodyText"/>
        <w:spacing w:line="364" w:lineRule="auto" w:before="139"/>
        <w:ind w:left="1260" w:right="34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1260"/>
      </w:pPr>
      <w:r>
        <w:rPr/>
        <w:t>传真：4008818099</w:t>
      </w:r>
    </w:p>
    <w:p>
      <w:pPr>
        <w:pStyle w:val="BodyText"/>
        <w:spacing w:before="140"/>
        <w:ind w:left="1260"/>
      </w:pPr>
      <w:r>
        <w:rPr/>
        <w:t>联系人：于楠</w:t>
      </w:r>
    </w:p>
    <w:p>
      <w:pPr>
        <w:pStyle w:val="ListParagraph"/>
        <w:numPr>
          <w:ilvl w:val="1"/>
          <w:numId w:val="6"/>
        </w:numPr>
        <w:tabs>
          <w:tab w:pos="1786" w:val="left" w:leader="none"/>
        </w:tabs>
        <w:spacing w:line="364" w:lineRule="auto" w:before="139" w:after="0"/>
        <w:ind w:left="1260" w:right="4610" w:firstLine="0"/>
        <w:jc w:val="left"/>
        <w:rPr>
          <w:sz w:val="21"/>
        </w:rPr>
      </w:pPr>
      <w:r>
        <w:rPr>
          <w:spacing w:val="-2"/>
          <w:sz w:val="21"/>
        </w:rPr>
        <w:t>易方达基金管理有限公司网上交易系统</w:t>
      </w:r>
      <w:hyperlink r:id="rId6">
        <w:r>
          <w:rPr>
            <w:sz w:val="21"/>
          </w:rPr>
          <w:t>网址：www.efunds.com.cn</w:t>
        </w:r>
      </w:hyperlink>
    </w:p>
    <w:p>
      <w:pPr>
        <w:pStyle w:val="BodyText"/>
        <w:spacing w:line="268" w:lineRule="exact"/>
        <w:ind w:left="1260"/>
      </w:pPr>
      <w:r>
        <w:rPr/>
        <w:t>2、非直销销售机构（以下排序不分先后）</w:t>
      </w:r>
    </w:p>
    <w:p>
      <w:pPr>
        <w:pStyle w:val="ListParagraph"/>
        <w:numPr>
          <w:ilvl w:val="0"/>
          <w:numId w:val="7"/>
        </w:numPr>
        <w:tabs>
          <w:tab w:pos="1740" w:val="left" w:leader="none"/>
        </w:tabs>
        <w:spacing w:line="240" w:lineRule="auto" w:before="140" w:after="0"/>
        <w:ind w:left="1740" w:right="0" w:hanging="420"/>
        <w:jc w:val="both"/>
        <w:rPr>
          <w:sz w:val="21"/>
        </w:rPr>
      </w:pPr>
      <w:r>
        <w:rPr>
          <w:sz w:val="21"/>
        </w:rPr>
        <w:t>中国银行</w:t>
      </w:r>
    </w:p>
    <w:p>
      <w:pPr>
        <w:pStyle w:val="BodyText"/>
        <w:spacing w:line="364" w:lineRule="auto" w:before="139"/>
        <w:ind w:right="465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spacing w:after="0" w:line="364" w:lineRule="auto"/>
        <w:jc w:val="both"/>
        <w:sectPr>
          <w:pgSz w:w="11910" w:h="16840"/>
          <w:pgMar w:header="0" w:footer="638" w:top="1400" w:bottom="900" w:left="960" w:right="980"/>
        </w:sectPr>
      </w:pPr>
    </w:p>
    <w:p>
      <w:pPr>
        <w:pStyle w:val="BodyText"/>
        <w:spacing w:line="364" w:lineRule="auto" w:before="45"/>
        <w:ind w:right="6650"/>
      </w:pPr>
      <w:r>
        <w:rPr/>
        <w:t>客户服务电话：95566 </w:t>
      </w:r>
      <w:hyperlink r:id="rId7">
        <w:r>
          <w:rPr/>
          <w:t>网址：www.boc.cn</w:t>
        </w:r>
      </w:hyperlink>
    </w:p>
    <w:p>
      <w:pPr>
        <w:pStyle w:val="ListParagraph"/>
        <w:numPr>
          <w:ilvl w:val="0"/>
          <w:numId w:val="7"/>
        </w:numPr>
        <w:tabs>
          <w:tab w:pos="1740" w:val="left" w:leader="none"/>
        </w:tabs>
        <w:spacing w:line="268" w:lineRule="exact" w:before="0" w:after="0"/>
        <w:ind w:left="1740" w:right="0" w:hanging="420"/>
        <w:jc w:val="left"/>
        <w:rPr>
          <w:sz w:val="21"/>
        </w:rPr>
      </w:pPr>
      <w:r>
        <w:rPr>
          <w:sz w:val="21"/>
        </w:rPr>
        <w:t>渤海银行</w:t>
      </w:r>
    </w:p>
    <w:p>
      <w:pPr>
        <w:pStyle w:val="BodyText"/>
        <w:spacing w:before="139"/>
      </w:pPr>
      <w:r>
        <w:rPr/>
        <w:t>注册地址：天津市河东区海河东路 218 号</w:t>
      </w:r>
    </w:p>
    <w:p>
      <w:pPr>
        <w:pStyle w:val="BodyText"/>
        <w:spacing w:line="364" w:lineRule="auto" w:before="140"/>
        <w:ind w:right="360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650"/>
      </w:pPr>
      <w:r>
        <w:rPr/>
        <w:t>客户服务电话：95541 传真：022-58316569</w:t>
      </w:r>
    </w:p>
    <w:p>
      <w:pPr>
        <w:pStyle w:val="BodyText"/>
        <w:spacing w:line="268" w:lineRule="exact"/>
      </w:pPr>
      <w:hyperlink r:id="rId8">
        <w:r>
          <w:rPr/>
          <w:t>网址：www.cbhb.com.cn</w:t>
        </w:r>
      </w:hyperlink>
    </w:p>
    <w:p>
      <w:pPr>
        <w:pStyle w:val="ListParagraph"/>
        <w:numPr>
          <w:ilvl w:val="0"/>
          <w:numId w:val="7"/>
        </w:numPr>
        <w:tabs>
          <w:tab w:pos="1740" w:val="left" w:leader="none"/>
        </w:tabs>
        <w:spacing w:line="240" w:lineRule="auto" w:before="139" w:after="0"/>
        <w:ind w:left="1740" w:right="0" w:hanging="420"/>
        <w:jc w:val="both"/>
        <w:rPr>
          <w:sz w:val="21"/>
        </w:rPr>
      </w:pPr>
      <w:r>
        <w:rPr>
          <w:sz w:val="21"/>
        </w:rPr>
        <w:t>广发银行</w:t>
      </w:r>
    </w:p>
    <w:p>
      <w:pPr>
        <w:pStyle w:val="BodyText"/>
        <w:spacing w:line="364" w:lineRule="auto" w:before="140"/>
        <w:ind w:right="423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5915"/>
      </w:pPr>
      <w:r>
        <w:rPr/>
        <w:t>客户服务电话：400-830-8003 </w:t>
      </w:r>
      <w:hyperlink r:id="rId9">
        <w:r>
          <w:rPr/>
          <w:t>网址：www.cgbchina.com.cn</w:t>
        </w:r>
      </w:hyperlink>
    </w:p>
    <w:p>
      <w:pPr>
        <w:pStyle w:val="ListParagraph"/>
        <w:numPr>
          <w:ilvl w:val="0"/>
          <w:numId w:val="7"/>
        </w:numPr>
        <w:tabs>
          <w:tab w:pos="1740" w:val="left" w:leader="none"/>
        </w:tabs>
        <w:spacing w:line="268" w:lineRule="exact" w:before="0" w:after="0"/>
        <w:ind w:left="1740" w:right="0" w:hanging="420"/>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39"/>
        <w:ind w:right="329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650"/>
      </w:pPr>
      <w:r>
        <w:rPr/>
        <w:t>客户服务电话：95577 传真：010-85238680</w:t>
      </w:r>
    </w:p>
    <w:p>
      <w:pPr>
        <w:pStyle w:val="BodyText"/>
        <w:spacing w:line="268" w:lineRule="exact"/>
      </w:pPr>
      <w:hyperlink r:id="rId10">
        <w:r>
          <w:rPr/>
          <w:t>网址：www.hxb.com.cn</w:t>
        </w:r>
      </w:hyperlink>
    </w:p>
    <w:p>
      <w:pPr>
        <w:pStyle w:val="ListParagraph"/>
        <w:numPr>
          <w:ilvl w:val="0"/>
          <w:numId w:val="7"/>
        </w:numPr>
        <w:tabs>
          <w:tab w:pos="1740" w:val="left" w:leader="none"/>
        </w:tabs>
        <w:spacing w:line="240" w:lineRule="auto" w:before="140" w:after="0"/>
        <w:ind w:left="1740" w:right="0" w:hanging="420"/>
        <w:jc w:val="both"/>
        <w:rPr>
          <w:sz w:val="21"/>
        </w:rPr>
      </w:pPr>
      <w:r>
        <w:rPr>
          <w:sz w:val="21"/>
        </w:rPr>
        <w:t>交通银行</w:t>
      </w:r>
    </w:p>
    <w:p>
      <w:pPr>
        <w:pStyle w:val="BodyText"/>
        <w:spacing w:line="364" w:lineRule="auto" w:before="139"/>
        <w:ind w:right="339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1">
        <w:r>
          <w:rPr/>
          <w:t>网址：www.bankcomm.com</w:t>
        </w:r>
      </w:hyperlink>
    </w:p>
    <w:p>
      <w:pPr>
        <w:pStyle w:val="ListParagraph"/>
        <w:numPr>
          <w:ilvl w:val="0"/>
          <w:numId w:val="7"/>
        </w:numPr>
        <w:tabs>
          <w:tab w:pos="1740" w:val="left" w:leader="none"/>
        </w:tabs>
        <w:spacing w:line="240" w:lineRule="auto" w:before="139" w:after="0"/>
        <w:ind w:left="1740" w:right="0" w:hanging="420"/>
        <w:jc w:val="both"/>
        <w:rPr>
          <w:sz w:val="21"/>
        </w:rPr>
      </w:pPr>
      <w:r>
        <w:rPr>
          <w:sz w:val="21"/>
        </w:rPr>
        <w:t>平安银行</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right="413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440"/>
      </w:pPr>
      <w:r>
        <w:rPr/>
        <w:t>客户服务电话：95511-3 传真：021-50979507</w:t>
      </w:r>
    </w:p>
    <w:p>
      <w:pPr>
        <w:pStyle w:val="BodyText"/>
        <w:spacing w:line="268" w:lineRule="exact"/>
      </w:pPr>
      <w:r>
        <w:rPr/>
        <w:t>网址：bank.pingan.com</w:t>
      </w:r>
    </w:p>
    <w:p>
      <w:pPr>
        <w:pStyle w:val="ListParagraph"/>
        <w:numPr>
          <w:ilvl w:val="0"/>
          <w:numId w:val="7"/>
        </w:numPr>
        <w:tabs>
          <w:tab w:pos="1740" w:val="left" w:leader="none"/>
        </w:tabs>
        <w:spacing w:line="240" w:lineRule="auto" w:before="139" w:after="0"/>
        <w:ind w:left="1740" w:right="0" w:hanging="420"/>
        <w:jc w:val="both"/>
        <w:rPr>
          <w:sz w:val="21"/>
        </w:rPr>
      </w:pPr>
      <w:r>
        <w:rPr>
          <w:sz w:val="21"/>
        </w:rPr>
        <w:t>浦发银行</w:t>
      </w:r>
    </w:p>
    <w:p>
      <w:pPr>
        <w:pStyle w:val="BodyText"/>
        <w:spacing w:line="364" w:lineRule="auto" w:before="140"/>
        <w:ind w:right="539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650"/>
      </w:pPr>
      <w:r>
        <w:rPr/>
        <w:t>客户服务电话：95528 传真：021-63604196</w:t>
      </w:r>
    </w:p>
    <w:p>
      <w:pPr>
        <w:pStyle w:val="BodyText"/>
        <w:spacing w:line="268" w:lineRule="exact"/>
      </w:pPr>
      <w:hyperlink r:id="rId12">
        <w:r>
          <w:rPr/>
          <w:t>网址：www.spdb.com.cn</w:t>
        </w:r>
      </w:hyperlink>
    </w:p>
    <w:p>
      <w:pPr>
        <w:pStyle w:val="ListParagraph"/>
        <w:numPr>
          <w:ilvl w:val="0"/>
          <w:numId w:val="7"/>
        </w:numPr>
        <w:tabs>
          <w:tab w:pos="1740" w:val="left" w:leader="none"/>
        </w:tabs>
        <w:spacing w:line="240" w:lineRule="auto" w:before="139" w:after="0"/>
        <w:ind w:left="1740" w:right="0" w:hanging="420"/>
        <w:jc w:val="both"/>
        <w:rPr>
          <w:sz w:val="21"/>
        </w:rPr>
      </w:pPr>
      <w:r>
        <w:rPr>
          <w:sz w:val="21"/>
        </w:rPr>
        <w:t>兴业银行</w:t>
      </w:r>
    </w:p>
    <w:p>
      <w:pPr>
        <w:pStyle w:val="BodyText"/>
        <w:spacing w:before="139"/>
      </w:pPr>
      <w:r>
        <w:rPr/>
        <w:t>注册地址：福州市湖东路 154 号中山大厦</w:t>
      </w:r>
    </w:p>
    <w:p>
      <w:pPr>
        <w:pStyle w:val="BodyText"/>
        <w:spacing w:before="140"/>
      </w:pPr>
      <w:r>
        <w:rPr/>
        <w:t>办公地址：上海市银城路 167 号兴业银行大厦</w:t>
      </w:r>
    </w:p>
    <w:p>
      <w:pPr>
        <w:pStyle w:val="BodyText"/>
        <w:spacing w:line="364" w:lineRule="auto" w:before="139"/>
        <w:ind w:right="4025"/>
      </w:pPr>
      <w:r>
        <w:rPr/>
        <w:t>法定代表人：陶以平（代为履行法定代表人职权） 联系人：孙琪虹</w:t>
      </w:r>
    </w:p>
    <w:p>
      <w:pPr>
        <w:pStyle w:val="BodyText"/>
        <w:spacing w:line="364" w:lineRule="auto"/>
        <w:ind w:right="6545"/>
      </w:pPr>
      <w:r>
        <w:rPr/>
        <w:t>客户服务电话：95561 </w:t>
      </w:r>
      <w:hyperlink r:id="rId13">
        <w:r>
          <w:rPr/>
          <w:t>网址：www.cib.com.cn</w:t>
        </w:r>
      </w:hyperlink>
    </w:p>
    <w:p>
      <w:pPr>
        <w:pStyle w:val="ListParagraph"/>
        <w:numPr>
          <w:ilvl w:val="0"/>
          <w:numId w:val="7"/>
        </w:numPr>
        <w:tabs>
          <w:tab w:pos="1740" w:val="left" w:leader="none"/>
        </w:tabs>
        <w:spacing w:line="268" w:lineRule="exact" w:before="0" w:after="0"/>
        <w:ind w:left="1740" w:right="0" w:hanging="420"/>
        <w:jc w:val="left"/>
        <w:rPr>
          <w:sz w:val="21"/>
        </w:rPr>
      </w:pPr>
      <w:r>
        <w:rPr>
          <w:sz w:val="21"/>
        </w:rPr>
        <w:t>招商银行</w:t>
      </w:r>
    </w:p>
    <w:p>
      <w:pPr>
        <w:pStyle w:val="BodyText"/>
        <w:spacing w:line="364" w:lineRule="auto" w:before="139"/>
        <w:ind w:right="350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4">
        <w:r>
          <w:rPr/>
          <w:t>网址：www.cmbchina.com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浙商银行</w:t>
      </w:r>
    </w:p>
    <w:p>
      <w:pPr>
        <w:pStyle w:val="BodyText"/>
        <w:spacing w:line="364" w:lineRule="auto" w:before="140"/>
        <w:ind w:right="434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spacing w:after="0" w:line="364" w:lineRule="auto"/>
        <w:sectPr>
          <w:pgSz w:w="11910" w:h="16840"/>
          <w:pgMar w:header="0" w:footer="638" w:top="1380" w:bottom="900" w:left="960" w:right="980"/>
        </w:sectPr>
      </w:pPr>
    </w:p>
    <w:p>
      <w:pPr>
        <w:pStyle w:val="BodyText"/>
        <w:spacing w:line="364" w:lineRule="auto" w:before="45"/>
        <w:ind w:right="6755"/>
      </w:pPr>
      <w:r>
        <w:rPr/>
        <w:t>法定代表人：沈仁康联系人：沈崟杰</w:t>
      </w:r>
    </w:p>
    <w:p>
      <w:pPr>
        <w:pStyle w:val="BodyText"/>
        <w:spacing w:line="268" w:lineRule="exact"/>
      </w:pPr>
      <w:r>
        <w:rPr/>
        <w:t>联系电话：0571- 88261822</w:t>
      </w:r>
    </w:p>
    <w:p>
      <w:pPr>
        <w:pStyle w:val="BodyText"/>
        <w:spacing w:line="364" w:lineRule="auto" w:before="139"/>
        <w:ind w:right="6650"/>
      </w:pPr>
      <w:r>
        <w:rPr/>
        <w:t>客户服务电话：95527 传真：0571-87659954</w:t>
      </w:r>
    </w:p>
    <w:p>
      <w:pPr>
        <w:pStyle w:val="BodyText"/>
        <w:spacing w:line="268" w:lineRule="exact"/>
      </w:pPr>
      <w:hyperlink r:id="rId15">
        <w:r>
          <w:rPr/>
          <w:t>网址：www.czbank.com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中国工商银行</w:t>
      </w:r>
    </w:p>
    <w:p>
      <w:pPr>
        <w:pStyle w:val="BodyText"/>
        <w:spacing w:line="364" w:lineRule="auto" w:before="139"/>
        <w:ind w:right="476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40"/>
        <w:ind w:right="6440"/>
      </w:pPr>
      <w:r>
        <w:rPr/>
        <w:t>客户服务电话：95588 </w:t>
      </w:r>
      <w:hyperlink r:id="rId16">
        <w:r>
          <w:rPr>
            <w:spacing w:val="-1"/>
          </w:rPr>
          <w:t>网址：www.icbc.com.cn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中国光大银行</w:t>
      </w:r>
    </w:p>
    <w:p>
      <w:pPr>
        <w:pStyle w:val="BodyText"/>
        <w:spacing w:before="139"/>
      </w:pPr>
      <w:r>
        <w:rPr/>
        <w:t>注册地址：北京市西城区太平桥大街 25 号、甲 25 号中国光大中心</w:t>
      </w:r>
    </w:p>
    <w:p>
      <w:pPr>
        <w:pStyle w:val="BodyText"/>
        <w:spacing w:line="364" w:lineRule="auto" w:before="140"/>
        <w:ind w:right="171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39"/>
      </w:pPr>
      <w:r>
        <w:rPr/>
        <w:t>联系电话：010-63636153</w:t>
      </w:r>
    </w:p>
    <w:p>
      <w:pPr>
        <w:pStyle w:val="BodyText"/>
        <w:spacing w:line="364" w:lineRule="auto" w:before="139"/>
        <w:ind w:right="6650"/>
      </w:pPr>
      <w:r>
        <w:rPr/>
        <w:t>客户服务电话：95595 传真：010-63639709</w:t>
      </w:r>
    </w:p>
    <w:p>
      <w:pPr>
        <w:pStyle w:val="BodyText"/>
        <w:spacing w:line="268" w:lineRule="exact"/>
      </w:pPr>
      <w:hyperlink r:id="rId17">
        <w:r>
          <w:rPr/>
          <w:t>网址：www.cebbank.com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中国建设银行</w:t>
      </w:r>
    </w:p>
    <w:p>
      <w:pPr>
        <w:pStyle w:val="BodyText"/>
        <w:spacing w:before="139"/>
      </w:pPr>
      <w:r>
        <w:rPr>
          <w:spacing w:val="-4"/>
        </w:rPr>
        <w:t>注册地址：北京市西城区金融大街 </w:t>
      </w:r>
      <w:r>
        <w:rPr/>
        <w:t>25</w:t>
      </w:r>
      <w:r>
        <w:rPr>
          <w:spacing w:val="-27"/>
        </w:rPr>
        <w:t> 号</w:t>
      </w:r>
    </w:p>
    <w:p>
      <w:pPr>
        <w:pStyle w:val="BodyText"/>
        <w:spacing w:line="364" w:lineRule="auto" w:before="140"/>
        <w:ind w:right="402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39"/>
        <w:ind w:right="6650"/>
      </w:pPr>
      <w:r>
        <w:rPr/>
        <w:t>客户服务电话：95533 </w:t>
      </w:r>
      <w:hyperlink r:id="rId18">
        <w:r>
          <w:rPr/>
          <w:t>网址：www.ccb.com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中国民生银行</w:t>
      </w:r>
    </w:p>
    <w:p>
      <w:pPr>
        <w:pStyle w:val="BodyText"/>
        <w:spacing w:line="364" w:lineRule="auto" w:before="140"/>
        <w:ind w:right="465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spacing w:after="0" w:line="268" w:lineRule="exact"/>
        <w:sectPr>
          <w:pgSz w:w="11910" w:h="16840"/>
          <w:pgMar w:header="0" w:footer="638" w:top="1380" w:bottom="900" w:left="960" w:right="980"/>
        </w:sectPr>
      </w:pPr>
    </w:p>
    <w:p>
      <w:pPr>
        <w:pStyle w:val="BodyText"/>
        <w:spacing w:line="364" w:lineRule="auto" w:before="45"/>
        <w:ind w:right="6440"/>
      </w:pPr>
      <w:r>
        <w:rPr/>
        <w:t>客户服务电话：95568 </w:t>
      </w:r>
      <w:hyperlink r:id="rId19">
        <w:r>
          <w:rPr>
            <w:spacing w:val="-1"/>
          </w:rPr>
          <w:t>网址：www.cmbc.com.cn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中国农业银行</w:t>
      </w:r>
    </w:p>
    <w:p>
      <w:pPr>
        <w:pStyle w:val="BodyText"/>
        <w:spacing w:line="364" w:lineRule="auto" w:before="139"/>
        <w:ind w:right="455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40"/>
        <w:ind w:right="6650"/>
      </w:pPr>
      <w:r>
        <w:rPr/>
        <w:t>客户服务电话：95599 传真：010-85109219</w:t>
      </w:r>
    </w:p>
    <w:p>
      <w:pPr>
        <w:pStyle w:val="BodyText"/>
        <w:spacing w:line="268" w:lineRule="exact"/>
      </w:pPr>
      <w:hyperlink r:id="rId20">
        <w:r>
          <w:rPr/>
          <w:t>网址：www.abchina.com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中国邮政储蓄银行</w:t>
      </w:r>
    </w:p>
    <w:p>
      <w:pPr>
        <w:pStyle w:val="BodyText"/>
        <w:spacing w:line="364" w:lineRule="auto" w:before="140"/>
        <w:ind w:right="507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39"/>
        <w:ind w:right="6650"/>
      </w:pPr>
      <w:r>
        <w:rPr/>
        <w:t>客户服务电话</w:t>
      </w:r>
      <w:r>
        <w:rPr>
          <w:spacing w:val="-4"/>
        </w:rPr>
        <w:t>：95580 </w:t>
      </w:r>
      <w:r>
        <w:rPr/>
        <w:t>传真：010-68858057</w:t>
      </w:r>
    </w:p>
    <w:p>
      <w:pPr>
        <w:pStyle w:val="BodyText"/>
        <w:spacing w:line="268" w:lineRule="exact"/>
      </w:pPr>
      <w:hyperlink r:id="rId21">
        <w:r>
          <w:rPr/>
          <w:t>网址：www.psbc.com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中信银行</w:t>
      </w:r>
    </w:p>
    <w:p>
      <w:pPr>
        <w:pStyle w:val="BodyText"/>
        <w:spacing w:line="364" w:lineRule="auto" w:before="139"/>
        <w:ind w:right="465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650"/>
      </w:pPr>
      <w:r>
        <w:rPr/>
        <w:t>客户服务电话：95558 传真：010-85230049</w:t>
      </w:r>
    </w:p>
    <w:p>
      <w:pPr>
        <w:pStyle w:val="BodyText"/>
        <w:spacing w:line="268" w:lineRule="exact"/>
      </w:pPr>
      <w:r>
        <w:rPr/>
        <w:t>网址：bank.ecitic.com</w:t>
      </w:r>
    </w:p>
    <w:p>
      <w:pPr>
        <w:pStyle w:val="ListParagraph"/>
        <w:numPr>
          <w:ilvl w:val="0"/>
          <w:numId w:val="7"/>
        </w:numPr>
        <w:tabs>
          <w:tab w:pos="1845" w:val="left" w:leader="none"/>
        </w:tabs>
        <w:spacing w:line="240" w:lineRule="auto" w:before="140" w:after="0"/>
        <w:ind w:left="1845" w:right="0" w:hanging="525"/>
        <w:jc w:val="both"/>
        <w:rPr>
          <w:sz w:val="21"/>
        </w:rPr>
      </w:pPr>
      <w:r>
        <w:rPr>
          <w:sz w:val="21"/>
        </w:rPr>
        <w:t>包商银行</w:t>
      </w:r>
    </w:p>
    <w:p>
      <w:pPr>
        <w:pStyle w:val="BodyText"/>
        <w:spacing w:line="364" w:lineRule="auto" w:before="139"/>
        <w:ind w:right="381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40"/>
      </w:pPr>
      <w:r>
        <w:rPr/>
        <w:t>联系电话：0472-5189165</w:t>
      </w:r>
    </w:p>
    <w:p>
      <w:pPr>
        <w:pStyle w:val="BodyText"/>
        <w:spacing w:line="364" w:lineRule="auto" w:before="139"/>
        <w:ind w:right="6650"/>
      </w:pPr>
      <w:r>
        <w:rPr/>
        <w:t>客户服务电话：95352 传真：010-84596546</w:t>
      </w:r>
    </w:p>
    <w:p>
      <w:pPr>
        <w:spacing w:after="0" w:line="364" w:lineRule="auto"/>
        <w:sectPr>
          <w:pgSz w:w="11910" w:h="16840"/>
          <w:pgMar w:header="0" w:footer="638" w:top="1380" w:bottom="900" w:left="960" w:right="980"/>
        </w:sectPr>
      </w:pPr>
    </w:p>
    <w:p>
      <w:pPr>
        <w:pStyle w:val="BodyText"/>
        <w:spacing w:before="45"/>
      </w:pPr>
      <w:hyperlink r:id="rId22">
        <w:r>
          <w:rPr/>
          <w:t>网址：www.bsb.com.cn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北京农商银行</w:t>
      </w:r>
    </w:p>
    <w:p>
      <w:pPr>
        <w:pStyle w:val="BodyText"/>
        <w:spacing w:line="364" w:lineRule="auto" w:before="140"/>
        <w:ind w:right="4235"/>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39"/>
      </w:pPr>
      <w:r>
        <w:rPr/>
        <w:t>联系电话：010-89198762</w:t>
      </w:r>
    </w:p>
    <w:p>
      <w:pPr>
        <w:pStyle w:val="BodyText"/>
        <w:spacing w:line="364" w:lineRule="auto" w:before="140"/>
        <w:ind w:right="3605"/>
      </w:pPr>
      <w:r>
        <w:rPr/>
        <w:t>客户服务电话：96198（北京</w:t>
      </w:r>
      <w:r>
        <w:rPr>
          <w:spacing w:val="-105"/>
        </w:rPr>
        <w:t>）</w:t>
      </w:r>
      <w:r>
        <w:rPr/>
        <w:t>、400-66-96198（全国</w:t>
      </w:r>
      <w:r>
        <w:rPr>
          <w:spacing w:val="-19"/>
        </w:rPr>
        <w:t>） </w:t>
      </w:r>
      <w:hyperlink r:id="rId23">
        <w:r>
          <w:rPr/>
          <w:t>网址：www.bjrcb.com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北京银行</w:t>
      </w:r>
    </w:p>
    <w:p>
      <w:pPr>
        <w:pStyle w:val="BodyText"/>
        <w:spacing w:line="364" w:lineRule="auto" w:before="139"/>
        <w:ind w:right="434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755"/>
      </w:pPr>
      <w:r>
        <w:rPr/>
        <w:t>法定代表人：张东宁联系人：周黎</w:t>
      </w:r>
    </w:p>
    <w:p>
      <w:pPr>
        <w:pStyle w:val="BodyText"/>
        <w:spacing w:line="268" w:lineRule="exact"/>
      </w:pPr>
      <w:r>
        <w:rPr/>
        <w:t>客户服务电话：95526</w:t>
      </w:r>
    </w:p>
    <w:p>
      <w:pPr>
        <w:pStyle w:val="BodyText"/>
        <w:spacing w:before="139"/>
      </w:pPr>
      <w:hyperlink r:id="rId24">
        <w:r>
          <w:rPr/>
          <w:t>网址：www.bankofbeijing.com.cn</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长安银行</w:t>
      </w:r>
    </w:p>
    <w:p>
      <w:pPr>
        <w:pStyle w:val="BodyText"/>
        <w:spacing w:line="364" w:lineRule="auto" w:before="140"/>
        <w:ind w:right="182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755"/>
      </w:pPr>
      <w:r>
        <w:rPr/>
        <w:t>法定代表人：赵永军联系人：闫石</w:t>
      </w:r>
    </w:p>
    <w:p>
      <w:pPr>
        <w:pStyle w:val="BodyText"/>
        <w:spacing w:line="364" w:lineRule="auto"/>
        <w:ind w:right="4445"/>
      </w:pPr>
      <w:r>
        <w:rPr/>
        <w:t>客户服务电话：400-05-96669；（029）96669 传真：029-88609566</w:t>
      </w:r>
    </w:p>
    <w:p>
      <w:pPr>
        <w:pStyle w:val="BodyText"/>
        <w:spacing w:line="268" w:lineRule="exact"/>
      </w:pPr>
      <w:hyperlink r:id="rId25">
        <w:r>
          <w:rPr/>
          <w:t>网址：http://www.ccabchina.com/</w:t>
        </w:r>
      </w:hyperlink>
    </w:p>
    <w:p>
      <w:pPr>
        <w:pStyle w:val="ListParagraph"/>
        <w:numPr>
          <w:ilvl w:val="0"/>
          <w:numId w:val="7"/>
        </w:numPr>
        <w:tabs>
          <w:tab w:pos="1845" w:val="left" w:leader="none"/>
        </w:tabs>
        <w:spacing w:line="240" w:lineRule="auto" w:before="137" w:after="0"/>
        <w:ind w:left="1845" w:right="0" w:hanging="525"/>
        <w:jc w:val="left"/>
        <w:rPr>
          <w:sz w:val="21"/>
        </w:rPr>
      </w:pPr>
      <w:r>
        <w:rPr>
          <w:sz w:val="21"/>
        </w:rPr>
        <w:t>长沙银行</w:t>
      </w:r>
    </w:p>
    <w:p>
      <w:pPr>
        <w:pStyle w:val="BodyText"/>
        <w:spacing w:line="364" w:lineRule="auto" w:before="140"/>
        <w:ind w:right="3500"/>
      </w:pPr>
      <w:r>
        <w:rPr>
          <w:spacing w:val="-4"/>
        </w:rPr>
        <w:t>注册地址：长沙市岳麓区滨江路 </w:t>
      </w:r>
      <w:r>
        <w:rPr/>
        <w:t>53</w:t>
      </w:r>
      <w:r>
        <w:rPr>
          <w:spacing w:val="-13"/>
        </w:rPr>
        <w:t> 号楷林商务中心 </w:t>
      </w:r>
      <w:r>
        <w:rPr/>
        <w:t>B</w:t>
      </w:r>
      <w:r>
        <w:rPr>
          <w:spacing w:val="-35"/>
        </w:rPr>
        <w:t> 座</w:t>
      </w:r>
      <w:r>
        <w:rPr/>
        <w:t>办公地址：长沙市岳麓区滨江路长沙银行大厦</w:t>
      </w:r>
    </w:p>
    <w:p>
      <w:pPr>
        <w:pStyle w:val="BodyText"/>
        <w:spacing w:line="364" w:lineRule="auto"/>
        <w:ind w:right="6755"/>
      </w:pPr>
      <w:r>
        <w:rPr/>
        <w:t>法定代表人：朱玉国联系人：龙秀芳</w:t>
      </w:r>
    </w:p>
    <w:p>
      <w:pPr>
        <w:pStyle w:val="BodyText"/>
        <w:spacing w:line="268" w:lineRule="exact"/>
      </w:pPr>
      <w:r>
        <w:rPr/>
        <w:t>联系电话：0731-89736250</w:t>
      </w:r>
    </w:p>
    <w:p>
      <w:pPr>
        <w:pStyle w:val="BodyText"/>
        <w:spacing w:line="364" w:lineRule="auto" w:before="138"/>
        <w:ind w:right="2765"/>
      </w:pPr>
      <w:r>
        <w:rPr/>
        <w:t>客户服务电话：0731-96511（湖南省内</w:t>
      </w:r>
      <w:r>
        <w:rPr>
          <w:spacing w:val="-105"/>
        </w:rPr>
        <w:t>）</w:t>
      </w:r>
      <w:r>
        <w:rPr/>
        <w:t>、40067-96511（全国</w:t>
      </w:r>
      <w:r>
        <w:rPr>
          <w:spacing w:val="-19"/>
        </w:rPr>
        <w:t>） </w:t>
      </w:r>
      <w:hyperlink r:id="rId26">
        <w:r>
          <w:rPr/>
          <w:t>网址：www.bankofchangsha.com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成都农商银行</w:t>
      </w:r>
    </w:p>
    <w:p>
      <w:pPr>
        <w:pStyle w:val="BodyText"/>
        <w:spacing w:before="139"/>
      </w:pPr>
      <w:r>
        <w:rPr>
          <w:spacing w:val="-4"/>
        </w:rPr>
        <w:t>注册地址：成都市武侯区科华中路 </w:t>
      </w:r>
      <w:r>
        <w:rPr/>
        <w:t>88</w:t>
      </w:r>
      <w:r>
        <w:rPr>
          <w:spacing w:val="-27"/>
        </w:rPr>
        <w:t> 号</w:t>
      </w:r>
    </w:p>
    <w:p>
      <w:pPr>
        <w:spacing w:after="0"/>
        <w:sectPr>
          <w:pgSz w:w="11910" w:h="16840"/>
          <w:pgMar w:header="0" w:footer="638" w:top="1380" w:bottom="900" w:left="960" w:right="980"/>
        </w:sectPr>
      </w:pPr>
    </w:p>
    <w:p>
      <w:pPr>
        <w:pStyle w:val="BodyText"/>
        <w:spacing w:line="364" w:lineRule="auto" w:before="45"/>
        <w:ind w:right="4970"/>
      </w:pP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39"/>
      </w:pPr>
      <w:r>
        <w:rPr/>
        <w:t>联系电话：028-85315412</w:t>
      </w:r>
    </w:p>
    <w:p>
      <w:pPr>
        <w:pStyle w:val="BodyText"/>
        <w:tabs>
          <w:tab w:pos="3629" w:val="left" w:leader="none"/>
        </w:tabs>
        <w:spacing w:before="140"/>
      </w:pPr>
      <w:r>
        <w:rPr/>
        <w:t>客户服务电话：95392</w:t>
        <w:tab/>
        <w:t>4006-028-666</w:t>
      </w:r>
    </w:p>
    <w:p>
      <w:pPr>
        <w:pStyle w:val="BodyText"/>
        <w:spacing w:before="139"/>
      </w:pPr>
      <w:r>
        <w:rPr/>
        <w:t>传真：028-85390961</w:t>
      </w:r>
    </w:p>
    <w:p>
      <w:pPr>
        <w:pStyle w:val="BodyText"/>
        <w:spacing w:before="140"/>
      </w:pPr>
      <w:hyperlink r:id="rId27">
        <w:r>
          <w:rPr/>
          <w:t>网址：http://www.cdrcb.com</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大连银行</w:t>
      </w:r>
    </w:p>
    <w:p>
      <w:pPr>
        <w:pStyle w:val="BodyText"/>
        <w:spacing w:line="364" w:lineRule="auto" w:before="140"/>
        <w:ind w:right="455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965"/>
      </w:pPr>
      <w:r>
        <w:rPr/>
        <w:t>法定代表人：崔磊联系人：卜书慧</w:t>
      </w:r>
    </w:p>
    <w:p>
      <w:pPr>
        <w:pStyle w:val="BodyText"/>
        <w:spacing w:line="268" w:lineRule="exact"/>
      </w:pPr>
      <w:r>
        <w:rPr/>
        <w:t>联系电话：0411-82311936</w:t>
      </w:r>
    </w:p>
    <w:p>
      <w:pPr>
        <w:pStyle w:val="BodyText"/>
        <w:spacing w:line="364" w:lineRule="auto" w:before="138"/>
        <w:ind w:right="5915"/>
      </w:pPr>
      <w:r>
        <w:rPr/>
        <w:t>客户服务电话</w:t>
      </w:r>
      <w:r>
        <w:rPr>
          <w:spacing w:val="-2"/>
        </w:rPr>
        <w:t>：400-664-0099 </w:t>
      </w:r>
      <w:hyperlink r:id="rId28">
        <w:r>
          <w:rPr/>
          <w:t>网址：www.bankofdl.com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德州银行</w:t>
      </w:r>
    </w:p>
    <w:p>
      <w:pPr>
        <w:pStyle w:val="BodyText"/>
        <w:spacing w:line="364" w:lineRule="auto" w:before="140"/>
        <w:ind w:right="476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39"/>
        <w:ind w:right="5915"/>
      </w:pPr>
      <w:r>
        <w:rPr/>
        <w:t>客户服务电话：400-01-96588 </w:t>
      </w:r>
      <w:hyperlink r:id="rId29">
        <w:r>
          <w:rPr/>
          <w:t>网址：www.dzbchina.com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76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40"/>
        <w:ind w:right="6020"/>
      </w:pPr>
      <w:r>
        <w:rPr/>
        <w:t>客户服务电话：0769-961122 </w:t>
      </w:r>
      <w:hyperlink r:id="rId30">
        <w:r>
          <w:rPr/>
          <w:t>网址：www.drcbank.com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3920"/>
      </w:pPr>
      <w:r>
        <w:rPr>
          <w:spacing w:val="-4"/>
        </w:rPr>
        <w:t>办公地址：东莞市莞城区体育路 </w:t>
      </w:r>
      <w:r>
        <w:rPr/>
        <w:t>21</w:t>
      </w:r>
      <w:r>
        <w:rPr>
          <w:spacing w:val="-11"/>
        </w:rPr>
        <w:t> 号东莞银行大厦</w:t>
      </w:r>
      <w:r>
        <w:rPr/>
        <w:t>法定代表人：卢国锋</w:t>
      </w:r>
    </w:p>
    <w:p>
      <w:pPr>
        <w:spacing w:after="0" w:line="364" w:lineRule="auto"/>
        <w:sectPr>
          <w:pgSz w:w="11910" w:h="16840"/>
          <w:pgMar w:header="0" w:footer="638" w:top="1380" w:bottom="900" w:left="960" w:right="980"/>
        </w:sectPr>
      </w:pPr>
    </w:p>
    <w:p>
      <w:pPr>
        <w:pStyle w:val="BodyText"/>
        <w:spacing w:before="45"/>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31">
        <w:r>
          <w:rPr/>
          <w:t>网址：www.dongguanbank.cn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东亚银行</w:t>
      </w:r>
    </w:p>
    <w:p>
      <w:pPr>
        <w:pStyle w:val="BodyText"/>
        <w:spacing w:before="139"/>
      </w:pPr>
      <w:r>
        <w:rPr/>
        <w:t>注册地址：中国(上海)自由贸易试验区花园石桥路 66 号 23 楼、25 楼、26 楼、27 楼、</w:t>
      </w:r>
    </w:p>
    <w:p>
      <w:pPr>
        <w:pStyle w:val="BodyText"/>
        <w:spacing w:before="140"/>
        <w:ind w:left="840"/>
      </w:pPr>
      <w:r>
        <w:rPr/>
        <w:t>28 楼、37 楼、38 楼(名义楼层:26 楼、28 楼、29 楼、30 楼、31 楼、41 楼、42 楼)</w:t>
      </w:r>
    </w:p>
    <w:p>
      <w:pPr>
        <w:pStyle w:val="BodyText"/>
        <w:spacing w:line="364" w:lineRule="auto" w:before="139"/>
        <w:ind w:right="2975"/>
      </w:pPr>
      <w:r>
        <w:rPr>
          <w:spacing w:val="-4"/>
        </w:rPr>
        <w:t>办公地址：上海浦东新区花园石桥路 </w:t>
      </w:r>
      <w:r>
        <w:rPr/>
        <w:t>66</w:t>
      </w:r>
      <w:r>
        <w:rPr>
          <w:spacing w:val="-13"/>
        </w:rPr>
        <w:t> 号东亚银行大厦 </w:t>
      </w:r>
      <w:r>
        <w:rPr/>
        <w:t>29</w:t>
      </w:r>
      <w:r>
        <w:rPr>
          <w:spacing w:val="-35"/>
        </w:rPr>
        <w:t> 楼</w:t>
      </w:r>
      <w:r>
        <w:rPr/>
        <w:t>法定代表人：李国宝(LI, Kwok Po David)</w:t>
      </w:r>
    </w:p>
    <w:p>
      <w:pPr>
        <w:pStyle w:val="BodyText"/>
        <w:spacing w:line="268" w:lineRule="exact"/>
      </w:pPr>
      <w:r>
        <w:rPr/>
        <w:t>联系人：杨俊</w:t>
      </w:r>
    </w:p>
    <w:p>
      <w:pPr>
        <w:pStyle w:val="BodyText"/>
        <w:spacing w:before="139"/>
      </w:pPr>
      <w:r>
        <w:rPr/>
        <w:t>联系电话：8621-38663866</w:t>
      </w:r>
    </w:p>
    <w:p>
      <w:pPr>
        <w:pStyle w:val="BodyText"/>
        <w:spacing w:before="140"/>
      </w:pPr>
      <w:r>
        <w:rPr/>
        <w:t>客户服务电话：95382</w:t>
      </w:r>
    </w:p>
    <w:p>
      <w:pPr>
        <w:pStyle w:val="BodyText"/>
        <w:spacing w:before="139"/>
      </w:pPr>
      <w:hyperlink r:id="rId32">
        <w:r>
          <w:rPr/>
          <w:t>网址：http://www.hkbea.com.cn/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佛山农商银行</w:t>
      </w:r>
    </w:p>
    <w:p>
      <w:pPr>
        <w:pStyle w:val="BodyText"/>
        <w:spacing w:line="364" w:lineRule="auto" w:before="139"/>
        <w:ind w:right="507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33">
        <w:r>
          <w:rPr/>
          <w:t>网址：www.foshanbank.cn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39"/>
        <w:ind w:right="234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5915"/>
      </w:pPr>
      <w:r>
        <w:rPr/>
        <w:t>客户服务电话：400-893-9999 传真：0591-87330926</w:t>
      </w:r>
    </w:p>
    <w:p>
      <w:pPr>
        <w:pStyle w:val="BodyText"/>
        <w:spacing w:line="268" w:lineRule="exact"/>
      </w:pPr>
      <w:hyperlink r:id="rId34">
        <w:r>
          <w:rPr/>
          <w:t>网址：www.fjhxbank.com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富滇银行</w:t>
      </w:r>
    </w:p>
    <w:p>
      <w:pPr>
        <w:pStyle w:val="BodyText"/>
        <w:spacing w:line="364" w:lineRule="auto" w:before="139"/>
        <w:ind w:right="5180"/>
        <w:jc w:val="both"/>
      </w:pPr>
      <w:r>
        <w:rPr>
          <w:spacing w:val="-4"/>
        </w:rPr>
        <w:t>注册地址：云南省昆明市拓东路 </w:t>
      </w:r>
      <w:r>
        <w:rPr/>
        <w:t>41</w:t>
      </w:r>
      <w:r>
        <w:rPr>
          <w:spacing w:val="-36"/>
        </w:rPr>
        <w:t> 号</w:t>
      </w:r>
      <w:r>
        <w:rPr>
          <w:spacing w:val="-4"/>
        </w:rPr>
        <w:t>办公地址：云南省昆明市拓东路 </w:t>
      </w:r>
      <w:r>
        <w:rPr/>
        <w:t>41</w:t>
      </w:r>
      <w:r>
        <w:rPr>
          <w:spacing w:val="-36"/>
        </w:rPr>
        <w:t> 号</w:t>
      </w:r>
      <w:r>
        <w:rPr/>
        <w:t>法定代表人：洪维智</w:t>
      </w:r>
    </w:p>
    <w:p>
      <w:pPr>
        <w:pStyle w:val="BodyText"/>
        <w:spacing w:line="268" w:lineRule="exact"/>
      </w:pPr>
      <w:r>
        <w:rPr/>
        <w:t>联系人：杨翊琳</w:t>
      </w:r>
    </w:p>
    <w:p>
      <w:pPr>
        <w:spacing w:after="0" w:line="268" w:lineRule="exact"/>
        <w:sectPr>
          <w:pgSz w:w="11910" w:h="16840"/>
          <w:pgMar w:header="0" w:footer="638" w:top="1380" w:bottom="900" w:left="960" w:right="980"/>
        </w:sectPr>
      </w:pPr>
    </w:p>
    <w:p>
      <w:pPr>
        <w:pStyle w:val="BodyText"/>
        <w:spacing w:before="45"/>
      </w:pPr>
      <w:r>
        <w:rPr/>
        <w:t>电话：0871-63140324</w:t>
      </w:r>
    </w:p>
    <w:p>
      <w:pPr>
        <w:pStyle w:val="BodyText"/>
        <w:spacing w:line="364" w:lineRule="auto" w:before="139"/>
        <w:ind w:right="5915"/>
      </w:pPr>
      <w:r>
        <w:rPr/>
        <w:t>客户服务电话</w:t>
      </w:r>
      <w:r>
        <w:rPr>
          <w:spacing w:val="-2"/>
        </w:rPr>
        <w:t>：400-88-96533 </w:t>
      </w:r>
      <w:r>
        <w:rPr/>
        <w:t>传真：0871-63194471</w:t>
      </w:r>
    </w:p>
    <w:p>
      <w:pPr>
        <w:pStyle w:val="BodyText"/>
        <w:spacing w:line="268" w:lineRule="exact"/>
      </w:pPr>
      <w:hyperlink r:id="rId35">
        <w:r>
          <w:rPr/>
          <w:t>网址：http://www.fudian-bank.com/</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富阳农商银行</w:t>
      </w:r>
    </w:p>
    <w:p>
      <w:pPr>
        <w:pStyle w:val="BodyText"/>
        <w:spacing w:line="364" w:lineRule="auto" w:before="139"/>
        <w:ind w:right="360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755"/>
      </w:pPr>
      <w:r>
        <w:rPr/>
        <w:t>法定代表人：丁松茂联系人：陈硕</w:t>
      </w:r>
    </w:p>
    <w:p>
      <w:pPr>
        <w:pStyle w:val="BodyText"/>
        <w:spacing w:line="268" w:lineRule="exact"/>
      </w:pPr>
      <w:r>
        <w:rPr/>
        <w:t>联系电话：0571-63280253</w:t>
      </w:r>
    </w:p>
    <w:p>
      <w:pPr>
        <w:pStyle w:val="BodyText"/>
        <w:spacing w:line="364" w:lineRule="auto" w:before="139"/>
        <w:ind w:right="5390"/>
      </w:pPr>
      <w:r>
        <w:rPr/>
        <w:t>客户服务电话：96596、4008896596 </w:t>
      </w:r>
      <w:hyperlink r:id="rId36">
        <w:r>
          <w:rPr/>
          <w:t>网址：www.fyrcbk.com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广东华兴银行</w:t>
      </w:r>
    </w:p>
    <w:p>
      <w:pPr>
        <w:pStyle w:val="BodyText"/>
        <w:spacing w:line="364" w:lineRule="auto" w:before="139"/>
        <w:ind w:right="413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755"/>
      </w:pPr>
      <w:r>
        <w:rPr/>
        <w:t>法定代表人：周泽荣联系人：许悦</w:t>
      </w:r>
    </w:p>
    <w:p>
      <w:pPr>
        <w:pStyle w:val="BodyText"/>
        <w:spacing w:line="268" w:lineRule="exact"/>
      </w:pPr>
      <w:r>
        <w:rPr/>
        <w:t>联系电话：020-38173552</w:t>
      </w:r>
    </w:p>
    <w:p>
      <w:pPr>
        <w:pStyle w:val="BodyText"/>
        <w:spacing w:line="364" w:lineRule="auto" w:before="139"/>
        <w:ind w:right="5915"/>
      </w:pPr>
      <w:r>
        <w:rPr/>
        <w:t>客户服务电话：400-830-8001 传真：020-38173857</w:t>
      </w:r>
    </w:p>
    <w:p>
      <w:pPr>
        <w:pStyle w:val="BodyText"/>
        <w:spacing w:line="268" w:lineRule="exact"/>
      </w:pPr>
      <w:hyperlink r:id="rId37">
        <w:r>
          <w:rPr/>
          <w:t>网址：www.ghbank.com.cn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广东南粤银行</w:t>
      </w:r>
    </w:p>
    <w:p>
      <w:pPr>
        <w:pStyle w:val="BodyText"/>
        <w:spacing w:line="364" w:lineRule="auto" w:before="140"/>
        <w:ind w:right="3500"/>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39"/>
        <w:ind w:right="6020"/>
      </w:pPr>
      <w:r>
        <w:rPr/>
        <w:t>客户服务电话</w:t>
      </w:r>
      <w:r>
        <w:rPr>
          <w:spacing w:val="-2"/>
        </w:rPr>
        <w:t>：4000-961818 </w:t>
      </w:r>
      <w:hyperlink r:id="rId38">
        <w:r>
          <w:rPr/>
          <w:t>网址：www.gdnybank.com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44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spacing w:after="0" w:line="268" w:lineRule="exact"/>
        <w:sectPr>
          <w:pgSz w:w="11910" w:h="16840"/>
          <w:pgMar w:header="0" w:footer="638" w:top="1380" w:bottom="900" w:left="960" w:right="980"/>
        </w:sectPr>
      </w:pPr>
    </w:p>
    <w:p>
      <w:pPr>
        <w:pStyle w:val="BodyText"/>
        <w:spacing w:before="45"/>
      </w:pPr>
      <w:r>
        <w:rPr/>
        <w:t>联系电话：020-22389067</w:t>
      </w:r>
    </w:p>
    <w:p>
      <w:pPr>
        <w:pStyle w:val="BodyText"/>
        <w:spacing w:line="364" w:lineRule="auto" w:before="139"/>
        <w:ind w:right="6650"/>
      </w:pPr>
      <w:r>
        <w:rPr/>
        <w:t>客户服务电话：95313 传真：020-22389031</w:t>
      </w:r>
    </w:p>
    <w:p>
      <w:pPr>
        <w:pStyle w:val="BodyText"/>
        <w:spacing w:line="268" w:lineRule="exact"/>
      </w:pPr>
      <w:hyperlink r:id="rId39">
        <w:r>
          <w:rPr/>
          <w:t>网址：www.grcbank.com</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371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710"/>
      </w:pPr>
      <w:r>
        <w:rPr/>
        <w:t>客户服务电话：96699（广东）400-83-96699（全国） </w:t>
      </w:r>
      <w:hyperlink r:id="rId40">
        <w:r>
          <w:rPr/>
          <w:t>网址：www.gzcb.com.cn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哈尔滨银行</w:t>
      </w:r>
    </w:p>
    <w:p>
      <w:pPr>
        <w:pStyle w:val="BodyText"/>
        <w:spacing w:line="364" w:lineRule="auto" w:before="140"/>
        <w:ind w:right="465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39"/>
        <w:ind w:right="6650"/>
      </w:pPr>
      <w:r>
        <w:rPr/>
        <w:t>客户服务电话</w:t>
      </w:r>
      <w:r>
        <w:rPr>
          <w:spacing w:val="-4"/>
        </w:rPr>
        <w:t>：95537 </w:t>
      </w:r>
      <w:r>
        <w:rPr>
          <w:spacing w:val="-2"/>
        </w:rPr>
        <w:t>传真：0451-87792682</w:t>
      </w:r>
    </w:p>
    <w:p>
      <w:pPr>
        <w:pStyle w:val="BodyText"/>
        <w:spacing w:line="268" w:lineRule="exact"/>
      </w:pPr>
      <w:hyperlink r:id="rId41">
        <w:r>
          <w:rPr/>
          <w:t>网址：www.hrbb.com.cn</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杭州联合银行</w:t>
      </w:r>
    </w:p>
    <w:p>
      <w:pPr>
        <w:pStyle w:val="BodyText"/>
        <w:spacing w:line="364" w:lineRule="auto" w:before="139"/>
        <w:ind w:right="434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755"/>
      </w:pPr>
      <w:r>
        <w:rPr/>
        <w:t>法定代表人：张海林联系人：吴徐立</w:t>
      </w:r>
    </w:p>
    <w:p>
      <w:pPr>
        <w:pStyle w:val="BodyText"/>
        <w:spacing w:line="268" w:lineRule="exact"/>
      </w:pPr>
      <w:r>
        <w:rPr/>
        <w:t>联系电话：0571-87923324</w:t>
      </w:r>
    </w:p>
    <w:p>
      <w:pPr>
        <w:pStyle w:val="BodyText"/>
        <w:spacing w:line="364" w:lineRule="auto" w:before="139"/>
        <w:ind w:right="6650"/>
      </w:pPr>
      <w:r>
        <w:rPr/>
        <w:t>客户服务电话</w:t>
      </w:r>
      <w:r>
        <w:rPr>
          <w:spacing w:val="-4"/>
        </w:rPr>
        <w:t>：96596 </w:t>
      </w:r>
      <w:r>
        <w:rPr>
          <w:spacing w:val="-2"/>
        </w:rPr>
        <w:t>传真：0571-87923214</w:t>
      </w:r>
    </w:p>
    <w:p>
      <w:pPr>
        <w:pStyle w:val="BodyText"/>
        <w:spacing w:line="268" w:lineRule="exact"/>
      </w:pPr>
      <w:hyperlink r:id="rId42">
        <w:r>
          <w:rPr/>
          <w:t>网址：www.urcb.com</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392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spacing w:after="0" w:line="268" w:lineRule="exact"/>
        <w:sectPr>
          <w:pgSz w:w="11910" w:h="16840"/>
          <w:pgMar w:header="0" w:footer="638" w:top="1380" w:bottom="900" w:left="960" w:right="980"/>
        </w:sectPr>
      </w:pPr>
    </w:p>
    <w:p>
      <w:pPr>
        <w:pStyle w:val="BodyText"/>
        <w:spacing w:before="45"/>
      </w:pPr>
      <w:r>
        <w:rPr/>
        <w:t>联系电话：0571-85120718</w:t>
      </w:r>
    </w:p>
    <w:p>
      <w:pPr>
        <w:pStyle w:val="BodyText"/>
        <w:spacing w:line="364" w:lineRule="auto" w:before="139"/>
        <w:ind w:right="6650"/>
      </w:pPr>
      <w:r>
        <w:rPr/>
        <w:t>客户服务电话：95398 传真：0571-85106576</w:t>
      </w:r>
    </w:p>
    <w:p>
      <w:pPr>
        <w:pStyle w:val="BodyText"/>
        <w:spacing w:line="268" w:lineRule="exact"/>
      </w:pPr>
      <w:hyperlink r:id="rId43">
        <w:r>
          <w:rPr/>
          <w:t>网址：www.hzbank.com.cn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河北银行</w:t>
      </w:r>
    </w:p>
    <w:p>
      <w:pPr>
        <w:pStyle w:val="BodyText"/>
        <w:spacing w:line="364" w:lineRule="auto" w:before="139"/>
        <w:ind w:right="518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915"/>
      </w:pPr>
      <w:r>
        <w:rPr/>
        <w:t>客户服务电话：400-612-9999 传真：0311-67806407</w:t>
      </w:r>
    </w:p>
    <w:p>
      <w:pPr>
        <w:pStyle w:val="BodyText"/>
        <w:spacing w:line="268" w:lineRule="exact"/>
      </w:pPr>
      <w:hyperlink r:id="rId44">
        <w:r>
          <w:rPr/>
          <w:t>网址：www.hebbank.com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39"/>
        <w:ind w:right="276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40"/>
      </w:pPr>
      <w:r>
        <w:rPr/>
        <w:t>联系电话：0731-89828182</w:t>
      </w:r>
    </w:p>
    <w:p>
      <w:pPr>
        <w:pStyle w:val="BodyText"/>
        <w:spacing w:line="364" w:lineRule="auto" w:before="139"/>
        <w:ind w:right="6125"/>
      </w:pPr>
      <w:r>
        <w:rPr/>
        <w:t>客户服务电话：0731-96599 传真：0731-89828806</w:t>
      </w:r>
    </w:p>
    <w:p>
      <w:pPr>
        <w:pStyle w:val="BodyText"/>
        <w:spacing w:line="268" w:lineRule="exact"/>
      </w:pPr>
      <w:hyperlink r:id="rId45">
        <w:r>
          <w:rPr/>
          <w:t>网址：www.hrxjbank.com.cn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吉林银行</w:t>
      </w:r>
    </w:p>
    <w:p>
      <w:pPr>
        <w:pStyle w:val="BodyText"/>
        <w:spacing w:line="364" w:lineRule="auto" w:before="139"/>
        <w:ind w:right="308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5915"/>
      </w:pPr>
      <w:r>
        <w:rPr/>
        <w:t>客户服务电话：400-88-96666 传真：0431-84992649</w:t>
      </w:r>
    </w:p>
    <w:p>
      <w:pPr>
        <w:pStyle w:val="BodyText"/>
        <w:spacing w:line="268" w:lineRule="exact"/>
      </w:pPr>
      <w:hyperlink r:id="rId46">
        <w:r>
          <w:rPr/>
          <w:t>网址：www.jlbank.com.cn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嘉兴银行</w:t>
      </w:r>
    </w:p>
    <w:p>
      <w:pPr>
        <w:pStyle w:val="BodyText"/>
        <w:spacing w:line="364" w:lineRule="auto" w:before="139"/>
        <w:ind w:right="4760"/>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p>
    <w:p>
      <w:pPr>
        <w:spacing w:after="0" w:line="364" w:lineRule="auto"/>
        <w:sectPr>
          <w:pgSz w:w="11910" w:h="16840"/>
          <w:pgMar w:header="0" w:footer="638" w:top="1380" w:bottom="900" w:left="960" w:right="980"/>
        </w:sectPr>
      </w:pPr>
    </w:p>
    <w:p>
      <w:pPr>
        <w:pStyle w:val="BodyText"/>
        <w:spacing w:line="364" w:lineRule="auto" w:before="45"/>
        <w:ind w:right="6755"/>
      </w:pPr>
      <w:r>
        <w:rPr/>
        <w:t>法定代表人：夏林生联系人：余舟</w:t>
      </w:r>
    </w:p>
    <w:p>
      <w:pPr>
        <w:pStyle w:val="BodyText"/>
        <w:spacing w:line="268" w:lineRule="exact"/>
      </w:pPr>
      <w:r>
        <w:rPr/>
        <w:t>联系电话：0573-82080201</w:t>
      </w:r>
    </w:p>
    <w:p>
      <w:pPr>
        <w:pStyle w:val="BodyText"/>
        <w:spacing w:line="364" w:lineRule="auto" w:before="139"/>
        <w:ind w:right="6020"/>
      </w:pPr>
      <w:r>
        <w:rPr/>
        <w:t>客户服务电话：0573-96528 </w:t>
      </w:r>
      <w:hyperlink r:id="rId47">
        <w:r>
          <w:rPr/>
          <w:t>网址：http://www.bojx.com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江南农村商业银行</w:t>
      </w:r>
    </w:p>
    <w:p>
      <w:pPr>
        <w:pStyle w:val="BodyText"/>
        <w:spacing w:line="364" w:lineRule="auto" w:before="140"/>
        <w:ind w:right="549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125"/>
      </w:pPr>
      <w:r>
        <w:rPr>
          <w:spacing w:val="-1"/>
        </w:rPr>
        <w:t>客户服务电话</w:t>
      </w:r>
      <w:r>
        <w:rPr/>
        <w:t>：0519-96005 传真：0519-89995170</w:t>
      </w:r>
    </w:p>
    <w:p>
      <w:pPr>
        <w:pStyle w:val="BodyText"/>
        <w:spacing w:line="268" w:lineRule="exact"/>
      </w:pPr>
      <w:hyperlink r:id="rId48">
        <w:r>
          <w:rPr/>
          <w:t>网址：http://www.jnbank.com.cn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江苏银行</w:t>
      </w:r>
    </w:p>
    <w:p>
      <w:pPr>
        <w:pStyle w:val="BodyText"/>
        <w:spacing w:line="364" w:lineRule="auto" w:before="140"/>
        <w:ind w:right="5810"/>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39"/>
      </w:pPr>
      <w:r>
        <w:rPr/>
        <w:t>联系电话：025-58587039</w:t>
      </w:r>
    </w:p>
    <w:p>
      <w:pPr>
        <w:pStyle w:val="BodyText"/>
        <w:spacing w:line="364" w:lineRule="auto" w:before="139"/>
        <w:ind w:right="6650"/>
      </w:pPr>
      <w:r>
        <w:rPr/>
        <w:t>客户服务电话：95319 传真：025-58587820</w:t>
      </w:r>
    </w:p>
    <w:p>
      <w:pPr>
        <w:pStyle w:val="BodyText"/>
        <w:spacing w:line="268" w:lineRule="exact"/>
      </w:pPr>
      <w:hyperlink r:id="rId49">
        <w:r>
          <w:rPr/>
          <w:t>网址：www.jsbchina.cn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江西银行</w:t>
      </w:r>
    </w:p>
    <w:p>
      <w:pPr>
        <w:pStyle w:val="BodyText"/>
        <w:spacing w:line="364" w:lineRule="auto" w:before="139"/>
        <w:ind w:right="381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545"/>
      </w:pPr>
      <w:r>
        <w:rPr/>
        <w:t>客户服务电话：956055 传真：0791-86790795</w:t>
      </w:r>
    </w:p>
    <w:p>
      <w:pPr>
        <w:pStyle w:val="BodyText"/>
        <w:spacing w:line="268" w:lineRule="exact"/>
      </w:pPr>
      <w:hyperlink r:id="rId50">
        <w:r>
          <w:rPr/>
          <w:t>网址：www.jx-bank.com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金华银行</w:t>
      </w:r>
    </w:p>
    <w:p>
      <w:pPr>
        <w:pStyle w:val="BodyText"/>
        <w:spacing w:before="139"/>
      </w:pPr>
      <w:r>
        <w:rPr/>
        <w:t>注册地址：浙江省金华市丹溪路 1388 号</w:t>
      </w:r>
    </w:p>
    <w:p>
      <w:pPr>
        <w:spacing w:after="0"/>
        <w:sectPr>
          <w:pgSz w:w="11910" w:h="16840"/>
          <w:pgMar w:header="0" w:footer="638" w:top="1380" w:bottom="900" w:left="960" w:right="980"/>
        </w:sectPr>
      </w:pPr>
    </w:p>
    <w:p>
      <w:pPr>
        <w:pStyle w:val="BodyText"/>
        <w:spacing w:line="364" w:lineRule="auto" w:before="45"/>
        <w:ind w:right="444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5915"/>
      </w:pPr>
      <w:r>
        <w:rPr/>
        <w:t>客户服务电话：400-711-6668 传真：0579-82178321</w:t>
      </w:r>
    </w:p>
    <w:p>
      <w:pPr>
        <w:pStyle w:val="BodyText"/>
        <w:spacing w:line="268" w:lineRule="exact"/>
      </w:pPr>
      <w:hyperlink r:id="rId51">
        <w:r>
          <w:rPr/>
          <w:t>网址：www.jhccb.com.cn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锦州银行</w:t>
      </w:r>
    </w:p>
    <w:p>
      <w:pPr>
        <w:pStyle w:val="BodyText"/>
        <w:spacing w:line="364" w:lineRule="auto" w:before="140"/>
        <w:ind w:right="518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5915"/>
      </w:pPr>
      <w:r>
        <w:rPr/>
        <w:t>客户服务电话：400-66-96178 </w:t>
      </w:r>
      <w:hyperlink r:id="rId52">
        <w:r>
          <w:rPr/>
          <w:t>网址：www.jinzhoubank.com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晋商银行</w:t>
      </w:r>
    </w:p>
    <w:p>
      <w:pPr>
        <w:pStyle w:val="BodyText"/>
        <w:spacing w:line="364" w:lineRule="auto" w:before="140"/>
        <w:ind w:right="455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39"/>
        <w:ind w:right="6230"/>
      </w:pPr>
      <w:r>
        <w:rPr/>
        <w:t>客户服务电话：9510-5588 传真：0351-6819926</w:t>
      </w:r>
    </w:p>
    <w:p>
      <w:pPr>
        <w:pStyle w:val="BodyText"/>
        <w:spacing w:line="268" w:lineRule="exact"/>
      </w:pPr>
      <w:hyperlink r:id="rId53">
        <w:r>
          <w:rPr/>
          <w:t>网址：www.jshbank.com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九江银行</w:t>
      </w:r>
    </w:p>
    <w:p>
      <w:pPr>
        <w:pStyle w:val="BodyText"/>
        <w:spacing w:line="364" w:lineRule="auto" w:before="139"/>
        <w:ind w:right="423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650"/>
      </w:pPr>
      <w:r>
        <w:rPr/>
        <w:t>客户服务电话：95316 </w:t>
      </w:r>
      <w:hyperlink r:id="rId54">
        <w:r>
          <w:rPr/>
          <w:t>网址：www.jjccb.com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九台农商银行</w:t>
      </w:r>
    </w:p>
    <w:p>
      <w:pPr>
        <w:pStyle w:val="BodyText"/>
        <w:spacing w:before="140"/>
      </w:pPr>
      <w:r>
        <w:rPr/>
        <w:t>注册地址：吉林省长春市九台区新华大街 504 号</w:t>
      </w:r>
    </w:p>
    <w:p>
      <w:pPr>
        <w:pStyle w:val="BodyText"/>
        <w:spacing w:before="139"/>
      </w:pPr>
      <w:r>
        <w:rPr/>
        <w:t>办公地址：吉林省长春市高新开发区蔚山路 2559 号</w:t>
      </w:r>
    </w:p>
    <w:p>
      <w:pPr>
        <w:spacing w:after="0"/>
        <w:sectPr>
          <w:pgSz w:w="11910" w:h="16840"/>
          <w:pgMar w:header="0" w:footer="638" w:top="1380" w:bottom="900" w:left="960" w:right="980"/>
        </w:sectPr>
      </w:pPr>
    </w:p>
    <w:p>
      <w:pPr>
        <w:pStyle w:val="BodyText"/>
        <w:spacing w:line="364" w:lineRule="auto" w:before="45"/>
        <w:ind w:right="6965"/>
      </w:pPr>
      <w:r>
        <w:rPr/>
        <w:t>法定代表人：高兵联系人：曲凌</w:t>
      </w:r>
    </w:p>
    <w:p>
      <w:pPr>
        <w:pStyle w:val="BodyText"/>
        <w:spacing w:line="364" w:lineRule="auto"/>
        <w:ind w:right="5705"/>
      </w:pPr>
      <w:r>
        <w:rPr/>
        <w:t>客户服务电话：0431-96888-0-2 </w:t>
      </w:r>
      <w:hyperlink r:id="rId55">
        <w:r>
          <w:rPr/>
          <w:t>网址：http://www.jtnsh.com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昆仑银行</w:t>
      </w:r>
    </w:p>
    <w:p>
      <w:pPr>
        <w:pStyle w:val="BodyText"/>
        <w:spacing w:line="364" w:lineRule="auto" w:before="138"/>
        <w:ind w:right="465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6650"/>
      </w:pPr>
      <w:r>
        <w:rPr/>
        <w:t>客户服务电话：95379 传真：010-89025421</w:t>
      </w:r>
    </w:p>
    <w:p>
      <w:pPr>
        <w:pStyle w:val="BodyText"/>
        <w:spacing w:line="268" w:lineRule="exact"/>
      </w:pPr>
      <w:hyperlink r:id="rId56">
        <w:r>
          <w:rPr/>
          <w:t>网址：www.klb.cn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昆山农村商业银行</w:t>
      </w:r>
    </w:p>
    <w:p>
      <w:pPr>
        <w:pStyle w:val="BodyText"/>
        <w:spacing w:line="364" w:lineRule="auto" w:before="139"/>
        <w:ind w:right="486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6125"/>
      </w:pPr>
      <w:r>
        <w:rPr/>
        <w:t>客户服务电话：0512-96079 </w:t>
      </w:r>
      <w:hyperlink r:id="rId57">
        <w:r>
          <w:rPr/>
          <w:t>网址：www.ksrcb.com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乐清农商银行</w:t>
      </w:r>
    </w:p>
    <w:p>
      <w:pPr>
        <w:pStyle w:val="BodyText"/>
        <w:spacing w:line="364" w:lineRule="auto" w:before="139"/>
        <w:ind w:right="413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40"/>
      </w:pPr>
      <w:r>
        <w:rPr/>
        <w:t>联系电话：0577-61566028</w:t>
      </w:r>
    </w:p>
    <w:p>
      <w:pPr>
        <w:pStyle w:val="BodyText"/>
        <w:spacing w:line="364" w:lineRule="auto" w:before="139"/>
        <w:ind w:right="6125"/>
      </w:pPr>
      <w:r>
        <w:rPr>
          <w:spacing w:val="-1"/>
        </w:rPr>
        <w:t>客户服务电话</w:t>
      </w:r>
      <w:r>
        <w:rPr/>
        <w:t>：4008896596 传真：0577-61566063</w:t>
      </w:r>
    </w:p>
    <w:p>
      <w:pPr>
        <w:pStyle w:val="BodyText"/>
        <w:spacing w:line="268" w:lineRule="exact"/>
      </w:pPr>
      <w:hyperlink r:id="rId58">
        <w:r>
          <w:rPr/>
          <w:t>网址：www.yqbank.com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龙江银行</w:t>
      </w:r>
    </w:p>
    <w:p>
      <w:pPr>
        <w:pStyle w:val="BodyText"/>
        <w:spacing w:line="364" w:lineRule="auto" w:before="140"/>
        <w:ind w:right="402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spacing w:after="0" w:line="268" w:lineRule="exact"/>
        <w:sectPr>
          <w:pgSz w:w="11910" w:h="16840"/>
          <w:pgMar w:header="0" w:footer="638" w:top="1380" w:bottom="900" w:left="960" w:right="980"/>
        </w:sectPr>
      </w:pPr>
    </w:p>
    <w:p>
      <w:pPr>
        <w:pStyle w:val="BodyText"/>
        <w:spacing w:before="45"/>
      </w:pPr>
      <w:r>
        <w:rPr/>
        <w:t>联系电话：0451-85706107</w:t>
      </w:r>
    </w:p>
    <w:p>
      <w:pPr>
        <w:pStyle w:val="BodyText"/>
        <w:spacing w:line="364" w:lineRule="auto" w:before="139"/>
        <w:ind w:right="5915"/>
      </w:pPr>
      <w:r>
        <w:rPr/>
        <w:t>客户服务电话：400-645-8888 传真：0451-85706036</w:t>
      </w:r>
    </w:p>
    <w:p>
      <w:pPr>
        <w:pStyle w:val="BodyText"/>
        <w:spacing w:line="268" w:lineRule="exact"/>
      </w:pPr>
      <w:hyperlink r:id="rId59">
        <w:r>
          <w:rPr/>
          <w:t>网址：http://www.lj-bank.com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龙湾农商银行</w:t>
      </w:r>
    </w:p>
    <w:p>
      <w:pPr>
        <w:pStyle w:val="BodyText"/>
        <w:spacing w:line="364" w:lineRule="auto" w:before="139"/>
        <w:ind w:right="339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6125"/>
      </w:pPr>
      <w:r>
        <w:rPr>
          <w:spacing w:val="-1"/>
        </w:rPr>
        <w:t>客户服务电话</w:t>
      </w:r>
      <w:r>
        <w:rPr/>
        <w:t>：4008296596 传真：0577-86921250</w:t>
      </w:r>
    </w:p>
    <w:p>
      <w:pPr>
        <w:pStyle w:val="BodyText"/>
        <w:spacing w:line="268" w:lineRule="exact"/>
      </w:pPr>
      <w:hyperlink r:id="rId60">
        <w:r>
          <w:rPr/>
          <w:t>网址：www.lwrcb.com</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鹿城农商银行</w:t>
      </w:r>
    </w:p>
    <w:p>
      <w:pPr>
        <w:pStyle w:val="BodyText"/>
        <w:spacing w:line="364" w:lineRule="auto" w:before="139"/>
        <w:ind w:right="350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755"/>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61">
        <w:r>
          <w:rPr/>
          <w:t>网址：http://www.lcrcbank.com/</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洛阳银行</w:t>
      </w:r>
    </w:p>
    <w:p>
      <w:pPr>
        <w:pStyle w:val="BodyText"/>
        <w:spacing w:line="364" w:lineRule="auto" w:before="140"/>
        <w:ind w:right="3815"/>
      </w:pPr>
      <w:r>
        <w:rPr/>
        <w:t>注册地址：洛阳市洛阳新区开元大道与通济街交叉口办公地址：河南省洛阳市开元大道 256 号</w:t>
      </w:r>
    </w:p>
    <w:p>
      <w:pPr>
        <w:pStyle w:val="BodyText"/>
        <w:spacing w:line="364" w:lineRule="auto"/>
        <w:ind w:right="6755"/>
      </w:pPr>
      <w:r>
        <w:rPr/>
        <w:t>法定代表人：王建甫联系人：郭文博</w:t>
      </w:r>
    </w:p>
    <w:p>
      <w:pPr>
        <w:pStyle w:val="BodyText"/>
        <w:spacing w:line="268" w:lineRule="exact"/>
      </w:pPr>
      <w:r>
        <w:rPr/>
        <w:t>联系电话：0379-65921977</w:t>
      </w:r>
    </w:p>
    <w:p>
      <w:pPr>
        <w:pStyle w:val="BodyText"/>
        <w:spacing w:line="364" w:lineRule="auto" w:before="138"/>
        <w:ind w:right="6125"/>
      </w:pPr>
      <w:r>
        <w:rPr/>
        <w:t>客户服务电话：0379-96699 传真：0379-65938595</w:t>
      </w:r>
    </w:p>
    <w:p>
      <w:pPr>
        <w:pStyle w:val="BodyText"/>
        <w:spacing w:line="268" w:lineRule="exact"/>
      </w:pPr>
      <w:hyperlink r:id="rId62">
        <w:r>
          <w:rPr/>
          <w:t>网址：www.bankofluoyang.com.cn/</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40"/>
        <w:ind w:right="2030"/>
      </w:pPr>
      <w:r>
        <w:rPr>
          <w:spacing w:val="-3"/>
        </w:rPr>
        <w:t>办公地址：广东省佛山市南海区桂城街道南海大道北 </w:t>
      </w:r>
      <w:r>
        <w:rPr/>
        <w:t>26</w:t>
      </w:r>
      <w:r>
        <w:rPr>
          <w:spacing w:val="-11"/>
        </w:rPr>
        <w:t> 号农商银行大厦</w:t>
      </w:r>
      <w:r>
        <w:rPr/>
        <w:t>法定代表人：李宜心</w:t>
      </w:r>
    </w:p>
    <w:p>
      <w:pPr>
        <w:spacing w:after="0" w:line="364" w:lineRule="auto"/>
        <w:sectPr>
          <w:pgSz w:w="11910" w:h="16840"/>
          <w:pgMar w:header="0" w:footer="638" w:top="1380" w:bottom="900" w:left="960" w:right="980"/>
        </w:sectPr>
      </w:pPr>
    </w:p>
    <w:p>
      <w:pPr>
        <w:pStyle w:val="BodyText"/>
        <w:spacing w:before="45"/>
      </w:pPr>
      <w:r>
        <w:rPr/>
        <w:t>联系人：廖雪</w:t>
      </w:r>
    </w:p>
    <w:p>
      <w:pPr>
        <w:pStyle w:val="BodyText"/>
        <w:spacing w:before="139"/>
      </w:pPr>
      <w:r>
        <w:rPr/>
        <w:t>电话：0757-86266566</w:t>
      </w:r>
    </w:p>
    <w:p>
      <w:pPr>
        <w:pStyle w:val="BodyText"/>
        <w:spacing w:line="364" w:lineRule="auto" w:before="140"/>
        <w:ind w:right="6650"/>
      </w:pPr>
      <w:r>
        <w:rPr/>
        <w:t>客户服务电话</w:t>
      </w:r>
      <w:r>
        <w:rPr>
          <w:spacing w:val="-4"/>
        </w:rPr>
        <w:t>：96138 </w:t>
      </w:r>
      <w:r>
        <w:rPr>
          <w:spacing w:val="-2"/>
        </w:rPr>
        <w:t>传真：0757-86250627</w:t>
      </w:r>
    </w:p>
    <w:p>
      <w:pPr>
        <w:pStyle w:val="BodyText"/>
        <w:spacing w:line="268" w:lineRule="exact"/>
      </w:pPr>
      <w:hyperlink r:id="rId63">
        <w:r>
          <w:rPr/>
          <w:t>网址：www.nanhaibank.com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南京银行</w:t>
      </w:r>
    </w:p>
    <w:p>
      <w:pPr>
        <w:pStyle w:val="BodyText"/>
        <w:spacing w:line="364" w:lineRule="auto" w:before="140"/>
        <w:ind w:right="5075"/>
        <w:jc w:val="both"/>
      </w:pPr>
      <w:r>
        <w:rPr>
          <w:spacing w:val="-4"/>
        </w:rPr>
        <w:t>注册地址：南京市玄武区中山路 </w:t>
      </w:r>
      <w:r>
        <w:rPr/>
        <w:t>288</w:t>
      </w:r>
      <w:r>
        <w:rPr>
          <w:spacing w:val="-36"/>
        </w:rPr>
        <w:t> 号</w:t>
      </w:r>
      <w:r>
        <w:rPr>
          <w:spacing w:val="-4"/>
        </w:rPr>
        <w:t>办公地址：南京市玄武区中山路 </w:t>
      </w:r>
      <w:r>
        <w:rPr/>
        <w:t>288</w:t>
      </w:r>
      <w:r>
        <w:rPr>
          <w:spacing w:val="-36"/>
        </w:rPr>
        <w:t> 号</w:t>
      </w:r>
      <w:r>
        <w:rPr/>
        <w:t>法定代表人：胡升荣</w:t>
      </w:r>
    </w:p>
    <w:p>
      <w:pPr>
        <w:pStyle w:val="BodyText"/>
        <w:spacing w:line="268" w:lineRule="exact"/>
      </w:pPr>
      <w:r>
        <w:rPr/>
        <w:t>联系人：赵世光</w:t>
      </w:r>
    </w:p>
    <w:p>
      <w:pPr>
        <w:pStyle w:val="BodyText"/>
        <w:spacing w:line="364" w:lineRule="auto" w:before="139"/>
        <w:ind w:right="6440"/>
      </w:pPr>
      <w:r>
        <w:rPr/>
        <w:t>客户服务电话：95302 </w:t>
      </w:r>
      <w:hyperlink r:id="rId64">
        <w:r>
          <w:rPr>
            <w:spacing w:val="-1"/>
          </w:rPr>
          <w:t>网址：www.njcb.com.cn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南洋商业银行</w:t>
      </w:r>
    </w:p>
    <w:p>
      <w:pPr>
        <w:pStyle w:val="BodyText"/>
        <w:spacing w:line="364" w:lineRule="auto" w:before="140"/>
        <w:ind w:left="840" w:right="817" w:firstLine="480"/>
      </w:pPr>
      <w:r>
        <w:rPr/>
        <w:t>注册地址：中国（上海）</w:t>
      </w:r>
      <w:r>
        <w:rPr>
          <w:spacing w:val="-4"/>
        </w:rPr>
        <w:t>自由贸易试验区世纪大道 </w:t>
      </w:r>
      <w:r>
        <w:rPr/>
        <w:t>800</w:t>
      </w:r>
      <w:r>
        <w:rPr>
          <w:spacing w:val="-7"/>
        </w:rPr>
        <w:t> 号三层、六层至九层</w:t>
      </w:r>
      <w:r>
        <w:rPr/>
        <w:t>（不含六</w:t>
      </w:r>
      <w:r>
        <w:rPr>
          <w:spacing w:val="-27"/>
        </w:rPr>
        <w:t>层 </w:t>
      </w:r>
      <w:r>
        <w:rPr/>
        <w:t>A</w:t>
      </w:r>
      <w:r>
        <w:rPr>
          <w:spacing w:val="-27"/>
        </w:rPr>
        <w:t> 座</w:t>
      </w:r>
      <w:r>
        <w:rPr/>
        <w:t>）</w:t>
      </w:r>
    </w:p>
    <w:p>
      <w:pPr>
        <w:pStyle w:val="BodyText"/>
        <w:spacing w:line="364" w:lineRule="auto"/>
        <w:ind w:left="840" w:right="817" w:firstLine="480"/>
      </w:pPr>
      <w:r>
        <w:rPr/>
        <w:t>办公地址：中国（上海）</w:t>
      </w:r>
      <w:r>
        <w:rPr>
          <w:spacing w:val="-4"/>
        </w:rPr>
        <w:t>自由贸易试验区世纪大道 </w:t>
      </w:r>
      <w:r>
        <w:rPr/>
        <w:t>800</w:t>
      </w:r>
      <w:r>
        <w:rPr>
          <w:spacing w:val="-7"/>
        </w:rPr>
        <w:t> 号三层、六层至九层</w:t>
      </w:r>
      <w:r>
        <w:rPr/>
        <w:t>（不含六</w:t>
      </w:r>
      <w:r>
        <w:rPr>
          <w:spacing w:val="-27"/>
        </w:rPr>
        <w:t>层 </w:t>
      </w:r>
      <w:r>
        <w:rPr/>
        <w:t>A</w:t>
      </w:r>
      <w:r>
        <w:rPr>
          <w:spacing w:val="-27"/>
        </w:rPr>
        <w:t> 座</w:t>
      </w:r>
      <w:r>
        <w:rPr/>
        <w:t>）</w:t>
      </w:r>
    </w:p>
    <w:p>
      <w:pPr>
        <w:pStyle w:val="BodyText"/>
        <w:spacing w:line="364" w:lineRule="auto"/>
        <w:ind w:right="6755"/>
      </w:pPr>
      <w:r>
        <w:rPr/>
        <w:t>法定代表人：陈孝周联系人：马小明</w:t>
      </w:r>
    </w:p>
    <w:p>
      <w:pPr>
        <w:pStyle w:val="BodyText"/>
        <w:spacing w:line="268" w:lineRule="exact"/>
      </w:pPr>
      <w:r>
        <w:rPr/>
        <w:t>联系电话：021-38566452</w:t>
      </w:r>
    </w:p>
    <w:p>
      <w:pPr>
        <w:pStyle w:val="BodyText"/>
        <w:spacing w:before="137"/>
      </w:pPr>
      <w:r>
        <w:rPr/>
        <w:t>客户服务电话：8008207898（内地固话用户</w:t>
      </w:r>
      <w:r>
        <w:rPr>
          <w:spacing w:val="-104"/>
        </w:rPr>
        <w:t>）</w:t>
      </w:r>
      <w:r>
        <w:rPr/>
        <w:t>、4008207898（内地手机用户</w:t>
      </w:r>
      <w:r>
        <w:rPr>
          <w:spacing w:val="-103"/>
        </w:rPr>
        <w:t>）</w:t>
      </w:r>
      <w:r>
        <w:rPr>
          <w:spacing w:val="-104"/>
        </w:rPr>
        <w:t>、</w:t>
      </w:r>
      <w:r>
        <w:rPr/>
        <w:t>（86551）</w:t>
      </w:r>
    </w:p>
    <w:p>
      <w:pPr>
        <w:pStyle w:val="BodyText"/>
        <w:spacing w:line="364" w:lineRule="auto" w:before="140"/>
        <w:ind w:right="6605" w:hanging="480"/>
      </w:pPr>
      <w:r>
        <w:rPr/>
        <w:t>64360499（港澳台及境外） 传真：021-38566400</w:t>
      </w:r>
    </w:p>
    <w:p>
      <w:pPr>
        <w:pStyle w:val="BodyText"/>
        <w:spacing w:line="268" w:lineRule="exact"/>
      </w:pPr>
      <w:hyperlink r:id="rId65">
        <w:r>
          <w:rPr/>
          <w:t>网址：http://www.ncbchina.cn/cn/index.html</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宁波银行</w:t>
      </w:r>
    </w:p>
    <w:p>
      <w:pPr>
        <w:pStyle w:val="BodyText"/>
        <w:spacing w:line="364" w:lineRule="auto" w:before="139"/>
        <w:ind w:right="444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40"/>
        <w:ind w:right="6440"/>
      </w:pPr>
      <w:r>
        <w:rPr/>
        <w:t>客户服务电话：95574 </w:t>
      </w:r>
      <w:hyperlink r:id="rId66">
        <w:r>
          <w:rPr>
            <w:spacing w:val="-1"/>
          </w:rPr>
          <w:t>网址：www.nbcb.com.cn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攀枝花市商业银行</w:t>
      </w:r>
    </w:p>
    <w:p>
      <w:pPr>
        <w:pStyle w:val="BodyText"/>
        <w:spacing w:line="364" w:lineRule="auto" w:before="139"/>
        <w:ind w:right="4970"/>
      </w:pPr>
      <w:r>
        <w:rPr>
          <w:spacing w:val="-4"/>
        </w:rPr>
        <w:t>注册地址：攀枝花市炳三区机场路 </w:t>
      </w:r>
      <w:r>
        <w:rPr/>
        <w:t>88</w:t>
      </w:r>
      <w:r>
        <w:rPr>
          <w:spacing w:val="-36"/>
        </w:rPr>
        <w:t> 号</w:t>
      </w:r>
      <w:r>
        <w:rPr>
          <w:spacing w:val="-4"/>
        </w:rPr>
        <w:t>办公地址：攀枝花市炳三区机场路 </w:t>
      </w:r>
      <w:r>
        <w:rPr/>
        <w:t>88</w:t>
      </w:r>
      <w:r>
        <w:rPr>
          <w:spacing w:val="-36"/>
        </w:rPr>
        <w:t> 号</w:t>
      </w:r>
    </w:p>
    <w:p>
      <w:pPr>
        <w:spacing w:after="0" w:line="364" w:lineRule="auto"/>
        <w:sectPr>
          <w:pgSz w:w="11910" w:h="16840"/>
          <w:pgMar w:header="0" w:footer="638" w:top="1380" w:bottom="900" w:left="960" w:right="980"/>
        </w:sectPr>
      </w:pPr>
    </w:p>
    <w:p>
      <w:pPr>
        <w:pStyle w:val="BodyText"/>
        <w:spacing w:line="364" w:lineRule="auto" w:before="45"/>
        <w:ind w:right="6755"/>
      </w:pPr>
      <w:r>
        <w:rPr/>
        <w:t>法定代表人：杨宗林联系人：刘斌</w:t>
      </w:r>
    </w:p>
    <w:p>
      <w:pPr>
        <w:pStyle w:val="BodyText"/>
        <w:spacing w:line="268" w:lineRule="exact"/>
      </w:pPr>
      <w:r>
        <w:rPr/>
        <w:t>联系电话：0812-5791295</w:t>
      </w:r>
    </w:p>
    <w:p>
      <w:pPr>
        <w:pStyle w:val="BodyText"/>
        <w:spacing w:line="364" w:lineRule="auto" w:before="139"/>
        <w:ind w:right="3815"/>
      </w:pPr>
      <w:r>
        <w:rPr/>
        <w:t>客户服务电话：4001096998（全国</w:t>
      </w:r>
      <w:r>
        <w:rPr>
          <w:spacing w:val="-105"/>
        </w:rPr>
        <w:t>）</w:t>
      </w:r>
      <w:r>
        <w:rPr/>
        <w:t>、96998（四川</w:t>
      </w:r>
      <w:r>
        <w:rPr>
          <w:spacing w:val="-19"/>
        </w:rPr>
        <w:t>） </w:t>
      </w:r>
      <w:r>
        <w:rPr/>
        <w:t>传真：0812-5791295</w:t>
      </w:r>
    </w:p>
    <w:p>
      <w:pPr>
        <w:pStyle w:val="BodyText"/>
        <w:spacing w:line="268" w:lineRule="exact"/>
      </w:pPr>
      <w:hyperlink r:id="rId67">
        <w:r>
          <w:rPr/>
          <w:t>网址：http://www.pzhccb.com</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齐商银行</w:t>
      </w:r>
    </w:p>
    <w:p>
      <w:pPr>
        <w:pStyle w:val="BodyText"/>
        <w:spacing w:before="139"/>
      </w:pPr>
      <w:r>
        <w:rPr/>
        <w:t>注册地址：淄博市张店区中心路 105 号</w:t>
      </w:r>
    </w:p>
    <w:p>
      <w:pPr>
        <w:pStyle w:val="BodyText"/>
        <w:spacing w:line="364" w:lineRule="auto" w:before="140"/>
        <w:ind w:right="423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5915"/>
      </w:pPr>
      <w:r>
        <w:rPr/>
        <w:t>客户服务电话</w:t>
      </w:r>
      <w:r>
        <w:rPr>
          <w:spacing w:val="-2"/>
        </w:rPr>
        <w:t>：400-86-96588 </w:t>
      </w:r>
      <w:r>
        <w:rPr/>
        <w:t>传真：0533-2180303</w:t>
      </w:r>
    </w:p>
    <w:p>
      <w:pPr>
        <w:pStyle w:val="BodyText"/>
        <w:spacing w:line="268" w:lineRule="exact"/>
      </w:pPr>
      <w:hyperlink r:id="rId68">
        <w:r>
          <w:rPr/>
          <w:t>网址：www.qsbank.cc</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青岛农商银行</w:t>
      </w:r>
    </w:p>
    <w:p>
      <w:pPr>
        <w:pStyle w:val="BodyText"/>
        <w:spacing w:line="364" w:lineRule="auto" w:before="139"/>
        <w:ind w:right="402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755"/>
      </w:pPr>
      <w:r>
        <w:rPr/>
        <w:t>法定代表人：刘仲生联系人：严菲</w:t>
      </w:r>
    </w:p>
    <w:p>
      <w:pPr>
        <w:pStyle w:val="BodyText"/>
        <w:spacing w:line="268" w:lineRule="exact"/>
      </w:pPr>
      <w:r>
        <w:rPr/>
        <w:t>联系电话：0532-66957360</w:t>
      </w:r>
    </w:p>
    <w:p>
      <w:pPr>
        <w:pStyle w:val="BodyText"/>
        <w:spacing w:line="364" w:lineRule="auto" w:before="139"/>
        <w:ind w:right="6125"/>
      </w:pPr>
      <w:r>
        <w:rPr/>
        <w:t>客户服务电话：0532-96668 传真：0532-66957229</w:t>
      </w:r>
    </w:p>
    <w:p>
      <w:pPr>
        <w:pStyle w:val="BodyText"/>
        <w:spacing w:line="268" w:lineRule="exact"/>
      </w:pPr>
      <w:hyperlink r:id="rId69">
        <w:r>
          <w:rPr/>
          <w:t>网址：www.qrcb.com.cn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青岛银行</w:t>
      </w:r>
    </w:p>
    <w:p>
      <w:pPr>
        <w:pStyle w:val="BodyText"/>
        <w:spacing w:line="364" w:lineRule="auto" w:before="140"/>
        <w:ind w:right="402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40"/>
        <w:ind w:right="3710"/>
      </w:pPr>
      <w:r>
        <w:rPr/>
        <w:t>客户服务电话：96588（青岛）400-66-96588（全国） </w:t>
      </w:r>
      <w:hyperlink r:id="rId70">
        <w:r>
          <w:rPr/>
          <w:t>网址：http://www.qdccb.com/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泉州银行</w:t>
      </w:r>
    </w:p>
    <w:p>
      <w:pPr>
        <w:pStyle w:val="BodyText"/>
        <w:spacing w:before="139"/>
      </w:pPr>
      <w:r>
        <w:rPr/>
        <w:t>注册地址：泉州市丰泽区云鹿路 3 号</w:t>
      </w:r>
    </w:p>
    <w:p>
      <w:pPr>
        <w:spacing w:after="0"/>
        <w:sectPr>
          <w:pgSz w:w="11910" w:h="16840"/>
          <w:pgMar w:header="0" w:footer="638" w:top="1380" w:bottom="900" w:left="960" w:right="980"/>
        </w:sectPr>
      </w:pPr>
    </w:p>
    <w:p>
      <w:pPr>
        <w:pStyle w:val="BodyText"/>
        <w:spacing w:line="364" w:lineRule="auto" w:before="45"/>
        <w:ind w:right="5285"/>
      </w:pP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915"/>
      </w:pPr>
      <w:r>
        <w:rPr/>
        <w:t>客户服务电话：400-88-96312 传真：0595-22578871</w:t>
      </w:r>
    </w:p>
    <w:p>
      <w:pPr>
        <w:pStyle w:val="BodyText"/>
        <w:spacing w:line="268" w:lineRule="exact"/>
      </w:pPr>
      <w:hyperlink r:id="rId71">
        <w:r>
          <w:rPr/>
          <w:t>网址：http://www.qzccbank.com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日照银行</w:t>
      </w:r>
    </w:p>
    <w:p>
      <w:pPr>
        <w:pStyle w:val="BodyText"/>
        <w:spacing w:line="364" w:lineRule="auto" w:before="140"/>
        <w:ind w:right="507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08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2">
        <w:r>
          <w:rPr/>
          <w:t>网址：http://www.bankofrizhao.com.cn/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瑞安农商银行</w:t>
      </w:r>
    </w:p>
    <w:p>
      <w:pPr>
        <w:pStyle w:val="BodyText"/>
        <w:spacing w:line="364" w:lineRule="auto" w:before="139"/>
        <w:ind w:right="465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40"/>
      </w:pPr>
      <w:r>
        <w:rPr/>
        <w:t>联系电话：0577-66681245</w:t>
      </w:r>
    </w:p>
    <w:p>
      <w:pPr>
        <w:pStyle w:val="BodyText"/>
        <w:spacing w:before="139"/>
      </w:pPr>
      <w:r>
        <w:rPr/>
        <w:t>客户服务电话：4008057702</w:t>
      </w:r>
    </w:p>
    <w:p>
      <w:pPr>
        <w:pStyle w:val="ListParagraph"/>
        <w:numPr>
          <w:ilvl w:val="0"/>
          <w:numId w:val="7"/>
        </w:numPr>
        <w:tabs>
          <w:tab w:pos="1845" w:val="left" w:leader="none"/>
        </w:tabs>
        <w:spacing w:line="240" w:lineRule="auto" w:before="140" w:after="0"/>
        <w:ind w:left="1845" w:right="0" w:hanging="525"/>
        <w:jc w:val="both"/>
        <w:rPr>
          <w:sz w:val="21"/>
        </w:rPr>
      </w:pPr>
      <w:r>
        <w:rPr>
          <w:sz w:val="21"/>
        </w:rPr>
        <w:t>瑞丰银行</w:t>
      </w:r>
    </w:p>
    <w:p>
      <w:pPr>
        <w:pStyle w:val="BodyText"/>
        <w:spacing w:line="364" w:lineRule="auto" w:before="139"/>
        <w:ind w:right="434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40"/>
      </w:pPr>
      <w:r>
        <w:rPr/>
        <w:t>联系电话：0575-81105323</w:t>
      </w:r>
    </w:p>
    <w:p>
      <w:pPr>
        <w:pStyle w:val="BodyText"/>
        <w:spacing w:line="364" w:lineRule="auto" w:before="139"/>
        <w:ind w:right="5915"/>
      </w:pPr>
      <w:r>
        <w:rPr/>
        <w:t>客户服务电话：400-88-96596 传真：0575-84788134</w:t>
      </w:r>
    </w:p>
    <w:p>
      <w:pPr>
        <w:pStyle w:val="BodyText"/>
        <w:spacing w:line="268" w:lineRule="exact"/>
      </w:pPr>
      <w:hyperlink r:id="rId73">
        <w:r>
          <w:rPr/>
          <w:t>网址：www.borf.cn</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上海农村商业银行</w:t>
      </w:r>
    </w:p>
    <w:p>
      <w:pPr>
        <w:pStyle w:val="BodyText"/>
        <w:spacing w:before="139"/>
      </w:pPr>
      <w:r>
        <w:rPr/>
        <w:t>注册地址：上海市黄浦区中山东二路 70 号</w:t>
      </w:r>
    </w:p>
    <w:p>
      <w:pPr>
        <w:spacing w:after="0"/>
        <w:sectPr>
          <w:pgSz w:w="11910" w:h="16840"/>
          <w:pgMar w:header="0" w:footer="638" w:top="1380" w:bottom="900" w:left="960" w:right="980"/>
        </w:sectPr>
      </w:pPr>
    </w:p>
    <w:p>
      <w:pPr>
        <w:pStyle w:val="BodyText"/>
        <w:spacing w:line="364" w:lineRule="auto" w:before="45"/>
        <w:ind w:right="308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285"/>
      </w:pPr>
      <w:r>
        <w:rPr/>
        <w:t>开放式基金业务传真：021-50105124 </w:t>
      </w:r>
      <w:hyperlink r:id="rId74">
        <w:r>
          <w:rPr/>
          <w:t>网址：www.srcb.com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上海银行</w:t>
      </w:r>
    </w:p>
    <w:p>
      <w:pPr>
        <w:pStyle w:val="BodyText"/>
        <w:spacing w:line="364" w:lineRule="auto" w:before="140"/>
        <w:ind w:right="339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965"/>
      </w:pPr>
      <w:r>
        <w:rPr/>
        <w:t>法定代表人：金煜联系人：王笑</w:t>
      </w:r>
    </w:p>
    <w:p>
      <w:pPr>
        <w:pStyle w:val="BodyText"/>
        <w:spacing w:line="268" w:lineRule="exact"/>
      </w:pPr>
      <w:r>
        <w:rPr/>
        <w:t>联系电话：021-68475732</w:t>
      </w:r>
    </w:p>
    <w:p>
      <w:pPr>
        <w:pStyle w:val="BodyText"/>
        <w:spacing w:before="138"/>
      </w:pPr>
      <w:r>
        <w:rPr/>
        <w:t>客户服务电话：95594</w:t>
      </w:r>
    </w:p>
    <w:p>
      <w:pPr>
        <w:pStyle w:val="BodyText"/>
        <w:spacing w:before="140"/>
      </w:pPr>
      <w:hyperlink r:id="rId75">
        <w:r>
          <w:rPr/>
          <w:t>网址：http://www.bosc.cn/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深圳农村商业银行</w:t>
      </w:r>
    </w:p>
    <w:p>
      <w:pPr>
        <w:pStyle w:val="BodyText"/>
        <w:spacing w:before="140"/>
      </w:pPr>
      <w:r>
        <w:rPr/>
        <w:t>注册地址：深圳市罗湖区深南东路 3038 号</w:t>
      </w:r>
    </w:p>
    <w:p>
      <w:pPr>
        <w:pStyle w:val="BodyText"/>
        <w:spacing w:line="364" w:lineRule="auto" w:before="139"/>
        <w:ind w:right="3500"/>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40"/>
      </w:pPr>
      <w:r>
        <w:rPr/>
        <w:t>客户服务电话：4001961200</w:t>
      </w:r>
    </w:p>
    <w:p>
      <w:pPr>
        <w:pStyle w:val="BodyText"/>
        <w:spacing w:before="139"/>
      </w:pPr>
      <w:hyperlink r:id="rId76">
        <w:r>
          <w:rPr/>
          <w:t>网址：http://www.4001961200.com/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顺德农村商业银行</w:t>
      </w:r>
    </w:p>
    <w:p>
      <w:pPr>
        <w:pStyle w:val="BodyText"/>
        <w:spacing w:line="364" w:lineRule="auto" w:before="139"/>
        <w:ind w:right="339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230"/>
      </w:pPr>
      <w:r>
        <w:rPr/>
        <w:t>联系人：杨素苗、区敏欣联系电话：0757-22382524</w:t>
      </w:r>
    </w:p>
    <w:p>
      <w:pPr>
        <w:pStyle w:val="BodyText"/>
        <w:spacing w:line="364" w:lineRule="auto"/>
        <w:ind w:right="5810"/>
      </w:pPr>
      <w:r>
        <w:rPr/>
        <w:t>客户服务电话：0757-22223388 传真：0757-22388235</w:t>
      </w:r>
    </w:p>
    <w:p>
      <w:pPr>
        <w:pStyle w:val="BodyText"/>
        <w:spacing w:line="268" w:lineRule="exact"/>
      </w:pPr>
      <w:hyperlink r:id="rId77">
        <w:r>
          <w:rPr/>
          <w:t>网址：www.sdebank.com</w:t>
        </w:r>
      </w:hyperlink>
    </w:p>
    <w:p>
      <w:pPr>
        <w:pStyle w:val="ListParagraph"/>
        <w:numPr>
          <w:ilvl w:val="0"/>
          <w:numId w:val="7"/>
        </w:numPr>
        <w:tabs>
          <w:tab w:pos="1845" w:val="left" w:leader="none"/>
        </w:tabs>
        <w:spacing w:line="240" w:lineRule="auto" w:before="137" w:after="0"/>
        <w:ind w:left="1845" w:right="0" w:hanging="525"/>
        <w:jc w:val="both"/>
        <w:rPr>
          <w:sz w:val="21"/>
        </w:rPr>
      </w:pPr>
      <w:r>
        <w:rPr>
          <w:sz w:val="21"/>
        </w:rPr>
        <w:t>四川天府银行</w:t>
      </w:r>
    </w:p>
    <w:p>
      <w:pPr>
        <w:pStyle w:val="BodyText"/>
        <w:spacing w:before="140"/>
      </w:pPr>
      <w:r>
        <w:rPr/>
        <w:t>注册地址：四川省南充市涪江路 1 号</w:t>
      </w:r>
    </w:p>
    <w:p>
      <w:pPr>
        <w:spacing w:after="0"/>
        <w:sectPr>
          <w:pgSz w:w="11910" w:h="16840"/>
          <w:pgMar w:header="0" w:footer="638" w:top="1380" w:bottom="900" w:left="960" w:right="980"/>
        </w:sectPr>
      </w:pPr>
    </w:p>
    <w:p>
      <w:pPr>
        <w:pStyle w:val="BodyText"/>
        <w:spacing w:line="364" w:lineRule="auto" w:before="45"/>
        <w:ind w:right="3605"/>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5915"/>
      </w:pPr>
      <w:r>
        <w:rPr/>
        <w:t>客户服务电话：400-16-96869 </w:t>
      </w:r>
      <w:hyperlink r:id="rId78">
        <w:r>
          <w:rPr/>
          <w:t>网址：www.tf.cn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苏州银行</w:t>
      </w:r>
    </w:p>
    <w:p>
      <w:pPr>
        <w:pStyle w:val="BodyText"/>
        <w:spacing w:line="364" w:lineRule="auto" w:before="139"/>
        <w:ind w:right="423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6650"/>
      </w:pPr>
      <w:r>
        <w:rPr/>
        <w:t>客户服务电话：96067 传真：0512-69868373</w:t>
      </w:r>
    </w:p>
    <w:p>
      <w:pPr>
        <w:pStyle w:val="BodyText"/>
        <w:spacing w:line="268" w:lineRule="exact"/>
      </w:pPr>
      <w:hyperlink r:id="rId79">
        <w:r>
          <w:rPr/>
          <w:t>网址：www.suzhoubank.com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天津银行</w:t>
      </w:r>
    </w:p>
    <w:p>
      <w:pPr>
        <w:pStyle w:val="BodyText"/>
        <w:spacing w:line="364" w:lineRule="auto" w:before="139"/>
        <w:ind w:right="518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545"/>
      </w:pPr>
      <w:r>
        <w:rPr/>
        <w:t>客户服务电话：956056 传真：022-28405631</w:t>
      </w:r>
    </w:p>
    <w:p>
      <w:pPr>
        <w:pStyle w:val="BodyText"/>
        <w:spacing w:line="268" w:lineRule="exact"/>
      </w:pPr>
      <w:hyperlink r:id="rId80">
        <w:r>
          <w:rPr/>
          <w:t>网址：www.bank-of-tianjin.com.cn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威海市商业银行</w:t>
      </w:r>
    </w:p>
    <w:p>
      <w:pPr>
        <w:pStyle w:val="BodyText"/>
        <w:spacing w:before="140"/>
      </w:pPr>
      <w:r>
        <w:rPr/>
        <w:t>注册地址：威海市宝泉路 9 号</w:t>
      </w:r>
    </w:p>
    <w:p>
      <w:pPr>
        <w:pStyle w:val="BodyText"/>
        <w:spacing w:line="364" w:lineRule="auto" w:before="139"/>
        <w:ind w:right="507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81">
        <w:r>
          <w:rPr/>
          <w:t>网址：www.whccb.com</w:t>
        </w:r>
      </w:hyperlink>
      <w:r>
        <w:rPr/>
        <w:t>，</w:t>
      </w:r>
      <w:hyperlink r:id="rId82">
        <w:r>
          <w:rPr/>
          <w:t>www.whccb.com.cn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微众银行</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left="840" w:right="818" w:firstLine="480"/>
      </w:pPr>
      <w:r>
        <w:rPr>
          <w:spacing w:val="-3"/>
        </w:rPr>
        <w:t>注册地址：深圳市前海深港合作区前湾一路 </w:t>
      </w:r>
      <w:r>
        <w:rPr/>
        <w:t>1</w:t>
      </w:r>
      <w:r>
        <w:rPr>
          <w:spacing w:val="-32"/>
        </w:rPr>
        <w:t> 号 </w:t>
      </w:r>
      <w:r>
        <w:rPr/>
        <w:t>A</w:t>
      </w:r>
      <w:r>
        <w:rPr>
          <w:spacing w:val="-32"/>
        </w:rPr>
        <w:t> 栋 </w:t>
      </w:r>
      <w:r>
        <w:rPr/>
        <w:t>201</w:t>
      </w:r>
      <w:r>
        <w:rPr>
          <w:spacing w:val="-23"/>
        </w:rPr>
        <w:t> 室</w:t>
      </w:r>
      <w:r>
        <w:rPr/>
        <w:t>（入驻深圳市前海商务秘书有限公司）</w:t>
      </w:r>
    </w:p>
    <w:p>
      <w:pPr>
        <w:pStyle w:val="BodyText"/>
        <w:spacing w:line="364" w:lineRule="auto"/>
        <w:ind w:right="161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8"/>
      </w:pPr>
      <w:hyperlink r:id="rId83">
        <w:r>
          <w:rPr/>
          <w:t>网址：http://www.webank.com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潍坊银行</w:t>
      </w:r>
    </w:p>
    <w:p>
      <w:pPr>
        <w:pStyle w:val="BodyText"/>
        <w:spacing w:line="364" w:lineRule="auto" w:before="139"/>
        <w:ind w:right="413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5915"/>
      </w:pPr>
      <w:r>
        <w:rPr/>
        <w:t>客户服务电话</w:t>
      </w:r>
      <w:r>
        <w:rPr>
          <w:spacing w:val="-2"/>
        </w:rPr>
        <w:t>：400-61-96588 </w:t>
      </w:r>
      <w:r>
        <w:rPr/>
        <w:t>传真：0536-8056061</w:t>
      </w:r>
    </w:p>
    <w:p>
      <w:pPr>
        <w:pStyle w:val="BodyText"/>
        <w:spacing w:line="268" w:lineRule="exact"/>
      </w:pPr>
      <w:hyperlink r:id="rId84">
        <w:r>
          <w:rPr/>
          <w:t>网址：www.wfccb.com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乌鲁木齐银行</w:t>
      </w:r>
    </w:p>
    <w:p>
      <w:pPr>
        <w:pStyle w:val="BodyText"/>
        <w:spacing w:line="364" w:lineRule="auto" w:before="139"/>
        <w:ind w:right="980"/>
        <w:jc w:val="both"/>
      </w:pPr>
      <w:r>
        <w:rPr>
          <w:spacing w:val="-3"/>
        </w:rPr>
        <w:t>注册地址：新疆乌鲁木齐市水磨沟区会展大道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spacing w:val="-3"/>
        </w:rPr>
        <w:t>办公地址：新疆乌鲁木齐市水磨沟区会展大道 </w:t>
      </w:r>
      <w:r>
        <w:rPr/>
        <w:t>599</w:t>
      </w:r>
      <w:r>
        <w:rPr>
          <w:spacing w:val="-13"/>
        </w:rPr>
        <w:t> 号新疆财富中心 </w:t>
      </w:r>
      <w:r>
        <w:rPr/>
        <w:t>A</w:t>
      </w:r>
      <w:r>
        <w:rPr>
          <w:spacing w:val="-36"/>
        </w:rPr>
        <w:t> 座 </w:t>
      </w:r>
      <w:r>
        <w:rPr/>
        <w:t>4</w:t>
      </w:r>
      <w:r>
        <w:rPr>
          <w:spacing w:val="-27"/>
        </w:rPr>
        <w:t> 层至 </w:t>
      </w:r>
      <w:r>
        <w:rPr/>
        <w:t>31</w:t>
      </w:r>
      <w:r>
        <w:rPr>
          <w:spacing w:val="-34"/>
        </w:rPr>
        <w:t> 层</w:t>
      </w:r>
      <w:r>
        <w:rPr/>
        <w:t>法定代表人：任思宇</w:t>
      </w:r>
    </w:p>
    <w:p>
      <w:pPr>
        <w:pStyle w:val="BodyText"/>
        <w:spacing w:line="268" w:lineRule="exact"/>
      </w:pPr>
      <w:r>
        <w:rPr/>
        <w:t>联系人：王小培</w:t>
      </w:r>
    </w:p>
    <w:p>
      <w:pPr>
        <w:pStyle w:val="BodyText"/>
        <w:spacing w:before="140"/>
      </w:pPr>
      <w:r>
        <w:rPr/>
        <w:t>联系电话：0991-4500319</w:t>
      </w:r>
    </w:p>
    <w:p>
      <w:pPr>
        <w:pStyle w:val="BodyText"/>
        <w:spacing w:line="364" w:lineRule="auto" w:before="139"/>
        <w:ind w:right="6125"/>
      </w:pPr>
      <w:r>
        <w:rPr/>
        <w:t>客户服务电话：0991-96518 传真：0991-8824667</w:t>
      </w:r>
    </w:p>
    <w:p>
      <w:pPr>
        <w:pStyle w:val="BodyText"/>
        <w:spacing w:line="268" w:lineRule="exact"/>
      </w:pPr>
      <w:hyperlink r:id="rId85">
        <w:r>
          <w:rPr/>
          <w:t>网址：www.uccb.com.cn</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武汉农村商业银行</w:t>
      </w:r>
    </w:p>
    <w:p>
      <w:pPr>
        <w:pStyle w:val="BodyText"/>
        <w:spacing w:line="364" w:lineRule="auto" w:before="140"/>
        <w:ind w:right="4235"/>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39"/>
      </w:pPr>
      <w:r>
        <w:rPr/>
        <w:t>电话：027-85497270</w:t>
      </w:r>
    </w:p>
    <w:p>
      <w:pPr>
        <w:pStyle w:val="BodyText"/>
        <w:spacing w:line="364" w:lineRule="auto" w:before="140"/>
        <w:ind w:right="6650"/>
      </w:pPr>
      <w:r>
        <w:rPr/>
        <w:t>客户服务电话</w:t>
      </w:r>
      <w:r>
        <w:rPr>
          <w:spacing w:val="-4"/>
        </w:rPr>
        <w:t>：95367 </w:t>
      </w:r>
      <w:r>
        <w:rPr/>
        <w:t>传真：027-85497270</w:t>
      </w:r>
    </w:p>
    <w:p>
      <w:pPr>
        <w:pStyle w:val="BodyText"/>
        <w:spacing w:line="268" w:lineRule="exact"/>
      </w:pPr>
      <w:hyperlink r:id="rId86">
        <w:r>
          <w:rPr/>
          <w:t>网址：http://www.whrcbank.com/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厦门银行</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right="3605"/>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5915"/>
      </w:pPr>
      <w:r>
        <w:rPr/>
        <w:t>客户服务电话：400-858-8888 传真：0592-5373973</w:t>
      </w:r>
    </w:p>
    <w:p>
      <w:pPr>
        <w:pStyle w:val="BodyText"/>
        <w:spacing w:line="268" w:lineRule="exact"/>
      </w:pPr>
      <w:hyperlink r:id="rId87">
        <w:r>
          <w:rPr/>
          <w:t>网址：www.xmbankonline.com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西安银行</w:t>
      </w:r>
    </w:p>
    <w:p>
      <w:pPr>
        <w:pStyle w:val="BodyText"/>
        <w:spacing w:line="364" w:lineRule="auto" w:before="140"/>
        <w:ind w:right="5810"/>
        <w:jc w:val="both"/>
      </w:pPr>
      <w:r>
        <w:rPr>
          <w:spacing w:val="-5"/>
        </w:rPr>
        <w:t>注册地址：西安市高新路 </w:t>
      </w:r>
      <w:r>
        <w:rPr/>
        <w:t>60</w:t>
      </w:r>
      <w:r>
        <w:rPr>
          <w:spacing w:val="-36"/>
        </w:rPr>
        <w:t> 号</w:t>
      </w:r>
      <w:r>
        <w:rPr>
          <w:spacing w:val="-5"/>
        </w:rPr>
        <w:t>办公地址：西安市高新路 </w:t>
      </w:r>
      <w:r>
        <w:rPr/>
        <w:t>60</w:t>
      </w:r>
      <w:r>
        <w:rPr>
          <w:spacing w:val="-36"/>
        </w:rPr>
        <w:t> 号</w:t>
      </w:r>
      <w:r>
        <w:rPr/>
        <w:t>法定代表人：郭军</w:t>
      </w:r>
    </w:p>
    <w:p>
      <w:pPr>
        <w:pStyle w:val="BodyText"/>
        <w:spacing w:line="268" w:lineRule="exact"/>
      </w:pPr>
      <w:r>
        <w:rPr/>
        <w:t>联系人：白智</w:t>
      </w:r>
    </w:p>
    <w:p>
      <w:pPr>
        <w:pStyle w:val="BodyText"/>
        <w:spacing w:before="139"/>
      </w:pPr>
      <w:r>
        <w:rPr/>
        <w:t>联系电话：029-88992881</w:t>
      </w:r>
    </w:p>
    <w:p>
      <w:pPr>
        <w:pStyle w:val="BodyText"/>
        <w:spacing w:line="364" w:lineRule="auto" w:before="140"/>
        <w:ind w:right="3710"/>
      </w:pPr>
      <w:r>
        <w:rPr/>
        <w:t>客户服务电话：40086-96779（全国</w:t>
      </w:r>
      <w:r>
        <w:rPr>
          <w:spacing w:val="-105"/>
        </w:rPr>
        <w:t>）</w:t>
      </w:r>
      <w:r>
        <w:rPr/>
        <w:t>、96779（陕西</w:t>
      </w:r>
      <w:r>
        <w:rPr>
          <w:spacing w:val="-19"/>
        </w:rPr>
        <w:t>） </w:t>
      </w:r>
      <w:hyperlink r:id="rId88">
        <w:r>
          <w:rPr/>
          <w:t>网址：www.xacbank.com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萧山农商银行</w:t>
      </w:r>
    </w:p>
    <w:p>
      <w:pPr>
        <w:pStyle w:val="BodyText"/>
        <w:spacing w:before="139"/>
      </w:pPr>
      <w:r>
        <w:rPr/>
        <w:t>注册地址：萧山区人民路 258 号</w:t>
      </w:r>
    </w:p>
    <w:p>
      <w:pPr>
        <w:pStyle w:val="BodyText"/>
        <w:spacing w:line="364" w:lineRule="auto" w:before="139"/>
        <w:ind w:right="444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89">
        <w:r>
          <w:rPr/>
          <w:t>网址：http://www.zjxsbank.com/</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烟台银行</w:t>
      </w:r>
    </w:p>
    <w:p>
      <w:pPr>
        <w:pStyle w:val="BodyText"/>
        <w:spacing w:line="364" w:lineRule="auto" w:before="140"/>
        <w:ind w:right="455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915"/>
      </w:pPr>
      <w:r>
        <w:rPr/>
        <w:t>客户服务电话：4008-311-777 传真：0535-6699884</w:t>
      </w:r>
    </w:p>
    <w:p>
      <w:pPr>
        <w:pStyle w:val="BodyText"/>
        <w:spacing w:line="268" w:lineRule="exact"/>
      </w:pPr>
      <w:hyperlink r:id="rId90">
        <w:r>
          <w:rPr/>
          <w:t>网址：www.yantaibank.net</w:t>
        </w:r>
      </w:hyperlink>
    </w:p>
    <w:p>
      <w:pPr>
        <w:pStyle w:val="ListParagraph"/>
        <w:numPr>
          <w:ilvl w:val="0"/>
          <w:numId w:val="7"/>
        </w:numPr>
        <w:tabs>
          <w:tab w:pos="1845" w:val="left" w:leader="none"/>
        </w:tabs>
        <w:spacing w:line="240" w:lineRule="auto" w:before="139" w:after="0"/>
        <w:ind w:left="1845" w:right="0" w:hanging="525"/>
        <w:jc w:val="both"/>
        <w:rPr>
          <w:sz w:val="21"/>
        </w:rPr>
      </w:pPr>
      <w:r>
        <w:rPr>
          <w:sz w:val="21"/>
        </w:rPr>
        <w:t>鄞州银行</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right="4970"/>
        <w:jc w:val="both"/>
      </w:pPr>
      <w:r>
        <w:rPr>
          <w:spacing w:val="-4"/>
        </w:rPr>
        <w:t>注册地址：宁波市鄞州区民惠西路 </w:t>
      </w:r>
      <w:r>
        <w:rPr/>
        <w:t>88</w:t>
      </w:r>
      <w:r>
        <w:rPr>
          <w:spacing w:val="-36"/>
        </w:rPr>
        <w:t> 号</w:t>
      </w:r>
      <w:r>
        <w:rPr>
          <w:spacing w:val="-4"/>
        </w:rPr>
        <w:t>办公地址：宁波市鄞州区民惠西路 </w:t>
      </w:r>
      <w:r>
        <w:rPr/>
        <w:t>88</w:t>
      </w:r>
      <w:r>
        <w:rPr>
          <w:spacing w:val="-36"/>
        </w:rPr>
        <w:t> 号</w:t>
      </w:r>
      <w:r>
        <w:rPr/>
        <w:t>法定代表人：周建斌</w:t>
      </w:r>
    </w:p>
    <w:p>
      <w:pPr>
        <w:pStyle w:val="BodyText"/>
        <w:spacing w:line="268" w:lineRule="exact"/>
      </w:pPr>
      <w:r>
        <w:rPr/>
        <w:t>联系人：朱霓虹</w:t>
      </w:r>
    </w:p>
    <w:p>
      <w:pPr>
        <w:pStyle w:val="BodyText"/>
        <w:spacing w:before="139"/>
      </w:pPr>
      <w:r>
        <w:rPr/>
        <w:t>联系电话：0574-87412569</w:t>
      </w:r>
    </w:p>
    <w:p>
      <w:pPr>
        <w:pStyle w:val="BodyText"/>
        <w:spacing w:line="364" w:lineRule="auto" w:before="140"/>
        <w:ind w:right="6440"/>
      </w:pPr>
      <w:r>
        <w:rPr/>
        <w:t>客户服务电话：956058 </w:t>
      </w:r>
      <w:hyperlink r:id="rId91">
        <w:r>
          <w:rPr/>
          <w:t>网址：www.beeb.com.cn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余杭农村商业银行</w:t>
      </w:r>
    </w:p>
    <w:p>
      <w:pPr>
        <w:pStyle w:val="BodyText"/>
        <w:spacing w:line="364" w:lineRule="auto" w:before="139"/>
        <w:ind w:right="434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40"/>
      </w:pPr>
      <w:r>
        <w:rPr/>
        <w:t>联系电话：0571-86209980</w:t>
      </w:r>
    </w:p>
    <w:p>
      <w:pPr>
        <w:pStyle w:val="BodyText"/>
        <w:spacing w:line="364" w:lineRule="auto" w:before="139"/>
        <w:ind w:right="5390"/>
      </w:pPr>
      <w:r>
        <w:rPr/>
        <w:t>客户服务电话：96596，4008896596 </w:t>
      </w:r>
      <w:hyperlink r:id="rId92">
        <w:r>
          <w:rPr/>
          <w:t>网址：www.yhrcb.com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云南红塔银行</w:t>
      </w:r>
    </w:p>
    <w:p>
      <w:pPr>
        <w:pStyle w:val="BodyText"/>
        <w:spacing w:before="140"/>
      </w:pPr>
      <w:r>
        <w:rPr>
          <w:spacing w:val="-4"/>
        </w:rPr>
        <w:t>注册地址：云南省玉溪市东风南路 </w:t>
      </w:r>
      <w:r>
        <w:rPr/>
        <w:t>2</w:t>
      </w:r>
      <w:r>
        <w:rPr>
          <w:spacing w:val="-27"/>
        </w:rPr>
        <w:t> 号</w:t>
      </w:r>
    </w:p>
    <w:p>
      <w:pPr>
        <w:pStyle w:val="BodyText"/>
        <w:spacing w:line="364" w:lineRule="auto" w:before="139"/>
        <w:ind w:right="381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40"/>
        <w:ind w:right="6125"/>
      </w:pPr>
      <w:r>
        <w:rPr>
          <w:spacing w:val="-1"/>
        </w:rPr>
        <w:t>客户服务电话</w:t>
      </w:r>
      <w:r>
        <w:rPr/>
        <w:t>：0877-96522 </w:t>
      </w:r>
      <w:hyperlink r:id="rId93">
        <w:r>
          <w:rPr/>
          <w:t>网址：www.ynhtbank.com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浙江稠州商业银行</w:t>
      </w:r>
    </w:p>
    <w:p>
      <w:pPr>
        <w:pStyle w:val="BodyText"/>
        <w:spacing w:line="364" w:lineRule="auto" w:before="139"/>
        <w:ind w:right="423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6125"/>
      </w:pPr>
      <w:r>
        <w:rPr/>
        <w:t>客户服务电话：0571-96527 传真：0571-87117607</w:t>
      </w:r>
    </w:p>
    <w:p>
      <w:pPr>
        <w:pStyle w:val="BodyText"/>
        <w:spacing w:line="268" w:lineRule="exact"/>
      </w:pPr>
      <w:hyperlink r:id="rId94">
        <w:r>
          <w:rPr/>
          <w:t>网址：http://www.czcb.com.cn/</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浙江泰隆商业银行</w:t>
      </w:r>
    </w:p>
    <w:p>
      <w:pPr>
        <w:pStyle w:val="BodyText"/>
        <w:spacing w:before="139"/>
      </w:pPr>
      <w:r>
        <w:rPr/>
        <w:t>注册地址：浙江省台州市路桥区南官大道 188 号</w:t>
      </w:r>
    </w:p>
    <w:p>
      <w:pPr>
        <w:spacing w:after="0"/>
        <w:sectPr>
          <w:pgSz w:w="11910" w:h="16840"/>
          <w:pgMar w:header="0" w:footer="638" w:top="1380" w:bottom="900" w:left="960" w:right="980"/>
        </w:sectPr>
      </w:pPr>
    </w:p>
    <w:p>
      <w:pPr>
        <w:pStyle w:val="BodyText"/>
        <w:spacing w:line="364" w:lineRule="auto" w:before="45"/>
        <w:ind w:right="4235"/>
      </w:pP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545"/>
      </w:pPr>
      <w:r>
        <w:rPr/>
        <w:t>客户服务电话：95347 </w:t>
      </w:r>
      <w:hyperlink r:id="rId95">
        <w:r>
          <w:rPr/>
          <w:t>网址：www.zjtlcb.com</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郑州银行</w:t>
      </w:r>
    </w:p>
    <w:p>
      <w:pPr>
        <w:pStyle w:val="BodyText"/>
        <w:spacing w:line="364" w:lineRule="auto" w:before="139"/>
        <w:ind w:right="3920"/>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联系人：庞骏</w:t>
      </w:r>
    </w:p>
    <w:p>
      <w:pPr>
        <w:pStyle w:val="BodyText"/>
        <w:spacing w:before="140"/>
      </w:pPr>
      <w:r>
        <w:rPr/>
        <w:t>联系电话：0371-67009917</w:t>
      </w:r>
    </w:p>
    <w:p>
      <w:pPr>
        <w:pStyle w:val="BodyText"/>
        <w:spacing w:line="364" w:lineRule="auto" w:before="139"/>
        <w:ind w:right="6650"/>
      </w:pPr>
      <w:r>
        <w:rPr/>
        <w:t>客户服务电话：95097 传真：0371-67009097</w:t>
      </w:r>
    </w:p>
    <w:p>
      <w:pPr>
        <w:pStyle w:val="BodyText"/>
        <w:spacing w:line="268" w:lineRule="exact"/>
      </w:pPr>
      <w:hyperlink r:id="rId96">
        <w:r>
          <w:rPr/>
          <w:t>网址：http://www.zzbank.cn/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中原银行</w:t>
      </w:r>
    </w:p>
    <w:p>
      <w:pPr>
        <w:pStyle w:val="BodyText"/>
        <w:spacing w:line="364" w:lineRule="auto" w:before="139"/>
        <w:ind w:right="224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97">
        <w:r>
          <w:rPr/>
          <w:t>网址：www.zybank.com.cn</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重庆农村商业银行</w:t>
      </w:r>
    </w:p>
    <w:p>
      <w:pPr>
        <w:pStyle w:val="BodyText"/>
        <w:spacing w:line="364" w:lineRule="auto" w:before="139"/>
        <w:ind w:right="497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650"/>
      </w:pPr>
      <w:r>
        <w:rPr/>
        <w:t>客户服务电话</w:t>
      </w:r>
      <w:r>
        <w:rPr>
          <w:spacing w:val="-4"/>
        </w:rPr>
        <w:t>：95389 </w:t>
      </w:r>
      <w:r>
        <w:rPr/>
        <w:t>传真：023-61110146</w:t>
      </w:r>
    </w:p>
    <w:p>
      <w:pPr>
        <w:pStyle w:val="BodyText"/>
        <w:spacing w:line="268" w:lineRule="exact"/>
      </w:pPr>
      <w:hyperlink r:id="rId98">
        <w:r>
          <w:rPr/>
          <w:t>网址：www.cqrcb.com</w:t>
        </w:r>
      </w:hyperlink>
    </w:p>
    <w:p>
      <w:pPr>
        <w:pStyle w:val="ListParagraph"/>
        <w:numPr>
          <w:ilvl w:val="0"/>
          <w:numId w:val="7"/>
        </w:numPr>
        <w:tabs>
          <w:tab w:pos="1845" w:val="left" w:leader="none"/>
        </w:tabs>
        <w:spacing w:line="240" w:lineRule="auto" w:before="140" w:after="0"/>
        <w:ind w:left="1845" w:right="0" w:hanging="525"/>
        <w:jc w:val="both"/>
        <w:rPr>
          <w:sz w:val="21"/>
        </w:rPr>
      </w:pPr>
      <w:r>
        <w:rPr>
          <w:sz w:val="21"/>
        </w:rPr>
        <w:t>重庆银行</w:t>
      </w:r>
    </w:p>
    <w:p>
      <w:pPr>
        <w:pStyle w:val="BodyText"/>
        <w:spacing w:before="139"/>
      </w:pPr>
      <w:r>
        <w:rPr/>
        <w:t>注册地址：重庆市渝中区邹容路 153 号</w:t>
      </w:r>
    </w:p>
    <w:p>
      <w:pPr>
        <w:spacing w:after="0"/>
        <w:sectPr>
          <w:pgSz w:w="11910" w:h="16840"/>
          <w:pgMar w:header="0" w:footer="638" w:top="1380" w:bottom="900" w:left="960" w:right="980"/>
        </w:sectPr>
      </w:pPr>
    </w:p>
    <w:p>
      <w:pPr>
        <w:pStyle w:val="BodyText"/>
        <w:spacing w:line="364" w:lineRule="auto" w:before="45"/>
        <w:ind w:right="5075"/>
      </w:pP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40"/>
        <w:ind w:right="5390"/>
      </w:pPr>
      <w:r>
        <w:rPr/>
        <w:t>客户服务电话：96899，4007096899 </w:t>
      </w:r>
      <w:hyperlink r:id="rId99">
        <w:r>
          <w:rPr/>
          <w:t>网址：www.cqcbank.com.cn</w:t>
        </w:r>
      </w:hyperlink>
    </w:p>
    <w:p>
      <w:pPr>
        <w:pStyle w:val="ListParagraph"/>
        <w:numPr>
          <w:ilvl w:val="0"/>
          <w:numId w:val="7"/>
        </w:numPr>
        <w:tabs>
          <w:tab w:pos="1845" w:val="left" w:leader="none"/>
        </w:tabs>
        <w:spacing w:line="268" w:lineRule="exact" w:before="0" w:after="0"/>
        <w:ind w:left="1845" w:right="0" w:hanging="525"/>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45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100">
        <w:r>
          <w:rPr/>
          <w:t>网址：www.crbank.com.cn</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安信证券</w:t>
      </w:r>
    </w:p>
    <w:p>
      <w:pPr>
        <w:pStyle w:val="BodyText"/>
        <w:spacing w:line="364" w:lineRule="auto" w:before="140"/>
        <w:ind w:right="208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66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6650"/>
      </w:pPr>
      <w:r>
        <w:rPr/>
        <w:t>客户服务电话：95517 传真：0755-82558355</w:t>
      </w:r>
    </w:p>
    <w:p>
      <w:pPr>
        <w:pStyle w:val="BodyText"/>
        <w:spacing w:line="268" w:lineRule="exact"/>
      </w:pPr>
      <w:hyperlink r:id="rId101">
        <w:r>
          <w:rPr/>
          <w:t>网址：www.essence.com.cn</w:t>
        </w:r>
      </w:hyperlink>
    </w:p>
    <w:p>
      <w:pPr>
        <w:pStyle w:val="ListParagraph"/>
        <w:numPr>
          <w:ilvl w:val="0"/>
          <w:numId w:val="7"/>
        </w:numPr>
        <w:tabs>
          <w:tab w:pos="1845" w:val="left" w:leader="none"/>
        </w:tabs>
        <w:spacing w:line="240" w:lineRule="auto" w:before="139" w:after="0"/>
        <w:ind w:left="1845" w:right="0" w:hanging="525"/>
        <w:jc w:val="left"/>
        <w:rPr>
          <w:sz w:val="21"/>
        </w:rPr>
      </w:pPr>
      <w:r>
        <w:rPr>
          <w:sz w:val="21"/>
        </w:rPr>
        <w:t>渤海证券</w:t>
      </w:r>
    </w:p>
    <w:p>
      <w:pPr>
        <w:pStyle w:val="BodyText"/>
        <w:spacing w:line="364" w:lineRule="auto" w:before="140"/>
        <w:ind w:right="287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755"/>
      </w:pPr>
      <w:r>
        <w:rPr/>
        <w:t>法定代表人：安志勇联系人：王星</w:t>
      </w:r>
    </w:p>
    <w:p>
      <w:pPr>
        <w:pStyle w:val="BodyText"/>
        <w:spacing w:line="268" w:lineRule="exact"/>
      </w:pPr>
      <w:r>
        <w:rPr/>
        <w:t>联系电话：022-28451922</w:t>
      </w:r>
    </w:p>
    <w:p>
      <w:pPr>
        <w:pStyle w:val="BodyText"/>
        <w:spacing w:line="364" w:lineRule="auto" w:before="138"/>
        <w:ind w:right="5915"/>
      </w:pPr>
      <w:r>
        <w:rPr/>
        <w:t>客户服务电话：400-651-5988 传真：022-28451892</w:t>
      </w:r>
    </w:p>
    <w:p>
      <w:pPr>
        <w:pStyle w:val="BodyText"/>
        <w:spacing w:line="268" w:lineRule="exact"/>
      </w:pPr>
      <w:hyperlink r:id="rId102">
        <w:r>
          <w:rPr/>
          <w:t>网址：www.ewww.com.cn</w:t>
        </w:r>
      </w:hyperlink>
    </w:p>
    <w:p>
      <w:pPr>
        <w:pStyle w:val="ListParagraph"/>
        <w:numPr>
          <w:ilvl w:val="0"/>
          <w:numId w:val="7"/>
        </w:numPr>
        <w:tabs>
          <w:tab w:pos="1845" w:val="left" w:leader="none"/>
        </w:tabs>
        <w:spacing w:line="240" w:lineRule="auto" w:before="140" w:after="0"/>
        <w:ind w:left="1845" w:right="0" w:hanging="525"/>
        <w:jc w:val="left"/>
        <w:rPr>
          <w:sz w:val="21"/>
        </w:rPr>
      </w:pPr>
      <w:r>
        <w:rPr>
          <w:sz w:val="21"/>
        </w:rPr>
        <w:t>财达证券</w:t>
      </w:r>
    </w:p>
    <w:p>
      <w:pPr>
        <w:spacing w:after="0" w:line="240" w:lineRule="auto"/>
        <w:jc w:val="left"/>
        <w:rPr>
          <w:sz w:val="21"/>
        </w:rPr>
        <w:sectPr>
          <w:pgSz w:w="11910" w:h="16840"/>
          <w:pgMar w:header="0" w:footer="638" w:top="1380" w:bottom="900" w:left="960" w:right="980"/>
        </w:sectPr>
      </w:pPr>
    </w:p>
    <w:p>
      <w:pPr>
        <w:pStyle w:val="BodyText"/>
        <w:spacing w:before="45"/>
      </w:pPr>
      <w:r>
        <w:rPr/>
        <w:t>注册地址：河北省石家庄市桥西区自强路 35 号</w:t>
      </w:r>
    </w:p>
    <w:p>
      <w:pPr>
        <w:pStyle w:val="BodyText"/>
        <w:spacing w:line="364" w:lineRule="auto" w:before="139"/>
        <w:ind w:right="224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97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03">
        <w:r>
          <w:rPr/>
          <w:t>网址：www.s10000.com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财通证券</w:t>
      </w:r>
    </w:p>
    <w:p>
      <w:pPr>
        <w:pStyle w:val="BodyText"/>
        <w:spacing w:line="364" w:lineRule="auto" w:before="139"/>
        <w:ind w:right="486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40"/>
        <w:ind w:right="6125"/>
      </w:pPr>
      <w:r>
        <w:rPr>
          <w:spacing w:val="-1"/>
        </w:rPr>
        <w:t>联系电话</w:t>
      </w:r>
      <w:r>
        <w:rPr/>
        <w:t>：0571－87789160 客户服务电话：95336</w:t>
      </w:r>
    </w:p>
    <w:p>
      <w:pPr>
        <w:pStyle w:val="BodyText"/>
        <w:spacing w:line="268" w:lineRule="exact"/>
      </w:pPr>
      <w:hyperlink r:id="rId104">
        <w:r>
          <w:rPr/>
          <w:t>网址：www.ctsec.com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财信证券</w:t>
      </w:r>
    </w:p>
    <w:p>
      <w:pPr>
        <w:pStyle w:val="BodyText"/>
        <w:spacing w:before="139"/>
      </w:pPr>
      <w:r>
        <w:rPr/>
        <w:t>注册地址：长沙市芙蓉中路二段 80 号顺天国际财富中心 26 层</w:t>
      </w:r>
    </w:p>
    <w:p>
      <w:pPr>
        <w:pStyle w:val="BodyText"/>
        <w:spacing w:line="364" w:lineRule="auto" w:before="140"/>
        <w:ind w:right="266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6650"/>
      </w:pPr>
      <w:r>
        <w:rPr/>
        <w:t>客户服务电话</w:t>
      </w:r>
      <w:r>
        <w:rPr>
          <w:spacing w:val="-4"/>
        </w:rPr>
        <w:t>：95317 </w:t>
      </w:r>
      <w:r>
        <w:rPr>
          <w:spacing w:val="-2"/>
        </w:rPr>
        <w:t>传真：0731-84403439</w:t>
      </w:r>
    </w:p>
    <w:p>
      <w:pPr>
        <w:pStyle w:val="BodyText"/>
        <w:spacing w:line="268" w:lineRule="exact"/>
      </w:pPr>
      <w:hyperlink r:id="rId105">
        <w:r>
          <w:rPr/>
          <w:t>网址：www.cfzq.com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长城国瑞证券</w:t>
      </w:r>
    </w:p>
    <w:p>
      <w:pPr>
        <w:pStyle w:val="BodyText"/>
        <w:spacing w:before="140"/>
      </w:pPr>
      <w:r>
        <w:rPr/>
        <w:t>注册地址：厦门市思明区莲前西路 2 号莲富大厦 17 楼</w:t>
      </w:r>
    </w:p>
    <w:p>
      <w:pPr>
        <w:pStyle w:val="BodyText"/>
        <w:spacing w:line="364" w:lineRule="auto" w:before="139"/>
        <w:ind w:right="339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5915"/>
      </w:pPr>
      <w:r>
        <w:rPr/>
        <w:t>客户服务电话</w:t>
      </w:r>
      <w:r>
        <w:rPr>
          <w:spacing w:val="-2"/>
        </w:rPr>
        <w:t>：400-0099-886 </w:t>
      </w:r>
      <w:r>
        <w:rPr/>
        <w:t>传真：0592-2079602</w:t>
      </w:r>
    </w:p>
    <w:p>
      <w:pPr>
        <w:pStyle w:val="BodyText"/>
        <w:spacing w:line="268" w:lineRule="exact"/>
      </w:pPr>
      <w:hyperlink r:id="rId106">
        <w:r>
          <w:rPr/>
          <w:t>网址：www.gwgsc.com</w:t>
        </w:r>
      </w:hyperlink>
    </w:p>
    <w:p>
      <w:pPr>
        <w:spacing w:after="0" w:line="268" w:lineRule="exact"/>
        <w:sectPr>
          <w:pgSz w:w="11910" w:h="16840"/>
          <w:pgMar w:header="0" w:footer="638" w:top="1380" w:bottom="900" w:left="960" w:right="980"/>
        </w:sectPr>
      </w:pPr>
    </w:p>
    <w:p>
      <w:pPr>
        <w:pStyle w:val="ListParagraph"/>
        <w:numPr>
          <w:ilvl w:val="0"/>
          <w:numId w:val="7"/>
        </w:numPr>
        <w:tabs>
          <w:tab w:pos="1950" w:val="left" w:leader="none"/>
        </w:tabs>
        <w:spacing w:line="240" w:lineRule="auto" w:before="45" w:after="0"/>
        <w:ind w:left="1950" w:right="0" w:hanging="630"/>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98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40"/>
      </w:pPr>
      <w:r>
        <w:rPr/>
        <w:t>客户服务电话：400-6666-888 或 95514</w:t>
      </w:r>
    </w:p>
    <w:p>
      <w:pPr>
        <w:pStyle w:val="BodyText"/>
        <w:spacing w:before="139"/>
      </w:pPr>
      <w:r>
        <w:rPr/>
        <w:t>传真：0755--83515567</w:t>
      </w:r>
    </w:p>
    <w:p>
      <w:pPr>
        <w:pStyle w:val="BodyText"/>
        <w:spacing w:before="140"/>
      </w:pPr>
      <w:hyperlink r:id="rId107">
        <w:r>
          <w:rPr/>
          <w:t>网址：www.cgws.com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长江证券</w:t>
      </w:r>
    </w:p>
    <w:p>
      <w:pPr>
        <w:pStyle w:val="BodyText"/>
        <w:spacing w:line="364" w:lineRule="auto" w:before="139"/>
        <w:ind w:right="507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08">
        <w:r>
          <w:rPr/>
          <w:t>网址：www.95579.com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ind w:left="840"/>
      </w:pPr>
      <w:r>
        <w:rPr/>
        <w:t>座 17 楼</w:t>
      </w:r>
    </w:p>
    <w:p>
      <w:pPr>
        <w:pStyle w:val="BodyText"/>
        <w:spacing w:line="364" w:lineRule="auto" w:before="139"/>
        <w:ind w:right="224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125"/>
      </w:pPr>
      <w:r>
        <w:rPr/>
        <w:t>客户服务电话：028-962708 </w:t>
      </w:r>
      <w:hyperlink r:id="rId109">
        <w:r>
          <w:rPr/>
          <w:t>网址：www.cczq.com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大通证券</w:t>
      </w:r>
    </w:p>
    <w:p>
      <w:pPr>
        <w:pStyle w:val="BodyText"/>
        <w:spacing w:line="364" w:lineRule="auto" w:before="139"/>
        <w:ind w:left="840" w:right="817" w:firstLine="480"/>
      </w:pPr>
      <w:r>
        <w:rPr>
          <w:spacing w:val="-11"/>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left="840" w:right="817" w:firstLine="480"/>
      </w:pPr>
      <w:r>
        <w:rPr>
          <w:spacing w:val="-11"/>
        </w:rPr>
        <w:t>办公地址：辽宁省大连市沙河口区会展路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right="6965"/>
      </w:pPr>
      <w:r>
        <w:rPr/>
        <w:t>法定代表人：赵玺联系人：谢立军</w:t>
      </w:r>
    </w:p>
    <w:p>
      <w:pPr>
        <w:spacing w:after="0" w:line="364" w:lineRule="auto"/>
        <w:sectPr>
          <w:pgSz w:w="11910" w:h="16840"/>
          <w:pgMar w:header="0" w:footer="638" w:top="1380" w:bottom="900" w:left="960" w:right="980"/>
        </w:sectPr>
      </w:pPr>
    </w:p>
    <w:p>
      <w:pPr>
        <w:pStyle w:val="BodyText"/>
        <w:spacing w:before="45"/>
      </w:pPr>
      <w:r>
        <w:rPr/>
        <w:t>联系电话：0411-39991807</w:t>
      </w:r>
    </w:p>
    <w:p>
      <w:pPr>
        <w:pStyle w:val="BodyText"/>
        <w:spacing w:line="364" w:lineRule="auto" w:before="139"/>
        <w:ind w:right="5915"/>
      </w:pPr>
      <w:r>
        <w:rPr/>
        <w:t>客户服务电话：4008-169-169 传真：0411-39673214</w:t>
      </w:r>
    </w:p>
    <w:p>
      <w:pPr>
        <w:pStyle w:val="BodyText"/>
        <w:spacing w:line="268" w:lineRule="exact"/>
      </w:pPr>
      <w:hyperlink r:id="rId110">
        <w:r>
          <w:rPr/>
          <w:t>网址：www.daton.com.cn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965"/>
      </w:pPr>
      <w:r>
        <w:rPr/>
        <w:t>法定代表人：董祥联系人：薛津</w:t>
      </w:r>
    </w:p>
    <w:p>
      <w:pPr>
        <w:pStyle w:val="BodyText"/>
        <w:spacing w:line="268" w:lineRule="exact"/>
      </w:pPr>
      <w:r>
        <w:rPr/>
        <w:t>联系电话：0351-4130322</w:t>
      </w:r>
    </w:p>
    <w:p>
      <w:pPr>
        <w:pStyle w:val="BodyText"/>
        <w:spacing w:line="364" w:lineRule="auto" w:before="140"/>
        <w:ind w:right="6125"/>
      </w:pPr>
      <w:r>
        <w:rPr/>
        <w:t>客户服务电话：4007121212 传真：0351-7219891</w:t>
      </w:r>
    </w:p>
    <w:p>
      <w:pPr>
        <w:pStyle w:val="BodyText"/>
        <w:spacing w:line="268" w:lineRule="exact"/>
      </w:pPr>
      <w:hyperlink r:id="rId111">
        <w:r>
          <w:rPr/>
          <w:t>网址：www.dtsbc.com.cn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德邦证券</w:t>
      </w:r>
    </w:p>
    <w:p>
      <w:pPr>
        <w:pStyle w:val="BodyText"/>
        <w:spacing w:line="364" w:lineRule="auto" w:before="139"/>
        <w:ind w:right="392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915"/>
      </w:pPr>
      <w:r>
        <w:rPr/>
        <w:t>客户服务电话：400-8888-128 传真：021-68767880</w:t>
      </w:r>
    </w:p>
    <w:p>
      <w:pPr>
        <w:pStyle w:val="BodyText"/>
        <w:spacing w:line="268" w:lineRule="exact"/>
      </w:pPr>
      <w:hyperlink r:id="rId112">
        <w:r>
          <w:rPr/>
          <w:t>网址：http://www.tebon.com.cn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第一创业证券</w:t>
      </w:r>
    </w:p>
    <w:p>
      <w:pPr>
        <w:pStyle w:val="BodyText"/>
        <w:spacing w:line="364" w:lineRule="auto" w:before="139"/>
        <w:ind w:right="350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13">
        <w:r>
          <w:rPr/>
          <w:t>网址：www.firstcapital.com.cn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东北证券</w:t>
      </w:r>
    </w:p>
    <w:p>
      <w:pPr>
        <w:pStyle w:val="BodyText"/>
        <w:spacing w:line="364" w:lineRule="auto" w:before="139"/>
        <w:ind w:right="539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spacing w:after="0" w:line="364" w:lineRule="auto"/>
        <w:jc w:val="both"/>
        <w:sectPr>
          <w:pgSz w:w="11910" w:h="16840"/>
          <w:pgMar w:header="0" w:footer="638" w:top="1380" w:bottom="900" w:left="960" w:right="980"/>
        </w:sectPr>
      </w:pPr>
    </w:p>
    <w:p>
      <w:pPr>
        <w:pStyle w:val="BodyText"/>
        <w:spacing w:before="45"/>
      </w:pPr>
      <w:r>
        <w:rPr/>
        <w:t>联系人：安岩岩</w:t>
      </w:r>
    </w:p>
    <w:p>
      <w:pPr>
        <w:pStyle w:val="BodyText"/>
        <w:spacing w:before="139"/>
      </w:pPr>
      <w:r>
        <w:rPr/>
        <w:t>联系电话：0431-85096517</w:t>
      </w:r>
    </w:p>
    <w:p>
      <w:pPr>
        <w:pStyle w:val="BodyText"/>
        <w:spacing w:line="364" w:lineRule="auto" w:before="140"/>
        <w:ind w:right="6650"/>
      </w:pPr>
      <w:r>
        <w:rPr/>
        <w:t>客户服务电话：95360 传真：0431-85096795</w:t>
      </w:r>
    </w:p>
    <w:p>
      <w:pPr>
        <w:pStyle w:val="BodyText"/>
        <w:spacing w:line="268" w:lineRule="exact"/>
      </w:pPr>
      <w:hyperlink r:id="rId114">
        <w:r>
          <w:rPr/>
          <w:t>网址：www.nesc.cn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东方证券</w:t>
      </w:r>
    </w:p>
    <w:p>
      <w:pPr>
        <w:pStyle w:val="BodyText"/>
        <w:spacing w:line="364" w:lineRule="auto" w:before="140"/>
        <w:ind w:right="2396"/>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650"/>
      </w:pPr>
      <w:r>
        <w:rPr/>
        <w:t>客户服务电话：95503 传真：021-63326729</w:t>
      </w:r>
    </w:p>
    <w:p>
      <w:pPr>
        <w:pStyle w:val="BodyText"/>
        <w:spacing w:line="268" w:lineRule="exact"/>
      </w:pPr>
      <w:hyperlink r:id="rId115">
        <w:r>
          <w:rPr/>
          <w:t>网址：http://www.dfzq.com.cn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371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650"/>
      </w:pPr>
      <w:r>
        <w:rPr/>
        <w:t>客户服务电话：95328 传真：0769-22115712</w:t>
      </w:r>
    </w:p>
    <w:p>
      <w:pPr>
        <w:pStyle w:val="BodyText"/>
        <w:spacing w:line="268" w:lineRule="exact"/>
      </w:pPr>
      <w:hyperlink r:id="rId116">
        <w:r>
          <w:rPr/>
          <w:t>网址：www.dgzq.com.cn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东海证券</w:t>
      </w:r>
    </w:p>
    <w:p>
      <w:pPr>
        <w:pStyle w:val="BodyText"/>
        <w:spacing w:line="364" w:lineRule="auto" w:before="140"/>
        <w:ind w:right="350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5180"/>
      </w:pPr>
      <w:r>
        <w:rPr/>
        <w:t>客户服务电话：95531、400-8888-588 传真：021-50498825</w:t>
      </w:r>
    </w:p>
    <w:p>
      <w:pPr>
        <w:pStyle w:val="BodyText"/>
        <w:spacing w:line="268" w:lineRule="exact"/>
      </w:pPr>
      <w:hyperlink r:id="rId117">
        <w:r>
          <w:rPr/>
          <w:t>网址：www.longone.com.cn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东吴证券</w:t>
      </w:r>
    </w:p>
    <w:p>
      <w:pPr>
        <w:pStyle w:val="BodyText"/>
        <w:spacing w:before="139"/>
      </w:pPr>
      <w:r>
        <w:rPr>
          <w:spacing w:val="-4"/>
        </w:rPr>
        <w:t>注册地址：苏州工业园区星阳街 </w:t>
      </w:r>
      <w:r>
        <w:rPr/>
        <w:t>5</w:t>
      </w:r>
      <w:r>
        <w:rPr>
          <w:spacing w:val="-27"/>
        </w:rPr>
        <w:t> 号</w:t>
      </w:r>
    </w:p>
    <w:p>
      <w:pPr>
        <w:spacing w:after="0"/>
        <w:sectPr>
          <w:pgSz w:w="11910" w:h="16840"/>
          <w:pgMar w:header="0" w:footer="638" w:top="1380" w:bottom="900" w:left="960" w:right="980"/>
        </w:sectPr>
      </w:pPr>
    </w:p>
    <w:p>
      <w:pPr>
        <w:pStyle w:val="BodyText"/>
        <w:spacing w:line="364" w:lineRule="auto" w:before="45"/>
        <w:ind w:right="5285"/>
      </w:pP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650"/>
      </w:pPr>
      <w:r>
        <w:rPr/>
        <w:t>客户服务电话：95330 传真：0512-65588021</w:t>
      </w:r>
    </w:p>
    <w:p>
      <w:pPr>
        <w:pStyle w:val="BodyText"/>
        <w:spacing w:line="268" w:lineRule="exact"/>
      </w:pPr>
      <w:hyperlink r:id="rId118">
        <w:r>
          <w:rPr/>
          <w:t>网址：www.dwzq.com.cn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192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650"/>
      </w:pPr>
      <w:r>
        <w:rPr/>
        <w:t>客户服务电话</w:t>
      </w:r>
      <w:r>
        <w:rPr>
          <w:spacing w:val="-4"/>
        </w:rPr>
        <w:t>：95309 </w:t>
      </w:r>
      <w:r>
        <w:rPr/>
        <w:t>传真：010-66555133</w:t>
      </w:r>
    </w:p>
    <w:p>
      <w:pPr>
        <w:pStyle w:val="BodyText"/>
        <w:spacing w:line="268" w:lineRule="exact"/>
      </w:pPr>
      <w:hyperlink r:id="rId119">
        <w:r>
          <w:rPr/>
          <w:t>网址：www.dxzq.net</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方正证券</w:t>
      </w:r>
    </w:p>
    <w:p>
      <w:pPr>
        <w:pStyle w:val="BodyText"/>
        <w:spacing w:before="140"/>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6965"/>
      </w:pPr>
      <w:r>
        <w:rPr/>
        <w:t>法定代表人：施华联系人：周静</w:t>
      </w:r>
    </w:p>
    <w:p>
      <w:pPr>
        <w:pStyle w:val="BodyText"/>
        <w:spacing w:line="268" w:lineRule="exact"/>
      </w:pPr>
      <w:r>
        <w:rPr/>
        <w:t>联系电话：010-59355412</w:t>
      </w:r>
    </w:p>
    <w:p>
      <w:pPr>
        <w:pStyle w:val="BodyText"/>
        <w:spacing w:line="364" w:lineRule="auto" w:before="139"/>
        <w:ind w:right="6650"/>
      </w:pPr>
      <w:r>
        <w:rPr/>
        <w:t>客户服务电话：95571 传真：010-56437030</w:t>
      </w:r>
    </w:p>
    <w:p>
      <w:pPr>
        <w:pStyle w:val="BodyText"/>
        <w:spacing w:line="268" w:lineRule="exact"/>
      </w:pPr>
      <w:hyperlink r:id="rId120">
        <w:r>
          <w:rPr/>
          <w:t>网址：www.foundersc.com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光大证券</w:t>
      </w:r>
    </w:p>
    <w:p>
      <w:pPr>
        <w:pStyle w:val="BodyText"/>
        <w:spacing w:line="364" w:lineRule="auto" w:before="139"/>
        <w:ind w:right="497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line="364" w:lineRule="auto" w:before="139"/>
        <w:ind w:right="6650"/>
      </w:pPr>
      <w:r>
        <w:rPr/>
        <w:t>客户服务电话：95525 </w:t>
      </w:r>
      <w:hyperlink r:id="rId121">
        <w:r>
          <w:rPr/>
          <w:t>网址：www.ebscn.com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广发证券</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right="234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755"/>
      </w:pPr>
      <w:r>
        <w:rPr/>
        <w:t>法定代表人：孙树明联系人：黄岚</w:t>
      </w:r>
    </w:p>
    <w:p>
      <w:pPr>
        <w:pStyle w:val="BodyText"/>
        <w:spacing w:line="268" w:lineRule="exact"/>
      </w:pPr>
      <w:r>
        <w:rPr/>
        <w:t>客户服务电话：95575 或 02095575</w:t>
      </w:r>
    </w:p>
    <w:p>
      <w:pPr>
        <w:pStyle w:val="BodyText"/>
        <w:spacing w:before="138"/>
      </w:pPr>
      <w:hyperlink r:id="rId122">
        <w:r>
          <w:rPr/>
          <w:t>网址：www.gf.com.cn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国都证券</w:t>
      </w:r>
    </w:p>
    <w:p>
      <w:pPr>
        <w:pStyle w:val="BodyText"/>
        <w:spacing w:line="364" w:lineRule="auto" w:before="139"/>
        <w:ind w:right="245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5915"/>
      </w:pPr>
      <w:r>
        <w:rPr/>
        <w:t>客户服务电话</w:t>
      </w:r>
      <w:r>
        <w:rPr>
          <w:spacing w:val="-2"/>
        </w:rPr>
        <w:t>：400-818-8118 </w:t>
      </w:r>
      <w:r>
        <w:rPr/>
        <w:t>传真：010-84183311-3122</w:t>
      </w:r>
    </w:p>
    <w:p>
      <w:pPr>
        <w:pStyle w:val="BodyText"/>
        <w:spacing w:line="268" w:lineRule="exact"/>
      </w:pPr>
      <w:hyperlink r:id="rId123">
        <w:r>
          <w:rPr/>
          <w:t>网址：www.guodu.com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国海证券</w:t>
      </w:r>
    </w:p>
    <w:p>
      <w:pPr>
        <w:pStyle w:val="BodyText"/>
        <w:spacing w:before="139"/>
      </w:pPr>
      <w:r>
        <w:rPr/>
        <w:t>注册地址：广西桂林市辅星路 13 号</w:t>
      </w:r>
    </w:p>
    <w:p>
      <w:pPr>
        <w:pStyle w:val="BodyText"/>
        <w:spacing w:line="364" w:lineRule="auto" w:before="140"/>
        <w:ind w:right="360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39"/>
      </w:pPr>
      <w:r>
        <w:rPr/>
        <w:t>客户服务电话：95563 或 0771-95563</w:t>
      </w:r>
    </w:p>
    <w:p>
      <w:pPr>
        <w:pStyle w:val="BodyText"/>
        <w:spacing w:before="140"/>
      </w:pPr>
      <w:hyperlink r:id="rId124">
        <w:r>
          <w:rPr/>
          <w:t>网址：www.ghzq.com.cn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3920"/>
      </w:pPr>
      <w:r>
        <w:rPr>
          <w:spacing w:val="-4"/>
        </w:rPr>
        <w:t>办公地址：成都市青羊区东城根上街 </w:t>
      </w:r>
      <w:r>
        <w:rPr/>
        <w:t>95</w:t>
      </w:r>
      <w:r>
        <w:rPr>
          <w:spacing w:val="-13"/>
        </w:rPr>
        <w:t> 号成证大厦</w:t>
      </w:r>
      <w:r>
        <w:rPr/>
        <w:t>法定代表人：冉云</w:t>
      </w:r>
    </w:p>
    <w:p>
      <w:pPr>
        <w:pStyle w:val="BodyText"/>
        <w:spacing w:line="364" w:lineRule="auto"/>
        <w:ind w:right="6335"/>
      </w:pPr>
      <w:r>
        <w:rPr/>
        <w:t>联系人：杜晶、黎建平 联系电话</w:t>
      </w:r>
      <w:r>
        <w:rPr>
          <w:spacing w:val="-2"/>
        </w:rPr>
        <w:t>：028-86690057</w:t>
      </w:r>
    </w:p>
    <w:p>
      <w:pPr>
        <w:pStyle w:val="BodyText"/>
        <w:spacing w:line="364" w:lineRule="auto"/>
        <w:ind w:right="6650"/>
      </w:pPr>
      <w:r>
        <w:rPr/>
        <w:t>客户服务电话：95310 传真：028-86690126</w:t>
      </w:r>
    </w:p>
    <w:p>
      <w:pPr>
        <w:pStyle w:val="BodyText"/>
        <w:spacing w:line="268" w:lineRule="exact"/>
      </w:pPr>
      <w:hyperlink r:id="rId125">
        <w:r>
          <w:rPr/>
          <w:t>网址：www.gjzq.com.cn</w:t>
        </w:r>
      </w:hyperlink>
    </w:p>
    <w:p>
      <w:pPr>
        <w:pStyle w:val="ListParagraph"/>
        <w:numPr>
          <w:ilvl w:val="0"/>
          <w:numId w:val="7"/>
        </w:numPr>
        <w:tabs>
          <w:tab w:pos="1950" w:val="left" w:leader="none"/>
        </w:tabs>
        <w:spacing w:line="240" w:lineRule="auto" w:before="138" w:after="0"/>
        <w:ind w:left="1950" w:right="0" w:hanging="630"/>
        <w:jc w:val="both"/>
        <w:rPr>
          <w:sz w:val="21"/>
        </w:rPr>
      </w:pPr>
      <w:r>
        <w:rPr>
          <w:sz w:val="21"/>
        </w:rPr>
        <w:t>国开证券</w:t>
      </w:r>
    </w:p>
    <w:p>
      <w:pPr>
        <w:pStyle w:val="BodyText"/>
        <w:spacing w:before="139"/>
      </w:pPr>
      <w:r>
        <w:rPr/>
        <w:t>注册地址：北京市西城区阜成门外大街 29 号 1-9 层</w:t>
      </w:r>
    </w:p>
    <w:p>
      <w:pPr>
        <w:spacing w:after="0"/>
        <w:sectPr>
          <w:pgSz w:w="11910" w:h="16840"/>
          <w:pgMar w:header="0" w:footer="638" w:top="1380" w:bottom="900" w:left="960" w:right="980"/>
        </w:sectPr>
      </w:pPr>
    </w:p>
    <w:p>
      <w:pPr>
        <w:pStyle w:val="BodyText"/>
        <w:spacing w:line="364" w:lineRule="auto" w:before="45"/>
        <w:ind w:right="3920"/>
      </w:pPr>
      <w:r>
        <w:rPr>
          <w:spacing w:val="-3"/>
        </w:rPr>
        <w:t>办公地址：北京市西城区阜成门外大街 </w:t>
      </w:r>
      <w:r>
        <w:rPr/>
        <w:t>29</w:t>
      </w:r>
      <w:r>
        <w:rPr>
          <w:spacing w:val="-36"/>
        </w:rPr>
        <w:t> 号 </w:t>
      </w:r>
      <w:r>
        <w:rPr/>
        <w:t>1-9</w:t>
      </w:r>
      <w:r>
        <w:rPr>
          <w:spacing w:val="-35"/>
        </w:rPr>
        <w:t> 层</w:t>
      </w:r>
      <w:r>
        <w:rPr/>
        <w:t>法定代表人：张宝荣</w:t>
      </w:r>
    </w:p>
    <w:p>
      <w:pPr>
        <w:pStyle w:val="BodyText"/>
        <w:spacing w:line="268" w:lineRule="exact"/>
      </w:pPr>
      <w:r>
        <w:rPr/>
        <w:t>联系人：刘欣灿</w:t>
      </w:r>
    </w:p>
    <w:p>
      <w:pPr>
        <w:pStyle w:val="BodyText"/>
        <w:spacing w:before="139"/>
      </w:pPr>
      <w:r>
        <w:rPr/>
        <w:t>联系电话：010-88300715</w:t>
      </w:r>
    </w:p>
    <w:p>
      <w:pPr>
        <w:pStyle w:val="BodyText"/>
        <w:spacing w:line="364" w:lineRule="auto" w:before="140"/>
        <w:ind w:right="5915"/>
      </w:pPr>
      <w:r>
        <w:rPr/>
        <w:t>客户服务电话：400-88-95593 传真：010-88300694</w:t>
      </w:r>
    </w:p>
    <w:p>
      <w:pPr>
        <w:pStyle w:val="BodyText"/>
        <w:spacing w:line="268" w:lineRule="exact"/>
      </w:pPr>
      <w:hyperlink r:id="rId126">
        <w:r>
          <w:rPr/>
          <w:t>网址：www.gkzq.com.cn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297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6650"/>
      </w:pPr>
      <w:r>
        <w:rPr/>
        <w:t>客户服务电话：95570 传真：0510-82830162</w:t>
      </w:r>
    </w:p>
    <w:p>
      <w:pPr>
        <w:pStyle w:val="BodyText"/>
        <w:spacing w:line="268" w:lineRule="exact"/>
      </w:pPr>
      <w:hyperlink r:id="rId127">
        <w:r>
          <w:rPr/>
          <w:t>网址：www.glsc.com.cn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国融证券</w:t>
      </w:r>
    </w:p>
    <w:p>
      <w:pPr>
        <w:pStyle w:val="BodyText"/>
        <w:spacing w:line="364" w:lineRule="auto" w:before="140"/>
        <w:ind w:right="287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6650"/>
      </w:pPr>
      <w:r>
        <w:rPr/>
        <w:t>客户服务电话</w:t>
      </w:r>
      <w:r>
        <w:rPr>
          <w:spacing w:val="-4"/>
        </w:rPr>
        <w:t>：95385 </w:t>
      </w:r>
      <w:r>
        <w:rPr/>
        <w:t>传真：010-66412537</w:t>
      </w:r>
    </w:p>
    <w:p>
      <w:pPr>
        <w:pStyle w:val="BodyText"/>
        <w:spacing w:line="268" w:lineRule="exact"/>
      </w:pPr>
      <w:hyperlink r:id="rId128">
        <w:r>
          <w:rPr/>
          <w:t>网址：www.grzq.com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国盛证券</w:t>
      </w:r>
    </w:p>
    <w:p>
      <w:pPr>
        <w:pStyle w:val="BodyText"/>
        <w:spacing w:before="140"/>
      </w:pPr>
      <w:r>
        <w:rPr/>
        <w:t>注册地址：江西省南昌市新建区子实路 1589 号</w:t>
      </w:r>
    </w:p>
    <w:p>
      <w:pPr>
        <w:pStyle w:val="BodyText"/>
        <w:spacing w:line="364" w:lineRule="auto" w:before="139"/>
        <w:ind w:right="224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40"/>
      </w:pPr>
      <w:r>
        <w:rPr/>
        <w:t>联系电话：0791-88250812</w:t>
      </w:r>
    </w:p>
    <w:p>
      <w:pPr>
        <w:pStyle w:val="BodyText"/>
        <w:spacing w:line="364" w:lineRule="auto" w:before="139"/>
        <w:ind w:right="6545"/>
      </w:pPr>
      <w:r>
        <w:rPr/>
        <w:t>客户服务电话</w:t>
      </w:r>
      <w:r>
        <w:rPr>
          <w:spacing w:val="-3"/>
        </w:rPr>
        <w:t>：956080 </w:t>
      </w:r>
      <w:r>
        <w:rPr/>
        <w:t>传真：0791-86281305</w:t>
      </w:r>
    </w:p>
    <w:p>
      <w:pPr>
        <w:pStyle w:val="BodyText"/>
        <w:spacing w:line="268" w:lineRule="exact"/>
      </w:pPr>
      <w:hyperlink r:id="rId129">
        <w:r>
          <w:rPr/>
          <w:t>网址：www.gszq.com</w:t>
        </w:r>
      </w:hyperlink>
    </w:p>
    <w:p>
      <w:pPr>
        <w:spacing w:after="0" w:line="268" w:lineRule="exact"/>
        <w:sectPr>
          <w:pgSz w:w="11910" w:h="16840"/>
          <w:pgMar w:header="0" w:footer="638" w:top="1380" w:bottom="900" w:left="960" w:right="980"/>
        </w:sectPr>
      </w:pPr>
    </w:p>
    <w:p>
      <w:pPr>
        <w:pStyle w:val="ListParagraph"/>
        <w:numPr>
          <w:ilvl w:val="0"/>
          <w:numId w:val="7"/>
        </w:numPr>
        <w:tabs>
          <w:tab w:pos="1950" w:val="left" w:leader="none"/>
        </w:tabs>
        <w:spacing w:line="240" w:lineRule="auto" w:before="45" w:after="0"/>
        <w:ind w:left="1950" w:right="0" w:hanging="630"/>
        <w:jc w:val="both"/>
        <w:rPr>
          <w:sz w:val="21"/>
        </w:rPr>
      </w:pPr>
      <w:r>
        <w:rPr>
          <w:sz w:val="21"/>
        </w:rPr>
        <w:t>国泰君安证券</w:t>
      </w:r>
    </w:p>
    <w:p>
      <w:pPr>
        <w:pStyle w:val="BodyText"/>
        <w:spacing w:line="364" w:lineRule="auto" w:before="139"/>
        <w:ind w:right="360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650"/>
      </w:pPr>
      <w:r>
        <w:rPr/>
        <w:t>客户服务电话</w:t>
      </w:r>
      <w:r>
        <w:rPr>
          <w:spacing w:val="-4"/>
        </w:rPr>
        <w:t>：95521 </w:t>
      </w:r>
      <w:r>
        <w:rPr/>
        <w:t>传真：021-38670666</w:t>
      </w:r>
    </w:p>
    <w:p>
      <w:pPr>
        <w:pStyle w:val="BodyText"/>
        <w:spacing w:line="268" w:lineRule="exact"/>
      </w:pPr>
      <w:hyperlink r:id="rId130">
        <w:r>
          <w:rPr/>
          <w:t>网址：www.gtja.com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国信证券</w:t>
      </w:r>
    </w:p>
    <w:p>
      <w:pPr>
        <w:pStyle w:val="BodyText"/>
        <w:spacing w:line="364" w:lineRule="auto" w:before="140"/>
        <w:ind w:right="182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650"/>
      </w:pPr>
      <w:r>
        <w:rPr/>
        <w:t>客户服务电话：95536 传真：0755-82133952</w:t>
      </w:r>
    </w:p>
    <w:p>
      <w:pPr>
        <w:pStyle w:val="BodyText"/>
        <w:spacing w:line="268" w:lineRule="exact"/>
      </w:pPr>
      <w:hyperlink r:id="rId131">
        <w:r>
          <w:rPr/>
          <w:t>网址：www.guosen.com.cn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国元证券</w:t>
      </w:r>
    </w:p>
    <w:p>
      <w:pPr>
        <w:pStyle w:val="BodyText"/>
        <w:spacing w:before="139"/>
      </w:pPr>
      <w:r>
        <w:rPr>
          <w:spacing w:val="-4"/>
        </w:rPr>
        <w:t>注册地址：安徽省合肥市梅山路 </w:t>
      </w:r>
      <w:r>
        <w:rPr/>
        <w:t>18</w:t>
      </w:r>
      <w:r>
        <w:rPr>
          <w:spacing w:val="-27"/>
        </w:rPr>
        <w:t> 号</w:t>
      </w:r>
    </w:p>
    <w:p>
      <w:pPr>
        <w:pStyle w:val="BodyText"/>
        <w:spacing w:line="364" w:lineRule="auto" w:before="140"/>
        <w:ind w:right="224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39"/>
        <w:ind w:right="6650"/>
      </w:pPr>
      <w:r>
        <w:rPr/>
        <w:t>客户服务电话：95578 传真：0551-2272100</w:t>
      </w:r>
    </w:p>
    <w:p>
      <w:pPr>
        <w:pStyle w:val="BodyText"/>
        <w:spacing w:line="268" w:lineRule="exact"/>
      </w:pPr>
      <w:hyperlink r:id="rId132">
        <w:r>
          <w:rPr/>
          <w:t>网址：www.gyzq.com.cn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海通证券</w:t>
      </w:r>
    </w:p>
    <w:p>
      <w:pPr>
        <w:pStyle w:val="BodyText"/>
        <w:spacing w:line="364" w:lineRule="auto" w:before="139"/>
        <w:ind w:right="570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335"/>
      </w:pPr>
      <w:r>
        <w:rPr/>
        <w:t>联系人：金芸、李笑鸣 联系电话</w:t>
      </w:r>
      <w:r>
        <w:rPr>
          <w:spacing w:val="-2"/>
        </w:rPr>
        <w:t>：021-23219000</w:t>
      </w:r>
    </w:p>
    <w:p>
      <w:pPr>
        <w:pStyle w:val="BodyText"/>
        <w:spacing w:line="364" w:lineRule="auto"/>
        <w:ind w:right="6650"/>
      </w:pPr>
      <w:r>
        <w:rPr/>
        <w:t>客户服务电话</w:t>
      </w:r>
      <w:r>
        <w:rPr>
          <w:spacing w:val="-4"/>
        </w:rPr>
        <w:t>：95553 </w:t>
      </w:r>
      <w:r>
        <w:rPr/>
        <w:t>传真：021-23219100</w:t>
      </w:r>
    </w:p>
    <w:p>
      <w:pPr>
        <w:pStyle w:val="BodyText"/>
        <w:spacing w:line="268" w:lineRule="exact"/>
      </w:pPr>
      <w:hyperlink r:id="rId133">
        <w:r>
          <w:rPr/>
          <w:t>网址：www.htsec.com</w:t>
        </w:r>
      </w:hyperlink>
    </w:p>
    <w:p>
      <w:pPr>
        <w:spacing w:after="0" w:line="268" w:lineRule="exact"/>
        <w:sectPr>
          <w:pgSz w:w="11910" w:h="16840"/>
          <w:pgMar w:header="0" w:footer="638" w:top="1380" w:bottom="900" w:left="960" w:right="980"/>
        </w:sectPr>
      </w:pPr>
    </w:p>
    <w:p>
      <w:pPr>
        <w:pStyle w:val="ListParagraph"/>
        <w:numPr>
          <w:ilvl w:val="0"/>
          <w:numId w:val="7"/>
        </w:numPr>
        <w:tabs>
          <w:tab w:pos="1950" w:val="left" w:leader="none"/>
        </w:tabs>
        <w:spacing w:line="240" w:lineRule="auto" w:before="45" w:after="0"/>
        <w:ind w:left="1950" w:right="0" w:hanging="630"/>
        <w:jc w:val="left"/>
        <w:rPr>
          <w:sz w:val="21"/>
        </w:rPr>
      </w:pPr>
      <w:r>
        <w:rPr>
          <w:sz w:val="21"/>
        </w:rPr>
        <w:t>恒泰证券</w:t>
      </w:r>
    </w:p>
    <w:p>
      <w:pPr>
        <w:pStyle w:val="BodyText"/>
        <w:spacing w:line="364" w:lineRule="auto" w:before="139"/>
        <w:ind w:right="1295"/>
      </w:pPr>
      <w:r>
        <w:rPr/>
        <w:t>注册地址：内蒙古自治区呼和浩特市新城区海拉尔东街满世尚都办公商业综合楼办公地址：呼和浩特市新城区海拉尔东街满世书香苑办公楼 7 楼</w:t>
      </w:r>
    </w:p>
    <w:p>
      <w:pPr>
        <w:pStyle w:val="BodyText"/>
        <w:spacing w:line="364" w:lineRule="auto"/>
        <w:ind w:right="6755"/>
      </w:pPr>
      <w:r>
        <w:rPr/>
        <w:t>法定代表人：庞介民联系人：熊丽</w:t>
      </w:r>
    </w:p>
    <w:p>
      <w:pPr>
        <w:pStyle w:val="BodyText"/>
        <w:spacing w:line="268" w:lineRule="exact"/>
      </w:pPr>
      <w:r>
        <w:rPr/>
        <w:t>联系电话：0471-4972675</w:t>
      </w:r>
    </w:p>
    <w:p>
      <w:pPr>
        <w:pStyle w:val="BodyText"/>
        <w:spacing w:before="139"/>
      </w:pPr>
      <w:r>
        <w:rPr/>
        <w:t>客户服务电话：4001966188,956088</w:t>
      </w:r>
    </w:p>
    <w:p>
      <w:pPr>
        <w:pStyle w:val="BodyText"/>
        <w:spacing w:before="139"/>
      </w:pPr>
      <w:hyperlink r:id="rId134">
        <w:r>
          <w:rPr/>
          <w:t>网址：www.cnht.com.cn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红塔证券</w:t>
      </w:r>
    </w:p>
    <w:p>
      <w:pPr>
        <w:pStyle w:val="BodyText"/>
        <w:spacing w:line="364" w:lineRule="auto" w:before="139"/>
        <w:ind w:right="4445"/>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pStyle w:val="BodyText"/>
        <w:spacing w:line="364" w:lineRule="auto" w:before="139"/>
        <w:ind w:right="6545"/>
      </w:pPr>
      <w:r>
        <w:rPr/>
        <w:t>客户服务电话：956060 传真：0871-63578827</w:t>
      </w:r>
    </w:p>
    <w:p>
      <w:pPr>
        <w:pStyle w:val="BodyText"/>
        <w:spacing w:line="268" w:lineRule="exact"/>
      </w:pPr>
      <w:hyperlink r:id="rId135">
        <w:r>
          <w:rPr/>
          <w:t>网址：http://www.hongtastock.com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华安证券</w:t>
      </w:r>
    </w:p>
    <w:p>
      <w:pPr>
        <w:pStyle w:val="BodyText"/>
        <w:spacing w:line="364" w:lineRule="auto" w:before="139"/>
        <w:ind w:right="360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650"/>
      </w:pPr>
      <w:r>
        <w:rPr/>
        <w:t>客户服务电话</w:t>
      </w:r>
      <w:r>
        <w:rPr>
          <w:spacing w:val="-4"/>
        </w:rPr>
        <w:t>：95318 </w:t>
      </w:r>
      <w:r>
        <w:rPr>
          <w:spacing w:val="-2"/>
        </w:rPr>
        <w:t>传真：0551-65161825</w:t>
      </w:r>
    </w:p>
    <w:p>
      <w:pPr>
        <w:pStyle w:val="BodyText"/>
        <w:spacing w:line="268" w:lineRule="exact"/>
      </w:pPr>
      <w:hyperlink r:id="rId136">
        <w:r>
          <w:rPr/>
          <w:t>网址：www.hazq.com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华宝证券</w:t>
      </w:r>
    </w:p>
    <w:p>
      <w:pPr>
        <w:pStyle w:val="BodyText"/>
        <w:spacing w:line="364" w:lineRule="auto" w:before="140"/>
        <w:ind w:right="287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5915"/>
      </w:pPr>
      <w:r>
        <w:rPr/>
        <w:t>客户服务电话：400-820-9898 传真：021-20515593</w:t>
      </w:r>
    </w:p>
    <w:p>
      <w:pPr>
        <w:spacing w:after="0" w:line="364" w:lineRule="auto"/>
        <w:sectPr>
          <w:pgSz w:w="11910" w:h="16840"/>
          <w:pgMar w:header="0" w:footer="638" w:top="1380" w:bottom="900" w:left="960" w:right="980"/>
        </w:sectPr>
      </w:pPr>
    </w:p>
    <w:p>
      <w:pPr>
        <w:pStyle w:val="BodyText"/>
        <w:spacing w:before="45"/>
      </w:pPr>
      <w:hyperlink r:id="rId137">
        <w:r>
          <w:rPr/>
          <w:t>网址：www.cnhbstock.com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华福证券</w:t>
      </w:r>
    </w:p>
    <w:p>
      <w:pPr>
        <w:pStyle w:val="BodyText"/>
        <w:spacing w:line="364" w:lineRule="auto" w:before="140"/>
        <w:ind w:right="224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650"/>
      </w:pPr>
      <w:r>
        <w:rPr/>
        <w:t>客户服务电话：95547 传真：021-20655196</w:t>
      </w:r>
    </w:p>
    <w:p>
      <w:pPr>
        <w:pStyle w:val="BodyText"/>
        <w:spacing w:line="268" w:lineRule="exact"/>
      </w:pPr>
      <w:hyperlink r:id="rId138">
        <w:r>
          <w:rPr/>
          <w:t>网址：www.hfzq.com.cn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华金证券</w:t>
      </w:r>
    </w:p>
    <w:p>
      <w:pPr>
        <w:pStyle w:val="BodyText"/>
        <w:spacing w:line="364" w:lineRule="auto" w:before="140"/>
        <w:ind w:right="2870"/>
        <w:jc w:val="both"/>
      </w:pPr>
      <w:r>
        <w:rPr/>
        <w:t>注册地址：中国（上海）</w:t>
      </w:r>
      <w:r>
        <w:rPr>
          <w:spacing w:val="-5"/>
        </w:rPr>
        <w:t>自由贸易试验区杨高南路 </w:t>
      </w:r>
      <w:r>
        <w:rPr/>
        <w:t>759</w:t>
      </w:r>
      <w:r>
        <w:rPr>
          <w:spacing w:val="-36"/>
        </w:rPr>
        <w:t> 号 </w:t>
      </w:r>
      <w:r>
        <w:rPr/>
        <w:t>30</w:t>
      </w:r>
      <w:r>
        <w:rPr>
          <w:spacing w:val="-35"/>
        </w:rPr>
        <w:t> 层</w:t>
      </w:r>
      <w:r>
        <w:rPr/>
        <w:t>办公地址：中国（上海）</w:t>
      </w:r>
      <w:r>
        <w:rPr>
          <w:spacing w:val="-5"/>
        </w:rPr>
        <w:t>自由贸易试验区杨高南路 </w:t>
      </w:r>
      <w:r>
        <w:rPr/>
        <w:t>759</w:t>
      </w:r>
      <w:r>
        <w:rPr>
          <w:spacing w:val="-36"/>
        </w:rPr>
        <w:t> 号 </w:t>
      </w:r>
      <w:r>
        <w:rPr/>
        <w:t>30</w:t>
      </w:r>
      <w:r>
        <w:rPr>
          <w:spacing w:val="-35"/>
        </w:rPr>
        <w:t> 层</w:t>
      </w:r>
      <w:r>
        <w:rPr/>
        <w:t>法定代表人：宋卫东</w:t>
      </w:r>
    </w:p>
    <w:p>
      <w:pPr>
        <w:pStyle w:val="BodyText"/>
        <w:spacing w:line="268" w:lineRule="exact"/>
      </w:pPr>
      <w:r>
        <w:rPr/>
        <w:t>联系人：郑媛</w:t>
      </w:r>
    </w:p>
    <w:p>
      <w:pPr>
        <w:pStyle w:val="BodyText"/>
        <w:spacing w:before="139"/>
      </w:pPr>
      <w:r>
        <w:rPr/>
        <w:t>联系电话：021-20655746</w:t>
      </w:r>
    </w:p>
    <w:p>
      <w:pPr>
        <w:pStyle w:val="BodyText"/>
        <w:spacing w:line="364" w:lineRule="auto" w:before="139"/>
        <w:ind w:right="6545"/>
      </w:pPr>
      <w:r>
        <w:rPr/>
        <w:t>客户服务电话：956011 传真：021-20655577</w:t>
      </w:r>
    </w:p>
    <w:p>
      <w:pPr>
        <w:pStyle w:val="BodyText"/>
        <w:spacing w:line="268" w:lineRule="exact"/>
      </w:pPr>
      <w:hyperlink r:id="rId139">
        <w:r>
          <w:rPr/>
          <w:t>网址：www.huajinsc.cn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华林证券</w:t>
      </w:r>
    </w:p>
    <w:p>
      <w:pPr>
        <w:pStyle w:val="BodyText"/>
        <w:spacing w:line="364" w:lineRule="auto" w:before="139"/>
        <w:ind w:right="365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5915"/>
      </w:pPr>
      <w:r>
        <w:rPr/>
        <w:t>客户服务电话</w:t>
      </w:r>
      <w:r>
        <w:rPr>
          <w:spacing w:val="-2"/>
        </w:rPr>
        <w:t>：400-188-3888 </w:t>
      </w:r>
      <w:hyperlink r:id="rId140">
        <w:r>
          <w:rPr/>
          <w:t>网址：www.chinalin.com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华龙证券</w:t>
      </w:r>
    </w:p>
    <w:p>
      <w:pPr>
        <w:pStyle w:val="BodyText"/>
        <w:spacing w:line="364" w:lineRule="auto" w:before="140"/>
        <w:ind w:right="308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755"/>
      </w:pPr>
      <w:r>
        <w:rPr/>
        <w:t>法定代表人：陈牧原联系人：范坤</w:t>
      </w:r>
    </w:p>
    <w:p>
      <w:pPr>
        <w:pStyle w:val="BodyText"/>
        <w:spacing w:line="268" w:lineRule="exact"/>
      </w:pPr>
      <w:r>
        <w:rPr/>
        <w:t>联系电话：0931-4890208</w:t>
      </w:r>
    </w:p>
    <w:p>
      <w:pPr>
        <w:pStyle w:val="BodyText"/>
        <w:spacing w:before="138"/>
      </w:pPr>
      <w:r>
        <w:rPr/>
        <w:t>客户服务电话：95368、400-689-8888</w:t>
      </w:r>
    </w:p>
    <w:p>
      <w:pPr>
        <w:spacing w:after="0"/>
        <w:sectPr>
          <w:pgSz w:w="11910" w:h="16840"/>
          <w:pgMar w:header="0" w:footer="638" w:top="1380" w:bottom="900" w:left="960" w:right="980"/>
        </w:sectPr>
      </w:pPr>
    </w:p>
    <w:p>
      <w:pPr>
        <w:pStyle w:val="BodyText"/>
        <w:spacing w:before="45"/>
      </w:pPr>
      <w:r>
        <w:rPr/>
        <w:t>传真：0931-4890628</w:t>
      </w:r>
    </w:p>
    <w:p>
      <w:pPr>
        <w:pStyle w:val="BodyText"/>
        <w:spacing w:before="139"/>
      </w:pPr>
      <w:hyperlink r:id="rId141">
        <w:r>
          <w:rPr/>
          <w:t>网址：www.hlzq.com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82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6650"/>
      </w:pPr>
      <w:r>
        <w:rPr/>
        <w:t>客户服务电话：95390 传真：010-85556088</w:t>
      </w:r>
    </w:p>
    <w:p>
      <w:pPr>
        <w:pStyle w:val="BodyText"/>
        <w:spacing w:line="268" w:lineRule="exact"/>
      </w:pPr>
      <w:hyperlink r:id="rId142">
        <w:r>
          <w:rPr/>
          <w:t>网址：www.hrsec.com.cn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60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650"/>
      </w:pPr>
      <w:r>
        <w:rPr/>
        <w:t>客户服务电话：95597 传真：025-83387523</w:t>
      </w:r>
    </w:p>
    <w:p>
      <w:pPr>
        <w:pStyle w:val="BodyText"/>
        <w:spacing w:line="268" w:lineRule="exact"/>
      </w:pPr>
      <w:hyperlink r:id="rId143">
        <w:r>
          <w:rPr/>
          <w:t>网址：www.htsc.com.cn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华西证券</w:t>
      </w:r>
    </w:p>
    <w:p>
      <w:pPr>
        <w:pStyle w:val="BodyText"/>
        <w:spacing w:before="140"/>
      </w:pPr>
      <w:r>
        <w:rPr/>
        <w:t>注册地址：四川省成都市高新区天府二街 198 号</w:t>
      </w:r>
    </w:p>
    <w:p>
      <w:pPr>
        <w:pStyle w:val="BodyText"/>
        <w:spacing w:line="364" w:lineRule="auto" w:before="139"/>
        <w:ind w:right="297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6650"/>
      </w:pPr>
      <w:r>
        <w:rPr/>
        <w:t>客户服务电话：95584 传真：028-86150040</w:t>
      </w:r>
    </w:p>
    <w:p>
      <w:pPr>
        <w:pStyle w:val="BodyText"/>
        <w:spacing w:line="268" w:lineRule="exact"/>
      </w:pPr>
      <w:hyperlink r:id="rId144">
        <w:r>
          <w:rPr/>
          <w:t>网址：www.hx168.com.cn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07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spacing w:after="0" w:line="268" w:lineRule="exact"/>
        <w:sectPr>
          <w:pgSz w:w="11910" w:h="16840"/>
          <w:pgMar w:header="0" w:footer="638" w:top="1380" w:bottom="900" w:left="960" w:right="980"/>
        </w:sectPr>
      </w:pPr>
    </w:p>
    <w:p>
      <w:pPr>
        <w:pStyle w:val="BodyText"/>
        <w:spacing w:before="45"/>
      </w:pPr>
      <w:r>
        <w:rPr/>
        <w:t>联系电话：021-54967552</w:t>
      </w:r>
    </w:p>
    <w:p>
      <w:pPr>
        <w:pStyle w:val="BodyText"/>
        <w:spacing w:line="364" w:lineRule="auto" w:before="139"/>
        <w:ind w:right="140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45">
        <w:r>
          <w:rPr/>
          <w:t>网址：www.cfsc.com.cn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华信证券</w:t>
      </w:r>
    </w:p>
    <w:p>
      <w:pPr>
        <w:pStyle w:val="BodyText"/>
        <w:spacing w:line="364" w:lineRule="auto" w:before="139"/>
        <w:ind w:right="318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755"/>
      </w:pPr>
      <w:r>
        <w:rPr/>
        <w:t>法定代表人：陈灿辉联系人：徐璐</w:t>
      </w:r>
    </w:p>
    <w:p>
      <w:pPr>
        <w:pStyle w:val="BodyText"/>
        <w:spacing w:line="268" w:lineRule="exact"/>
      </w:pPr>
      <w:r>
        <w:rPr/>
        <w:t>联系电话：021-63898952</w:t>
      </w:r>
    </w:p>
    <w:p>
      <w:pPr>
        <w:pStyle w:val="BodyText"/>
        <w:spacing w:line="364" w:lineRule="auto" w:before="139"/>
        <w:ind w:right="5915"/>
      </w:pPr>
      <w:r>
        <w:rPr/>
        <w:t>客户服务电话：400-820-5999 传真：021-68776977 转 8952</w:t>
      </w:r>
    </w:p>
    <w:p>
      <w:pPr>
        <w:pStyle w:val="BodyText"/>
        <w:spacing w:line="268" w:lineRule="exact"/>
      </w:pPr>
      <w:hyperlink r:id="rId146">
        <w:r>
          <w:rPr/>
          <w:t>网址：www.shhxzq.com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381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545"/>
      </w:pPr>
      <w:r>
        <w:rPr/>
        <w:t>客户服务电话：956007 传真：0451-82337279</w:t>
      </w:r>
    </w:p>
    <w:p>
      <w:pPr>
        <w:pStyle w:val="BodyText"/>
        <w:spacing w:line="268" w:lineRule="exact"/>
      </w:pPr>
      <w:hyperlink r:id="rId147">
        <w:r>
          <w:rPr/>
          <w:t>网址：www.jhzq.com.cn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金元证券</w:t>
      </w:r>
    </w:p>
    <w:p>
      <w:pPr>
        <w:pStyle w:val="BodyText"/>
        <w:spacing w:before="140"/>
      </w:pPr>
      <w:r>
        <w:rPr/>
        <w:t>注册地址：海口市南宝路 36 号证券大厦 4 楼</w:t>
      </w:r>
    </w:p>
    <w:p>
      <w:pPr>
        <w:pStyle w:val="BodyText"/>
        <w:spacing w:line="364" w:lineRule="auto" w:before="139"/>
        <w:ind w:right="318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6650"/>
      </w:pPr>
      <w:r>
        <w:rPr/>
        <w:t>客户服务电话：95372 传真：0755-83025625</w:t>
      </w:r>
    </w:p>
    <w:p>
      <w:pPr>
        <w:pStyle w:val="BodyText"/>
        <w:spacing w:line="268" w:lineRule="exact"/>
      </w:pPr>
      <w:hyperlink r:id="rId148">
        <w:r>
          <w:rPr/>
          <w:t>网址：www.jyzq.cn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九州证券</w:t>
      </w:r>
    </w:p>
    <w:p>
      <w:pPr>
        <w:pStyle w:val="BodyText"/>
        <w:spacing w:before="139"/>
      </w:pPr>
      <w:r>
        <w:rPr/>
        <w:t>注册地址：青海省西宁市南川工业园区创业路 108 号</w:t>
      </w:r>
    </w:p>
    <w:p>
      <w:pPr>
        <w:pStyle w:val="BodyText"/>
        <w:spacing w:before="139"/>
      </w:pPr>
      <w:r>
        <w:rPr/>
        <w:t>办公地址：北京市朝阳区安立路 30 号仰山公园东一门 2 号楼</w:t>
      </w:r>
    </w:p>
    <w:p>
      <w:pPr>
        <w:spacing w:after="0"/>
        <w:sectPr>
          <w:pgSz w:w="11910" w:h="16840"/>
          <w:pgMar w:header="0" w:footer="638" w:top="1380" w:bottom="900" w:left="960" w:right="980"/>
        </w:sectPr>
      </w:pPr>
    </w:p>
    <w:p>
      <w:pPr>
        <w:pStyle w:val="BodyText"/>
        <w:spacing w:line="364" w:lineRule="auto" w:before="45"/>
        <w:ind w:right="6755"/>
      </w:pPr>
      <w:r>
        <w:rPr/>
        <w:t>法定代表人：魏先锋联系人：张思思</w:t>
      </w:r>
    </w:p>
    <w:p>
      <w:pPr>
        <w:pStyle w:val="BodyText"/>
        <w:spacing w:line="268" w:lineRule="exact"/>
      </w:pPr>
      <w:r>
        <w:rPr/>
        <w:t>联系电话：010-57672272</w:t>
      </w:r>
    </w:p>
    <w:p>
      <w:pPr>
        <w:pStyle w:val="BodyText"/>
        <w:spacing w:line="364" w:lineRule="auto" w:before="139"/>
        <w:ind w:right="6650"/>
      </w:pPr>
      <w:r>
        <w:rPr/>
        <w:t>客户服务电话</w:t>
      </w:r>
      <w:r>
        <w:rPr>
          <w:spacing w:val="-4"/>
        </w:rPr>
        <w:t>：95305 </w:t>
      </w:r>
      <w:r>
        <w:rPr/>
        <w:t>传真：010-57672296</w:t>
      </w:r>
    </w:p>
    <w:p>
      <w:pPr>
        <w:pStyle w:val="BodyText"/>
        <w:spacing w:line="268" w:lineRule="exact"/>
      </w:pPr>
      <w:hyperlink r:id="rId149">
        <w:r>
          <w:rPr/>
          <w:t>网址：www.jzsec.com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开源证券</w:t>
      </w:r>
    </w:p>
    <w:p>
      <w:pPr>
        <w:pStyle w:val="BodyText"/>
        <w:spacing w:line="364" w:lineRule="auto" w:before="139"/>
        <w:ind w:right="297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650"/>
      </w:pPr>
      <w:r>
        <w:rPr/>
        <w:t>客户服务电话：95325 </w:t>
      </w:r>
      <w:hyperlink r:id="rId150">
        <w:r>
          <w:rPr/>
          <w:t>网址：www.kysec.cn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联储证券</w:t>
      </w:r>
    </w:p>
    <w:p>
      <w:pPr>
        <w:pStyle w:val="BodyText"/>
        <w:spacing w:line="364" w:lineRule="auto" w:before="140"/>
        <w:ind w:right="108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755"/>
      </w:pPr>
      <w:r>
        <w:rPr/>
        <w:t>法定代表人：吕春卫联系人：张婉婷</w:t>
      </w:r>
    </w:p>
    <w:p>
      <w:pPr>
        <w:pStyle w:val="BodyText"/>
        <w:spacing w:line="268" w:lineRule="exact"/>
      </w:pPr>
      <w:r>
        <w:rPr/>
        <w:t>联系电话：010-86499765</w:t>
      </w:r>
    </w:p>
    <w:p>
      <w:pPr>
        <w:pStyle w:val="BodyText"/>
        <w:spacing w:line="364" w:lineRule="auto" w:before="138"/>
        <w:ind w:right="5915"/>
      </w:pPr>
      <w:r>
        <w:rPr/>
        <w:t>客户服务电话：400-620-6868 </w:t>
      </w:r>
      <w:hyperlink r:id="rId151">
        <w:r>
          <w:rPr/>
          <w:t>网址：www.lczq.com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民生证券</w:t>
      </w:r>
    </w:p>
    <w:p>
      <w:pPr>
        <w:pStyle w:val="BodyText"/>
        <w:spacing w:line="364" w:lineRule="auto" w:before="140"/>
        <w:ind w:right="1766"/>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4"/>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14"/>
        </w:rPr>
        <w:t> 层法定代表人：冯鹤年</w:t>
      </w:r>
    </w:p>
    <w:p>
      <w:pPr>
        <w:pStyle w:val="BodyText"/>
        <w:spacing w:line="268" w:lineRule="exact"/>
      </w:pPr>
      <w:r>
        <w:rPr/>
        <w:t>联系人：胡梦雅</w:t>
      </w:r>
    </w:p>
    <w:p>
      <w:pPr>
        <w:pStyle w:val="BodyText"/>
        <w:spacing w:before="139"/>
      </w:pPr>
      <w:r>
        <w:rPr/>
        <w:t>联系电话：010-85127627</w:t>
      </w:r>
    </w:p>
    <w:p>
      <w:pPr>
        <w:pStyle w:val="BodyText"/>
        <w:spacing w:line="364" w:lineRule="auto" w:before="139"/>
        <w:ind w:right="6650"/>
      </w:pPr>
      <w:r>
        <w:rPr/>
        <w:t>客户服务电话：95376 </w:t>
      </w:r>
      <w:hyperlink r:id="rId152">
        <w:r>
          <w:rPr/>
          <w:t>网址：www.mszq.com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南京证券</w:t>
      </w:r>
    </w:p>
    <w:p>
      <w:pPr>
        <w:pStyle w:val="BodyText"/>
        <w:spacing w:line="364" w:lineRule="auto" w:before="140"/>
        <w:ind w:right="549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spacing w:after="0" w:line="364" w:lineRule="auto"/>
        <w:jc w:val="both"/>
        <w:sectPr>
          <w:pgSz w:w="11910" w:h="16840"/>
          <w:pgMar w:header="0" w:footer="638" w:top="1380" w:bottom="900" w:left="960" w:right="980"/>
        </w:sectPr>
      </w:pPr>
    </w:p>
    <w:p>
      <w:pPr>
        <w:pStyle w:val="BodyText"/>
        <w:spacing w:before="45"/>
      </w:pPr>
      <w:r>
        <w:rPr/>
        <w:t>联系人：王万君</w:t>
      </w:r>
    </w:p>
    <w:p>
      <w:pPr>
        <w:pStyle w:val="BodyText"/>
        <w:spacing w:before="139"/>
      </w:pPr>
      <w:r>
        <w:rPr/>
        <w:t>联系电话：025-58519523</w:t>
      </w:r>
    </w:p>
    <w:p>
      <w:pPr>
        <w:pStyle w:val="BodyText"/>
        <w:spacing w:line="364" w:lineRule="auto" w:before="140"/>
        <w:ind w:right="6650"/>
      </w:pPr>
      <w:r>
        <w:rPr/>
        <w:t>客户服务电话：95386 传真：025-83369725</w:t>
      </w:r>
    </w:p>
    <w:p>
      <w:pPr>
        <w:pStyle w:val="BodyText"/>
        <w:spacing w:line="268" w:lineRule="exact"/>
      </w:pPr>
      <w:hyperlink r:id="rId153">
        <w:r>
          <w:rPr/>
          <w:t>网址：www.njzq.com.cn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平安证券</w:t>
      </w:r>
    </w:p>
    <w:p>
      <w:pPr>
        <w:pStyle w:val="BodyText"/>
        <w:spacing w:line="364" w:lineRule="auto" w:before="140"/>
        <w:ind w:right="140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755"/>
      </w:pPr>
      <w:r>
        <w:rPr/>
        <w:t>法定代表人：何之江联系人：周驰</w:t>
      </w:r>
    </w:p>
    <w:p>
      <w:pPr>
        <w:pStyle w:val="BodyText"/>
        <w:spacing w:line="268" w:lineRule="exact"/>
      </w:pPr>
      <w:r>
        <w:rPr/>
        <w:t>联系电话：021-38643230</w:t>
      </w:r>
    </w:p>
    <w:p>
      <w:pPr>
        <w:pStyle w:val="BodyText"/>
        <w:spacing w:line="364" w:lineRule="auto" w:before="138"/>
        <w:ind w:right="6440"/>
      </w:pPr>
      <w:r>
        <w:rPr/>
        <w:t>客户服务电话：95511-8 传真：021-58991896</w:t>
      </w:r>
    </w:p>
    <w:p>
      <w:pPr>
        <w:pStyle w:val="BodyText"/>
        <w:spacing w:line="268" w:lineRule="exact"/>
      </w:pPr>
      <w:r>
        <w:rPr/>
        <w:t>网址：stock.pingan.com</w:t>
      </w:r>
    </w:p>
    <w:p>
      <w:pPr>
        <w:pStyle w:val="ListParagraph"/>
        <w:numPr>
          <w:ilvl w:val="0"/>
          <w:numId w:val="7"/>
        </w:numPr>
        <w:tabs>
          <w:tab w:pos="1950" w:val="left" w:leader="none"/>
        </w:tabs>
        <w:spacing w:line="240" w:lineRule="auto" w:before="140" w:after="0"/>
        <w:ind w:left="1950" w:right="0" w:hanging="630"/>
        <w:jc w:val="both"/>
        <w:rPr>
          <w:sz w:val="21"/>
        </w:rPr>
      </w:pPr>
      <w:r>
        <w:rPr>
          <w:sz w:val="21"/>
        </w:rPr>
        <w:t>瑞银证券</w:t>
      </w:r>
    </w:p>
    <w:p>
      <w:pPr>
        <w:pStyle w:val="BodyText"/>
        <w:spacing w:line="364" w:lineRule="auto" w:before="139"/>
        <w:ind w:right="218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5915"/>
      </w:pPr>
      <w:r>
        <w:rPr/>
        <w:t>客户服务电话：400-887-8827 传真：010-58328170</w:t>
      </w:r>
    </w:p>
    <w:p>
      <w:pPr>
        <w:pStyle w:val="BodyText"/>
        <w:spacing w:line="268" w:lineRule="exact"/>
      </w:pPr>
      <w:hyperlink r:id="rId154">
        <w:r>
          <w:rPr/>
          <w:t>网址：https://www.ubs.com/ubssecurities</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山西证券</w:t>
      </w:r>
    </w:p>
    <w:p>
      <w:pPr>
        <w:pStyle w:val="BodyText"/>
        <w:spacing w:line="364" w:lineRule="auto" w:before="140"/>
        <w:ind w:right="350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55">
        <w:r>
          <w:rPr/>
          <w:t>网址：www.i618.com.cn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上海证券</w:t>
      </w:r>
    </w:p>
    <w:p>
      <w:pPr>
        <w:pStyle w:val="BodyText"/>
        <w:spacing w:before="139"/>
      </w:pPr>
      <w:r>
        <w:rPr/>
        <w:t>注册地址：上海市黄浦区四川中路 213 号 7 楼</w:t>
      </w:r>
    </w:p>
    <w:p>
      <w:pPr>
        <w:spacing w:after="0"/>
        <w:sectPr>
          <w:pgSz w:w="11910" w:h="16840"/>
          <w:pgMar w:header="0" w:footer="638" w:top="1380" w:bottom="900" w:left="960" w:right="980"/>
        </w:sectPr>
      </w:pPr>
    </w:p>
    <w:p>
      <w:pPr>
        <w:pStyle w:val="BodyText"/>
        <w:spacing w:line="364" w:lineRule="auto" w:before="45"/>
        <w:ind w:right="381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56">
        <w:r>
          <w:rPr/>
          <w:t>网址：https://www.shzq.com/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申万宏源西部证券</w:t>
      </w:r>
    </w:p>
    <w:p>
      <w:pPr>
        <w:pStyle w:val="BodyText"/>
        <w:spacing w:before="140"/>
      </w:pPr>
      <w:r>
        <w:rPr>
          <w:spacing w:val="-11"/>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840"/>
      </w:pPr>
      <w:r>
        <w:rPr/>
        <w:t>室</w:t>
      </w:r>
    </w:p>
    <w:p>
      <w:pPr>
        <w:pStyle w:val="BodyText"/>
        <w:spacing w:before="139"/>
      </w:pPr>
      <w:r>
        <w:rPr>
          <w:spacing w:val="-11"/>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840"/>
      </w:pPr>
      <w:r>
        <w:rPr/>
        <w:t>室</w:t>
      </w:r>
    </w:p>
    <w:p>
      <w:pPr>
        <w:pStyle w:val="BodyText"/>
        <w:spacing w:line="364" w:lineRule="auto" w:before="139"/>
        <w:ind w:right="6965"/>
      </w:pPr>
      <w:r>
        <w:rPr/>
        <w:t>法定代表人：李琦联系人：王怀春</w:t>
      </w:r>
    </w:p>
    <w:p>
      <w:pPr>
        <w:pStyle w:val="BodyText"/>
        <w:spacing w:line="268" w:lineRule="exact"/>
      </w:pPr>
      <w:r>
        <w:rPr/>
        <w:t>联系电话：0991-2307105</w:t>
      </w:r>
    </w:p>
    <w:p>
      <w:pPr>
        <w:pStyle w:val="BodyText"/>
        <w:spacing w:line="364" w:lineRule="auto" w:before="140"/>
        <w:ind w:right="5915"/>
      </w:pPr>
      <w:r>
        <w:rPr/>
        <w:t>客户服务电话</w:t>
      </w:r>
      <w:r>
        <w:rPr>
          <w:spacing w:val="-2"/>
        </w:rPr>
        <w:t>：4008-000-562 </w:t>
      </w:r>
      <w:r>
        <w:rPr/>
        <w:t>传真：010-88085195</w:t>
      </w:r>
    </w:p>
    <w:p>
      <w:pPr>
        <w:pStyle w:val="BodyText"/>
        <w:spacing w:line="268" w:lineRule="exact"/>
      </w:pPr>
      <w:hyperlink r:id="rId157">
        <w:r>
          <w:rPr/>
          <w:t>网址：www.hysec.com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29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40"/>
      </w:pPr>
      <w:r>
        <w:rPr/>
        <w:t>联系电话：021-33388252</w:t>
      </w:r>
    </w:p>
    <w:p>
      <w:pPr>
        <w:pStyle w:val="BodyText"/>
        <w:spacing w:line="364" w:lineRule="auto" w:before="139"/>
        <w:ind w:right="5390"/>
      </w:pPr>
      <w:r>
        <w:rPr/>
        <w:t>客户服务电话：95523、4008895523 传真：021-33388224</w:t>
      </w:r>
    </w:p>
    <w:p>
      <w:pPr>
        <w:pStyle w:val="BodyText"/>
        <w:spacing w:line="268" w:lineRule="exact"/>
      </w:pPr>
      <w:hyperlink r:id="rId158">
        <w:r>
          <w:rPr/>
          <w:t>网址：www.swhysc.com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世纪证券</w:t>
      </w:r>
    </w:p>
    <w:p>
      <w:pPr>
        <w:pStyle w:val="BodyText"/>
        <w:spacing w:before="140"/>
      </w:pPr>
      <w:r>
        <w:rPr/>
        <w:t>注册地址：深圳市前海深港合作区南山街道桂湾五路 128 号前海深港基金小镇对冲基</w:t>
      </w:r>
    </w:p>
    <w:p>
      <w:pPr>
        <w:pStyle w:val="BodyText"/>
        <w:spacing w:before="139"/>
        <w:ind w:left="840"/>
      </w:pPr>
      <w:r>
        <w:rPr/>
        <w:t>金中心 406</w:t>
      </w:r>
    </w:p>
    <w:p>
      <w:pPr>
        <w:pStyle w:val="BodyText"/>
        <w:spacing w:line="364" w:lineRule="auto" w:before="140"/>
        <w:ind w:right="339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9"/>
      </w:pPr>
      <w:r>
        <w:rPr/>
        <w:t>联系电话：0755-83199553</w:t>
      </w:r>
    </w:p>
    <w:p>
      <w:pPr>
        <w:spacing w:after="0"/>
        <w:sectPr>
          <w:pgSz w:w="11910" w:h="16840"/>
          <w:pgMar w:header="0" w:footer="638" w:top="1380" w:bottom="900" w:left="960" w:right="980"/>
        </w:sectPr>
      </w:pPr>
    </w:p>
    <w:p>
      <w:pPr>
        <w:pStyle w:val="BodyText"/>
        <w:spacing w:line="364" w:lineRule="auto" w:before="45"/>
        <w:ind w:right="6125"/>
      </w:pPr>
      <w:r>
        <w:rPr/>
        <w:t>客户服务电话：4008323000 </w:t>
      </w:r>
      <w:hyperlink r:id="rId159">
        <w:r>
          <w:rPr/>
          <w:t>网址：www.csco.com.cn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首创证券</w:t>
      </w:r>
    </w:p>
    <w:p>
      <w:pPr>
        <w:pStyle w:val="BodyText"/>
        <w:spacing w:line="364" w:lineRule="auto" w:before="139"/>
        <w:ind w:right="318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5915"/>
      </w:pPr>
      <w:r>
        <w:rPr/>
        <w:t>客户服务电话：400-620-0620 传真：010-59366055</w:t>
      </w:r>
    </w:p>
    <w:p>
      <w:pPr>
        <w:pStyle w:val="BodyText"/>
        <w:spacing w:line="268" w:lineRule="exact"/>
      </w:pPr>
      <w:hyperlink r:id="rId160">
        <w:r>
          <w:rPr/>
          <w:t>网址：http://www.sczq.com.cn/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天风证券</w:t>
      </w:r>
    </w:p>
    <w:p>
      <w:pPr>
        <w:pStyle w:val="BodyText"/>
        <w:spacing w:line="364" w:lineRule="auto" w:before="139"/>
        <w:ind w:right="213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965"/>
      </w:pPr>
      <w:r>
        <w:rPr/>
        <w:t>法定代表人：余磊联系人：王雅薇</w:t>
      </w:r>
    </w:p>
    <w:p>
      <w:pPr>
        <w:pStyle w:val="BodyText"/>
        <w:spacing w:line="268" w:lineRule="exact"/>
      </w:pPr>
      <w:r>
        <w:rPr/>
        <w:t>联系电话：027-87617017</w:t>
      </w:r>
    </w:p>
    <w:p>
      <w:pPr>
        <w:pStyle w:val="BodyText"/>
        <w:spacing w:line="364" w:lineRule="auto" w:before="139"/>
        <w:ind w:right="5390"/>
      </w:pPr>
      <w:r>
        <w:rPr/>
        <w:t>客户服务电话：4008005000、95391 传真：027-87618863</w:t>
      </w:r>
    </w:p>
    <w:p>
      <w:pPr>
        <w:pStyle w:val="BodyText"/>
        <w:spacing w:line="268" w:lineRule="exact"/>
      </w:pPr>
      <w:hyperlink r:id="rId161">
        <w:r>
          <w:rPr/>
          <w:t>网址：http://www.tfzq.com/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万联证券</w:t>
      </w:r>
    </w:p>
    <w:p>
      <w:pPr>
        <w:pStyle w:val="BodyText"/>
        <w:spacing w:before="140"/>
      </w:pPr>
      <w:r>
        <w:rPr/>
        <w:t>注册地址：广州市天河区珠江东路 11 号 18、19 楼全层</w:t>
      </w:r>
    </w:p>
    <w:p>
      <w:pPr>
        <w:pStyle w:val="BodyText"/>
        <w:spacing w:line="364" w:lineRule="auto" w:before="139"/>
        <w:ind w:right="276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650"/>
      </w:pPr>
      <w:r>
        <w:rPr/>
        <w:t>客户服务电话</w:t>
      </w:r>
      <w:r>
        <w:rPr>
          <w:spacing w:val="-4"/>
        </w:rPr>
        <w:t>：95322 </w:t>
      </w:r>
      <w:r>
        <w:rPr/>
        <w:t>传真：020-38286588</w:t>
      </w:r>
    </w:p>
    <w:p>
      <w:pPr>
        <w:pStyle w:val="BodyText"/>
        <w:spacing w:line="268" w:lineRule="exact"/>
      </w:pPr>
      <w:hyperlink r:id="rId162">
        <w:r>
          <w:rPr/>
          <w:t>网址：www.wlzq.cn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五矿证券</w:t>
      </w:r>
    </w:p>
    <w:p>
      <w:pPr>
        <w:pStyle w:val="BodyText"/>
        <w:spacing w:line="364" w:lineRule="auto" w:before="140"/>
        <w:ind w:right="182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755"/>
      </w:pPr>
      <w:r>
        <w:rPr/>
        <w:t>法定代表人：黄海洲联系人：戴佳璐</w:t>
      </w:r>
    </w:p>
    <w:p>
      <w:pPr>
        <w:spacing w:after="0" w:line="364" w:lineRule="auto"/>
        <w:sectPr>
          <w:pgSz w:w="11910" w:h="16840"/>
          <w:pgMar w:header="0" w:footer="638" w:top="1380" w:bottom="900" w:left="960" w:right="980"/>
        </w:sectPr>
      </w:pPr>
    </w:p>
    <w:p>
      <w:pPr>
        <w:pStyle w:val="BodyText"/>
        <w:spacing w:before="45"/>
      </w:pPr>
      <w:r>
        <w:rPr/>
        <w:t>联系电话：0755-88311518</w:t>
      </w:r>
    </w:p>
    <w:p>
      <w:pPr>
        <w:pStyle w:val="BodyText"/>
        <w:spacing w:line="364" w:lineRule="auto" w:before="139"/>
        <w:ind w:right="6020"/>
      </w:pPr>
      <w:r>
        <w:rPr/>
        <w:t>客户服务电话：40018-40028 传真：0755-82545500</w:t>
      </w:r>
    </w:p>
    <w:p>
      <w:pPr>
        <w:pStyle w:val="BodyText"/>
        <w:spacing w:line="268" w:lineRule="exact"/>
      </w:pPr>
      <w:hyperlink r:id="rId163">
        <w:r>
          <w:rPr/>
          <w:t>网址：www.wkzq.com.cn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西部证券</w:t>
      </w:r>
    </w:p>
    <w:p>
      <w:pPr>
        <w:pStyle w:val="BodyText"/>
        <w:spacing w:line="364" w:lineRule="auto" w:before="139"/>
        <w:ind w:right="318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650"/>
      </w:pPr>
      <w:r>
        <w:rPr/>
        <w:t>客户服务电话：95582 传真：029-87211478</w:t>
      </w:r>
    </w:p>
    <w:p>
      <w:pPr>
        <w:pStyle w:val="BodyText"/>
        <w:spacing w:line="268" w:lineRule="exact"/>
      </w:pPr>
      <w:hyperlink r:id="rId164">
        <w:r>
          <w:rPr/>
          <w:t>网址：www.westsecu.com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西南证券</w:t>
      </w:r>
    </w:p>
    <w:p>
      <w:pPr>
        <w:pStyle w:val="BodyText"/>
        <w:spacing w:before="139"/>
      </w:pPr>
      <w:r>
        <w:rPr>
          <w:spacing w:val="-4"/>
        </w:rPr>
        <w:t>注册地址：重庆市江北区桥北苑 </w:t>
      </w:r>
      <w:r>
        <w:rPr/>
        <w:t>8</w:t>
      </w:r>
      <w:r>
        <w:rPr>
          <w:spacing w:val="-27"/>
        </w:rPr>
        <w:t> 号</w:t>
      </w:r>
    </w:p>
    <w:p>
      <w:pPr>
        <w:pStyle w:val="BodyText"/>
        <w:spacing w:line="364" w:lineRule="auto" w:before="139"/>
        <w:ind w:right="402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40"/>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65">
        <w:r>
          <w:rPr/>
          <w:t>网址：www.swsc.com.cn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湘财证券</w:t>
      </w:r>
    </w:p>
    <w:p>
      <w:pPr>
        <w:pStyle w:val="BodyText"/>
        <w:spacing w:line="364" w:lineRule="auto" w:before="139"/>
        <w:ind w:right="182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650"/>
      </w:pPr>
      <w:r>
        <w:rPr/>
        <w:t>客户服务电话</w:t>
      </w:r>
      <w:r>
        <w:rPr>
          <w:spacing w:val="-4"/>
        </w:rPr>
        <w:t>：95351 </w:t>
      </w:r>
      <w:r>
        <w:rPr/>
        <w:t>传真：021-68865680</w:t>
      </w:r>
    </w:p>
    <w:p>
      <w:pPr>
        <w:pStyle w:val="BodyText"/>
        <w:spacing w:line="268" w:lineRule="exact"/>
      </w:pPr>
      <w:hyperlink r:id="rId166">
        <w:r>
          <w:rPr/>
          <w:t>网址：www.xcsc.com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新时代证券</w:t>
      </w:r>
    </w:p>
    <w:p>
      <w:pPr>
        <w:pStyle w:val="BodyText"/>
        <w:spacing w:before="140"/>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t>1501</w:t>
      </w:r>
    </w:p>
    <w:p>
      <w:pPr>
        <w:pStyle w:val="BodyText"/>
        <w:spacing w:before="139"/>
      </w:pPr>
      <w:r>
        <w:rPr>
          <w:spacing w:val="-4"/>
        </w:rPr>
        <w:t>办公地址：北京市海淀区北三环西路 </w:t>
      </w:r>
      <w:r>
        <w:rPr/>
        <w:t>99</w:t>
      </w:r>
      <w:r>
        <w:rPr>
          <w:spacing w:val="-27"/>
        </w:rPr>
        <w:t> 号院 </w:t>
      </w:r>
      <w:r>
        <w:rPr/>
        <w:t>1</w:t>
      </w:r>
      <w:r>
        <w:rPr>
          <w:spacing w:val="-27"/>
        </w:rPr>
        <w:t> 号楼 </w:t>
      </w:r>
      <w:r>
        <w:rPr/>
        <w:t>15</w:t>
      </w:r>
      <w:r>
        <w:rPr>
          <w:spacing w:val="-36"/>
        </w:rPr>
        <w:t> 层 </w:t>
      </w:r>
      <w:r>
        <w:rPr/>
        <w:t>1501</w:t>
      </w:r>
    </w:p>
    <w:p>
      <w:pPr>
        <w:spacing w:after="0"/>
        <w:sectPr>
          <w:pgSz w:w="11910" w:h="16840"/>
          <w:pgMar w:header="0" w:footer="638" w:top="1380" w:bottom="900" w:left="960" w:right="980"/>
        </w:sectPr>
      </w:pPr>
    </w:p>
    <w:p>
      <w:pPr>
        <w:pStyle w:val="BodyText"/>
        <w:spacing w:line="364" w:lineRule="auto" w:before="45"/>
        <w:ind w:right="6755"/>
      </w:pPr>
      <w:r>
        <w:rPr/>
        <w:t>法定代表人：叶顺德联系人：马文玺</w:t>
      </w:r>
    </w:p>
    <w:p>
      <w:pPr>
        <w:pStyle w:val="BodyText"/>
        <w:spacing w:line="268" w:lineRule="exact"/>
      </w:pPr>
      <w:r>
        <w:rPr/>
        <w:t>联系电话：010-83561072</w:t>
      </w:r>
    </w:p>
    <w:p>
      <w:pPr>
        <w:pStyle w:val="BodyText"/>
        <w:spacing w:line="364" w:lineRule="auto" w:before="139"/>
        <w:ind w:right="6650"/>
      </w:pPr>
      <w:r>
        <w:rPr/>
        <w:t>客户服务电话：95399 </w:t>
      </w:r>
      <w:hyperlink r:id="rId167">
        <w:r>
          <w:rPr/>
          <w:t>网址：www.xsdzq.cn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信达证券</w:t>
      </w:r>
    </w:p>
    <w:p>
      <w:pPr>
        <w:pStyle w:val="BodyText"/>
        <w:spacing w:line="364" w:lineRule="auto" w:before="140"/>
        <w:ind w:right="402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650"/>
      </w:pPr>
      <w:r>
        <w:rPr/>
        <w:t>客户服务电话：95321 传真：010-63080978</w:t>
      </w:r>
    </w:p>
    <w:p>
      <w:pPr>
        <w:pStyle w:val="BodyText"/>
        <w:spacing w:line="268" w:lineRule="exact"/>
      </w:pPr>
      <w:hyperlink r:id="rId168">
        <w:r>
          <w:rPr/>
          <w:t>网址：www.cindasc.com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兴业证券</w:t>
      </w:r>
    </w:p>
    <w:p>
      <w:pPr>
        <w:pStyle w:val="BodyText"/>
        <w:spacing w:before="140"/>
      </w:pPr>
      <w:r>
        <w:rPr/>
        <w:t>注册地址：福州市湖东路 268 号</w:t>
      </w:r>
    </w:p>
    <w:p>
      <w:pPr>
        <w:pStyle w:val="BodyText"/>
        <w:spacing w:line="364" w:lineRule="auto" w:before="139"/>
        <w:ind w:right="339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440"/>
      </w:pPr>
      <w:r>
        <w:rPr/>
        <w:t>客户服务电话：95562 </w:t>
      </w:r>
      <w:hyperlink r:id="rId169">
        <w:r>
          <w:rPr>
            <w:spacing w:val="-1"/>
          </w:rPr>
          <w:t>网址：www.xyzq.com.cn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29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70">
        <w:r>
          <w:rPr/>
          <w:t>网址：www.chinastock.com.cn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粤开证券</w:t>
      </w:r>
    </w:p>
    <w:p>
      <w:pPr>
        <w:pStyle w:val="BodyText"/>
        <w:spacing w:line="364" w:lineRule="auto" w:before="139"/>
        <w:ind w:right="119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268" w:lineRule="exact"/>
      </w:pPr>
      <w:r>
        <w:rPr/>
        <w:t>法定代表人：严亦斌</w:t>
      </w:r>
    </w:p>
    <w:p>
      <w:pPr>
        <w:spacing w:after="0" w:line="268" w:lineRule="exact"/>
        <w:sectPr>
          <w:pgSz w:w="11910" w:h="16840"/>
          <w:pgMar w:header="0" w:footer="638" w:top="1380" w:bottom="900" w:left="960" w:right="980"/>
        </w:sectPr>
      </w:pPr>
    </w:p>
    <w:p>
      <w:pPr>
        <w:pStyle w:val="BodyText"/>
        <w:spacing w:before="45"/>
      </w:pPr>
      <w:r>
        <w:rPr/>
        <w:t>联系人：彭莲</w:t>
      </w:r>
    </w:p>
    <w:p>
      <w:pPr>
        <w:pStyle w:val="BodyText"/>
        <w:spacing w:before="139"/>
      </w:pPr>
      <w:r>
        <w:rPr/>
        <w:t>联系电话：0755-83331195</w:t>
      </w:r>
    </w:p>
    <w:p>
      <w:pPr>
        <w:pStyle w:val="BodyText"/>
        <w:spacing w:before="140"/>
      </w:pPr>
      <w:r>
        <w:rPr/>
        <w:t>客户服务电话：95564</w:t>
      </w:r>
    </w:p>
    <w:p>
      <w:pPr>
        <w:pStyle w:val="BodyText"/>
        <w:spacing w:before="139"/>
      </w:pPr>
      <w:hyperlink r:id="rId171">
        <w:r>
          <w:rPr/>
          <w:t>公司网址：http://www.ykzq.com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招商证券</w:t>
      </w:r>
    </w:p>
    <w:p>
      <w:pPr>
        <w:pStyle w:val="BodyText"/>
        <w:spacing w:line="364" w:lineRule="auto" w:before="139"/>
        <w:ind w:right="402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180"/>
      </w:pPr>
      <w:r>
        <w:rPr/>
        <w:t>客户服务电话：95565、400-8888-111 传真：0755-82943636</w:t>
      </w:r>
    </w:p>
    <w:p>
      <w:pPr>
        <w:pStyle w:val="BodyText"/>
        <w:spacing w:line="268" w:lineRule="exact"/>
      </w:pPr>
      <w:hyperlink r:id="rId172">
        <w:r>
          <w:rPr/>
          <w:t>网址：www.newone.com.cn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276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650"/>
      </w:pPr>
      <w:r>
        <w:rPr/>
        <w:t>客户服务电话：95345 传真：0571-87901913</w:t>
      </w:r>
    </w:p>
    <w:p>
      <w:pPr>
        <w:pStyle w:val="BodyText"/>
        <w:spacing w:line="268" w:lineRule="exact"/>
      </w:pPr>
      <w:hyperlink r:id="rId173">
        <w:r>
          <w:rPr/>
          <w:t>网址：www.stocke.com.cn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中航证券</w:t>
      </w:r>
    </w:p>
    <w:p>
      <w:pPr>
        <w:pStyle w:val="BodyText"/>
        <w:spacing w:line="364" w:lineRule="auto" w:before="139"/>
        <w:ind w:right="87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39"/>
      </w:pPr>
      <w:r>
        <w:rPr/>
        <w:t>传真：010-59562637</w:t>
      </w:r>
    </w:p>
    <w:p>
      <w:pPr>
        <w:pStyle w:val="BodyText"/>
        <w:spacing w:before="140"/>
      </w:pPr>
      <w:hyperlink r:id="rId174">
        <w:r>
          <w:rPr/>
          <w:t>网址：www.avicsec.com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840"/>
      </w:pPr>
      <w:r>
        <w:rPr/>
        <w:t>层 01.02.03.05.11.12.13.15.16.18.19.20.21.22.23 单元</w:t>
      </w:r>
    </w:p>
    <w:p>
      <w:pPr>
        <w:spacing w:after="0"/>
        <w:sectPr>
          <w:pgSz w:w="11910" w:h="16840"/>
          <w:pgMar w:header="0" w:footer="638" w:top="1380" w:bottom="900" w:left="960" w:right="980"/>
        </w:sectPr>
      </w:pPr>
    </w:p>
    <w:p>
      <w:pPr>
        <w:pStyle w:val="BodyText"/>
        <w:spacing w:line="364" w:lineRule="auto" w:before="45"/>
        <w:ind w:right="208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75">
        <w:r>
          <w:rPr/>
          <w:t>网址：https://www.ciccwm.com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中金公司</w:t>
      </w:r>
    </w:p>
    <w:p>
      <w:pPr>
        <w:pStyle w:val="BodyText"/>
        <w:spacing w:line="364" w:lineRule="auto" w:before="139"/>
        <w:ind w:right="213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755"/>
      </w:pPr>
      <w:r>
        <w:rPr/>
        <w:t>法定代表人：沈如军联系人：杨涵宇</w:t>
      </w:r>
    </w:p>
    <w:p>
      <w:pPr>
        <w:pStyle w:val="BodyText"/>
        <w:spacing w:line="268" w:lineRule="exact"/>
      </w:pPr>
      <w:r>
        <w:rPr/>
        <w:t>联系电话：010-65051166</w:t>
      </w:r>
    </w:p>
    <w:p>
      <w:pPr>
        <w:pStyle w:val="BodyText"/>
        <w:spacing w:line="364" w:lineRule="auto" w:before="139"/>
        <w:ind w:right="6125"/>
      </w:pPr>
      <w:r>
        <w:rPr>
          <w:spacing w:val="-1"/>
        </w:rPr>
        <w:t>客户服务电话</w:t>
      </w:r>
      <w:r>
        <w:rPr/>
        <w:t>：4009101166 </w:t>
      </w:r>
      <w:hyperlink r:id="rId176">
        <w:r>
          <w:rPr/>
          <w:t>网址：www.cicc.com.cn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中山证券</w:t>
      </w:r>
    </w:p>
    <w:p>
      <w:pPr>
        <w:pStyle w:val="BodyText"/>
        <w:spacing w:before="139"/>
      </w:pPr>
      <w:r>
        <w:rPr/>
        <w:t>注册地址：深圳市南山区粤海街道蔚蓝海岸社区创业路 1777 号海信南方大厦 21、22</w:t>
      </w:r>
    </w:p>
    <w:p>
      <w:pPr>
        <w:pStyle w:val="BodyText"/>
        <w:spacing w:before="140"/>
        <w:ind w:left="840"/>
      </w:pPr>
      <w:r>
        <w:rPr/>
        <w:t>层</w:t>
      </w:r>
    </w:p>
    <w:p>
      <w:pPr>
        <w:pStyle w:val="BodyText"/>
        <w:spacing w:line="364" w:lineRule="auto" w:before="139"/>
        <w:ind w:right="2765"/>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39"/>
        <w:ind w:right="6650"/>
      </w:pPr>
      <w:r>
        <w:rPr>
          <w:spacing w:val="-1"/>
        </w:rPr>
        <w:t>电话：0755-82943755 </w:t>
      </w:r>
      <w:r>
        <w:rPr>
          <w:spacing w:val="-2"/>
        </w:rPr>
        <w:t>传真：0755-82960582</w:t>
      </w:r>
    </w:p>
    <w:p>
      <w:pPr>
        <w:pStyle w:val="BodyText"/>
        <w:spacing w:line="364" w:lineRule="auto"/>
        <w:ind w:right="6650"/>
      </w:pPr>
      <w:r>
        <w:rPr/>
        <w:t>客户服务电话</w:t>
      </w:r>
      <w:r>
        <w:rPr>
          <w:spacing w:val="-4"/>
        </w:rPr>
        <w:t>：95329 </w:t>
      </w:r>
      <w:hyperlink r:id="rId177">
        <w:r>
          <w:rPr/>
          <w:t>网址：www.zszq.com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中泰证券</w:t>
      </w:r>
    </w:p>
    <w:p>
      <w:pPr>
        <w:pStyle w:val="BodyText"/>
        <w:spacing w:line="364" w:lineRule="auto" w:before="139"/>
        <w:ind w:right="518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650"/>
      </w:pPr>
      <w:r>
        <w:rPr/>
        <w:t>客户服务电话：95538 传真：0531-68889095</w:t>
      </w:r>
    </w:p>
    <w:p>
      <w:pPr>
        <w:pStyle w:val="BodyText"/>
        <w:spacing w:line="268" w:lineRule="exact"/>
      </w:pPr>
      <w:hyperlink r:id="rId178">
        <w:r>
          <w:rPr/>
          <w:t>网址：www.zts.com.cn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中天证券</w:t>
      </w:r>
    </w:p>
    <w:p>
      <w:pPr>
        <w:spacing w:after="0" w:line="240" w:lineRule="auto"/>
        <w:jc w:val="left"/>
        <w:rPr>
          <w:sz w:val="21"/>
        </w:rPr>
        <w:sectPr>
          <w:pgSz w:w="11910" w:h="16840"/>
          <w:pgMar w:header="0" w:footer="638" w:top="1380" w:bottom="900" w:left="960" w:right="980"/>
        </w:sectPr>
      </w:pPr>
    </w:p>
    <w:p>
      <w:pPr>
        <w:pStyle w:val="BodyText"/>
        <w:spacing w:line="364" w:lineRule="auto" w:before="45"/>
        <w:ind w:right="455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230"/>
      </w:pPr>
      <w:r>
        <w:rPr>
          <w:spacing w:val="-1"/>
        </w:rPr>
        <w:t>客户服务电话</w:t>
      </w:r>
      <w:r>
        <w:rPr/>
        <w:t>：024-95346 传真：024-23255606</w:t>
      </w:r>
    </w:p>
    <w:p>
      <w:pPr>
        <w:pStyle w:val="BodyText"/>
        <w:spacing w:line="268" w:lineRule="exact"/>
      </w:pPr>
      <w:hyperlink r:id="rId179">
        <w:r>
          <w:rPr/>
          <w:t>网址：www.iztzq.com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中信建投证券</w:t>
      </w:r>
    </w:p>
    <w:p>
      <w:pPr>
        <w:pStyle w:val="BodyText"/>
        <w:spacing w:line="364" w:lineRule="auto" w:before="140"/>
        <w:ind w:right="455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755"/>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80">
        <w:r>
          <w:rPr/>
          <w:t>网址：http://www.csc108.com/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中信证券</w:t>
      </w:r>
    </w:p>
    <w:p>
      <w:pPr>
        <w:pStyle w:val="BodyText"/>
        <w:spacing w:line="364" w:lineRule="auto" w:before="140"/>
        <w:ind w:right="192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755"/>
      </w:pPr>
      <w:r>
        <w:rPr/>
        <w:t>法定代表人：张佑君联系人：王一通</w:t>
      </w:r>
    </w:p>
    <w:p>
      <w:pPr>
        <w:pStyle w:val="BodyText"/>
        <w:spacing w:line="268" w:lineRule="exact"/>
      </w:pPr>
      <w:r>
        <w:rPr/>
        <w:t>联系电话：010-60838888</w:t>
      </w:r>
    </w:p>
    <w:p>
      <w:pPr>
        <w:pStyle w:val="BodyText"/>
        <w:spacing w:line="364" w:lineRule="auto" w:before="138"/>
        <w:ind w:right="6650"/>
      </w:pPr>
      <w:r>
        <w:rPr/>
        <w:t>客户服务电话：95548 传真：010-60836029</w:t>
      </w:r>
    </w:p>
    <w:p>
      <w:pPr>
        <w:pStyle w:val="BodyText"/>
        <w:spacing w:line="268" w:lineRule="exact"/>
      </w:pPr>
      <w:hyperlink r:id="rId181">
        <w:r>
          <w:rPr/>
          <w:t>网址：www.cs.ecitic.com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中信证券华南</w:t>
      </w:r>
    </w:p>
    <w:p>
      <w:pPr>
        <w:pStyle w:val="BodyText"/>
        <w:spacing w:line="364" w:lineRule="auto" w:before="140"/>
        <w:ind w:right="176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650"/>
      </w:pPr>
      <w:r>
        <w:rPr/>
        <w:t>客户服务电话：95548 传真：020-88836984</w:t>
      </w:r>
    </w:p>
    <w:p>
      <w:pPr>
        <w:pStyle w:val="BodyText"/>
        <w:spacing w:line="268" w:lineRule="exact"/>
      </w:pPr>
      <w:hyperlink r:id="rId182">
        <w:r>
          <w:rPr/>
          <w:t>网址：www.gzs.com.cn</w:t>
        </w:r>
      </w:hyperlink>
    </w:p>
    <w:p>
      <w:pPr>
        <w:spacing w:after="0" w:line="268" w:lineRule="exact"/>
        <w:sectPr>
          <w:pgSz w:w="11910" w:h="16840"/>
          <w:pgMar w:header="0" w:footer="638" w:top="1380" w:bottom="900" w:left="960" w:right="980"/>
        </w:sectPr>
      </w:pPr>
    </w:p>
    <w:p>
      <w:pPr>
        <w:pStyle w:val="ListParagraph"/>
        <w:numPr>
          <w:ilvl w:val="0"/>
          <w:numId w:val="7"/>
        </w:numPr>
        <w:tabs>
          <w:tab w:pos="1950" w:val="left" w:leader="none"/>
        </w:tabs>
        <w:spacing w:line="240" w:lineRule="auto" w:before="45" w:after="0"/>
        <w:ind w:left="1950" w:right="0" w:hanging="630"/>
        <w:jc w:val="left"/>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29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650"/>
      </w:pPr>
      <w:r>
        <w:rPr/>
        <w:t>客户服务电话：95548 传真：0532-85022605</w:t>
      </w:r>
    </w:p>
    <w:p>
      <w:pPr>
        <w:pStyle w:val="BodyText"/>
        <w:spacing w:line="268" w:lineRule="exact"/>
      </w:pPr>
      <w:hyperlink r:id="rId183">
        <w:r>
          <w:rPr/>
          <w:t>网址：http://sd.citics.com/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中银证券</w:t>
      </w:r>
    </w:p>
    <w:p>
      <w:pPr>
        <w:pStyle w:val="BodyText"/>
        <w:spacing w:before="140"/>
      </w:pPr>
      <w:r>
        <w:rPr/>
        <w:t>注册地址：上海市浦东新区银城中路 200 号中银大厦 39 层</w:t>
      </w:r>
    </w:p>
    <w:p>
      <w:pPr>
        <w:pStyle w:val="BodyText"/>
        <w:spacing w:line="364" w:lineRule="auto" w:before="139"/>
        <w:ind w:right="297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915"/>
      </w:pPr>
      <w:r>
        <w:rPr/>
        <w:t>客户服务电话：400-620-8888 传真：021-50372474</w:t>
      </w:r>
    </w:p>
    <w:p>
      <w:pPr>
        <w:pStyle w:val="BodyText"/>
        <w:spacing w:line="268" w:lineRule="exact"/>
      </w:pPr>
      <w:hyperlink r:id="rId184">
        <w:r>
          <w:rPr/>
          <w:t>网址：www.bocichina.com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中邮证券</w:t>
      </w:r>
    </w:p>
    <w:p>
      <w:pPr>
        <w:pStyle w:val="BodyText"/>
        <w:spacing w:line="364" w:lineRule="auto" w:before="139"/>
        <w:ind w:right="245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755"/>
      </w:pPr>
      <w:r>
        <w:rPr/>
        <w:t>法定代表人：丁奇文联系人：岳帅</w:t>
      </w:r>
    </w:p>
    <w:p>
      <w:pPr>
        <w:pStyle w:val="BodyText"/>
        <w:spacing w:line="268" w:lineRule="exact"/>
      </w:pPr>
      <w:r>
        <w:rPr/>
        <w:t>联系电话: 010-67017788-6068</w:t>
      </w:r>
    </w:p>
    <w:p>
      <w:pPr>
        <w:pStyle w:val="BodyText"/>
        <w:spacing w:line="364" w:lineRule="auto" w:before="139"/>
        <w:ind w:right="5915"/>
      </w:pPr>
      <w:r>
        <w:rPr/>
        <w:t>客户服务电话：4008-888-005 传真：010-67017788-9696</w:t>
      </w:r>
    </w:p>
    <w:p>
      <w:pPr>
        <w:pStyle w:val="BodyText"/>
        <w:spacing w:line="268" w:lineRule="exact"/>
      </w:pPr>
      <w:hyperlink r:id="rId185">
        <w:r>
          <w:rPr/>
          <w:t>网址：www.cnpsec.com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71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999" w:val="left" w:leader="none"/>
        </w:tabs>
        <w:spacing w:line="364" w:lineRule="auto"/>
        <w:ind w:right="5810"/>
      </w:pPr>
      <w:r>
        <w:rPr/>
        <w:t>联系人：程月艳</w:t>
        <w:tab/>
        <w:t>李盼盼 党</w:t>
      </w:r>
      <w:r>
        <w:rPr>
          <w:spacing w:val="-18"/>
        </w:rPr>
        <w:t>静</w:t>
      </w:r>
      <w:r>
        <w:rPr/>
        <w:t>联系电话：0371-69099882</w:t>
      </w:r>
    </w:p>
    <w:p>
      <w:pPr>
        <w:pStyle w:val="BodyText"/>
        <w:spacing w:line="364" w:lineRule="auto"/>
        <w:ind w:right="6650"/>
      </w:pPr>
      <w:r>
        <w:rPr/>
        <w:t>客户服务电话：95377 传真：0371-65585899</w:t>
      </w:r>
    </w:p>
    <w:p>
      <w:pPr>
        <w:spacing w:after="0" w:line="364" w:lineRule="auto"/>
        <w:sectPr>
          <w:pgSz w:w="11910" w:h="16840"/>
          <w:pgMar w:header="0" w:footer="638" w:top="1380" w:bottom="900" w:left="960" w:right="980"/>
        </w:sectPr>
      </w:pPr>
    </w:p>
    <w:p>
      <w:pPr>
        <w:pStyle w:val="BodyText"/>
        <w:spacing w:before="45"/>
      </w:pPr>
      <w:hyperlink r:id="rId186">
        <w:r>
          <w:rPr/>
          <w:t>网址：www.ccnew.com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百度百盈</w:t>
      </w:r>
    </w:p>
    <w:p>
      <w:pPr>
        <w:pStyle w:val="BodyText"/>
        <w:spacing w:line="364" w:lineRule="auto" w:before="140"/>
        <w:ind w:right="245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965"/>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87">
        <w:r>
          <w:rPr/>
          <w:t>网址：www.baiyingfund.com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92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40"/>
      </w:pPr>
      <w:r>
        <w:rPr/>
        <w:t>联系电话：021-20691935</w:t>
      </w:r>
    </w:p>
    <w:p>
      <w:pPr>
        <w:pStyle w:val="BodyText"/>
        <w:spacing w:line="364" w:lineRule="auto" w:before="139"/>
        <w:ind w:right="5915"/>
      </w:pPr>
      <w:r>
        <w:rPr/>
        <w:t>客户服务电话：400-820-2899 传真：021-20691861</w:t>
      </w:r>
    </w:p>
    <w:p>
      <w:pPr>
        <w:pStyle w:val="BodyText"/>
        <w:spacing w:line="268" w:lineRule="exact"/>
      </w:pPr>
      <w:hyperlink r:id="rId188">
        <w:r>
          <w:rPr/>
          <w:t>网址：www.erichfund.com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朝阳永续</w:t>
      </w:r>
    </w:p>
    <w:p>
      <w:pPr>
        <w:pStyle w:val="BodyText"/>
        <w:spacing w:line="364" w:lineRule="auto" w:before="140"/>
        <w:ind w:right="3815"/>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915"/>
      </w:pPr>
      <w:r>
        <w:rPr/>
        <w:t>客户服务电话：400-699-1888 </w:t>
      </w:r>
      <w:hyperlink r:id="rId189">
        <w:r>
          <w:rPr/>
          <w:t>网址：www.998fund.com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创金启富</w:t>
      </w:r>
    </w:p>
    <w:p>
      <w:pPr>
        <w:pStyle w:val="BodyText"/>
        <w:spacing w:line="364" w:lineRule="auto" w:before="139"/>
        <w:ind w:right="339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40"/>
      </w:pPr>
      <w:r>
        <w:rPr/>
        <w:t>联系电话：010-66154828-8047</w:t>
      </w:r>
    </w:p>
    <w:p>
      <w:pPr>
        <w:pStyle w:val="BodyText"/>
        <w:spacing w:line="364" w:lineRule="auto" w:before="139"/>
        <w:ind w:right="5915"/>
      </w:pPr>
      <w:r>
        <w:rPr/>
        <w:t>客户服务电话：400-6262-818 传真：010-63583991</w:t>
      </w:r>
    </w:p>
    <w:p>
      <w:pPr>
        <w:spacing w:after="0" w:line="364" w:lineRule="auto"/>
        <w:sectPr>
          <w:pgSz w:w="11910" w:h="16840"/>
          <w:pgMar w:header="0" w:footer="638" w:top="1380" w:bottom="900" w:left="960" w:right="980"/>
        </w:sectPr>
      </w:pPr>
    </w:p>
    <w:p>
      <w:pPr>
        <w:pStyle w:val="BodyText"/>
        <w:spacing w:before="45"/>
      </w:pPr>
      <w:hyperlink r:id="rId190">
        <w:r>
          <w:rPr/>
          <w:t>网址：www.5irich.com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308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5915"/>
      </w:pPr>
      <w:r>
        <w:rPr/>
        <w:t>客户服务电话：400-995-9220 传真：021-20324199</w:t>
      </w:r>
    </w:p>
    <w:p>
      <w:pPr>
        <w:pStyle w:val="BodyText"/>
        <w:spacing w:line="268" w:lineRule="exact"/>
      </w:pPr>
      <w:hyperlink r:id="rId191">
        <w:r>
          <w:rPr/>
          <w:t>网址：www.dtfunds.com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大智慧基金</w:t>
      </w:r>
    </w:p>
    <w:p>
      <w:pPr>
        <w:pStyle w:val="BodyText"/>
        <w:spacing w:line="364" w:lineRule="auto" w:before="139"/>
        <w:ind w:right="182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5915"/>
      </w:pPr>
      <w:r>
        <w:rPr/>
        <w:t>客户服务电话：021-20292031 传真：021-20219923</w:t>
      </w:r>
    </w:p>
    <w:p>
      <w:pPr>
        <w:pStyle w:val="BodyText"/>
        <w:spacing w:line="268" w:lineRule="exact"/>
      </w:pPr>
      <w:hyperlink r:id="rId192">
        <w:r>
          <w:rPr/>
          <w:t>网址：https://www.wg.com.cn/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245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5705"/>
      </w:pPr>
      <w:r>
        <w:rPr/>
        <w:t>客户服务电话：400-159-9288 </w:t>
      </w:r>
      <w:r>
        <w:rPr>
          <w:spacing w:val="-1"/>
        </w:rPr>
        <w:t>网址：https://danjuanapp.com</w:t>
      </w:r>
    </w:p>
    <w:p>
      <w:pPr>
        <w:pStyle w:val="ListParagraph"/>
        <w:numPr>
          <w:ilvl w:val="0"/>
          <w:numId w:val="7"/>
        </w:numPr>
        <w:tabs>
          <w:tab w:pos="1950" w:val="left" w:leader="none"/>
        </w:tabs>
        <w:spacing w:line="268" w:lineRule="exact" w:before="0" w:after="0"/>
        <w:ind w:left="1950" w:right="0" w:hanging="630"/>
        <w:jc w:val="left"/>
        <w:rPr>
          <w:sz w:val="21"/>
        </w:rPr>
      </w:pPr>
      <w:r>
        <w:rPr>
          <w:sz w:val="21"/>
        </w:rPr>
        <w:t>鼎信汇金</w:t>
      </w:r>
    </w:p>
    <w:p>
      <w:pPr>
        <w:pStyle w:val="BodyText"/>
        <w:spacing w:line="364" w:lineRule="auto" w:before="140"/>
        <w:ind w:right="402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before="139"/>
      </w:pPr>
      <w:r>
        <w:rPr/>
        <w:t>客户服务电话：400-158-5050</w:t>
      </w:r>
    </w:p>
    <w:p>
      <w:pPr>
        <w:spacing w:after="0"/>
        <w:sectPr>
          <w:pgSz w:w="11910" w:h="16840"/>
          <w:pgMar w:header="0" w:footer="638" w:top="1380" w:bottom="900" w:left="960" w:right="980"/>
        </w:sectPr>
      </w:pPr>
    </w:p>
    <w:p>
      <w:pPr>
        <w:pStyle w:val="BodyText"/>
        <w:spacing w:before="45"/>
      </w:pPr>
      <w:r>
        <w:rPr/>
        <w:t>传真：010-82086110</w:t>
      </w:r>
    </w:p>
    <w:p>
      <w:pPr>
        <w:pStyle w:val="BodyText"/>
        <w:spacing w:before="139"/>
      </w:pPr>
      <w:hyperlink r:id="rId193">
        <w:r>
          <w:rPr/>
          <w:t>网址：www.9ifund.com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东证期货</w:t>
      </w:r>
    </w:p>
    <w:p>
      <w:pPr>
        <w:pStyle w:val="BodyText"/>
        <w:spacing w:line="364" w:lineRule="auto" w:before="139"/>
        <w:ind w:right="182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755"/>
      </w:pPr>
      <w:r>
        <w:rPr/>
        <w:t>法定代表人：卢大印联系人：张敏圆</w:t>
      </w:r>
    </w:p>
    <w:p>
      <w:pPr>
        <w:pStyle w:val="BodyText"/>
        <w:spacing w:line="268" w:lineRule="exact"/>
      </w:pPr>
      <w:r>
        <w:rPr/>
        <w:t>联系电话：021-63325888-4259</w:t>
      </w:r>
    </w:p>
    <w:p>
      <w:pPr>
        <w:pStyle w:val="BodyText"/>
        <w:spacing w:line="364" w:lineRule="auto" w:before="139"/>
        <w:ind w:right="6125"/>
      </w:pPr>
      <w:r>
        <w:rPr/>
        <w:t>客户服务电话：4008859999 传真：021-63326752</w:t>
      </w:r>
    </w:p>
    <w:p>
      <w:pPr>
        <w:pStyle w:val="BodyText"/>
        <w:spacing w:line="268" w:lineRule="exact"/>
      </w:pPr>
      <w:hyperlink r:id="rId194">
        <w:r>
          <w:rPr/>
          <w:t>网址：www.dzqh.com.cn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98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40"/>
      </w:pPr>
      <w:r>
        <w:rPr/>
        <w:t>联系电话：15114053620</w:t>
      </w:r>
    </w:p>
    <w:p>
      <w:pPr>
        <w:pStyle w:val="BodyText"/>
        <w:spacing w:line="364" w:lineRule="auto" w:before="139"/>
        <w:ind w:right="5915"/>
      </w:pPr>
      <w:r>
        <w:rPr/>
        <w:t>客户服务电话</w:t>
      </w:r>
      <w:r>
        <w:rPr>
          <w:spacing w:val="-2"/>
        </w:rPr>
        <w:t>：400-080-3388 </w:t>
      </w:r>
      <w:hyperlink r:id="rId195">
        <w:r>
          <w:rPr/>
          <w:t>网址：www.puyifund.com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富济基金</w:t>
      </w:r>
    </w:p>
    <w:p>
      <w:pPr>
        <w:pStyle w:val="BodyText"/>
        <w:spacing w:line="364" w:lineRule="auto" w:before="139"/>
        <w:ind w:right="140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810"/>
      </w:pPr>
      <w:r>
        <w:rPr/>
        <w:t>客户服务电话：0755-83999907 传真：0755-83999926</w:t>
      </w:r>
    </w:p>
    <w:p>
      <w:pPr>
        <w:pStyle w:val="BodyText"/>
        <w:spacing w:line="268" w:lineRule="exact"/>
      </w:pPr>
      <w:hyperlink r:id="rId196">
        <w:r>
          <w:rPr/>
          <w:t>网址：www.fujifund.cn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海银基金</w:t>
      </w:r>
    </w:p>
    <w:p>
      <w:pPr>
        <w:pStyle w:val="BodyText"/>
        <w:spacing w:line="364" w:lineRule="auto" w:before="139"/>
        <w:ind w:right="297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spacing w:after="0"/>
        <w:sectPr>
          <w:pgSz w:w="11910" w:h="16840"/>
          <w:pgMar w:header="0" w:footer="638" w:top="1380" w:bottom="900" w:left="960" w:right="980"/>
        </w:sectPr>
      </w:pPr>
    </w:p>
    <w:p>
      <w:pPr>
        <w:pStyle w:val="BodyText"/>
        <w:spacing w:line="364" w:lineRule="auto" w:before="45"/>
        <w:ind w:right="5915"/>
      </w:pPr>
      <w:r>
        <w:rPr/>
        <w:t>客户服务电话：400-808-1016 传真：021-80133413</w:t>
      </w:r>
    </w:p>
    <w:p>
      <w:pPr>
        <w:pStyle w:val="BodyText"/>
        <w:spacing w:line="268" w:lineRule="exact"/>
      </w:pPr>
      <w:hyperlink r:id="rId197">
        <w:r>
          <w:rPr/>
          <w:t>网址：www.fundhaiyin.com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55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915"/>
      </w:pPr>
      <w:r>
        <w:rPr/>
        <w:t>客户服务电话：400-700-9665 传真：021-68596919</w:t>
      </w:r>
    </w:p>
    <w:p>
      <w:pPr>
        <w:pStyle w:val="BodyText"/>
        <w:spacing w:line="268" w:lineRule="exact"/>
      </w:pPr>
      <w:hyperlink r:id="rId198">
        <w:r>
          <w:rPr/>
          <w:t>网址：www.ehowbuy.com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39"/>
        <w:ind w:right="339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40"/>
      </w:pPr>
      <w:r>
        <w:rPr/>
        <w:t>联系电话：010-85256214</w:t>
      </w:r>
    </w:p>
    <w:p>
      <w:pPr>
        <w:pStyle w:val="BodyText"/>
        <w:spacing w:line="364" w:lineRule="auto" w:before="139"/>
        <w:ind w:right="6125"/>
      </w:pPr>
      <w:r>
        <w:rPr>
          <w:spacing w:val="-1"/>
        </w:rPr>
        <w:t>客户服务电话</w:t>
      </w:r>
      <w:r>
        <w:rPr/>
        <w:t>：4008195569 </w:t>
      </w:r>
      <w:hyperlink r:id="rId199">
        <w:r>
          <w:rPr/>
          <w:t>网址：www.hx-sales.com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60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915"/>
      </w:pPr>
      <w:r>
        <w:rPr/>
        <w:t>客户服务电话：400-920-0022 传真：010-65884788</w:t>
      </w:r>
    </w:p>
    <w:p>
      <w:pPr>
        <w:pStyle w:val="BodyText"/>
        <w:spacing w:line="268" w:lineRule="exact"/>
      </w:pPr>
      <w:hyperlink r:id="rId200">
        <w:r>
          <w:rPr/>
          <w:t>网址：http://licaike.hexun.com/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39"/>
        <w:ind w:right="192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spacing w:after="0" w:line="268" w:lineRule="exact"/>
        <w:sectPr>
          <w:pgSz w:w="11910" w:h="16840"/>
          <w:pgMar w:header="0" w:footer="638" w:top="1380" w:bottom="900" w:left="960" w:right="980"/>
        </w:sectPr>
      </w:pPr>
    </w:p>
    <w:p>
      <w:pPr>
        <w:pStyle w:val="BodyText"/>
        <w:spacing w:before="45"/>
      </w:pPr>
      <w:r>
        <w:rPr/>
        <w:t>联系电话：010-59313555</w:t>
      </w:r>
    </w:p>
    <w:p>
      <w:pPr>
        <w:pStyle w:val="BodyText"/>
        <w:spacing w:line="364" w:lineRule="auto" w:before="139"/>
        <w:ind w:right="5915"/>
      </w:pPr>
      <w:r>
        <w:rPr/>
        <w:t>客户服务电话</w:t>
      </w:r>
      <w:r>
        <w:rPr>
          <w:spacing w:val="-2"/>
        </w:rPr>
        <w:t>：400-8980-618 </w:t>
      </w:r>
      <w:r>
        <w:rPr/>
        <w:t>传真：010-59313586</w:t>
      </w:r>
    </w:p>
    <w:p>
      <w:pPr>
        <w:pStyle w:val="BodyText"/>
        <w:spacing w:line="268" w:lineRule="exact"/>
      </w:pPr>
      <w:hyperlink r:id="rId201">
        <w:r>
          <w:rPr/>
          <w:t>网址：www.chtwm.com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29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915"/>
      </w:pPr>
      <w:r>
        <w:rPr/>
        <w:t>客户服务电话</w:t>
      </w:r>
      <w:r>
        <w:rPr>
          <w:spacing w:val="-2"/>
        </w:rPr>
        <w:t>：400-828-1288 </w:t>
      </w:r>
      <w:hyperlink r:id="rId202">
        <w:r>
          <w:rPr/>
          <w:t>网址：www.ftol.com.cn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虹点基金</w:t>
      </w:r>
    </w:p>
    <w:p>
      <w:pPr>
        <w:pStyle w:val="BodyText"/>
        <w:spacing w:line="364" w:lineRule="auto" w:before="139"/>
        <w:ind w:right="350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5915"/>
      </w:pPr>
      <w:r>
        <w:rPr/>
        <w:t>客户服务电话：400-618-0707 </w:t>
      </w:r>
      <w:hyperlink r:id="rId203">
        <w:r>
          <w:rPr/>
          <w:t>网址：www.hongdianfund.com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华瑞保险销售</w:t>
      </w:r>
    </w:p>
    <w:p>
      <w:pPr>
        <w:pStyle w:val="BodyText"/>
        <w:spacing w:line="364" w:lineRule="auto" w:before="139"/>
        <w:ind w:right="98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965"/>
      </w:pPr>
      <w:r>
        <w:rPr/>
        <w:t>法定代表人：路昊联系人：茆勇强</w:t>
      </w:r>
    </w:p>
    <w:p>
      <w:pPr>
        <w:pStyle w:val="BodyText"/>
        <w:spacing w:line="268" w:lineRule="exact"/>
      </w:pPr>
      <w:r>
        <w:rPr/>
        <w:t>联系电话：021-68595698</w:t>
      </w:r>
    </w:p>
    <w:p>
      <w:pPr>
        <w:pStyle w:val="BodyText"/>
        <w:spacing w:line="364" w:lineRule="auto" w:before="139"/>
        <w:ind w:right="6545"/>
      </w:pPr>
      <w:r>
        <w:rPr/>
        <w:t>客户服务电话：952303 传真：021-68595766</w:t>
      </w:r>
    </w:p>
    <w:p>
      <w:pPr>
        <w:pStyle w:val="BodyText"/>
        <w:spacing w:line="268" w:lineRule="exact"/>
      </w:pPr>
      <w:hyperlink r:id="rId204">
        <w:r>
          <w:rPr/>
          <w:t>网址：www.huaruisales.com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华夏财富</w:t>
      </w:r>
    </w:p>
    <w:p>
      <w:pPr>
        <w:pStyle w:val="BodyText"/>
        <w:spacing w:line="364" w:lineRule="auto" w:before="140"/>
        <w:ind w:right="329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spacing w:after="0" w:line="268" w:lineRule="exact"/>
        <w:sectPr>
          <w:pgSz w:w="11910" w:h="16840"/>
          <w:pgMar w:header="0" w:footer="638" w:top="1380" w:bottom="900" w:left="960" w:right="980"/>
        </w:sectPr>
      </w:pPr>
    </w:p>
    <w:p>
      <w:pPr>
        <w:pStyle w:val="BodyText"/>
        <w:spacing w:before="45"/>
      </w:pPr>
      <w:r>
        <w:rPr/>
        <w:t>联系电话：010-88066326</w:t>
      </w:r>
    </w:p>
    <w:p>
      <w:pPr>
        <w:pStyle w:val="BodyText"/>
        <w:spacing w:line="364" w:lineRule="auto" w:before="139"/>
        <w:ind w:right="5915"/>
      </w:pPr>
      <w:r>
        <w:rPr/>
        <w:t>客户服务电话：400-817-5666 传真：010-63136184</w:t>
      </w:r>
    </w:p>
    <w:p>
      <w:pPr>
        <w:pStyle w:val="BodyText"/>
        <w:spacing w:line="268" w:lineRule="exact"/>
      </w:pPr>
      <w:hyperlink r:id="rId205">
        <w:r>
          <w:rPr/>
          <w:t>网址：www.amcfortune.com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徽商期货</w:t>
      </w:r>
    </w:p>
    <w:p>
      <w:pPr>
        <w:pStyle w:val="BodyText"/>
        <w:spacing w:line="364" w:lineRule="auto" w:before="139"/>
        <w:ind w:right="239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965"/>
      </w:pPr>
      <w:r>
        <w:rPr/>
        <w:t>法人代表：吴国华联系人：申倩倩</w:t>
      </w:r>
    </w:p>
    <w:p>
      <w:pPr>
        <w:pStyle w:val="BodyText"/>
        <w:spacing w:line="268" w:lineRule="exact"/>
      </w:pPr>
      <w:r>
        <w:rPr/>
        <w:t>联系电话：0551-62865215</w:t>
      </w:r>
    </w:p>
    <w:p>
      <w:pPr>
        <w:pStyle w:val="BodyText"/>
        <w:spacing w:line="364" w:lineRule="auto" w:before="139"/>
        <w:ind w:right="5915"/>
      </w:pPr>
      <w:r>
        <w:rPr/>
        <w:t>客户服务电话：400-887-8707 </w:t>
      </w:r>
      <w:hyperlink r:id="rId206">
        <w:r>
          <w:rPr/>
          <w:t>网址：www.hsqh.net</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755"/>
      </w:pPr>
      <w:r>
        <w:rPr/>
        <w:t>法定代表人：王伟刚联系人：王骁骁</w:t>
      </w:r>
    </w:p>
    <w:p>
      <w:pPr>
        <w:pStyle w:val="BodyText"/>
        <w:spacing w:line="268" w:lineRule="exact"/>
      </w:pPr>
      <w:r>
        <w:rPr/>
        <w:t>联系电话：010-56251471</w:t>
      </w:r>
    </w:p>
    <w:p>
      <w:pPr>
        <w:pStyle w:val="BodyText"/>
        <w:spacing w:line="364" w:lineRule="auto" w:before="140"/>
        <w:ind w:right="5915"/>
      </w:pPr>
      <w:r>
        <w:rPr/>
        <w:t>客户服务电话</w:t>
      </w:r>
      <w:r>
        <w:rPr>
          <w:spacing w:val="-2"/>
        </w:rPr>
        <w:t>：400-619-9059 </w:t>
      </w:r>
      <w:hyperlink r:id="rId207">
        <w:r>
          <w:rPr/>
          <w:t>网址：www.hcjijin.com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39"/>
        <w:ind w:right="87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915"/>
      </w:pPr>
      <w:r>
        <w:rPr/>
        <w:t>客户服务电话：021-34013999 传真：021-33323837</w:t>
      </w:r>
    </w:p>
    <w:p>
      <w:pPr>
        <w:pStyle w:val="BodyText"/>
        <w:spacing w:line="268" w:lineRule="exact"/>
      </w:pPr>
      <w:hyperlink r:id="rId208">
        <w:r>
          <w:rPr/>
          <w:t>网址：www.hotjijin.com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182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spacing w:after="0" w:line="268" w:lineRule="exact"/>
        <w:sectPr>
          <w:pgSz w:w="11910" w:h="16840"/>
          <w:pgMar w:header="0" w:footer="638" w:top="1380" w:bottom="900" w:left="960" w:right="980"/>
        </w:sectPr>
      </w:pPr>
    </w:p>
    <w:p>
      <w:pPr>
        <w:pStyle w:val="BodyText"/>
        <w:spacing w:before="45"/>
      </w:pPr>
      <w:r>
        <w:rPr/>
        <w:t>联系电话：010-65309516</w:t>
      </w:r>
    </w:p>
    <w:p>
      <w:pPr>
        <w:pStyle w:val="BodyText"/>
        <w:tabs>
          <w:tab w:pos="5939" w:val="left" w:leader="none"/>
        </w:tabs>
        <w:spacing w:line="364" w:lineRule="auto" w:before="139"/>
        <w:ind w:right="1505"/>
      </w:pPr>
      <w:r>
        <w:rPr/>
        <w:t>客户服务电话：400-673-7010（济安财富官网）</w:t>
        <w:tab/>
        <w:t>400-071-6766（腾讯财经</w:t>
      </w:r>
      <w:r>
        <w:rPr>
          <w:spacing w:val="-18"/>
        </w:rPr>
        <w:t>） </w:t>
      </w:r>
      <w:r>
        <w:rPr/>
        <w:t>传真：010-65330699</w:t>
      </w:r>
    </w:p>
    <w:p>
      <w:pPr>
        <w:pStyle w:val="BodyText"/>
        <w:spacing w:line="268" w:lineRule="exact"/>
      </w:pPr>
      <w:hyperlink r:id="rId209">
        <w:r>
          <w:rPr/>
          <w:t>网址：www.jianfortune.com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加和基金</w:t>
      </w:r>
    </w:p>
    <w:p>
      <w:pPr>
        <w:pStyle w:val="BodyText"/>
        <w:spacing w:line="364" w:lineRule="auto" w:before="139"/>
        <w:ind w:right="266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5915"/>
      </w:pPr>
      <w:r>
        <w:rPr/>
        <w:t>客户服务电话：400-803-1188 传真：010-80456278</w:t>
      </w:r>
    </w:p>
    <w:p>
      <w:pPr>
        <w:pStyle w:val="BodyText"/>
        <w:spacing w:line="268" w:lineRule="exact"/>
      </w:pPr>
      <w:hyperlink r:id="rId210">
        <w:r>
          <w:rPr/>
          <w:t>网址：www.bzfunds.com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嘉实财富</w:t>
      </w:r>
    </w:p>
    <w:p>
      <w:pPr>
        <w:pStyle w:val="BodyText"/>
        <w:spacing w:line="364" w:lineRule="auto" w:before="139"/>
        <w:ind w:left="840" w:right="870" w:firstLine="480"/>
      </w:pPr>
      <w:r>
        <w:rPr>
          <w:spacing w:val="-16"/>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50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5915"/>
      </w:pPr>
      <w:r>
        <w:rPr/>
        <w:t>客户服务电话：400-021-8850 传真：010-85712195</w:t>
      </w:r>
    </w:p>
    <w:p>
      <w:pPr>
        <w:pStyle w:val="BodyText"/>
        <w:spacing w:line="268" w:lineRule="exact"/>
      </w:pPr>
      <w:hyperlink r:id="rId211">
        <w:r>
          <w:rPr/>
          <w:t>网址：www.harvestwm.cn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60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5915"/>
      </w:pPr>
      <w:r>
        <w:rPr/>
        <w:t>客户服务电话：0510-9688988 </w:t>
      </w:r>
      <w:hyperlink r:id="rId212">
        <w:r>
          <w:rPr/>
          <w:t>网址：www.jsjbl.com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金观诚</w:t>
      </w:r>
    </w:p>
    <w:p>
      <w:pPr>
        <w:pStyle w:val="BodyText"/>
        <w:spacing w:line="364" w:lineRule="auto" w:before="140"/>
        <w:ind w:right="166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spacing w:after="0" w:line="364" w:lineRule="auto"/>
        <w:sectPr>
          <w:pgSz w:w="11910" w:h="16840"/>
          <w:pgMar w:header="0" w:footer="638" w:top="1380" w:bottom="900" w:left="960" w:right="980"/>
        </w:sectPr>
      </w:pPr>
    </w:p>
    <w:p>
      <w:pPr>
        <w:pStyle w:val="BodyText"/>
        <w:spacing w:line="364" w:lineRule="auto" w:before="45"/>
        <w:ind w:right="6755"/>
      </w:pPr>
      <w:r>
        <w:rPr/>
        <w:t>法定代表人：蒋雪琦联系人：来舒岚</w:t>
      </w:r>
    </w:p>
    <w:p>
      <w:pPr>
        <w:pStyle w:val="BodyText"/>
        <w:spacing w:line="268" w:lineRule="exact"/>
      </w:pPr>
      <w:r>
        <w:rPr/>
        <w:t>联系电话：0571-88337888</w:t>
      </w:r>
    </w:p>
    <w:p>
      <w:pPr>
        <w:pStyle w:val="BodyText"/>
        <w:spacing w:line="364" w:lineRule="auto" w:before="139"/>
        <w:ind w:right="6125"/>
      </w:pPr>
      <w:r>
        <w:rPr/>
        <w:t>客户服务电话：4000680058 传真：0571-88337666</w:t>
      </w:r>
    </w:p>
    <w:p>
      <w:pPr>
        <w:pStyle w:val="BodyText"/>
        <w:spacing w:line="268" w:lineRule="exact"/>
      </w:pPr>
      <w:hyperlink r:id="rId213">
        <w:r>
          <w:rPr/>
          <w:t>网址：http://www.jincheng-fund.com/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276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915"/>
      </w:pPr>
      <w:r>
        <w:rPr/>
        <w:t>客户服务电话</w:t>
      </w:r>
      <w:r>
        <w:rPr>
          <w:spacing w:val="-2"/>
        </w:rPr>
        <w:t>：400-102-1813 </w:t>
      </w:r>
      <w:r>
        <w:rPr/>
        <w:t>传真：021-68682297</w:t>
      </w:r>
    </w:p>
    <w:p>
      <w:pPr>
        <w:pStyle w:val="BodyText"/>
        <w:spacing w:line="268" w:lineRule="exact"/>
      </w:pPr>
      <w:hyperlink r:id="rId214">
        <w:r>
          <w:rPr/>
          <w:t>网址：www.jfcta.com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凯石财富</w:t>
      </w:r>
    </w:p>
    <w:p>
      <w:pPr>
        <w:pStyle w:val="BodyText"/>
        <w:spacing w:line="364" w:lineRule="auto" w:before="139"/>
        <w:ind w:right="381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915"/>
      </w:pPr>
      <w:r>
        <w:rPr/>
        <w:t>客户服务电话：4006-433-389 传真：021-63333390</w:t>
      </w:r>
    </w:p>
    <w:p>
      <w:pPr>
        <w:pStyle w:val="BodyText"/>
        <w:spacing w:line="268" w:lineRule="exact"/>
      </w:pPr>
      <w:hyperlink r:id="rId215">
        <w:r>
          <w:rPr/>
          <w:t>网址：www.vstonewealth.com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29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216">
        <w:r>
          <w:rPr/>
          <w:t>网址：http://fund.jd.com/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利得基金</w:t>
      </w:r>
    </w:p>
    <w:p>
      <w:pPr>
        <w:pStyle w:val="BodyText"/>
        <w:spacing w:before="140"/>
      </w:pPr>
      <w:r>
        <w:rPr/>
        <w:t>注册地址：上海市宝山区蕴川路 5475 号 1033 室</w:t>
      </w:r>
    </w:p>
    <w:p>
      <w:pPr>
        <w:spacing w:after="0"/>
        <w:sectPr>
          <w:pgSz w:w="11910" w:h="16840"/>
          <w:pgMar w:header="0" w:footer="638" w:top="1380" w:bottom="900" w:left="960" w:right="980"/>
        </w:sectPr>
      </w:pPr>
    </w:p>
    <w:p>
      <w:pPr>
        <w:pStyle w:val="BodyText"/>
        <w:spacing w:line="364" w:lineRule="auto" w:before="45"/>
        <w:ind w:right="255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545"/>
      </w:pPr>
      <w:r>
        <w:rPr/>
        <w:t>客户服务电话：95733 传真：86-21-61101630</w:t>
      </w:r>
    </w:p>
    <w:p>
      <w:pPr>
        <w:pStyle w:val="BodyText"/>
        <w:spacing w:line="268" w:lineRule="exact"/>
      </w:pPr>
      <w:hyperlink r:id="rId217">
        <w:r>
          <w:rPr/>
          <w:t>网址：www.leadfund.com.cn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联泰基金</w:t>
      </w:r>
    </w:p>
    <w:p>
      <w:pPr>
        <w:pStyle w:val="BodyText"/>
        <w:spacing w:line="364" w:lineRule="auto" w:before="140"/>
        <w:ind w:right="234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755"/>
      </w:pPr>
      <w:r>
        <w:rPr/>
        <w:t>法定代表人：尹彬彬联系人：陈东</w:t>
      </w:r>
    </w:p>
    <w:p>
      <w:pPr>
        <w:pStyle w:val="BodyText"/>
        <w:spacing w:line="268" w:lineRule="exact"/>
      </w:pPr>
      <w:r>
        <w:rPr/>
        <w:t>联系电话：021-52822063</w:t>
      </w:r>
    </w:p>
    <w:p>
      <w:pPr>
        <w:pStyle w:val="BodyText"/>
        <w:spacing w:line="364" w:lineRule="auto" w:before="138"/>
        <w:ind w:right="5915"/>
      </w:pPr>
      <w:r>
        <w:rPr/>
        <w:t>客户服务电话：400-118-1188 传真：021-52975270</w:t>
      </w:r>
    </w:p>
    <w:p>
      <w:pPr>
        <w:pStyle w:val="BodyText"/>
        <w:spacing w:line="268" w:lineRule="exact"/>
      </w:pPr>
      <w:hyperlink r:id="rId218">
        <w:r>
          <w:rPr/>
          <w:t>网址：www.66zichan.com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陆基金</w:t>
      </w:r>
    </w:p>
    <w:p>
      <w:pPr>
        <w:pStyle w:val="BodyText"/>
        <w:spacing w:line="364" w:lineRule="auto" w:before="139"/>
        <w:ind w:right="182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125"/>
      </w:pPr>
      <w:r>
        <w:rPr/>
        <w:t>客户服务电话：4008219031 传真：021-22066653</w:t>
      </w:r>
    </w:p>
    <w:p>
      <w:pPr>
        <w:pStyle w:val="BodyText"/>
        <w:spacing w:line="268" w:lineRule="exact"/>
      </w:pPr>
      <w:hyperlink r:id="rId219">
        <w:r>
          <w:rPr/>
          <w:t>网址：www.lufunds.com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蚂蚁基金</w:t>
      </w:r>
    </w:p>
    <w:p>
      <w:pPr>
        <w:pStyle w:val="BodyText"/>
        <w:spacing w:line="364" w:lineRule="auto" w:before="140"/>
        <w:ind w:right="192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755"/>
      </w:pPr>
      <w:r>
        <w:rPr/>
        <w:t>法定代表人：祖国明联系人：韩爱彬</w:t>
      </w:r>
    </w:p>
    <w:p>
      <w:pPr>
        <w:pStyle w:val="BodyText"/>
        <w:spacing w:line="268" w:lineRule="exact"/>
      </w:pPr>
      <w:r>
        <w:rPr/>
        <w:t>联系电话：0571-26888888</w:t>
      </w:r>
    </w:p>
    <w:p>
      <w:pPr>
        <w:pStyle w:val="BodyText"/>
        <w:spacing w:line="364" w:lineRule="auto" w:before="138"/>
        <w:ind w:right="5705"/>
      </w:pPr>
      <w:r>
        <w:rPr/>
        <w:t>客户服务电话：4000-766-123 </w:t>
      </w:r>
      <w:hyperlink r:id="rId220">
        <w:r>
          <w:rPr>
            <w:spacing w:val="-1"/>
          </w:rPr>
          <w:t>网址：http://www.fund123.cn/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民商基金</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right="2816"/>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联系人：林志枫</w:t>
      </w:r>
    </w:p>
    <w:p>
      <w:pPr>
        <w:pStyle w:val="BodyText"/>
        <w:spacing w:before="139"/>
      </w:pPr>
      <w:r>
        <w:rPr/>
        <w:t>联系电话：021-50206003</w:t>
      </w:r>
    </w:p>
    <w:p>
      <w:pPr>
        <w:pStyle w:val="BodyText"/>
        <w:spacing w:line="364" w:lineRule="auto" w:before="140"/>
        <w:ind w:right="5915"/>
      </w:pPr>
      <w:r>
        <w:rPr/>
        <w:t>客户服务电话：021-50206003 传真：021-50206001</w:t>
      </w:r>
    </w:p>
    <w:p>
      <w:pPr>
        <w:pStyle w:val="BodyText"/>
        <w:spacing w:line="268" w:lineRule="exact"/>
      </w:pPr>
      <w:hyperlink r:id="rId221">
        <w:r>
          <w:rPr/>
          <w:t>网址：http://www.msftec.com/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诺亚正行</w:t>
      </w:r>
    </w:p>
    <w:p>
      <w:pPr>
        <w:pStyle w:val="BodyText"/>
        <w:spacing w:line="364" w:lineRule="auto" w:before="140"/>
        <w:ind w:right="371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915"/>
      </w:pPr>
      <w:r>
        <w:rPr/>
        <w:t>客户服务电话：400-821-5399 传真：021-38509777</w:t>
      </w:r>
    </w:p>
    <w:p>
      <w:pPr>
        <w:pStyle w:val="BodyText"/>
        <w:spacing w:line="268" w:lineRule="exact"/>
      </w:pPr>
      <w:hyperlink r:id="rId222">
        <w:r>
          <w:rPr/>
          <w:t>网址：www.noah-fund.com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浦领基金</w:t>
      </w:r>
    </w:p>
    <w:p>
      <w:pPr>
        <w:pStyle w:val="BodyText"/>
        <w:spacing w:line="364" w:lineRule="auto" w:before="139"/>
        <w:ind w:right="287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755"/>
      </w:pPr>
      <w:r>
        <w:rPr/>
        <w:t>法定代表人：聂婉君联系人：李艳</w:t>
      </w:r>
    </w:p>
    <w:p>
      <w:pPr>
        <w:pStyle w:val="BodyText"/>
        <w:spacing w:line="268" w:lineRule="exact"/>
      </w:pPr>
      <w:r>
        <w:rPr/>
        <w:t>联系电话：010-59497361</w:t>
      </w:r>
    </w:p>
    <w:p>
      <w:pPr>
        <w:pStyle w:val="BodyText"/>
        <w:spacing w:line="364" w:lineRule="auto" w:before="139"/>
        <w:ind w:right="5915"/>
      </w:pPr>
      <w:r>
        <w:rPr/>
        <w:t>客户服务电话：400-012-5899 传真：010-64788016</w:t>
      </w:r>
    </w:p>
    <w:p>
      <w:pPr>
        <w:pStyle w:val="BodyText"/>
        <w:spacing w:line="268" w:lineRule="exact"/>
      </w:pPr>
      <w:hyperlink r:id="rId223">
        <w:r>
          <w:rPr/>
          <w:t>网址：www.zscffund.com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钱景基金</w:t>
      </w:r>
    </w:p>
    <w:p>
      <w:pPr>
        <w:pStyle w:val="BodyText"/>
        <w:spacing w:line="364" w:lineRule="auto" w:before="140"/>
        <w:ind w:right="281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联系电话：010-59422766</w:t>
      </w:r>
    </w:p>
    <w:p>
      <w:pPr>
        <w:pStyle w:val="BodyText"/>
        <w:spacing w:line="364" w:lineRule="auto" w:before="140"/>
        <w:ind w:right="5915"/>
      </w:pPr>
      <w:r>
        <w:rPr/>
        <w:t>客户服务电话：400-893-6885 传真：010-62565181</w:t>
      </w:r>
    </w:p>
    <w:p>
      <w:pPr>
        <w:spacing w:after="0" w:line="364" w:lineRule="auto"/>
        <w:sectPr>
          <w:pgSz w:w="11910" w:h="16840"/>
          <w:pgMar w:header="0" w:footer="638" w:top="1380" w:bottom="900" w:left="960" w:right="980"/>
        </w:sectPr>
      </w:pPr>
    </w:p>
    <w:p>
      <w:pPr>
        <w:pStyle w:val="BodyText"/>
        <w:spacing w:before="45"/>
      </w:pPr>
      <w:hyperlink r:id="rId224">
        <w:r>
          <w:rPr/>
          <w:t>网址：www.qianjing.com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287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5915"/>
      </w:pPr>
      <w:r>
        <w:rPr/>
        <w:t>客户服务电话：400-166-1188 传真：010-83363010</w:t>
      </w:r>
    </w:p>
    <w:p>
      <w:pPr>
        <w:pStyle w:val="BodyText"/>
        <w:spacing w:line="268" w:lineRule="exact"/>
      </w:pPr>
      <w:hyperlink r:id="rId225">
        <w:r>
          <w:rPr/>
          <w:t>网址：http://8.jrj.com.cn</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39"/>
        <w:ind w:right="308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5915"/>
      </w:pPr>
      <w:r>
        <w:rPr/>
        <w:t>客户服务电话：010-58170761 传真：010-58170800</w:t>
      </w:r>
    </w:p>
    <w:p>
      <w:pPr>
        <w:pStyle w:val="BodyText"/>
        <w:spacing w:line="268" w:lineRule="exact"/>
      </w:pPr>
      <w:hyperlink r:id="rId226">
        <w:r>
          <w:rPr/>
          <w:t>网址：www.shengshiview.com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苏宁基金</w:t>
      </w:r>
    </w:p>
    <w:p>
      <w:pPr>
        <w:pStyle w:val="BodyText"/>
        <w:spacing w:line="364" w:lineRule="auto" w:before="139"/>
        <w:ind w:right="486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6440"/>
      </w:pPr>
      <w:r>
        <w:rPr/>
        <w:t>客户服务电话：95177 </w:t>
      </w:r>
      <w:hyperlink r:id="rId227">
        <w:r>
          <w:rPr>
            <w:spacing w:val="-1"/>
          </w:rPr>
          <w:t>网址：www.snjijin.com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腾安基金</w:t>
      </w:r>
    </w:p>
    <w:p>
      <w:pPr>
        <w:pStyle w:val="BodyText"/>
        <w:spacing w:line="364" w:lineRule="auto" w:before="140"/>
        <w:ind w:left="840" w:right="817" w:firstLine="480"/>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318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before="138"/>
      </w:pPr>
      <w:r>
        <w:rPr/>
        <w:t>客户服务电话：95017（拨通后转 1 转 8）</w:t>
      </w:r>
    </w:p>
    <w:p>
      <w:pPr>
        <w:spacing w:after="0"/>
        <w:sectPr>
          <w:pgSz w:w="11910" w:h="16840"/>
          <w:pgMar w:header="0" w:footer="638" w:top="1380" w:bottom="900" w:left="960" w:right="980"/>
        </w:sectPr>
      </w:pPr>
    </w:p>
    <w:p>
      <w:pPr>
        <w:pStyle w:val="BodyText"/>
        <w:spacing w:before="45"/>
      </w:pPr>
      <w:hyperlink r:id="rId228">
        <w:r>
          <w:rPr/>
          <w:t>公司网址：https://www.txfund.com/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371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650"/>
      </w:pPr>
      <w:r>
        <w:rPr/>
        <w:t>客户服务电话：95021 传真：021-64385308</w:t>
      </w:r>
    </w:p>
    <w:p>
      <w:pPr>
        <w:pStyle w:val="BodyText"/>
        <w:spacing w:line="268" w:lineRule="exact"/>
      </w:pPr>
      <w:hyperlink r:id="rId229">
        <w:r>
          <w:rPr/>
          <w:t>网址：www.1234567.com.cn</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39"/>
        <w:ind w:right="329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335"/>
      </w:pPr>
      <w:r>
        <w:rPr/>
        <w:t>联系人：杨涛、庄洁茹 联系电话</w:t>
      </w:r>
      <w:r>
        <w:rPr>
          <w:spacing w:val="-2"/>
        </w:rPr>
        <w:t>：021-60810586</w:t>
      </w:r>
    </w:p>
    <w:p>
      <w:pPr>
        <w:pStyle w:val="BodyText"/>
        <w:spacing w:line="364" w:lineRule="auto"/>
        <w:ind w:right="5915"/>
      </w:pPr>
      <w:r>
        <w:rPr/>
        <w:t>客户服务电话：400-101-9301 传真：021-60810695</w:t>
      </w:r>
    </w:p>
    <w:p>
      <w:pPr>
        <w:pStyle w:val="BodyText"/>
        <w:spacing w:line="268" w:lineRule="exact"/>
      </w:pPr>
      <w:hyperlink r:id="rId230">
        <w:r>
          <w:rPr/>
          <w:t>网址：www.tonghuafund.com</w:t>
        </w:r>
      </w:hyperlink>
    </w:p>
    <w:p>
      <w:pPr>
        <w:pStyle w:val="ListParagraph"/>
        <w:numPr>
          <w:ilvl w:val="0"/>
          <w:numId w:val="7"/>
        </w:numPr>
        <w:tabs>
          <w:tab w:pos="1950" w:val="left" w:leader="none"/>
        </w:tabs>
        <w:spacing w:line="240" w:lineRule="auto" w:before="138" w:after="0"/>
        <w:ind w:left="1950" w:right="0" w:hanging="630"/>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87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545"/>
      </w:pPr>
      <w:r>
        <w:rPr/>
        <w:t>客户服务电话</w:t>
      </w:r>
      <w:r>
        <w:rPr>
          <w:spacing w:val="-3"/>
        </w:rPr>
        <w:t>：952555 </w:t>
      </w:r>
      <w:r>
        <w:rPr/>
        <w:t>传真：0571-86800423</w:t>
      </w:r>
    </w:p>
    <w:p>
      <w:pPr>
        <w:pStyle w:val="BodyText"/>
        <w:spacing w:line="268" w:lineRule="exact"/>
      </w:pPr>
      <w:hyperlink r:id="rId231">
        <w:r>
          <w:rPr/>
          <w:t>网址：www.5ifund.com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途牛基金</w:t>
      </w:r>
    </w:p>
    <w:p>
      <w:pPr>
        <w:pStyle w:val="BodyText"/>
        <w:spacing w:line="364" w:lineRule="auto" w:before="140"/>
        <w:ind w:right="392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spacing w:after="0"/>
        <w:sectPr>
          <w:pgSz w:w="11910" w:h="16840"/>
          <w:pgMar w:header="0" w:footer="638" w:top="1380" w:bottom="900" w:left="960" w:right="980"/>
        </w:sectPr>
      </w:pPr>
    </w:p>
    <w:p>
      <w:pPr>
        <w:pStyle w:val="BodyText"/>
        <w:spacing w:before="45"/>
      </w:pPr>
      <w:r>
        <w:rPr/>
        <w:t>客户服务电话：4007-999-999 转 3</w:t>
      </w:r>
    </w:p>
    <w:p>
      <w:pPr>
        <w:pStyle w:val="BodyText"/>
        <w:spacing w:before="139"/>
      </w:pPr>
      <w:hyperlink r:id="rId232">
        <w:r>
          <w:rPr/>
          <w:t>网址：http://jr.tuniu.com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19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5915"/>
      </w:pPr>
      <w:r>
        <w:rPr/>
        <w:t>客户服务电话：021-50810673 </w:t>
      </w:r>
      <w:hyperlink r:id="rId233">
        <w:r>
          <w:rPr/>
          <w:t>网址：www.wacaijijin.com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万得基金</w:t>
      </w:r>
    </w:p>
    <w:p>
      <w:pPr>
        <w:pStyle w:val="BodyText"/>
        <w:spacing w:line="364" w:lineRule="auto" w:before="139"/>
        <w:ind w:right="276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965"/>
      </w:pPr>
      <w:r>
        <w:rPr/>
        <w:t>法定代表人：黄祎联系人：徐亚丹</w:t>
      </w:r>
    </w:p>
    <w:p>
      <w:pPr>
        <w:pStyle w:val="BodyText"/>
        <w:spacing w:line="268" w:lineRule="exact"/>
      </w:pPr>
      <w:r>
        <w:rPr/>
        <w:t>联系电话：021-50712782</w:t>
      </w:r>
    </w:p>
    <w:p>
      <w:pPr>
        <w:pStyle w:val="BodyText"/>
        <w:spacing w:line="364" w:lineRule="auto" w:before="139"/>
        <w:ind w:right="5915"/>
      </w:pPr>
      <w:r>
        <w:rPr/>
        <w:t>客户服务电话：400-799-1888 </w:t>
      </w:r>
      <w:hyperlink r:id="rId234">
        <w:r>
          <w:rPr/>
          <w:t>网址：www.520fund.com.cn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万家财富</w:t>
      </w:r>
    </w:p>
    <w:p>
      <w:pPr>
        <w:pStyle w:val="BodyText"/>
        <w:spacing w:line="364" w:lineRule="auto" w:before="139"/>
        <w:ind w:right="87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965"/>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235">
        <w:r>
          <w:rPr/>
          <w:t>网址：http://www.wanjiawealth.com/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新浪仓石</w:t>
      </w:r>
    </w:p>
    <w:p>
      <w:pPr>
        <w:pStyle w:val="BodyText"/>
        <w:spacing w:line="364" w:lineRule="auto" w:before="140"/>
        <w:ind w:left="840" w:right="756" w:firstLine="480"/>
      </w:pPr>
      <w:r>
        <w:rPr/>
        <w:t>注册地址：北京市海淀区东北旺西路中关村软件园二期（西扩）N-1、N-2 地块新浪总部科研楼 5 层 518 室</w:t>
      </w:r>
    </w:p>
    <w:p>
      <w:pPr>
        <w:pStyle w:val="BodyText"/>
        <w:spacing w:line="364" w:lineRule="auto"/>
        <w:ind w:right="224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before="140"/>
      </w:pPr>
      <w:r>
        <w:rPr/>
        <w:t>客户服务电话：010-62675369</w:t>
      </w:r>
    </w:p>
    <w:p>
      <w:pPr>
        <w:spacing w:after="0"/>
        <w:sectPr>
          <w:pgSz w:w="11910" w:h="16840"/>
          <w:pgMar w:header="0" w:footer="638" w:top="1380" w:bottom="900" w:left="960" w:right="980"/>
        </w:sectPr>
      </w:pPr>
    </w:p>
    <w:p>
      <w:pPr>
        <w:pStyle w:val="BodyText"/>
        <w:spacing w:before="45"/>
      </w:pPr>
      <w:r>
        <w:rPr/>
        <w:t>传真：010-62676582</w:t>
      </w:r>
    </w:p>
    <w:p>
      <w:pPr>
        <w:pStyle w:val="BodyText"/>
        <w:spacing w:before="139"/>
      </w:pPr>
      <w:hyperlink r:id="rId236">
        <w:r>
          <w:rPr/>
          <w:t>网址：www.xincai.com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鑫鼎盛</w:t>
      </w:r>
    </w:p>
    <w:p>
      <w:pPr>
        <w:pStyle w:val="BodyText"/>
        <w:spacing w:line="364" w:lineRule="auto" w:before="139"/>
        <w:ind w:right="234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5915"/>
      </w:pPr>
      <w:r>
        <w:rPr/>
        <w:t>客户服务电话：400-6533-789 </w:t>
      </w:r>
      <w:hyperlink r:id="rId237">
        <w:r>
          <w:rPr/>
          <w:t>网址：www.xds.com.cn</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阳光人寿保险</w:t>
      </w:r>
    </w:p>
    <w:p>
      <w:pPr>
        <w:pStyle w:val="BodyText"/>
        <w:spacing w:before="140"/>
      </w:pPr>
      <w:r>
        <w:rPr/>
        <w:t>注册地址：海南省三亚市迎宾路 360-1 号三亚阳光金融广场 16 层</w:t>
      </w:r>
    </w:p>
    <w:p>
      <w:pPr>
        <w:pStyle w:val="BodyText"/>
        <w:spacing w:line="364" w:lineRule="auto" w:before="139"/>
        <w:ind w:right="192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40"/>
        <w:ind w:right="6650"/>
      </w:pPr>
      <w:r>
        <w:rPr/>
        <w:t>客户服务电话：95510 传真：010-85632773</w:t>
      </w:r>
    </w:p>
    <w:p>
      <w:pPr>
        <w:pStyle w:val="BodyText"/>
        <w:spacing w:line="268" w:lineRule="exact"/>
      </w:pPr>
      <w:hyperlink r:id="rId238">
        <w:r>
          <w:rPr/>
          <w:t>网址：http://fund.sinosig.com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45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5915"/>
      </w:pPr>
      <w:r>
        <w:rPr/>
        <w:t>客户服务电话：400-001-1566 传真：010-88312099</w:t>
      </w:r>
    </w:p>
    <w:p>
      <w:pPr>
        <w:pStyle w:val="BodyText"/>
        <w:spacing w:line="268" w:lineRule="exact"/>
      </w:pPr>
      <w:hyperlink r:id="rId239">
        <w:r>
          <w:rPr/>
          <w:t>网址：www.yilucaifu.com</w:t>
        </w:r>
      </w:hyperlink>
    </w:p>
    <w:p>
      <w:pPr>
        <w:pStyle w:val="ListParagraph"/>
        <w:numPr>
          <w:ilvl w:val="0"/>
          <w:numId w:val="7"/>
        </w:numPr>
        <w:tabs>
          <w:tab w:pos="1950" w:val="left" w:leader="none"/>
        </w:tabs>
        <w:spacing w:line="240" w:lineRule="auto" w:before="140" w:after="0"/>
        <w:ind w:left="1950" w:right="0" w:hanging="630"/>
        <w:jc w:val="left"/>
        <w:rPr>
          <w:sz w:val="21"/>
        </w:rPr>
      </w:pPr>
      <w:r>
        <w:rPr>
          <w:sz w:val="21"/>
        </w:rPr>
        <w:t>宜投基金销售</w:t>
      </w:r>
    </w:p>
    <w:p>
      <w:pPr>
        <w:pStyle w:val="BodyText"/>
        <w:spacing w:line="364" w:lineRule="auto" w:before="139"/>
        <w:ind w:left="840" w:right="817" w:firstLine="480"/>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413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spacing w:after="0" w:line="268" w:lineRule="exact"/>
        <w:sectPr>
          <w:pgSz w:w="11910" w:h="16840"/>
          <w:pgMar w:header="0" w:footer="638" w:top="1380" w:bottom="900" w:left="960" w:right="980"/>
        </w:sectPr>
      </w:pPr>
    </w:p>
    <w:p>
      <w:pPr>
        <w:pStyle w:val="BodyText"/>
        <w:spacing w:before="45"/>
      </w:pPr>
      <w:r>
        <w:rPr/>
        <w:t>联系电话：0755-88603874</w:t>
      </w:r>
    </w:p>
    <w:p>
      <w:pPr>
        <w:pStyle w:val="BodyText"/>
        <w:spacing w:line="364" w:lineRule="auto" w:before="139"/>
        <w:ind w:right="5915"/>
      </w:pPr>
      <w:r>
        <w:rPr/>
        <w:t>客户服务电话：4008-955-811 </w:t>
      </w:r>
      <w:hyperlink r:id="rId240">
        <w:r>
          <w:rPr/>
          <w:t>网址：www.yitfund.com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宜信普泽</w:t>
      </w:r>
    </w:p>
    <w:p>
      <w:pPr>
        <w:pStyle w:val="BodyText"/>
        <w:spacing w:line="364" w:lineRule="auto" w:before="140"/>
        <w:ind w:right="376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39"/>
      </w:pPr>
      <w:r>
        <w:rPr/>
        <w:t>联系电话：010-52413385</w:t>
      </w:r>
    </w:p>
    <w:p>
      <w:pPr>
        <w:pStyle w:val="BodyText"/>
        <w:spacing w:line="364" w:lineRule="auto" w:before="140"/>
        <w:ind w:right="5915"/>
      </w:pPr>
      <w:r>
        <w:rPr/>
        <w:t>客户服务电话：400-6099-200 传真：010-85800047</w:t>
      </w:r>
    </w:p>
    <w:p>
      <w:pPr>
        <w:pStyle w:val="BodyText"/>
        <w:spacing w:line="268" w:lineRule="exact"/>
      </w:pPr>
      <w:hyperlink r:id="rId241">
        <w:r>
          <w:rPr/>
          <w:t>网址：www.yixinfund.com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奕丰金融</w:t>
      </w:r>
    </w:p>
    <w:p>
      <w:pPr>
        <w:pStyle w:val="BodyText"/>
        <w:spacing w:line="364" w:lineRule="auto" w:before="140"/>
        <w:ind w:left="840" w:right="817" w:firstLine="480"/>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255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915"/>
      </w:pPr>
      <w:r>
        <w:rPr/>
        <w:t>客户服务电话：400-684-0500 传真：0755-21674453</w:t>
      </w:r>
    </w:p>
    <w:p>
      <w:pPr>
        <w:pStyle w:val="BodyText"/>
        <w:spacing w:line="268" w:lineRule="exact"/>
      </w:pPr>
      <w:hyperlink r:id="rId242">
        <w:r>
          <w:rPr/>
          <w:t>网址：www.ifastps.com.cn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171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5915"/>
      </w:pPr>
      <w:r>
        <w:rPr/>
        <w:t>客户服务电话</w:t>
      </w:r>
      <w:r>
        <w:rPr>
          <w:spacing w:val="-2"/>
        </w:rPr>
        <w:t>：020-89629066 </w:t>
      </w:r>
      <w:r>
        <w:rPr/>
        <w:t>传真：020-89629011</w:t>
      </w:r>
    </w:p>
    <w:p>
      <w:pPr>
        <w:pStyle w:val="BodyText"/>
        <w:spacing w:line="268" w:lineRule="exact"/>
      </w:pPr>
      <w:hyperlink r:id="rId243">
        <w:r>
          <w:rPr/>
          <w:t>网址：www.yingmi.cn</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ind w:left="840"/>
      </w:pPr>
      <w:r>
        <w:rPr/>
        <w:t>103-1、103-2 办公区</w:t>
      </w:r>
    </w:p>
    <w:p>
      <w:pPr>
        <w:spacing w:after="0"/>
        <w:sectPr>
          <w:pgSz w:w="11910" w:h="16840"/>
          <w:pgMar w:header="0" w:footer="638" w:top="1380" w:bottom="900" w:left="960" w:right="980"/>
        </w:sectPr>
      </w:pPr>
    </w:p>
    <w:p>
      <w:pPr>
        <w:pStyle w:val="BodyText"/>
        <w:spacing w:line="364" w:lineRule="auto" w:before="45"/>
        <w:ind w:right="413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5915"/>
      </w:pPr>
      <w:r>
        <w:rPr/>
        <w:t>客户服务电话：400-820-1515 传真：021-20539999</w:t>
      </w:r>
    </w:p>
    <w:p>
      <w:pPr>
        <w:pStyle w:val="BodyText"/>
        <w:spacing w:line="268" w:lineRule="exact"/>
      </w:pPr>
      <w:hyperlink r:id="rId244">
        <w:r>
          <w:rPr/>
          <w:t>网址：http://www.zhengtongfunds.com/</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87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5915"/>
      </w:pPr>
      <w:r>
        <w:rPr/>
        <w:t>客户服务电话</w:t>
      </w:r>
      <w:r>
        <w:rPr>
          <w:spacing w:val="-2"/>
        </w:rPr>
        <w:t>：400-001-8811 </w:t>
      </w:r>
      <w:r>
        <w:rPr/>
        <w:t>传真：010-67000988-6000</w:t>
      </w:r>
    </w:p>
    <w:p>
      <w:pPr>
        <w:pStyle w:val="BodyText"/>
        <w:spacing w:line="268" w:lineRule="exact"/>
      </w:pPr>
      <w:hyperlink r:id="rId245">
        <w:r>
          <w:rPr/>
          <w:t>网址：www.zcvc.com.cn</w:t>
        </w:r>
      </w:hyperlink>
    </w:p>
    <w:p>
      <w:pPr>
        <w:pStyle w:val="ListParagraph"/>
        <w:numPr>
          <w:ilvl w:val="0"/>
          <w:numId w:val="7"/>
        </w:numPr>
        <w:tabs>
          <w:tab w:pos="1950" w:val="left" w:leader="none"/>
        </w:tabs>
        <w:spacing w:line="240" w:lineRule="auto" w:before="139" w:after="0"/>
        <w:ind w:left="1950" w:right="0" w:hanging="630"/>
        <w:jc w:val="both"/>
        <w:rPr>
          <w:sz w:val="21"/>
        </w:rPr>
      </w:pPr>
      <w:r>
        <w:rPr>
          <w:sz w:val="21"/>
        </w:rPr>
        <w:t>展恒基金</w:t>
      </w:r>
    </w:p>
    <w:p>
      <w:pPr>
        <w:pStyle w:val="BodyText"/>
        <w:spacing w:line="364" w:lineRule="auto" w:before="140"/>
        <w:ind w:right="344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line="364" w:lineRule="auto" w:before="140"/>
        <w:ind w:right="5915"/>
      </w:pPr>
      <w:r>
        <w:rPr/>
        <w:t>客户服务电话：400-818-8000 传真：0351-4110714</w:t>
      </w:r>
    </w:p>
    <w:p>
      <w:pPr>
        <w:pStyle w:val="BodyText"/>
        <w:spacing w:line="268" w:lineRule="exact"/>
      </w:pPr>
      <w:hyperlink r:id="rId246">
        <w:r>
          <w:rPr/>
          <w:t>网址：www.myfund.com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98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650"/>
      </w:pPr>
      <w:r>
        <w:rPr/>
        <w:t>客户服务电话：95162 传真：010-59539806</w:t>
      </w:r>
    </w:p>
    <w:p>
      <w:pPr>
        <w:pStyle w:val="BodyText"/>
        <w:spacing w:line="268" w:lineRule="exact"/>
      </w:pPr>
      <w:hyperlink r:id="rId247">
        <w:r>
          <w:rPr/>
          <w:t>网址：http://www.cifco.net/</w:t>
        </w:r>
      </w:hyperlink>
    </w:p>
    <w:p>
      <w:pPr>
        <w:spacing w:after="0" w:line="268" w:lineRule="exact"/>
        <w:sectPr>
          <w:pgSz w:w="11910" w:h="16840"/>
          <w:pgMar w:header="0" w:footer="638" w:top="1380" w:bottom="900" w:left="960" w:right="980"/>
        </w:sectPr>
      </w:pPr>
    </w:p>
    <w:p>
      <w:pPr>
        <w:pStyle w:val="ListParagraph"/>
        <w:numPr>
          <w:ilvl w:val="0"/>
          <w:numId w:val="7"/>
        </w:numPr>
        <w:tabs>
          <w:tab w:pos="1950" w:val="left" w:leader="none"/>
        </w:tabs>
        <w:spacing w:line="240" w:lineRule="auto" w:before="45" w:after="0"/>
        <w:ind w:left="1950" w:right="0" w:hanging="630"/>
        <w:jc w:val="left"/>
        <w:rPr>
          <w:sz w:val="21"/>
        </w:rPr>
      </w:pPr>
      <w:r>
        <w:rPr>
          <w:sz w:val="21"/>
        </w:rPr>
        <w:t>中欧财富</w:t>
      </w:r>
    </w:p>
    <w:p>
      <w:pPr>
        <w:pStyle w:val="BodyText"/>
        <w:spacing w:line="364" w:lineRule="auto" w:before="139"/>
        <w:ind w:right="255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965"/>
      </w:pPr>
      <w:r>
        <w:rPr/>
        <w:t>法定代表人：许欣联系人：黎静</w:t>
      </w:r>
    </w:p>
    <w:p>
      <w:pPr>
        <w:pStyle w:val="BodyText"/>
        <w:spacing w:line="268" w:lineRule="exact"/>
      </w:pPr>
      <w:r>
        <w:rPr/>
        <w:t>联系电话：021-68609600</w:t>
      </w:r>
    </w:p>
    <w:p>
      <w:pPr>
        <w:pStyle w:val="BodyText"/>
        <w:spacing w:line="364" w:lineRule="auto" w:before="139"/>
        <w:ind w:right="5915"/>
      </w:pPr>
      <w:r>
        <w:rPr/>
        <w:t>客户服务电话：400-700-9700 </w:t>
      </w:r>
      <w:hyperlink r:id="rId248">
        <w:r>
          <w:rPr/>
          <w:t>网址：www.qiangungun.com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中期时代基金</w:t>
      </w:r>
    </w:p>
    <w:p>
      <w:pPr>
        <w:pStyle w:val="BodyText"/>
        <w:spacing w:line="364" w:lineRule="auto" w:before="139"/>
        <w:ind w:right="266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755"/>
      </w:pPr>
      <w:r>
        <w:rPr/>
        <w:t>法定代表人：田宏莉联系人：尹庆</w:t>
      </w:r>
    </w:p>
    <w:p>
      <w:pPr>
        <w:pStyle w:val="BodyText"/>
        <w:spacing w:line="268" w:lineRule="exact"/>
      </w:pPr>
      <w:r>
        <w:rPr/>
        <w:t>联系电话：010-65807865</w:t>
      </w:r>
    </w:p>
    <w:p>
      <w:pPr>
        <w:pStyle w:val="BodyText"/>
        <w:spacing w:line="364" w:lineRule="auto" w:before="139"/>
        <w:ind w:right="6650"/>
      </w:pPr>
      <w:r>
        <w:rPr/>
        <w:t>客户服务电话</w:t>
      </w:r>
      <w:r>
        <w:rPr>
          <w:spacing w:val="-4"/>
        </w:rPr>
        <w:t>：95162 </w:t>
      </w:r>
      <w:r>
        <w:rPr/>
        <w:t>传真：010-65807864</w:t>
      </w:r>
    </w:p>
    <w:p>
      <w:pPr>
        <w:pStyle w:val="BodyText"/>
        <w:spacing w:line="268" w:lineRule="exact"/>
      </w:pPr>
      <w:hyperlink r:id="rId249">
        <w:r>
          <w:rPr/>
          <w:t>网址：www.jrtoo.com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中信建投期货</w:t>
      </w:r>
    </w:p>
    <w:p>
      <w:pPr>
        <w:pStyle w:val="BodyText"/>
        <w:spacing w:line="364" w:lineRule="auto" w:before="140"/>
        <w:ind w:left="840" w:right="756" w:firstLine="480"/>
      </w:pPr>
      <w:r>
        <w:rPr/>
        <w:t>注册地址：重庆市渝中区中山三路 107 号上站大楼平街 11-B，名义层 11-A，8-B4， 9-B、C</w:t>
      </w:r>
    </w:p>
    <w:p>
      <w:pPr>
        <w:pStyle w:val="BodyText"/>
        <w:spacing w:line="364" w:lineRule="auto"/>
        <w:ind w:right="350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5915"/>
      </w:pPr>
      <w:r>
        <w:rPr/>
        <w:t>客户服务电话：400-8877-780 传真：023-86769629</w:t>
      </w:r>
    </w:p>
    <w:p>
      <w:pPr>
        <w:pStyle w:val="BodyText"/>
        <w:spacing w:line="268" w:lineRule="exact"/>
      </w:pPr>
      <w:hyperlink r:id="rId250">
        <w:r>
          <w:rPr/>
          <w:t>网址：www.cfc108.com</w:t>
        </w:r>
      </w:hyperlink>
    </w:p>
    <w:p>
      <w:pPr>
        <w:pStyle w:val="ListParagraph"/>
        <w:numPr>
          <w:ilvl w:val="0"/>
          <w:numId w:val="7"/>
        </w:numPr>
        <w:tabs>
          <w:tab w:pos="1950" w:val="left" w:leader="none"/>
        </w:tabs>
        <w:spacing w:line="240" w:lineRule="auto" w:before="139" w:after="0"/>
        <w:ind w:left="1950" w:right="0" w:hanging="630"/>
        <w:jc w:val="left"/>
        <w:rPr>
          <w:sz w:val="21"/>
        </w:rPr>
      </w:pPr>
      <w:r>
        <w:rPr>
          <w:sz w:val="21"/>
        </w:rPr>
        <w:t>中信期货</w:t>
      </w:r>
    </w:p>
    <w:p>
      <w:pPr>
        <w:pStyle w:val="BodyText"/>
        <w:spacing w:before="140"/>
      </w:pPr>
      <w:r>
        <w:rPr>
          <w:spacing w:val="-9"/>
        </w:rPr>
        <w:t>注册地址：广东省深圳市福田区中心三路</w:t>
      </w:r>
      <w:r>
        <w:rPr/>
        <w:t>8</w:t>
      </w:r>
      <w:r>
        <w:rPr>
          <w:spacing w:val="-24"/>
        </w:rPr>
        <w:t> 号卓越时代广场</w:t>
      </w:r>
      <w:r>
        <w:rPr/>
        <w:t>（二期</w:t>
      </w:r>
      <w:r>
        <w:rPr>
          <w:spacing w:val="-105"/>
        </w:rPr>
        <w:t>）</w:t>
      </w:r>
      <w:r>
        <w:rPr>
          <w:spacing w:val="16"/>
        </w:rPr>
        <w:t>北座</w:t>
      </w:r>
      <w:r>
        <w:rPr/>
        <w:t>13</w:t>
      </w:r>
      <w:r>
        <w:rPr>
          <w:spacing w:val="-21"/>
        </w:rPr>
        <w:t> 层</w:t>
      </w:r>
      <w:r>
        <w:rPr/>
        <w:t>1301-1305</w:t>
      </w:r>
    </w:p>
    <w:p>
      <w:pPr>
        <w:pStyle w:val="BodyText"/>
        <w:spacing w:before="139"/>
        <w:ind w:left="840"/>
      </w:pPr>
      <w:r>
        <w:rPr/>
        <w:t>室、14 层</w:t>
      </w:r>
    </w:p>
    <w:p>
      <w:pPr>
        <w:pStyle w:val="BodyText"/>
        <w:spacing w:before="139"/>
      </w:pPr>
      <w:r>
        <w:rPr/>
        <w:t>办公地址：深圳市福田区中心三路 8 号卓越时代广场（二期）北座 13 层 1301-1305 室、</w:t>
      </w:r>
    </w:p>
    <w:p>
      <w:pPr>
        <w:spacing w:after="0"/>
        <w:sectPr>
          <w:pgSz w:w="11910" w:h="16840"/>
          <w:pgMar w:header="0" w:footer="638" w:top="1380" w:bottom="900" w:left="960" w:right="980"/>
        </w:sectPr>
      </w:pPr>
    </w:p>
    <w:p>
      <w:pPr>
        <w:pStyle w:val="BodyText"/>
        <w:spacing w:before="140"/>
        <w:ind w:left="840"/>
      </w:pPr>
      <w:r>
        <w:rPr/>
        <w:t>14</w:t>
      </w:r>
      <w:r>
        <w:rPr>
          <w:spacing w:val="-37"/>
        </w:rPr>
        <w:t> 层</w:t>
      </w:r>
    </w:p>
    <w:p>
      <w:pPr>
        <w:pStyle w:val="BodyText"/>
        <w:ind w:left="0"/>
        <w:rPr>
          <w:sz w:val="20"/>
        </w:rPr>
      </w:pPr>
      <w:r>
        <w:rPr/>
        <w:br w:type="column"/>
      </w:r>
      <w:r>
        <w:rPr>
          <w:sz w:val="20"/>
        </w:rPr>
      </w:r>
    </w:p>
    <w:p>
      <w:pPr>
        <w:pStyle w:val="BodyText"/>
        <w:spacing w:before="10"/>
        <w:ind w:left="0"/>
        <w:rPr>
          <w:sz w:val="22"/>
        </w:rPr>
      </w:pPr>
    </w:p>
    <w:p>
      <w:pPr>
        <w:pStyle w:val="BodyText"/>
        <w:spacing w:line="364" w:lineRule="auto"/>
        <w:ind w:left="-33" w:right="6965"/>
      </w:pPr>
      <w:r>
        <w:rPr/>
        <w:t>法定代表人：张皓联系人：刘宏莹</w:t>
      </w:r>
    </w:p>
    <w:p>
      <w:pPr>
        <w:spacing w:after="0" w:line="364" w:lineRule="auto"/>
        <w:sectPr>
          <w:type w:val="continuous"/>
          <w:pgSz w:w="11910" w:h="16840"/>
          <w:pgMar w:top="1600" w:bottom="280" w:left="960" w:right="980"/>
          <w:cols w:num="2" w:equalWidth="0">
            <w:col w:w="1313" w:space="40"/>
            <w:col w:w="8617"/>
          </w:cols>
        </w:sectPr>
      </w:pPr>
    </w:p>
    <w:p>
      <w:pPr>
        <w:pStyle w:val="BodyText"/>
        <w:spacing w:before="45"/>
      </w:pPr>
      <w:r>
        <w:rPr/>
        <w:t>联系电话：010-6083 3754</w:t>
      </w:r>
    </w:p>
    <w:p>
      <w:pPr>
        <w:pStyle w:val="BodyText"/>
        <w:spacing w:line="364" w:lineRule="auto" w:before="139"/>
        <w:ind w:right="5915"/>
      </w:pPr>
      <w:r>
        <w:rPr/>
        <w:t>客户服务电话：400-990-8826 传真：021-60819988</w:t>
      </w:r>
    </w:p>
    <w:p>
      <w:pPr>
        <w:pStyle w:val="BodyText"/>
        <w:spacing w:line="268" w:lineRule="exact"/>
      </w:pPr>
      <w:hyperlink r:id="rId251">
        <w:r>
          <w:rPr/>
          <w:t>网址：www.citicsf.com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中正达广</w:t>
      </w:r>
    </w:p>
    <w:p>
      <w:pPr>
        <w:pStyle w:val="BodyText"/>
        <w:spacing w:line="364" w:lineRule="auto" w:before="139"/>
        <w:ind w:right="413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5915"/>
      </w:pPr>
      <w:r>
        <w:rPr/>
        <w:t>客户服务电话</w:t>
      </w:r>
      <w:r>
        <w:rPr>
          <w:spacing w:val="-2"/>
        </w:rPr>
        <w:t>：400-6767-523 </w:t>
      </w:r>
      <w:r>
        <w:rPr/>
        <w:t>传真：021-33768132-802</w:t>
      </w:r>
    </w:p>
    <w:p>
      <w:pPr>
        <w:pStyle w:val="BodyText"/>
        <w:spacing w:line="268" w:lineRule="exact"/>
      </w:pPr>
      <w:hyperlink r:id="rId252">
        <w:r>
          <w:rPr/>
          <w:t>网址：www.zhongzhengfund.com</w:t>
        </w:r>
      </w:hyperlink>
    </w:p>
    <w:p>
      <w:pPr>
        <w:pStyle w:val="ListParagraph"/>
        <w:numPr>
          <w:ilvl w:val="0"/>
          <w:numId w:val="7"/>
        </w:numPr>
        <w:tabs>
          <w:tab w:pos="1950" w:val="left" w:leader="none"/>
        </w:tabs>
        <w:spacing w:line="240" w:lineRule="auto" w:before="140" w:after="0"/>
        <w:ind w:left="1950" w:right="0" w:hanging="630"/>
        <w:jc w:val="both"/>
        <w:rPr>
          <w:sz w:val="21"/>
        </w:rPr>
      </w:pPr>
      <w:r>
        <w:rPr>
          <w:sz w:val="21"/>
        </w:rPr>
        <w:t>中证金牛</w:t>
      </w:r>
    </w:p>
    <w:p>
      <w:pPr>
        <w:pStyle w:val="BodyText"/>
        <w:spacing w:before="139"/>
      </w:pPr>
      <w:r>
        <w:rPr/>
        <w:t>注册地址：北京市丰台区东管头 1 号 2 号楼 2-45 室</w:t>
      </w:r>
    </w:p>
    <w:p>
      <w:pPr>
        <w:pStyle w:val="BodyText"/>
        <w:spacing w:line="364" w:lineRule="auto" w:before="139"/>
        <w:ind w:right="234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5915"/>
      </w:pPr>
      <w:r>
        <w:rPr/>
        <w:t>客户服务电话：4008-909-998 </w:t>
      </w:r>
      <w:hyperlink r:id="rId253">
        <w:r>
          <w:rPr/>
          <w:t>网址：www.jnlc.com</w:t>
        </w:r>
      </w:hyperlink>
    </w:p>
    <w:p>
      <w:pPr>
        <w:pStyle w:val="ListParagraph"/>
        <w:numPr>
          <w:ilvl w:val="0"/>
          <w:numId w:val="7"/>
        </w:numPr>
        <w:tabs>
          <w:tab w:pos="1950" w:val="left" w:leader="none"/>
        </w:tabs>
        <w:spacing w:line="268" w:lineRule="exact" w:before="0" w:after="0"/>
        <w:ind w:left="1950" w:right="0" w:hanging="630"/>
        <w:jc w:val="left"/>
        <w:rPr>
          <w:sz w:val="21"/>
        </w:rPr>
      </w:pPr>
      <w:r>
        <w:rPr>
          <w:sz w:val="21"/>
        </w:rPr>
        <w:t>众禄基金</w:t>
      </w:r>
    </w:p>
    <w:p>
      <w:pPr>
        <w:pStyle w:val="BodyText"/>
        <w:spacing w:line="364" w:lineRule="auto" w:before="140"/>
        <w:ind w:right="98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965"/>
      </w:pPr>
      <w:r>
        <w:rPr/>
        <w:t>法定代表人：薛峰联系人：龚江江</w:t>
      </w:r>
    </w:p>
    <w:p>
      <w:pPr>
        <w:pStyle w:val="BodyText"/>
        <w:spacing w:line="268" w:lineRule="exact"/>
      </w:pPr>
      <w:r>
        <w:rPr/>
        <w:t>联系电话：0755-33227950</w:t>
      </w:r>
    </w:p>
    <w:p>
      <w:pPr>
        <w:pStyle w:val="BodyText"/>
        <w:spacing w:line="364" w:lineRule="auto" w:before="138"/>
        <w:ind w:right="5915"/>
      </w:pPr>
      <w:r>
        <w:rPr/>
        <w:t>客户服务电话：4006-788-887 传真：0755-33227951</w:t>
      </w:r>
    </w:p>
    <w:p>
      <w:pPr>
        <w:pStyle w:val="BodyText"/>
        <w:tabs>
          <w:tab w:pos="3734" w:val="left" w:leader="none"/>
        </w:tabs>
        <w:spacing w:line="268" w:lineRule="exact"/>
      </w:pPr>
      <w:hyperlink r:id="rId254">
        <w:r>
          <w:rPr/>
          <w:t>网址：www.zlfund.cn</w:t>
        </w:r>
      </w:hyperlink>
      <w:r>
        <w:rPr/>
        <w:tab/>
      </w:r>
      <w:hyperlink r:id="rId255">
        <w:r>
          <w:rPr/>
          <w:t>www.jjmmw.com</w:t>
        </w:r>
      </w:hyperlink>
    </w:p>
    <w:p>
      <w:pPr>
        <w:spacing w:before="48"/>
        <w:ind w:left="840" w:right="0" w:firstLine="0"/>
        <w:jc w:val="left"/>
        <w:rPr>
          <w:rFonts w:ascii="Microsoft JhengHei" w:eastAsia="Microsoft JhengHei" w:hint="eastAsia"/>
          <w:b/>
          <w:sz w:val="28"/>
        </w:rPr>
      </w:pPr>
      <w:bookmarkStart w:name="_bookmark11" w:id="12"/>
      <w:bookmarkEnd w:id="12"/>
      <w:r>
        <w:rPr/>
      </w:r>
      <w:r>
        <w:rPr>
          <w:rFonts w:ascii="Microsoft JhengHei" w:eastAsia="Microsoft JhengHei" w:hint="eastAsia"/>
          <w:b/>
          <w:sz w:val="28"/>
        </w:rPr>
        <w:t>（二）基金注册登记机构</w:t>
      </w:r>
    </w:p>
    <w:p>
      <w:pPr>
        <w:pStyle w:val="BodyText"/>
        <w:spacing w:before="122"/>
      </w:pPr>
      <w:r>
        <w:rPr/>
        <w:t>易方达基金管理有限公司</w:t>
      </w:r>
    </w:p>
    <w:p>
      <w:pPr>
        <w:pStyle w:val="BodyText"/>
        <w:spacing w:line="364" w:lineRule="auto" w:before="139"/>
        <w:ind w:right="161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spacing w:after="0" w:line="364" w:lineRule="auto"/>
        <w:sectPr>
          <w:pgSz w:w="11910" w:h="16840"/>
          <w:pgMar w:header="0" w:footer="638" w:top="1380" w:bottom="900" w:left="960" w:right="980"/>
        </w:sectPr>
      </w:pPr>
    </w:p>
    <w:p>
      <w:pPr>
        <w:pStyle w:val="BodyText"/>
        <w:spacing w:line="364" w:lineRule="auto" w:before="45"/>
        <w:ind w:right="6755"/>
      </w:pPr>
      <w:r>
        <w:rPr/>
        <w:t>法定代表人：刘晓艳电 话 ：4008818088 传真：020-38799249</w:t>
      </w:r>
    </w:p>
    <w:p>
      <w:pPr>
        <w:pStyle w:val="BodyText"/>
        <w:spacing w:line="268" w:lineRule="exact"/>
      </w:pPr>
      <w:r>
        <w:rPr/>
        <w:t>联系人：余贤高</w:t>
      </w:r>
    </w:p>
    <w:p>
      <w:pPr>
        <w:spacing w:before="48"/>
        <w:ind w:left="840" w:right="0" w:firstLine="0"/>
        <w:jc w:val="left"/>
        <w:rPr>
          <w:rFonts w:ascii="Microsoft JhengHei" w:eastAsia="Microsoft JhengHei" w:hint="eastAsia"/>
          <w:b/>
          <w:sz w:val="28"/>
        </w:rPr>
      </w:pPr>
      <w:bookmarkStart w:name="_bookmark12" w:id="13"/>
      <w:bookmarkEnd w:id="13"/>
      <w:r>
        <w:rPr/>
      </w:r>
      <w:r>
        <w:rPr>
          <w:rFonts w:ascii="Microsoft JhengHei" w:eastAsia="Microsoft JhengHei" w:hint="eastAsia"/>
          <w:b/>
          <w:sz w:val="28"/>
        </w:rPr>
        <w:t>（三）律师事务所和经办律师</w:t>
      </w:r>
    </w:p>
    <w:p>
      <w:pPr>
        <w:pStyle w:val="BodyText"/>
        <w:spacing w:before="121"/>
      </w:pPr>
      <w:r>
        <w:rPr/>
        <w:t>律师事务所：北京市金杜律师事务所</w:t>
      </w:r>
    </w:p>
    <w:p>
      <w:pPr>
        <w:pStyle w:val="BodyText"/>
        <w:spacing w:line="364" w:lineRule="auto" w:before="140"/>
        <w:ind w:right="2450"/>
      </w:pPr>
      <w:r>
        <w:rPr>
          <w:spacing w:val="-4"/>
        </w:rPr>
        <w:t>地址：北京市朝阳区东三环中路 </w:t>
      </w:r>
      <w:r>
        <w:rPr/>
        <w:t>7</w:t>
      </w:r>
      <w:r>
        <w:rPr>
          <w:spacing w:val="-12"/>
        </w:rPr>
        <w:t> 号北京财富中心写字楼 </w:t>
      </w:r>
      <w:r>
        <w:rPr/>
        <w:t>A</w:t>
      </w:r>
      <w:r>
        <w:rPr>
          <w:spacing w:val="-36"/>
        </w:rPr>
        <w:t> 座 </w:t>
      </w:r>
      <w:r>
        <w:rPr/>
        <w:t>40</w:t>
      </w:r>
      <w:r>
        <w:rPr>
          <w:spacing w:val="-35"/>
        </w:rPr>
        <w:t> 层</w:t>
      </w:r>
      <w:r>
        <w:rPr/>
        <w:t>负责人：王玲</w:t>
      </w:r>
    </w:p>
    <w:p>
      <w:pPr>
        <w:pStyle w:val="BodyText"/>
        <w:spacing w:line="364" w:lineRule="auto"/>
        <w:ind w:right="6755"/>
      </w:pPr>
      <w:r>
        <w:rPr/>
        <w:t>电话：010-58785588 传真：010-58785599</w:t>
      </w:r>
    </w:p>
    <w:p>
      <w:pPr>
        <w:pStyle w:val="BodyText"/>
        <w:spacing w:line="364" w:lineRule="auto"/>
        <w:ind w:right="6125"/>
      </w:pPr>
      <w:r>
        <w:rPr/>
        <w:t>经办律师：靳庆军、宋萍萍联系人：王玲</w:t>
      </w:r>
    </w:p>
    <w:p>
      <w:pPr>
        <w:spacing w:line="423" w:lineRule="exact" w:before="0"/>
        <w:ind w:left="840" w:right="0" w:firstLine="0"/>
        <w:jc w:val="left"/>
        <w:rPr>
          <w:rFonts w:ascii="Microsoft JhengHei" w:eastAsia="Microsoft JhengHei" w:hint="eastAsia"/>
          <w:b/>
          <w:sz w:val="28"/>
        </w:rPr>
      </w:pPr>
      <w:bookmarkStart w:name="_bookmark13" w:id="14"/>
      <w:bookmarkEnd w:id="14"/>
      <w:r>
        <w:rPr/>
      </w:r>
      <w:r>
        <w:rPr>
          <w:rFonts w:ascii="Microsoft JhengHei" w:eastAsia="Microsoft JhengHei" w:hint="eastAsia"/>
          <w:b/>
          <w:sz w:val="28"/>
        </w:rPr>
        <w:t>（四）会计师事务所和经办注册会计师</w:t>
      </w:r>
    </w:p>
    <w:p>
      <w:pPr>
        <w:pStyle w:val="BodyText"/>
        <w:spacing w:line="364" w:lineRule="auto" w:before="119"/>
        <w:ind w:left="1260" w:right="3035"/>
      </w:pPr>
      <w:r>
        <w:rPr/>
        <w:t>会计师事务所：普华永道中天会计师事务所（特殊普通合伙） 住所：上海市湖滨路 202 号普华永道中心 11 楼</w:t>
      </w:r>
    </w:p>
    <w:p>
      <w:pPr>
        <w:pStyle w:val="BodyText"/>
        <w:spacing w:line="364" w:lineRule="auto"/>
        <w:ind w:left="1260" w:right="39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left="1260" w:right="6500"/>
      </w:pPr>
      <w:r>
        <w:rPr/>
        <w:t>电话：（021）23238888 传真：（021）23238800</w:t>
      </w:r>
    </w:p>
    <w:p>
      <w:pPr>
        <w:pStyle w:val="BodyText"/>
        <w:spacing w:line="364" w:lineRule="auto"/>
        <w:ind w:left="1260" w:right="5975"/>
      </w:pPr>
      <w:r>
        <w:rPr/>
        <w:t>经办注册会计师：陈熹、周祎联系人：周祎</w:t>
      </w:r>
    </w:p>
    <w:p>
      <w:pPr>
        <w:spacing w:after="0" w:line="364" w:lineRule="auto"/>
        <w:sectPr>
          <w:pgSz w:w="11910" w:h="16840"/>
          <w:pgMar w:header="0" w:footer="638" w:top="1380" w:bottom="900" w:left="960" w:right="980"/>
        </w:sectPr>
      </w:pPr>
    </w:p>
    <w:p>
      <w:pPr>
        <w:spacing w:before="27"/>
        <w:ind w:left="1242" w:right="582" w:firstLine="0"/>
        <w:jc w:val="center"/>
        <w:rPr>
          <w:sz w:val="32"/>
        </w:rPr>
      </w:pPr>
      <w:bookmarkStart w:name="_bookmark14" w:id="15"/>
      <w:bookmarkEnd w:id="15"/>
      <w:r>
        <w:rPr/>
      </w:r>
      <w:r>
        <w:rPr>
          <w:sz w:val="32"/>
        </w:rPr>
        <w:t>六、基金的募集</w:t>
      </w:r>
    </w:p>
    <w:p>
      <w:pPr>
        <w:pStyle w:val="BodyText"/>
        <w:spacing w:line="364" w:lineRule="auto" w:before="210"/>
        <w:ind w:left="840" w:right="608" w:firstLine="420"/>
      </w:pPr>
      <w:r>
        <w:rPr>
          <w:spacing w:val="-24"/>
        </w:rPr>
        <w:t>本基金由基金管理人依照《基金法》、《运作办法》、《销售办法》、基金合同的相关规定、</w:t>
      </w:r>
      <w:r>
        <w:rPr>
          <w:spacing w:val="-26"/>
        </w:rPr>
        <w:t>并经中国证券监督管理委员会 </w:t>
      </w:r>
      <w:r>
        <w:rPr/>
        <w:t>2008</w:t>
      </w:r>
      <w:r>
        <w:rPr>
          <w:spacing w:val="-33"/>
        </w:rPr>
        <w:t> 年 </w:t>
      </w:r>
      <w:r>
        <w:rPr/>
        <w:t>5</w:t>
      </w:r>
      <w:r>
        <w:rPr>
          <w:spacing w:val="-34"/>
        </w:rPr>
        <w:t> 月 </w:t>
      </w:r>
      <w:r>
        <w:rPr/>
        <w:t>6</w:t>
      </w:r>
      <w:r>
        <w:rPr>
          <w:spacing w:val="-8"/>
        </w:rPr>
        <w:t> 日《关于核准易方达中小盘股票型证券投资基金</w:t>
      </w:r>
      <w:r>
        <w:rPr>
          <w:spacing w:val="-25"/>
        </w:rPr>
        <w:t>募集的批复》</w:t>
      </w:r>
      <w:r>
        <w:rPr/>
        <w:t>（证监许可[2008]644</w:t>
      </w:r>
      <w:r>
        <w:rPr>
          <w:spacing w:val="-27"/>
        </w:rPr>
        <w:t> 号</w:t>
      </w:r>
      <w:r>
        <w:rPr/>
        <w:t>）核准募集。</w:t>
      </w:r>
    </w:p>
    <w:p>
      <w:pPr>
        <w:pStyle w:val="BodyText"/>
        <w:spacing w:line="364" w:lineRule="auto"/>
        <w:ind w:left="1260" w:right="3035"/>
      </w:pPr>
      <w:r>
        <w:rPr/>
        <w:t>本基金为契约型开放式混合基金。基金的存续期间为不定期。本基金的初始面值为每份基金份额人民币 1.00 元。</w:t>
      </w:r>
    </w:p>
    <w:p>
      <w:pPr>
        <w:pStyle w:val="BodyText"/>
        <w:spacing w:line="364" w:lineRule="auto"/>
        <w:ind w:left="840" w:right="818" w:firstLine="420"/>
        <w:jc w:val="both"/>
      </w:pPr>
      <w:r>
        <w:rPr>
          <w:spacing w:val="-7"/>
        </w:rPr>
        <w:t>本基金募集期自 </w:t>
      </w:r>
      <w:r>
        <w:rPr/>
        <w:t>2008</w:t>
      </w:r>
      <w:r>
        <w:rPr>
          <w:spacing w:val="-36"/>
        </w:rPr>
        <w:t> 年 </w:t>
      </w:r>
      <w:r>
        <w:rPr/>
        <w:t>5</w:t>
      </w:r>
      <w:r>
        <w:rPr>
          <w:spacing w:val="-36"/>
        </w:rPr>
        <w:t> 月 </w:t>
      </w:r>
      <w:r>
        <w:rPr/>
        <w:t>28</w:t>
      </w:r>
      <w:r>
        <w:rPr>
          <w:spacing w:val="-27"/>
        </w:rPr>
        <w:t> 日至 </w:t>
      </w:r>
      <w:r>
        <w:rPr/>
        <w:t>2008</w:t>
      </w:r>
      <w:r>
        <w:rPr>
          <w:spacing w:val="-36"/>
        </w:rPr>
        <w:t> 年 </w:t>
      </w:r>
      <w:r>
        <w:rPr/>
        <w:t>6</w:t>
      </w:r>
      <w:r>
        <w:rPr>
          <w:spacing w:val="-36"/>
        </w:rPr>
        <w:t> 月 </w:t>
      </w:r>
      <w:r>
        <w:rPr/>
        <w:t>13</w:t>
      </w:r>
      <w:r>
        <w:rPr>
          <w:spacing w:val="-14"/>
        </w:rPr>
        <w:t> 日。募集对象为依据中华人民共和</w:t>
      </w:r>
      <w:r>
        <w:rPr>
          <w:spacing w:val="-5"/>
        </w:rPr>
        <w:t>国法律法规的规定可以投资于境内证券投资基金的个人投资者、机构投资者和合格境外机构</w:t>
      </w:r>
      <w:r>
        <w:rPr/>
        <w:t>投资者。</w:t>
      </w:r>
    </w:p>
    <w:p>
      <w:pPr>
        <w:spacing w:after="0" w:line="364" w:lineRule="auto"/>
        <w:jc w:val="both"/>
        <w:sectPr>
          <w:pgSz w:w="11910" w:h="16840"/>
          <w:pgMar w:header="0" w:footer="638" w:top="1400" w:bottom="900" w:left="960" w:right="980"/>
        </w:sectPr>
      </w:pPr>
    </w:p>
    <w:p>
      <w:pPr>
        <w:spacing w:before="27"/>
        <w:ind w:left="3873" w:right="0" w:firstLine="0"/>
        <w:jc w:val="left"/>
        <w:rPr>
          <w:sz w:val="32"/>
        </w:rPr>
      </w:pPr>
      <w:bookmarkStart w:name="_bookmark15" w:id="16"/>
      <w:bookmarkEnd w:id="16"/>
      <w:r>
        <w:rPr/>
      </w:r>
      <w:r>
        <w:rPr>
          <w:sz w:val="32"/>
        </w:rPr>
        <w:t>七、基金合同的生效</w:t>
      </w:r>
    </w:p>
    <w:p>
      <w:pPr>
        <w:pStyle w:val="BodyText"/>
        <w:spacing w:before="10"/>
        <w:ind w:left="0"/>
        <w:rPr>
          <w:sz w:val="11"/>
        </w:rPr>
      </w:pPr>
    </w:p>
    <w:p>
      <w:pPr>
        <w:spacing w:before="61"/>
        <w:ind w:left="840" w:right="0" w:firstLine="0"/>
        <w:jc w:val="left"/>
        <w:rPr>
          <w:sz w:val="28"/>
        </w:rPr>
      </w:pPr>
      <w:bookmarkStart w:name="_bookmark16" w:id="17"/>
      <w:bookmarkEnd w:id="17"/>
      <w:r>
        <w:rPr/>
      </w:r>
      <w:r>
        <w:rPr>
          <w:sz w:val="28"/>
        </w:rPr>
        <w:t>（一）基金合同的生效</w:t>
      </w:r>
    </w:p>
    <w:p>
      <w:pPr>
        <w:pStyle w:val="BodyText"/>
        <w:spacing w:line="364" w:lineRule="auto" w:before="184"/>
        <w:ind w:left="840" w:right="818" w:firstLine="420"/>
        <w:jc w:val="both"/>
      </w:pPr>
      <w:r>
        <w:rPr>
          <w:spacing w:val="-6"/>
        </w:rPr>
        <w:t>本基金基金合同于 </w:t>
      </w:r>
      <w:r>
        <w:rPr/>
        <w:t>2008</w:t>
      </w:r>
      <w:r>
        <w:rPr>
          <w:spacing w:val="-36"/>
        </w:rPr>
        <w:t> 年 </w:t>
      </w:r>
      <w:r>
        <w:rPr/>
        <w:t>6</w:t>
      </w:r>
      <w:r>
        <w:rPr>
          <w:spacing w:val="-36"/>
        </w:rPr>
        <w:t> 月 </w:t>
      </w:r>
      <w:r>
        <w:rPr/>
        <w:t>19</w:t>
      </w:r>
      <w:r>
        <w:rPr>
          <w:spacing w:val="-14"/>
        </w:rPr>
        <w:t> 日正式生效。自基金合同生效日起，本基金管理人正</w:t>
      </w:r>
      <w:r>
        <w:rPr/>
        <w:t>式开始管理本基金。</w:t>
      </w:r>
    </w:p>
    <w:p>
      <w:pPr>
        <w:spacing w:before="1"/>
        <w:ind w:left="840" w:right="0" w:firstLine="0"/>
        <w:jc w:val="left"/>
        <w:rPr>
          <w:sz w:val="28"/>
        </w:rPr>
      </w:pPr>
      <w:bookmarkStart w:name="_bookmark17" w:id="18"/>
      <w:bookmarkEnd w:id="18"/>
      <w:r>
        <w:rPr/>
      </w:r>
      <w:r>
        <w:rPr>
          <w:sz w:val="28"/>
        </w:rPr>
        <w:t>（二）基金存续期内的基金份额持有人数量和资金额</w:t>
      </w:r>
    </w:p>
    <w:p>
      <w:pPr>
        <w:pStyle w:val="BodyText"/>
        <w:spacing w:line="364" w:lineRule="auto" w:before="184"/>
        <w:ind w:left="840" w:right="81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ind w:left="1260"/>
      </w:pPr>
      <w:r>
        <w:rPr/>
        <w:t>法律法规或监管部门另有规定的，按其规定办理。</w:t>
      </w:r>
    </w:p>
    <w:p>
      <w:pPr>
        <w:spacing w:after="0" w:line="267" w:lineRule="exact"/>
        <w:sectPr>
          <w:pgSz w:w="11910" w:h="16840"/>
          <w:pgMar w:header="0" w:footer="638" w:top="1400" w:bottom="900" w:left="960" w:right="980"/>
        </w:sectPr>
      </w:pPr>
    </w:p>
    <w:p>
      <w:pPr>
        <w:spacing w:before="27"/>
        <w:ind w:left="3393" w:right="0" w:firstLine="0"/>
        <w:jc w:val="left"/>
        <w:rPr>
          <w:sz w:val="32"/>
        </w:rPr>
      </w:pPr>
      <w:bookmarkStart w:name="_bookmark18" w:id="19"/>
      <w:bookmarkEnd w:id="19"/>
      <w:r>
        <w:rPr/>
      </w:r>
      <w:r>
        <w:rPr>
          <w:sz w:val="32"/>
        </w:rPr>
        <w:t>八、基金份额的申购、赎回</w:t>
      </w:r>
    </w:p>
    <w:p>
      <w:pPr>
        <w:spacing w:before="212"/>
        <w:ind w:left="840" w:right="0" w:firstLine="0"/>
        <w:jc w:val="left"/>
        <w:rPr>
          <w:sz w:val="28"/>
        </w:rPr>
      </w:pPr>
      <w:bookmarkStart w:name="_bookmark19" w:id="20"/>
      <w:bookmarkEnd w:id="20"/>
      <w:r>
        <w:rPr/>
      </w:r>
      <w:r>
        <w:rPr>
          <w:sz w:val="28"/>
        </w:rPr>
        <w:t>（一）基金投资者范围</w:t>
      </w:r>
    </w:p>
    <w:p>
      <w:pPr>
        <w:pStyle w:val="BodyText"/>
        <w:spacing w:line="364" w:lineRule="auto" w:before="184"/>
        <w:ind w:left="840" w:right="896" w:firstLine="457"/>
      </w:pPr>
      <w:r>
        <w:rPr>
          <w:spacing w:val="-1"/>
        </w:rPr>
        <w:t>依据中华人民共和国法律法规的规定可以投资于境内证券投资基金的个人投资者、机</w:t>
      </w:r>
      <w:r>
        <w:rPr/>
        <w:t>构投资者和合格境外机构投资者。</w:t>
      </w:r>
    </w:p>
    <w:p>
      <w:pPr>
        <w:spacing w:before="1"/>
        <w:ind w:left="840" w:right="0" w:firstLine="0"/>
        <w:jc w:val="left"/>
        <w:rPr>
          <w:sz w:val="28"/>
        </w:rPr>
      </w:pPr>
      <w:bookmarkStart w:name="_bookmark20" w:id="21"/>
      <w:bookmarkEnd w:id="21"/>
      <w:r>
        <w:rPr/>
      </w:r>
      <w:r>
        <w:rPr>
          <w:sz w:val="28"/>
        </w:rPr>
        <w:t>（二）申购与赎回的场所</w:t>
      </w:r>
    </w:p>
    <w:p>
      <w:pPr>
        <w:pStyle w:val="BodyText"/>
        <w:spacing w:line="364" w:lineRule="auto" w:before="184"/>
        <w:ind w:left="840" w:right="818" w:firstLine="420"/>
        <w:jc w:val="both"/>
      </w:pPr>
      <w:r>
        <w:rPr>
          <w:spacing w:val="-4"/>
        </w:rPr>
        <w:t>本基金的销售机构包括基金管理人和基金管理人委托的非直销销售机构。具体的销售机</w:t>
      </w:r>
      <w:r>
        <w:rPr>
          <w:spacing w:val="-5"/>
        </w:rPr>
        <w:t>构将由基金管理人在基金份额发售公告或其他公告中列明。基金管理人可根据情况变更销售</w:t>
      </w:r>
      <w:r>
        <w:rPr>
          <w:spacing w:val="-11"/>
        </w:rPr>
        <w:t>机构，并在基金管理人网站公示。投资者可以在销售机构办理基金销售业务的营业场所或按</w:t>
      </w:r>
      <w:r>
        <w:rPr/>
        <w:t>销售机构提供的其他方式办理基金的申购与赎回。</w:t>
      </w:r>
    </w:p>
    <w:p>
      <w:pPr>
        <w:pStyle w:val="BodyText"/>
        <w:spacing w:line="364" w:lineRule="auto"/>
        <w:ind w:left="840" w:right="896" w:firstLine="457"/>
      </w:pPr>
      <w:r>
        <w:rPr/>
        <w:t>投资者还可通过基金管理人或者指定的基金销售机构以电话或互联网等其他电子交易方式进行申购、赎回，具体以各销售机构的规定为准。</w:t>
      </w:r>
    </w:p>
    <w:p>
      <w:pPr>
        <w:spacing w:before="0"/>
        <w:ind w:left="840" w:right="0" w:firstLine="0"/>
        <w:jc w:val="left"/>
        <w:rPr>
          <w:sz w:val="28"/>
        </w:rPr>
      </w:pPr>
      <w:bookmarkStart w:name="_bookmark21" w:id="22"/>
      <w:bookmarkEnd w:id="22"/>
      <w:r>
        <w:rPr/>
      </w:r>
      <w:r>
        <w:rPr>
          <w:sz w:val="28"/>
        </w:rPr>
        <w:t>（三）申购与赎回办理的开放日及时间</w:t>
      </w:r>
    </w:p>
    <w:p>
      <w:pPr>
        <w:pStyle w:val="BodyText"/>
        <w:spacing w:before="183"/>
        <w:ind w:left="1260"/>
        <w:jc w:val="both"/>
      </w:pPr>
      <w:r>
        <w:rPr/>
        <w:t>本基金已于 2008 年 9 月 19 日开始办理日常申购和赎回业务。</w:t>
      </w:r>
    </w:p>
    <w:p>
      <w:pPr>
        <w:pStyle w:val="BodyText"/>
        <w:spacing w:line="364" w:lineRule="auto" w:before="140"/>
        <w:ind w:left="840" w:right="818" w:firstLine="420"/>
        <w:jc w:val="both"/>
      </w:pPr>
      <w:r>
        <w:rPr/>
        <w:t>申购、赎回的开放日为证券交易所交易日（基金管理人公告暂停申购、赎回时除外</w:t>
      </w:r>
      <w:r>
        <w:rPr>
          <w:spacing w:val="-105"/>
        </w:rPr>
        <w:t>）</w:t>
      </w:r>
      <w:r>
        <w:rPr/>
        <w:t>。</w:t>
      </w:r>
      <w:r>
        <w:rPr>
          <w:spacing w:val="-6"/>
        </w:rPr>
        <w:t>开放日的具体业务办理时间为上海证券交易所、深圳证券交易所交易日的交易时间。若出现</w:t>
      </w:r>
      <w:r>
        <w:rPr>
          <w:spacing w:val="-5"/>
        </w:rPr>
        <w:t>新的证券交易市场或交易所交易时间更改或其它原因，基金管理人将根据法律法规和基金合</w:t>
      </w:r>
      <w:r>
        <w:rPr/>
        <w:t>同规定的原则视情况进行相应的调整并公告。</w:t>
      </w:r>
    </w:p>
    <w:p>
      <w:pPr>
        <w:pStyle w:val="BodyText"/>
        <w:spacing w:line="364" w:lineRule="auto"/>
        <w:ind w:left="840" w:right="818" w:firstLine="480"/>
      </w:pPr>
      <w:r>
        <w:rPr/>
        <w:t>投资人在基金合同约定之外的日期和时间提出申购、赎回申请的，其基金份额申购、赎回价格为下次办理基金份额申购、赎回所在开放日的价格。</w:t>
      </w:r>
    </w:p>
    <w:p>
      <w:pPr>
        <w:spacing w:before="0"/>
        <w:ind w:left="840" w:right="0" w:firstLine="0"/>
        <w:jc w:val="left"/>
        <w:rPr>
          <w:sz w:val="28"/>
        </w:rPr>
      </w:pPr>
      <w:bookmarkStart w:name="_bookmark22" w:id="23"/>
      <w:bookmarkEnd w:id="23"/>
      <w:r>
        <w:rPr/>
      </w:r>
      <w:r>
        <w:rPr>
          <w:sz w:val="28"/>
        </w:rPr>
        <w:t>（四）申购与赎回的原则</w:t>
      </w:r>
    </w:p>
    <w:p>
      <w:pPr>
        <w:pStyle w:val="BodyText"/>
        <w:spacing w:line="364" w:lineRule="auto" w:before="183"/>
        <w:ind w:left="840" w:right="818" w:firstLine="420"/>
      </w:pPr>
      <w:r>
        <w:rPr/>
        <w:t>1、“未知价”原则，即基金的申购与赎回价格以受理申请当日收市后计算的基金份额净值为基准进行计算；</w:t>
      </w:r>
    </w:p>
    <w:p>
      <w:pPr>
        <w:pStyle w:val="BodyText"/>
        <w:spacing w:line="268" w:lineRule="exact"/>
        <w:ind w:left="1260"/>
      </w:pPr>
      <w:r>
        <w:rPr/>
        <w:t>2、基金采用金额申购和份额赎回的方式，即申购以金额申请，赎回以份额申请；</w:t>
      </w:r>
    </w:p>
    <w:p>
      <w:pPr>
        <w:pStyle w:val="BodyText"/>
        <w:spacing w:line="364" w:lineRule="auto" w:before="139"/>
        <w:ind w:left="840" w:right="608" w:firstLine="420"/>
      </w:pPr>
      <w:r>
        <w:rPr/>
        <w:t>3、基金份额持有人在赎回基金份额时，除指定赎回外，基金管理人按先进先出的原则， </w:t>
      </w:r>
      <w:r>
        <w:rPr>
          <w:spacing w:val="-4"/>
        </w:rPr>
        <w:t>即对该持有人账户在该销售机构托管的基金份额进行赎回处理时，注册日期在先的基金份额 先赎回，注册日期在后的基金份额后赎回，以确定所适用的赎回费率；</w:t>
      </w:r>
    </w:p>
    <w:p>
      <w:pPr>
        <w:pStyle w:val="BodyText"/>
        <w:spacing w:line="364" w:lineRule="auto"/>
        <w:ind w:left="840" w:right="818" w:firstLine="420"/>
      </w:pPr>
      <w:r>
        <w:rPr/>
        <w:t>4、当日的申购与赎回申请可以在当日开放时间结束前撤销，在当日的开放时间结束后不得撤销；</w:t>
      </w:r>
    </w:p>
    <w:p>
      <w:pPr>
        <w:pStyle w:val="BodyText"/>
        <w:spacing w:line="364" w:lineRule="auto"/>
        <w:ind w:left="840" w:right="818" w:firstLine="420"/>
      </w:pPr>
      <w:r>
        <w:rPr/>
        <w:t>5、基金管理人在不损害基金份额持有人权益的情况下可更改上述原则，但最迟应在新的原则实施前三个工作日予以公告。</w:t>
      </w:r>
    </w:p>
    <w:p>
      <w:pPr>
        <w:spacing w:before="0"/>
        <w:ind w:left="840" w:right="0" w:firstLine="0"/>
        <w:jc w:val="left"/>
        <w:rPr>
          <w:sz w:val="28"/>
        </w:rPr>
      </w:pPr>
      <w:bookmarkStart w:name="_bookmark23" w:id="24"/>
      <w:bookmarkEnd w:id="24"/>
      <w:r>
        <w:rPr/>
      </w:r>
      <w:r>
        <w:rPr>
          <w:sz w:val="28"/>
        </w:rPr>
        <w:t>（五）申购与赎回的程序</w:t>
      </w:r>
    </w:p>
    <w:p>
      <w:pPr>
        <w:pStyle w:val="BodyText"/>
        <w:spacing w:before="183"/>
        <w:ind w:left="1260"/>
      </w:pPr>
      <w:r>
        <w:rPr/>
        <w:t>1、申购、赎回的申请方式</w:t>
      </w:r>
    </w:p>
    <w:p>
      <w:pPr>
        <w:spacing w:after="0"/>
        <w:sectPr>
          <w:pgSz w:w="11910" w:h="16840"/>
          <w:pgMar w:header="0" w:footer="638" w:top="1400" w:bottom="900" w:left="960" w:right="980"/>
        </w:sectPr>
      </w:pPr>
    </w:p>
    <w:p>
      <w:pPr>
        <w:pStyle w:val="BodyText"/>
        <w:spacing w:line="364" w:lineRule="auto" w:before="45"/>
        <w:ind w:left="840" w:right="818" w:firstLine="420"/>
      </w:pPr>
      <w:r>
        <w:rPr>
          <w:spacing w:val="-5"/>
        </w:rPr>
        <w:t>基金投资者必须根据基金管理人和基金销售机构规定的手续，在开放日的交易时间段内</w:t>
      </w:r>
      <w:r>
        <w:rPr/>
        <w:t>提出申购、赎回的申请。</w:t>
      </w:r>
    </w:p>
    <w:p>
      <w:pPr>
        <w:pStyle w:val="BodyText"/>
        <w:spacing w:line="364" w:lineRule="auto"/>
        <w:ind w:left="840" w:right="818" w:firstLine="420"/>
      </w:pPr>
      <w:r>
        <w:rPr/>
        <w:t>投资者在提交申购申请时，须按销售机构规定的方式备足申购资金；提交赎回申请时, 帐户中必须有足够的基金份额余额。</w:t>
      </w:r>
    </w:p>
    <w:p>
      <w:pPr>
        <w:pStyle w:val="BodyText"/>
        <w:spacing w:line="268" w:lineRule="exact"/>
        <w:ind w:left="1260"/>
      </w:pPr>
      <w:r>
        <w:rPr/>
        <w:t>2、申购、赎回申请的确认与通知</w:t>
      </w:r>
    </w:p>
    <w:p>
      <w:pPr>
        <w:pStyle w:val="BodyText"/>
        <w:spacing w:line="364" w:lineRule="auto" w:before="138"/>
        <w:ind w:left="840" w:right="818" w:firstLine="420"/>
        <w:jc w:val="both"/>
      </w:pPr>
      <w:r>
        <w:rPr/>
        <w:t>基金管理人应当于受理基金投资人申购、赎回申请之日起三个工作日内,对申请的有效</w:t>
      </w:r>
      <w:r>
        <w:rPr>
          <w:spacing w:val="-14"/>
        </w:rPr>
        <w:t>性进行确认。正常情况下，投资者可在 </w:t>
      </w:r>
      <w:r>
        <w:rPr/>
        <w:t>T+2</w:t>
      </w:r>
      <w:r>
        <w:rPr>
          <w:spacing w:val="-9"/>
        </w:rPr>
        <w:t> 工作日及之后到其提出申请的网点或按销售机构</w:t>
      </w:r>
      <w:r>
        <w:rPr/>
        <w:t>规定的其他方式进行成交查询。</w:t>
      </w:r>
    </w:p>
    <w:p>
      <w:pPr>
        <w:pStyle w:val="BodyText"/>
        <w:spacing w:line="268" w:lineRule="exact"/>
        <w:ind w:left="1260"/>
      </w:pPr>
      <w:r>
        <w:rPr/>
        <w:t>3、申购、赎回款项的支付方式与时间</w:t>
      </w:r>
    </w:p>
    <w:p>
      <w:pPr>
        <w:pStyle w:val="BodyText"/>
        <w:spacing w:line="364" w:lineRule="auto" w:before="140"/>
        <w:ind w:left="840" w:right="818" w:firstLine="420"/>
      </w:pPr>
      <w:r>
        <w:rPr/>
        <w:t>申购采用全额缴款方式,若资金在规定时间内未全额到账则申购不成功。若申购不成功或无效，投资者已缴付的申购款项本金将退还给投资者。</w:t>
      </w:r>
    </w:p>
    <w:p>
      <w:pPr>
        <w:pStyle w:val="BodyText"/>
        <w:spacing w:line="364" w:lineRule="auto"/>
        <w:ind w:left="840" w:right="818" w:firstLine="420"/>
        <w:jc w:val="both"/>
      </w:pPr>
      <w:r>
        <w:rPr>
          <w:spacing w:val="-11"/>
        </w:rPr>
        <w:t>投资者赎回申请成功后，赎回金额将由基金管理人通常在 </w:t>
      </w:r>
      <w:r>
        <w:rPr/>
        <w:t>T＋3</w:t>
      </w:r>
      <w:r>
        <w:rPr>
          <w:spacing w:val="-13"/>
        </w:rPr>
        <w:t> 个工作日但不超过 </w:t>
      </w:r>
      <w:r>
        <w:rPr/>
        <w:t>T＋7 </w:t>
      </w:r>
      <w:r>
        <w:rPr>
          <w:spacing w:val="-6"/>
        </w:rPr>
        <w:t>个工作日之内划往投资者银行账户。在发生巨额赎回时，赎回款项的支付办法按本基金合同</w:t>
      </w:r>
      <w:r>
        <w:rPr/>
        <w:t>和有关法律法规规定处理。</w:t>
      </w:r>
    </w:p>
    <w:p>
      <w:pPr>
        <w:spacing w:line="358" w:lineRule="exact" w:before="0"/>
        <w:ind w:left="840" w:right="0" w:firstLine="0"/>
        <w:jc w:val="left"/>
        <w:rPr>
          <w:sz w:val="28"/>
        </w:rPr>
      </w:pPr>
      <w:bookmarkStart w:name="_bookmark24" w:id="25"/>
      <w:bookmarkEnd w:id="25"/>
      <w:r>
        <w:rPr/>
      </w:r>
      <w:r>
        <w:rPr>
          <w:sz w:val="28"/>
        </w:rPr>
        <w:t>（六）申购与赎回的数额限制</w:t>
      </w:r>
    </w:p>
    <w:p>
      <w:pPr>
        <w:pStyle w:val="BodyText"/>
        <w:spacing w:before="184"/>
        <w:ind w:left="1260"/>
      </w:pPr>
      <w:r>
        <w:rPr/>
        <w:t>1、申请申购基金的金额限制</w:t>
      </w:r>
    </w:p>
    <w:p>
      <w:pPr>
        <w:pStyle w:val="BodyText"/>
        <w:spacing w:line="364" w:lineRule="auto" w:before="139"/>
        <w:ind w:left="840" w:right="818" w:firstLine="420"/>
        <w:jc w:val="both"/>
      </w:pPr>
      <w:r>
        <w:rPr/>
        <w:t>投资者通过本公司直销中心首次申购的单笔最低金额为50000元人民币，追加申购单笔最低金额为1000</w:t>
      </w:r>
      <w:r>
        <w:rPr>
          <w:spacing w:val="-12"/>
        </w:rPr>
        <w:t>元人民币；投资者通过非直销销售机构或本公司网上交易系统首次申购的单</w:t>
      </w:r>
      <w:r>
        <w:rPr/>
        <w:t>笔最低金额为1</w:t>
      </w:r>
      <w:r>
        <w:rPr>
          <w:spacing w:val="-7"/>
        </w:rPr>
        <w:t>元人民币，追加申购单笔最低金额为</w:t>
      </w:r>
      <w:r>
        <w:rPr/>
        <w:t>1</w:t>
      </w:r>
      <w:r>
        <w:rPr>
          <w:spacing w:val="-8"/>
        </w:rPr>
        <w:t>元人民币。在符合法律法规规定的前提</w:t>
      </w:r>
      <w:r>
        <w:rPr/>
        <w:t>下，各销售机构对最低申购限额及交易级差有其他规定的,需同时遵循该销售机构的相关规定。(以上金额均含申购费)</w:t>
      </w:r>
    </w:p>
    <w:p>
      <w:pPr>
        <w:pStyle w:val="BodyText"/>
        <w:spacing w:line="364" w:lineRule="auto"/>
        <w:ind w:left="840" w:right="818" w:firstLine="420"/>
      </w:pPr>
      <w:r>
        <w:rPr>
          <w:spacing w:val="-4"/>
        </w:rPr>
        <w:t>投资者将当期分配的基金收益转购基金份额或采用定期定额投资计划时，不受最低申购</w:t>
      </w:r>
      <w:r>
        <w:rPr/>
        <w:t>金额的限制。</w:t>
      </w:r>
    </w:p>
    <w:p>
      <w:pPr>
        <w:pStyle w:val="BodyText"/>
        <w:spacing w:line="364" w:lineRule="auto"/>
        <w:ind w:left="840" w:right="818" w:firstLine="420"/>
        <w:jc w:val="both"/>
      </w:pPr>
      <w:r>
        <w:rPr>
          <w:spacing w:val="-9"/>
        </w:rPr>
        <w:t>投资者可多次申购，对单个投资者累计持有份额不设上限限制。但对于可能导致单一投</w:t>
      </w:r>
      <w:r>
        <w:rPr/>
        <w:t>资者持有基金份额的比例达到或者超过</w:t>
      </w:r>
      <w:r>
        <w:rPr>
          <w:spacing w:val="-12"/>
        </w:rPr>
        <w:t>50%</w:t>
      </w:r>
      <w:r>
        <w:rPr>
          <w:spacing w:val="-3"/>
        </w:rPr>
        <w:t>，或者变相规避</w:t>
      </w:r>
      <w:r>
        <w:rPr/>
        <w:t>50%</w:t>
      </w:r>
      <w:r>
        <w:rPr>
          <w:spacing w:val="-8"/>
        </w:rPr>
        <w:t>集中度的情形，基金管理人有</w:t>
      </w:r>
      <w:r>
        <w:rPr/>
        <w:t>权按照相关法律法规采取控制措施。法律法规、中国证监会另有规定的除外。</w:t>
      </w:r>
    </w:p>
    <w:p>
      <w:pPr>
        <w:pStyle w:val="BodyText"/>
        <w:spacing w:line="268" w:lineRule="exact"/>
        <w:ind w:left="1260"/>
      </w:pPr>
      <w:r>
        <w:rPr/>
        <w:t>2、申请赎回的份额限制</w:t>
      </w:r>
    </w:p>
    <w:p>
      <w:pPr>
        <w:pStyle w:val="BodyText"/>
        <w:spacing w:line="364" w:lineRule="auto" w:before="136"/>
        <w:ind w:left="840" w:right="818" w:firstLine="420"/>
        <w:jc w:val="both"/>
      </w:pPr>
      <w:r>
        <w:rPr>
          <w:spacing w:val="-6"/>
        </w:rPr>
        <w:t>投资者可将其全部或部分基金份额赎回。单笔赎回或转换不得少于</w:t>
      </w:r>
      <w:r>
        <w:rPr/>
        <w:t>1</w:t>
      </w:r>
      <w:r>
        <w:rPr>
          <w:spacing w:val="-2"/>
        </w:rPr>
        <w:t>份(如该账户在该销</w:t>
      </w:r>
      <w:r>
        <w:rPr/>
        <w:t>售机构托管的该基金余额不足1</w:t>
      </w:r>
      <w:r>
        <w:rPr>
          <w:spacing w:val="-10"/>
        </w:rPr>
        <w:t>份，则必须一次性赎回或转出该基金全部份额)；若某笔赎回</w:t>
      </w:r>
      <w:r>
        <w:rPr/>
        <w:t>将导致投资者在该销售机构托管的该基金余额不足1份时，基金管理人有权将投资者在该销</w:t>
      </w:r>
      <w:r>
        <w:rPr>
          <w:spacing w:val="-6"/>
        </w:rPr>
        <w:t>售机构托管的该基金剩余份额一次性全部赎回。在符合法律法规规定的前提下，各销售机构</w:t>
      </w:r>
      <w:r>
        <w:rPr/>
        <w:t>对赎回份额限制有其他规定的,需同时遵循该销售机构的相关规定。</w:t>
      </w:r>
    </w:p>
    <w:p>
      <w:pPr>
        <w:pStyle w:val="BodyText"/>
        <w:spacing w:line="364" w:lineRule="auto"/>
        <w:ind w:left="840" w:right="818" w:firstLine="420"/>
      </w:pPr>
      <w:r>
        <w:rPr/>
        <w:t>3、当接受申购申请对存量基金份额持有人利益构成潜在重大不利影响时，基金管理人</w:t>
      </w:r>
      <w:r>
        <w:rPr>
          <w:spacing w:val="-5"/>
        </w:rPr>
        <w:t>应当采取设定单一投资者申购金额上限或基金单日净申购比例上限、拒绝大额申购、暂停基</w:t>
      </w:r>
    </w:p>
    <w:p>
      <w:pPr>
        <w:spacing w:after="0" w:line="364" w:lineRule="auto"/>
        <w:sectPr>
          <w:pgSz w:w="11910" w:h="16840"/>
          <w:pgMar w:header="0" w:footer="638" w:top="1380" w:bottom="900" w:left="960" w:right="980"/>
        </w:sectPr>
      </w:pPr>
    </w:p>
    <w:p>
      <w:pPr>
        <w:pStyle w:val="BodyText"/>
        <w:spacing w:before="45"/>
        <w:ind w:left="840"/>
      </w:pPr>
      <w:r>
        <w:rPr/>
        <w:t>金申购等措施，切实保护存量基金份额持有人的合法权益。具体请参见相关公告。</w:t>
      </w:r>
    </w:p>
    <w:p>
      <w:pPr>
        <w:pStyle w:val="BodyText"/>
        <w:spacing w:line="364" w:lineRule="auto" w:before="139"/>
        <w:ind w:left="840" w:right="818" w:firstLine="420"/>
      </w:pPr>
      <w:r>
        <w:rPr/>
        <w:t>4、基金管理人可根据市场情况制定或调整上述申购、赎回的程序及有关限制，或者新增基金规模控制措施,但应最迟在调整生效前三个工作日在指定媒介公告。</w:t>
      </w:r>
    </w:p>
    <w:p>
      <w:pPr>
        <w:spacing w:before="1"/>
        <w:ind w:left="840" w:right="0" w:firstLine="0"/>
        <w:jc w:val="left"/>
        <w:rPr>
          <w:sz w:val="28"/>
        </w:rPr>
      </w:pPr>
      <w:bookmarkStart w:name="_bookmark25" w:id="26"/>
      <w:bookmarkEnd w:id="26"/>
      <w:r>
        <w:rPr/>
      </w:r>
      <w:r>
        <w:rPr>
          <w:sz w:val="28"/>
        </w:rPr>
        <w:t>（七）申购与赎回的费率</w:t>
      </w:r>
    </w:p>
    <w:p>
      <w:pPr>
        <w:pStyle w:val="BodyText"/>
        <w:spacing w:before="184"/>
        <w:ind w:left="1260"/>
      </w:pPr>
      <w:r>
        <w:rPr/>
        <w:t>1、本基金的申购、赎回费率</w:t>
      </w:r>
    </w:p>
    <w:p>
      <w:pPr>
        <w:pStyle w:val="BodyText"/>
        <w:spacing w:line="364" w:lineRule="auto" w:before="140"/>
        <w:ind w:left="1260" w:right="4715"/>
      </w:pPr>
      <w:r>
        <w:rPr/>
        <w:t>本基金的申购、赎回费率设置如下表所示： 申购费率为：</w:t>
      </w:r>
    </w:p>
    <w:p>
      <w:pPr>
        <w:pStyle w:val="BodyText"/>
        <w:spacing w:line="364" w:lineRule="auto"/>
        <w:ind w:left="840" w:right="818" w:firstLine="420"/>
      </w:pPr>
      <w:r>
        <w:rPr/>
        <w:t>本基金对通过本公司直销中心申购的特定投资群体与除此之外的其他投资者实施差别的申购费率。</w:t>
      </w:r>
    </w:p>
    <w:p>
      <w:pPr>
        <w:pStyle w:val="BodyText"/>
        <w:spacing w:line="364" w:lineRule="auto"/>
        <w:ind w:left="840" w:right="8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ind w:left="1260"/>
      </w:pPr>
      <w:r>
        <w:rPr/>
        <w:t>通过基金管理人的直销中心申购本基金的特定投资群体申购费率为：</w:t>
      </w:r>
    </w:p>
    <w:p>
      <w:pPr>
        <w:pStyle w:val="BodyText"/>
        <w:spacing w:before="6"/>
        <w:ind w:left="0"/>
        <w:rPr>
          <w:sz w:val="1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4320"/>
      </w:tblGrid>
      <w:tr>
        <w:trPr>
          <w:trHeight w:val="408" w:hRule="atLeast"/>
        </w:trPr>
        <w:tc>
          <w:tcPr>
            <w:tcW w:w="2808" w:type="dxa"/>
          </w:tcPr>
          <w:p>
            <w:pPr>
              <w:pStyle w:val="TableParagraph"/>
              <w:spacing w:line="320" w:lineRule="exact" w:before="0"/>
              <w:ind w:left="108"/>
              <w:rPr>
                <w:rFonts w:ascii="Microsoft JhengHei" w:eastAsia="Microsoft JhengHei" w:hint="eastAsia"/>
                <w:b/>
                <w:sz w:val="21"/>
              </w:rPr>
            </w:pPr>
            <w:r>
              <w:rPr>
                <w:rFonts w:ascii="Microsoft JhengHei" w:eastAsia="Microsoft JhengHei" w:hint="eastAsia"/>
                <w:b/>
                <w:spacing w:val="6"/>
                <w:sz w:val="21"/>
              </w:rPr>
              <w:t>申购金额</w:t>
            </w:r>
            <w:r>
              <w:rPr>
                <w:rFonts w:ascii="Microsoft JhengHei" w:eastAsia="Microsoft JhengHei" w:hint="eastAsia"/>
                <w:b/>
                <w:w w:val="50"/>
                <w:sz w:val="21"/>
              </w:rPr>
              <w:t>M</w:t>
            </w:r>
            <w:r>
              <w:rPr>
                <w:rFonts w:ascii="Microsoft JhengHei" w:eastAsia="Microsoft JhengHei" w:hint="eastAsia"/>
                <w:b/>
                <w:sz w:val="21"/>
              </w:rPr>
              <w:t>（元</w:t>
            </w:r>
            <w:r>
              <w:rPr>
                <w:rFonts w:ascii="Microsoft JhengHei" w:eastAsia="Microsoft JhengHei" w:hint="eastAsia"/>
                <w:b/>
                <w:spacing w:val="-105"/>
                <w:sz w:val="21"/>
              </w:rPr>
              <w:t>）</w:t>
            </w:r>
            <w:r>
              <w:rPr>
                <w:rFonts w:ascii="Microsoft JhengHei" w:eastAsia="Microsoft JhengHei" w:hint="eastAsia"/>
                <w:b/>
                <w:sz w:val="21"/>
              </w:rPr>
              <w:t>（含申购费</w:t>
            </w:r>
          </w:p>
        </w:tc>
        <w:tc>
          <w:tcPr>
            <w:tcW w:w="4320" w:type="dxa"/>
          </w:tcPr>
          <w:p>
            <w:pPr>
              <w:pStyle w:val="TableParagraph"/>
              <w:tabs>
                <w:tab w:pos="1948" w:val="left" w:leader="none"/>
              </w:tabs>
              <w:spacing w:line="320" w:lineRule="exact" w:before="0"/>
              <w:ind w:left="-143"/>
              <w:rPr>
                <w:rFonts w:ascii="Microsoft JhengHei" w:eastAsia="Microsoft JhengHei" w:hint="eastAsia"/>
                <w:b/>
                <w:sz w:val="21"/>
              </w:rPr>
            </w:pPr>
            <w:r>
              <w:rPr>
                <w:rFonts w:ascii="Microsoft JhengHei" w:eastAsia="Microsoft JhengHei" w:hint="eastAsia"/>
                <w:b/>
                <w:sz w:val="21"/>
              </w:rPr>
              <w:t>）</w:t>
              <w:tab/>
              <w:t>申购费率</w:t>
            </w:r>
          </w:p>
        </w:tc>
      </w:tr>
      <w:tr>
        <w:trPr>
          <w:trHeight w:val="408" w:hRule="atLeast"/>
        </w:trPr>
        <w:tc>
          <w:tcPr>
            <w:tcW w:w="2808" w:type="dxa"/>
          </w:tcPr>
          <w:p>
            <w:pPr>
              <w:pStyle w:val="TableParagraph"/>
              <w:ind w:left="527"/>
              <w:rPr>
                <w:sz w:val="21"/>
              </w:rPr>
            </w:pPr>
            <w:r>
              <w:rPr>
                <w:sz w:val="21"/>
              </w:rPr>
              <w:t>M＜100 万</w:t>
            </w:r>
          </w:p>
        </w:tc>
        <w:tc>
          <w:tcPr>
            <w:tcW w:w="4320" w:type="dxa"/>
          </w:tcPr>
          <w:p>
            <w:pPr>
              <w:pStyle w:val="TableParagraph"/>
              <w:ind w:left="2087" w:right="1658"/>
              <w:jc w:val="center"/>
              <w:rPr>
                <w:sz w:val="21"/>
              </w:rPr>
            </w:pPr>
            <w:r>
              <w:rPr>
                <w:sz w:val="21"/>
              </w:rPr>
              <w:t>0.15%</w:t>
            </w:r>
          </w:p>
        </w:tc>
      </w:tr>
      <w:tr>
        <w:trPr>
          <w:trHeight w:val="408" w:hRule="atLeast"/>
        </w:trPr>
        <w:tc>
          <w:tcPr>
            <w:tcW w:w="2808" w:type="dxa"/>
          </w:tcPr>
          <w:p>
            <w:pPr>
              <w:pStyle w:val="TableParagraph"/>
              <w:ind w:left="527"/>
              <w:rPr>
                <w:sz w:val="21"/>
              </w:rPr>
            </w:pPr>
            <w:r>
              <w:rPr>
                <w:sz w:val="21"/>
              </w:rPr>
              <w:t>100 万≤M＜500 万</w:t>
            </w:r>
          </w:p>
        </w:tc>
        <w:tc>
          <w:tcPr>
            <w:tcW w:w="4320" w:type="dxa"/>
          </w:tcPr>
          <w:p>
            <w:pPr>
              <w:pStyle w:val="TableParagraph"/>
              <w:ind w:left="2087" w:right="1658"/>
              <w:jc w:val="center"/>
              <w:rPr>
                <w:sz w:val="21"/>
              </w:rPr>
            </w:pPr>
            <w:r>
              <w:rPr>
                <w:sz w:val="21"/>
              </w:rPr>
              <w:t>0.12%</w:t>
            </w:r>
          </w:p>
        </w:tc>
      </w:tr>
      <w:tr>
        <w:trPr>
          <w:trHeight w:val="408" w:hRule="atLeast"/>
        </w:trPr>
        <w:tc>
          <w:tcPr>
            <w:tcW w:w="2808" w:type="dxa"/>
          </w:tcPr>
          <w:p>
            <w:pPr>
              <w:pStyle w:val="TableParagraph"/>
              <w:ind w:left="527"/>
              <w:rPr>
                <w:sz w:val="21"/>
              </w:rPr>
            </w:pPr>
            <w:r>
              <w:rPr>
                <w:sz w:val="21"/>
              </w:rPr>
              <w:t>500 万≤M＜1000 万</w:t>
            </w:r>
          </w:p>
        </w:tc>
        <w:tc>
          <w:tcPr>
            <w:tcW w:w="4320" w:type="dxa"/>
          </w:tcPr>
          <w:p>
            <w:pPr>
              <w:pStyle w:val="TableParagraph"/>
              <w:ind w:left="2087" w:right="1658"/>
              <w:jc w:val="center"/>
              <w:rPr>
                <w:sz w:val="21"/>
              </w:rPr>
            </w:pPr>
            <w:r>
              <w:rPr>
                <w:sz w:val="21"/>
              </w:rPr>
              <w:t>0.03%</w:t>
            </w:r>
          </w:p>
        </w:tc>
      </w:tr>
      <w:tr>
        <w:trPr>
          <w:trHeight w:val="408" w:hRule="atLeast"/>
        </w:trPr>
        <w:tc>
          <w:tcPr>
            <w:tcW w:w="2808" w:type="dxa"/>
          </w:tcPr>
          <w:p>
            <w:pPr>
              <w:pStyle w:val="TableParagraph"/>
              <w:ind w:left="527"/>
              <w:rPr>
                <w:sz w:val="21"/>
              </w:rPr>
            </w:pPr>
            <w:r>
              <w:rPr>
                <w:sz w:val="21"/>
              </w:rPr>
              <w:t>M≥1000 万</w:t>
            </w:r>
          </w:p>
        </w:tc>
        <w:tc>
          <w:tcPr>
            <w:tcW w:w="4320" w:type="dxa"/>
          </w:tcPr>
          <w:p>
            <w:pPr>
              <w:pStyle w:val="TableParagraph"/>
              <w:ind w:left="1955"/>
              <w:rPr>
                <w:sz w:val="21"/>
              </w:rPr>
            </w:pPr>
            <w:r>
              <w:rPr>
                <w:sz w:val="21"/>
              </w:rPr>
              <w:t>1000 元/笔</w:t>
            </w:r>
          </w:p>
        </w:tc>
      </w:tr>
    </w:tbl>
    <w:p>
      <w:pPr>
        <w:pStyle w:val="BodyText"/>
        <w:spacing w:before="3"/>
        <w:ind w:left="1260"/>
      </w:pPr>
      <w:r>
        <w:rPr/>
        <w:t>其他投资者申购本基金的申购费率为：</w:t>
      </w:r>
    </w:p>
    <w:p>
      <w:pPr>
        <w:pStyle w:val="BodyText"/>
        <w:spacing w:before="8"/>
        <w:ind w:left="0"/>
        <w:rPr>
          <w:sz w:val="1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4320"/>
      </w:tblGrid>
      <w:tr>
        <w:trPr>
          <w:trHeight w:val="408" w:hRule="atLeast"/>
        </w:trPr>
        <w:tc>
          <w:tcPr>
            <w:tcW w:w="2808" w:type="dxa"/>
          </w:tcPr>
          <w:p>
            <w:pPr>
              <w:pStyle w:val="TableParagraph"/>
              <w:spacing w:line="320" w:lineRule="exact" w:before="0"/>
              <w:ind w:left="108"/>
              <w:rPr>
                <w:rFonts w:ascii="Microsoft JhengHei" w:eastAsia="Microsoft JhengHei" w:hint="eastAsia"/>
                <w:b/>
                <w:sz w:val="21"/>
              </w:rPr>
            </w:pPr>
            <w:r>
              <w:rPr>
                <w:rFonts w:ascii="Microsoft JhengHei" w:eastAsia="Microsoft JhengHei" w:hint="eastAsia"/>
                <w:b/>
                <w:spacing w:val="6"/>
                <w:sz w:val="21"/>
              </w:rPr>
              <w:t>申购金额</w:t>
            </w:r>
            <w:r>
              <w:rPr>
                <w:rFonts w:ascii="Microsoft JhengHei" w:eastAsia="Microsoft JhengHei" w:hint="eastAsia"/>
                <w:b/>
                <w:w w:val="50"/>
                <w:sz w:val="21"/>
              </w:rPr>
              <w:t>M</w:t>
            </w:r>
            <w:r>
              <w:rPr>
                <w:rFonts w:ascii="Microsoft JhengHei" w:eastAsia="Microsoft JhengHei" w:hint="eastAsia"/>
                <w:b/>
                <w:sz w:val="21"/>
              </w:rPr>
              <w:t>（元</w:t>
            </w:r>
            <w:r>
              <w:rPr>
                <w:rFonts w:ascii="Microsoft JhengHei" w:eastAsia="Microsoft JhengHei" w:hint="eastAsia"/>
                <w:b/>
                <w:spacing w:val="-105"/>
                <w:sz w:val="21"/>
              </w:rPr>
              <w:t>）</w:t>
            </w:r>
            <w:r>
              <w:rPr>
                <w:rFonts w:ascii="Microsoft JhengHei" w:eastAsia="Microsoft JhengHei" w:hint="eastAsia"/>
                <w:b/>
                <w:sz w:val="21"/>
              </w:rPr>
              <w:t>（含申购费</w:t>
            </w:r>
          </w:p>
        </w:tc>
        <w:tc>
          <w:tcPr>
            <w:tcW w:w="4320" w:type="dxa"/>
          </w:tcPr>
          <w:p>
            <w:pPr>
              <w:pStyle w:val="TableParagraph"/>
              <w:tabs>
                <w:tab w:pos="1948" w:val="left" w:leader="none"/>
              </w:tabs>
              <w:spacing w:line="320" w:lineRule="exact" w:before="0"/>
              <w:ind w:left="-143"/>
              <w:rPr>
                <w:rFonts w:ascii="Microsoft JhengHei" w:eastAsia="Microsoft JhengHei" w:hint="eastAsia"/>
                <w:b/>
                <w:sz w:val="21"/>
              </w:rPr>
            </w:pPr>
            <w:r>
              <w:rPr>
                <w:rFonts w:ascii="Microsoft JhengHei" w:eastAsia="Microsoft JhengHei" w:hint="eastAsia"/>
                <w:b/>
                <w:sz w:val="21"/>
              </w:rPr>
              <w:t>）</w:t>
              <w:tab/>
              <w:t>申购费率</w:t>
            </w:r>
          </w:p>
        </w:tc>
      </w:tr>
      <w:tr>
        <w:trPr>
          <w:trHeight w:val="408" w:hRule="atLeast"/>
        </w:trPr>
        <w:tc>
          <w:tcPr>
            <w:tcW w:w="2808" w:type="dxa"/>
          </w:tcPr>
          <w:p>
            <w:pPr>
              <w:pStyle w:val="TableParagraph"/>
              <w:ind w:left="527"/>
              <w:rPr>
                <w:sz w:val="21"/>
              </w:rPr>
            </w:pPr>
            <w:r>
              <w:rPr>
                <w:sz w:val="21"/>
              </w:rPr>
              <w:t>M＜100 万</w:t>
            </w:r>
          </w:p>
        </w:tc>
        <w:tc>
          <w:tcPr>
            <w:tcW w:w="4320" w:type="dxa"/>
          </w:tcPr>
          <w:p>
            <w:pPr>
              <w:pStyle w:val="TableParagraph"/>
              <w:ind w:left="2087" w:right="1658"/>
              <w:jc w:val="center"/>
              <w:rPr>
                <w:sz w:val="21"/>
              </w:rPr>
            </w:pPr>
            <w:r>
              <w:rPr>
                <w:sz w:val="21"/>
              </w:rPr>
              <w:t>1.5%</w:t>
            </w:r>
          </w:p>
        </w:tc>
      </w:tr>
      <w:tr>
        <w:trPr>
          <w:trHeight w:val="408" w:hRule="atLeast"/>
        </w:trPr>
        <w:tc>
          <w:tcPr>
            <w:tcW w:w="2808" w:type="dxa"/>
          </w:tcPr>
          <w:p>
            <w:pPr>
              <w:pStyle w:val="TableParagraph"/>
              <w:ind w:left="527"/>
              <w:rPr>
                <w:sz w:val="21"/>
              </w:rPr>
            </w:pPr>
            <w:r>
              <w:rPr>
                <w:sz w:val="21"/>
              </w:rPr>
              <w:t>100 万≤M＜500 万</w:t>
            </w:r>
          </w:p>
        </w:tc>
        <w:tc>
          <w:tcPr>
            <w:tcW w:w="4320" w:type="dxa"/>
          </w:tcPr>
          <w:p>
            <w:pPr>
              <w:pStyle w:val="TableParagraph"/>
              <w:ind w:left="2087" w:right="1658"/>
              <w:jc w:val="center"/>
              <w:rPr>
                <w:sz w:val="21"/>
              </w:rPr>
            </w:pPr>
            <w:r>
              <w:rPr>
                <w:sz w:val="21"/>
              </w:rPr>
              <w:t>1.2%</w:t>
            </w:r>
          </w:p>
        </w:tc>
      </w:tr>
      <w:tr>
        <w:trPr>
          <w:trHeight w:val="408" w:hRule="atLeast"/>
        </w:trPr>
        <w:tc>
          <w:tcPr>
            <w:tcW w:w="2808" w:type="dxa"/>
          </w:tcPr>
          <w:p>
            <w:pPr>
              <w:pStyle w:val="TableParagraph"/>
              <w:ind w:left="527"/>
              <w:rPr>
                <w:sz w:val="21"/>
              </w:rPr>
            </w:pPr>
            <w:r>
              <w:rPr>
                <w:sz w:val="21"/>
              </w:rPr>
              <w:t>500 万≤M＜1000 万</w:t>
            </w:r>
          </w:p>
        </w:tc>
        <w:tc>
          <w:tcPr>
            <w:tcW w:w="4320" w:type="dxa"/>
          </w:tcPr>
          <w:p>
            <w:pPr>
              <w:pStyle w:val="TableParagraph"/>
              <w:ind w:left="2087" w:right="1658"/>
              <w:jc w:val="center"/>
              <w:rPr>
                <w:sz w:val="21"/>
              </w:rPr>
            </w:pPr>
            <w:r>
              <w:rPr>
                <w:sz w:val="21"/>
              </w:rPr>
              <w:t>0.3%</w:t>
            </w:r>
          </w:p>
        </w:tc>
      </w:tr>
      <w:tr>
        <w:trPr>
          <w:trHeight w:val="408" w:hRule="atLeast"/>
        </w:trPr>
        <w:tc>
          <w:tcPr>
            <w:tcW w:w="2808" w:type="dxa"/>
          </w:tcPr>
          <w:p>
            <w:pPr>
              <w:pStyle w:val="TableParagraph"/>
              <w:ind w:left="527"/>
              <w:rPr>
                <w:sz w:val="21"/>
              </w:rPr>
            </w:pPr>
            <w:r>
              <w:rPr>
                <w:sz w:val="21"/>
              </w:rPr>
              <w:t>M≥1000 万</w:t>
            </w:r>
          </w:p>
        </w:tc>
        <w:tc>
          <w:tcPr>
            <w:tcW w:w="4320" w:type="dxa"/>
          </w:tcPr>
          <w:p>
            <w:pPr>
              <w:pStyle w:val="TableParagraph"/>
              <w:ind w:left="1955"/>
              <w:rPr>
                <w:sz w:val="21"/>
              </w:rPr>
            </w:pPr>
            <w:r>
              <w:rPr>
                <w:sz w:val="21"/>
              </w:rPr>
              <w:t>1000 元/笔</w:t>
            </w:r>
          </w:p>
        </w:tc>
      </w:tr>
    </w:tbl>
    <w:p>
      <w:pPr>
        <w:pStyle w:val="BodyText"/>
        <w:spacing w:line="364" w:lineRule="auto" w:before="3"/>
        <w:ind w:left="840" w:right="818" w:firstLine="420"/>
      </w:pPr>
      <w:r>
        <w:rPr>
          <w:spacing w:val="-7"/>
        </w:rPr>
        <w:t>在申购费按金额分档的情况下，如果投资者多次申购，申购费适用单笔申购金额所对应</w:t>
      </w:r>
      <w:r>
        <w:rPr/>
        <w:t>的费率。</w:t>
      </w:r>
    </w:p>
    <w:p>
      <w:pPr>
        <w:pStyle w:val="BodyText"/>
        <w:spacing w:line="268" w:lineRule="exact"/>
        <w:ind w:left="1260"/>
      </w:pPr>
      <w:r>
        <w:rPr/>
        <w:t>赎回费率为：</w:t>
      </w:r>
    </w:p>
    <w:p>
      <w:pPr>
        <w:pStyle w:val="BodyText"/>
        <w:spacing w:before="8"/>
        <w:ind w:left="0"/>
        <w:rPr>
          <w:sz w:val="1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585"/>
      </w:tblGrid>
      <w:tr>
        <w:trPr>
          <w:trHeight w:val="408" w:hRule="atLeast"/>
        </w:trPr>
        <w:tc>
          <w:tcPr>
            <w:tcW w:w="3543" w:type="dxa"/>
          </w:tcPr>
          <w:p>
            <w:pPr>
              <w:pStyle w:val="TableParagraph"/>
              <w:spacing w:line="320" w:lineRule="exact" w:before="0"/>
              <w:ind w:left="1015" w:right="1007"/>
              <w:jc w:val="center"/>
              <w:rPr>
                <w:rFonts w:ascii="Microsoft JhengHei" w:eastAsia="Microsoft JhengHei" w:hint="eastAsia"/>
                <w:b/>
                <w:sz w:val="21"/>
              </w:rPr>
            </w:pPr>
            <w:r>
              <w:rPr>
                <w:rFonts w:ascii="Microsoft JhengHei" w:eastAsia="Microsoft JhengHei" w:hint="eastAsia"/>
                <w:b/>
                <w:sz w:val="21"/>
              </w:rPr>
              <w:t>持有时间（天）</w:t>
            </w:r>
          </w:p>
        </w:tc>
        <w:tc>
          <w:tcPr>
            <w:tcW w:w="3585" w:type="dxa"/>
          </w:tcPr>
          <w:p>
            <w:pPr>
              <w:pStyle w:val="TableParagraph"/>
              <w:spacing w:line="320" w:lineRule="exact" w:before="0"/>
              <w:ind w:left="1352" w:right="1343"/>
              <w:jc w:val="center"/>
              <w:rPr>
                <w:rFonts w:ascii="Microsoft JhengHei" w:eastAsia="Microsoft JhengHei" w:hint="eastAsia"/>
                <w:b/>
                <w:sz w:val="21"/>
              </w:rPr>
            </w:pPr>
            <w:r>
              <w:rPr>
                <w:rFonts w:ascii="Microsoft JhengHei" w:eastAsia="Microsoft JhengHei" w:hint="eastAsia"/>
                <w:b/>
                <w:sz w:val="21"/>
              </w:rPr>
              <w:t>赎回费率</w:t>
            </w:r>
          </w:p>
        </w:tc>
      </w:tr>
      <w:tr>
        <w:trPr>
          <w:trHeight w:val="408" w:hRule="atLeast"/>
        </w:trPr>
        <w:tc>
          <w:tcPr>
            <w:tcW w:w="3543" w:type="dxa"/>
          </w:tcPr>
          <w:p>
            <w:pPr>
              <w:pStyle w:val="TableParagraph"/>
              <w:ind w:left="1015" w:right="1005"/>
              <w:jc w:val="center"/>
              <w:rPr>
                <w:sz w:val="21"/>
              </w:rPr>
            </w:pPr>
            <w:r>
              <w:rPr>
                <w:sz w:val="21"/>
              </w:rPr>
              <w:t>0-6</w:t>
            </w:r>
          </w:p>
        </w:tc>
        <w:tc>
          <w:tcPr>
            <w:tcW w:w="3585" w:type="dxa"/>
          </w:tcPr>
          <w:p>
            <w:pPr>
              <w:pStyle w:val="TableParagraph"/>
              <w:ind w:left="1352" w:right="1343"/>
              <w:jc w:val="center"/>
              <w:rPr>
                <w:sz w:val="21"/>
              </w:rPr>
            </w:pPr>
            <w:r>
              <w:rPr>
                <w:sz w:val="21"/>
              </w:rPr>
              <w:t>1.5%</w:t>
            </w:r>
          </w:p>
        </w:tc>
      </w:tr>
      <w:tr>
        <w:trPr>
          <w:trHeight w:val="408" w:hRule="atLeast"/>
        </w:trPr>
        <w:tc>
          <w:tcPr>
            <w:tcW w:w="3543" w:type="dxa"/>
          </w:tcPr>
          <w:p>
            <w:pPr>
              <w:pStyle w:val="TableParagraph"/>
              <w:ind w:left="1015" w:right="1005"/>
              <w:jc w:val="center"/>
              <w:rPr>
                <w:sz w:val="21"/>
              </w:rPr>
            </w:pPr>
            <w:r>
              <w:rPr>
                <w:sz w:val="21"/>
              </w:rPr>
              <w:t>7-364</w:t>
            </w:r>
          </w:p>
        </w:tc>
        <w:tc>
          <w:tcPr>
            <w:tcW w:w="3585" w:type="dxa"/>
          </w:tcPr>
          <w:p>
            <w:pPr>
              <w:pStyle w:val="TableParagraph"/>
              <w:ind w:left="1352" w:right="1343"/>
              <w:jc w:val="center"/>
              <w:rPr>
                <w:sz w:val="21"/>
              </w:rPr>
            </w:pPr>
            <w:r>
              <w:rPr>
                <w:sz w:val="21"/>
              </w:rPr>
              <w:t>0.5%</w:t>
            </w:r>
          </w:p>
        </w:tc>
      </w:tr>
      <w:tr>
        <w:trPr>
          <w:trHeight w:val="408" w:hRule="atLeast"/>
        </w:trPr>
        <w:tc>
          <w:tcPr>
            <w:tcW w:w="3543" w:type="dxa"/>
          </w:tcPr>
          <w:p>
            <w:pPr>
              <w:pStyle w:val="TableParagraph"/>
              <w:ind w:left="1015" w:right="1005"/>
              <w:jc w:val="center"/>
              <w:rPr>
                <w:sz w:val="21"/>
              </w:rPr>
            </w:pPr>
            <w:r>
              <w:rPr>
                <w:sz w:val="21"/>
              </w:rPr>
              <w:t>365-729</w:t>
            </w:r>
          </w:p>
        </w:tc>
        <w:tc>
          <w:tcPr>
            <w:tcW w:w="3585" w:type="dxa"/>
          </w:tcPr>
          <w:p>
            <w:pPr>
              <w:pStyle w:val="TableParagraph"/>
              <w:ind w:left="1352" w:right="1343"/>
              <w:jc w:val="center"/>
              <w:rPr>
                <w:sz w:val="21"/>
              </w:rPr>
            </w:pPr>
            <w:r>
              <w:rPr>
                <w:sz w:val="21"/>
              </w:rPr>
              <w:t>0.25%</w:t>
            </w:r>
          </w:p>
        </w:tc>
      </w:tr>
    </w:tbl>
    <w:p>
      <w:pPr>
        <w:spacing w:after="0"/>
        <w:jc w:val="center"/>
        <w:rPr>
          <w:sz w:val="21"/>
        </w:rPr>
        <w:sectPr>
          <w:pgSz w:w="11910" w:h="16840"/>
          <w:pgMar w:header="0" w:footer="638" w:top="1380" w:bottom="900" w:left="960" w:right="980"/>
        </w:sectPr>
      </w:pPr>
    </w:p>
    <w:p>
      <w:pPr>
        <w:pStyle w:val="BodyText"/>
        <w:ind w:left="1419"/>
        <w:rPr>
          <w:sz w:val="20"/>
        </w:rPr>
      </w:pPr>
      <w:r>
        <w:rPr>
          <w:sz w:val="20"/>
        </w:rPr>
        <w:pict>
          <v:group style="width:356.9pt;height:21.45pt;mso-position-horizontal-relative:char;mso-position-vertical-relative:line" coordorigin="0,0" coordsize="7138,429">
            <v:line style="position:absolute" from="3548,10" to="3548,418" stroked="true" strokeweight=".5pt" strokecolor="#000000">
              <v:stroke dashstyle="solid"/>
            </v:line>
            <v:line style="position:absolute" from="7133,10" to="7133,418" stroked="true" strokeweight=".5pt" strokecolor="#000000">
              <v:stroke dashstyle="solid"/>
            </v:line>
            <v:line style="position:absolute" from="0,5" to="7138,5" stroked="true" strokeweight=".5pt" strokecolor="#000000">
              <v:stroke dashstyle="solid"/>
            </v:line>
            <v:line style="position:absolute" from="0,423" to="7138,423" stroked="true" strokeweight=".5pt" strokecolor="#000000">
              <v:stroke dashstyle="solid"/>
            </v:line>
            <v:shape style="position:absolute;left:5235;top:42;width:230;height:210" type="#_x0000_t202" filled="false" stroked="false">
              <v:textbox inset="0,0,0,0">
                <w:txbxContent>
                  <w:p>
                    <w:pPr>
                      <w:spacing w:line="210" w:lineRule="exact" w:before="0"/>
                      <w:ind w:left="0" w:right="0" w:firstLine="0"/>
                      <w:jc w:val="left"/>
                      <w:rPr>
                        <w:sz w:val="21"/>
                      </w:rPr>
                    </w:pPr>
                    <w:r>
                      <w:rPr>
                        <w:sz w:val="21"/>
                      </w:rPr>
                      <w:t>0%</w:t>
                    </w:r>
                  </w:p>
                </w:txbxContent>
              </v:textbox>
              <w10:wrap type="none"/>
            </v:shape>
            <v:shape style="position:absolute;left:5;top:5;width:3543;height:419" type="#_x0000_t202" filled="false" stroked="true" strokeweight=".5pt" strokecolor="#000000">
              <v:textbox inset="0,0,0,0">
                <w:txbxContent>
                  <w:p>
                    <w:pPr>
                      <w:spacing w:before="3"/>
                      <w:ind w:left="1007" w:right="1007" w:firstLine="0"/>
                      <w:jc w:val="center"/>
                      <w:rPr>
                        <w:sz w:val="21"/>
                      </w:rPr>
                    </w:pPr>
                    <w:r>
                      <w:rPr>
                        <w:sz w:val="21"/>
                      </w:rPr>
                      <w:t>730 及以上</w:t>
                    </w:r>
                  </w:p>
                </w:txbxContent>
              </v:textbox>
              <v:stroke dashstyle="solid"/>
              <w10:wrap type="none"/>
            </v:shape>
          </v:group>
        </w:pict>
      </w:r>
      <w:r>
        <w:rPr>
          <w:sz w:val="20"/>
        </w:rPr>
      </w:r>
    </w:p>
    <w:p>
      <w:pPr>
        <w:pStyle w:val="BodyText"/>
        <w:spacing w:line="241" w:lineRule="exact"/>
        <w:ind w:left="1264"/>
      </w:pPr>
      <w:r>
        <w:rPr/>
        <w:t>本基金的申购费由申购人承担，不计入基金财产；本基金的赎回费由赎回人承担，在基</w:t>
      </w:r>
    </w:p>
    <w:p>
      <w:pPr>
        <w:pStyle w:val="BodyText"/>
        <w:spacing w:line="364" w:lineRule="auto" w:before="139"/>
        <w:ind w:left="840" w:right="817"/>
        <w:jc w:val="both"/>
      </w:pPr>
      <w:r>
        <w:rPr>
          <w:spacing w:val="-5"/>
        </w:rPr>
        <w:t>金份额持有人赎回基金份额时收取，对持有期少于 </w:t>
      </w:r>
      <w:r>
        <w:rPr/>
        <w:t>7</w:t>
      </w:r>
      <w:r>
        <w:rPr>
          <w:spacing w:val="-43"/>
        </w:rPr>
        <w:t> 天</w:t>
      </w:r>
      <w:r>
        <w:rPr/>
        <w:t>（不含</w:t>
      </w:r>
      <w:r>
        <w:rPr>
          <w:spacing w:val="-32"/>
        </w:rPr>
        <w:t>）</w:t>
      </w:r>
      <w:r>
        <w:rPr>
          <w:spacing w:val="-2"/>
        </w:rPr>
        <w:t>的基金份额持有人所收取赎</w:t>
      </w:r>
      <w:r>
        <w:rPr>
          <w:spacing w:val="-6"/>
        </w:rPr>
        <w:t>回费全额计入基金财产，对持有期在 </w:t>
      </w:r>
      <w:r>
        <w:rPr/>
        <w:t>7</w:t>
      </w:r>
      <w:r>
        <w:rPr>
          <w:spacing w:val="-22"/>
        </w:rPr>
        <w:t> 天以上</w:t>
      </w:r>
      <w:r>
        <w:rPr/>
        <w:t>（含</w:t>
      </w:r>
      <w:r>
        <w:rPr>
          <w:spacing w:val="-32"/>
        </w:rPr>
        <w:t>）</w:t>
      </w:r>
      <w:r>
        <w:rPr>
          <w:spacing w:val="-1"/>
        </w:rPr>
        <w:t>的基金份额持有人所收取赎回费用总额</w:t>
      </w:r>
      <w:r>
        <w:rPr>
          <w:spacing w:val="-27"/>
        </w:rPr>
        <w:t>的 </w:t>
      </w:r>
      <w:r>
        <w:rPr/>
        <w:t>25%计入基金资产，余额为注册登记费和其他手续费。</w:t>
      </w:r>
    </w:p>
    <w:p>
      <w:pPr>
        <w:pStyle w:val="BodyText"/>
        <w:spacing w:line="364" w:lineRule="auto"/>
        <w:ind w:left="840" w:right="818" w:firstLine="435"/>
        <w:jc w:val="both"/>
      </w:pPr>
      <w:r>
        <w:rPr/>
        <w:t>基金管理人可以在法律法规和本基金合同规定范围内调整申购费率和赎回费率，调整</w:t>
      </w:r>
      <w:r>
        <w:rPr>
          <w:spacing w:val="-6"/>
        </w:rPr>
        <w:t>后的申购费率和赎回费率在《更新的招募说明书》中列示。上述费率如发生变更，基金管理</w:t>
      </w:r>
      <w:r>
        <w:rPr>
          <w:spacing w:val="-4"/>
        </w:rPr>
        <w:t>人还应最迟于新的费率实施前 </w:t>
      </w:r>
      <w:r>
        <w:rPr/>
        <w:t>2</w:t>
      </w:r>
      <w:r>
        <w:rPr>
          <w:spacing w:val="-8"/>
        </w:rPr>
        <w:t> 个工作日在指定媒介上刊登公告。</w:t>
      </w:r>
    </w:p>
    <w:p>
      <w:pPr>
        <w:pStyle w:val="BodyText"/>
        <w:spacing w:line="364" w:lineRule="auto"/>
        <w:ind w:left="840" w:right="817" w:firstLine="435"/>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spacing w:line="358" w:lineRule="exact" w:before="0"/>
        <w:ind w:left="840" w:right="0" w:firstLine="0"/>
        <w:jc w:val="left"/>
        <w:rPr>
          <w:sz w:val="28"/>
        </w:rPr>
      </w:pPr>
      <w:bookmarkStart w:name="_bookmark26" w:id="27"/>
      <w:bookmarkEnd w:id="27"/>
      <w:r>
        <w:rPr/>
      </w:r>
      <w:r>
        <w:rPr>
          <w:sz w:val="28"/>
        </w:rPr>
        <w:t>（八）申购份额、赎回金额的计算方式</w:t>
      </w:r>
    </w:p>
    <w:p>
      <w:pPr>
        <w:pStyle w:val="BodyText"/>
        <w:spacing w:before="182"/>
        <w:ind w:left="1260"/>
      </w:pPr>
      <w:r>
        <w:rPr/>
        <w:t>1、申购份额的计算</w:t>
      </w:r>
    </w:p>
    <w:p>
      <w:pPr>
        <w:pStyle w:val="BodyText"/>
        <w:spacing w:line="364" w:lineRule="auto" w:before="140"/>
        <w:ind w:left="1260" w:right="3665"/>
      </w:pPr>
      <w:r>
        <w:rPr/>
        <w:t>本基金的申购金额包括申购费用和净申购金额，其中： 净申购金额=申购金额/（1+申购费率）</w:t>
      </w:r>
    </w:p>
    <w:p>
      <w:pPr>
        <w:pStyle w:val="BodyText"/>
        <w:spacing w:line="268" w:lineRule="exact"/>
        <w:ind w:left="1260"/>
      </w:pPr>
      <w:r>
        <w:rPr/>
        <w:t>申购费用=申购金额-净申购金额</w:t>
      </w:r>
    </w:p>
    <w:p>
      <w:pPr>
        <w:pStyle w:val="BodyText"/>
        <w:spacing w:before="139"/>
        <w:ind w:left="1260"/>
      </w:pPr>
      <w:r>
        <w:rPr/>
        <w:t>申购份额=净申购金额/申购当日基金份额净值</w:t>
      </w:r>
    </w:p>
    <w:p>
      <w:pPr>
        <w:pStyle w:val="BodyText"/>
        <w:spacing w:line="364" w:lineRule="auto" w:before="139"/>
        <w:ind w:left="1260" w:right="1190" w:firstLine="60"/>
      </w:pPr>
      <w:r>
        <w:rPr>
          <w:spacing w:val="-18"/>
        </w:rPr>
        <w:t>对于 </w:t>
      </w:r>
      <w:r>
        <w:rPr/>
        <w:t>1000</w:t>
      </w:r>
      <w:r>
        <w:rPr>
          <w:spacing w:val="-18"/>
        </w:rPr>
        <w:t> 万元</w:t>
      </w:r>
      <w:r>
        <w:rPr/>
        <w:t>（含）</w:t>
      </w:r>
      <w:r>
        <w:rPr>
          <w:spacing w:val="-1"/>
        </w:rPr>
        <w:t>以上的申购，净申购金额=申购金额-绝对数额的申购费金额</w:t>
      </w:r>
      <w:r>
        <w:rPr/>
        <w:t>举例说明：</w:t>
      </w:r>
    </w:p>
    <w:p>
      <w:pPr>
        <w:pStyle w:val="BodyText"/>
        <w:spacing w:line="268" w:lineRule="exact"/>
        <w:ind w:left="1260"/>
      </w:pPr>
      <w:r>
        <w:rPr/>
        <w:t>例：某投资者（非特定投资群体）申购本基金：</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3"/>
        <w:gridCol w:w="1207"/>
        <w:gridCol w:w="1515"/>
        <w:gridCol w:w="1157"/>
        <w:gridCol w:w="1598"/>
        <w:gridCol w:w="1689"/>
      </w:tblGrid>
      <w:tr>
        <w:trPr>
          <w:trHeight w:val="408" w:hRule="atLeast"/>
        </w:trPr>
        <w:tc>
          <w:tcPr>
            <w:tcW w:w="1583" w:type="dxa"/>
          </w:tcPr>
          <w:p>
            <w:pPr>
              <w:pStyle w:val="TableParagraph"/>
              <w:ind w:right="149"/>
              <w:jc w:val="right"/>
              <w:rPr>
                <w:sz w:val="21"/>
              </w:rPr>
            </w:pPr>
            <w:r>
              <w:rPr>
                <w:sz w:val="21"/>
              </w:rPr>
              <w:t>申购金额</w:t>
            </w:r>
          </w:p>
        </w:tc>
        <w:tc>
          <w:tcPr>
            <w:tcW w:w="1207" w:type="dxa"/>
          </w:tcPr>
          <w:p>
            <w:pPr>
              <w:pStyle w:val="TableParagraph"/>
              <w:ind w:left="183"/>
              <w:rPr>
                <w:sz w:val="21"/>
              </w:rPr>
            </w:pPr>
            <w:r>
              <w:rPr>
                <w:sz w:val="21"/>
              </w:rPr>
              <w:t>申购费率</w:t>
            </w:r>
          </w:p>
        </w:tc>
        <w:tc>
          <w:tcPr>
            <w:tcW w:w="1515" w:type="dxa"/>
          </w:tcPr>
          <w:p>
            <w:pPr>
              <w:pStyle w:val="TableParagraph"/>
              <w:ind w:left="108"/>
              <w:rPr>
                <w:sz w:val="21"/>
              </w:rPr>
            </w:pPr>
            <w:r>
              <w:rPr>
                <w:sz w:val="21"/>
              </w:rPr>
              <w:t>净申购金额</w:t>
            </w:r>
          </w:p>
        </w:tc>
        <w:tc>
          <w:tcPr>
            <w:tcW w:w="1157" w:type="dxa"/>
          </w:tcPr>
          <w:p>
            <w:pPr>
              <w:pStyle w:val="TableParagraph"/>
              <w:ind w:left="108"/>
              <w:rPr>
                <w:sz w:val="21"/>
              </w:rPr>
            </w:pPr>
            <w:r>
              <w:rPr>
                <w:sz w:val="21"/>
              </w:rPr>
              <w:t>申购费</w:t>
            </w:r>
          </w:p>
        </w:tc>
        <w:tc>
          <w:tcPr>
            <w:tcW w:w="1598" w:type="dxa"/>
          </w:tcPr>
          <w:p>
            <w:pPr>
              <w:pStyle w:val="TableParagraph"/>
              <w:ind w:right="158"/>
              <w:jc w:val="right"/>
              <w:rPr>
                <w:sz w:val="21"/>
              </w:rPr>
            </w:pPr>
            <w:r>
              <w:rPr>
                <w:sz w:val="21"/>
              </w:rPr>
              <w:t>基金份额净值</w:t>
            </w:r>
          </w:p>
        </w:tc>
        <w:tc>
          <w:tcPr>
            <w:tcW w:w="1689" w:type="dxa"/>
          </w:tcPr>
          <w:p>
            <w:pPr>
              <w:pStyle w:val="TableParagraph"/>
              <w:ind w:left="141" w:right="131"/>
              <w:jc w:val="center"/>
              <w:rPr>
                <w:sz w:val="21"/>
              </w:rPr>
            </w:pPr>
            <w:r>
              <w:rPr>
                <w:sz w:val="21"/>
              </w:rPr>
              <w:t>申购份数</w:t>
            </w:r>
          </w:p>
        </w:tc>
      </w:tr>
      <w:tr>
        <w:trPr>
          <w:trHeight w:val="408" w:hRule="atLeast"/>
        </w:trPr>
        <w:tc>
          <w:tcPr>
            <w:tcW w:w="1583" w:type="dxa"/>
          </w:tcPr>
          <w:p>
            <w:pPr>
              <w:pStyle w:val="TableParagraph"/>
              <w:ind w:left="345"/>
              <w:rPr>
                <w:sz w:val="21"/>
              </w:rPr>
            </w:pPr>
            <w:r>
              <w:rPr>
                <w:sz w:val="21"/>
              </w:rPr>
              <w:t>10,000 元</w:t>
            </w:r>
          </w:p>
        </w:tc>
        <w:tc>
          <w:tcPr>
            <w:tcW w:w="1207" w:type="dxa"/>
          </w:tcPr>
          <w:p>
            <w:pPr>
              <w:pStyle w:val="TableParagraph"/>
              <w:ind w:left="412"/>
              <w:rPr>
                <w:sz w:val="21"/>
              </w:rPr>
            </w:pPr>
            <w:r>
              <w:rPr>
                <w:sz w:val="21"/>
              </w:rPr>
              <w:t>1.5%</w:t>
            </w:r>
          </w:p>
        </w:tc>
        <w:tc>
          <w:tcPr>
            <w:tcW w:w="1515" w:type="dxa"/>
          </w:tcPr>
          <w:p>
            <w:pPr>
              <w:pStyle w:val="TableParagraph"/>
              <w:ind w:left="307"/>
              <w:rPr>
                <w:sz w:val="21"/>
              </w:rPr>
            </w:pPr>
            <w:r>
              <w:rPr>
                <w:sz w:val="21"/>
              </w:rPr>
              <w:t>9,852.22 元</w:t>
            </w:r>
          </w:p>
        </w:tc>
        <w:tc>
          <w:tcPr>
            <w:tcW w:w="1157" w:type="dxa"/>
          </w:tcPr>
          <w:p>
            <w:pPr>
              <w:pStyle w:val="TableParagraph"/>
              <w:ind w:left="132"/>
              <w:rPr>
                <w:sz w:val="21"/>
              </w:rPr>
            </w:pPr>
            <w:r>
              <w:rPr>
                <w:sz w:val="21"/>
              </w:rPr>
              <w:t>147.78 元</w:t>
            </w:r>
          </w:p>
        </w:tc>
        <w:tc>
          <w:tcPr>
            <w:tcW w:w="1598" w:type="dxa"/>
          </w:tcPr>
          <w:p>
            <w:pPr>
              <w:pStyle w:val="TableParagraph"/>
              <w:ind w:right="130"/>
              <w:jc w:val="right"/>
              <w:rPr>
                <w:sz w:val="21"/>
              </w:rPr>
            </w:pPr>
            <w:r>
              <w:rPr>
                <w:sz w:val="21"/>
              </w:rPr>
              <w:t>1.0000 元</w:t>
            </w:r>
          </w:p>
        </w:tc>
        <w:tc>
          <w:tcPr>
            <w:tcW w:w="1689" w:type="dxa"/>
          </w:tcPr>
          <w:p>
            <w:pPr>
              <w:pStyle w:val="TableParagraph"/>
              <w:ind w:left="141" w:right="132"/>
              <w:jc w:val="center"/>
              <w:rPr>
                <w:sz w:val="21"/>
              </w:rPr>
            </w:pPr>
            <w:r>
              <w:rPr>
                <w:sz w:val="21"/>
              </w:rPr>
              <w:t>9,852.22 份</w:t>
            </w:r>
          </w:p>
        </w:tc>
      </w:tr>
      <w:tr>
        <w:trPr>
          <w:trHeight w:val="408" w:hRule="atLeast"/>
        </w:trPr>
        <w:tc>
          <w:tcPr>
            <w:tcW w:w="1583" w:type="dxa"/>
          </w:tcPr>
          <w:p>
            <w:pPr>
              <w:pStyle w:val="TableParagraph"/>
              <w:ind w:right="123"/>
              <w:jc w:val="right"/>
              <w:rPr>
                <w:sz w:val="21"/>
              </w:rPr>
            </w:pPr>
            <w:r>
              <w:rPr>
                <w:sz w:val="21"/>
              </w:rPr>
              <w:t>18,000,000 元</w:t>
            </w:r>
          </w:p>
        </w:tc>
        <w:tc>
          <w:tcPr>
            <w:tcW w:w="1207" w:type="dxa"/>
          </w:tcPr>
          <w:p>
            <w:pPr>
              <w:pStyle w:val="TableParagraph"/>
              <w:ind w:left="108"/>
              <w:rPr>
                <w:sz w:val="21"/>
              </w:rPr>
            </w:pPr>
            <w:r>
              <w:rPr>
                <w:sz w:val="21"/>
              </w:rPr>
              <w:t>固定费用</w:t>
            </w:r>
          </w:p>
        </w:tc>
        <w:tc>
          <w:tcPr>
            <w:tcW w:w="1515" w:type="dxa"/>
          </w:tcPr>
          <w:p>
            <w:pPr>
              <w:pStyle w:val="TableParagraph"/>
              <w:ind w:left="108"/>
              <w:rPr>
                <w:sz w:val="21"/>
              </w:rPr>
            </w:pPr>
            <w:r>
              <w:rPr>
                <w:sz w:val="21"/>
              </w:rPr>
              <w:t>17,999,000 元</w:t>
            </w:r>
          </w:p>
        </w:tc>
        <w:tc>
          <w:tcPr>
            <w:tcW w:w="1157" w:type="dxa"/>
          </w:tcPr>
          <w:p>
            <w:pPr>
              <w:pStyle w:val="TableParagraph"/>
              <w:ind w:left="237"/>
              <w:rPr>
                <w:sz w:val="21"/>
              </w:rPr>
            </w:pPr>
            <w:r>
              <w:rPr>
                <w:sz w:val="21"/>
              </w:rPr>
              <w:t>1000 元</w:t>
            </w:r>
          </w:p>
        </w:tc>
        <w:tc>
          <w:tcPr>
            <w:tcW w:w="1598" w:type="dxa"/>
          </w:tcPr>
          <w:p>
            <w:pPr>
              <w:pStyle w:val="TableParagraph"/>
              <w:ind w:right="130"/>
              <w:jc w:val="right"/>
              <w:rPr>
                <w:sz w:val="21"/>
              </w:rPr>
            </w:pPr>
            <w:r>
              <w:rPr>
                <w:sz w:val="21"/>
              </w:rPr>
              <w:t>1.0000 元</w:t>
            </w:r>
          </w:p>
        </w:tc>
        <w:tc>
          <w:tcPr>
            <w:tcW w:w="1689" w:type="dxa"/>
          </w:tcPr>
          <w:p>
            <w:pPr>
              <w:pStyle w:val="TableParagraph"/>
              <w:ind w:left="141" w:right="132"/>
              <w:jc w:val="center"/>
              <w:rPr>
                <w:sz w:val="21"/>
              </w:rPr>
            </w:pPr>
            <w:r>
              <w:rPr>
                <w:sz w:val="21"/>
              </w:rPr>
              <w:t>17,999,000 份</w:t>
            </w:r>
          </w:p>
        </w:tc>
      </w:tr>
    </w:tbl>
    <w:p>
      <w:pPr>
        <w:pStyle w:val="BodyText"/>
        <w:spacing w:before="3"/>
        <w:ind w:left="1260"/>
      </w:pPr>
      <w:r>
        <w:rPr/>
        <w:t>例：某投资者（特定投资群体）通过基金管理人的直销中心申购本基金：</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3"/>
        <w:gridCol w:w="1207"/>
        <w:gridCol w:w="1515"/>
        <w:gridCol w:w="1157"/>
        <w:gridCol w:w="1598"/>
        <w:gridCol w:w="1689"/>
      </w:tblGrid>
      <w:tr>
        <w:trPr>
          <w:trHeight w:val="408" w:hRule="atLeast"/>
        </w:trPr>
        <w:tc>
          <w:tcPr>
            <w:tcW w:w="1583" w:type="dxa"/>
          </w:tcPr>
          <w:p>
            <w:pPr>
              <w:pStyle w:val="TableParagraph"/>
              <w:ind w:right="149"/>
              <w:jc w:val="right"/>
              <w:rPr>
                <w:sz w:val="21"/>
              </w:rPr>
            </w:pPr>
            <w:r>
              <w:rPr>
                <w:sz w:val="21"/>
              </w:rPr>
              <w:t>申购金额</w:t>
            </w:r>
          </w:p>
        </w:tc>
        <w:tc>
          <w:tcPr>
            <w:tcW w:w="1207" w:type="dxa"/>
          </w:tcPr>
          <w:p>
            <w:pPr>
              <w:pStyle w:val="TableParagraph"/>
              <w:ind w:left="183"/>
              <w:rPr>
                <w:sz w:val="21"/>
              </w:rPr>
            </w:pPr>
            <w:r>
              <w:rPr>
                <w:sz w:val="21"/>
              </w:rPr>
              <w:t>申购费率</w:t>
            </w:r>
          </w:p>
        </w:tc>
        <w:tc>
          <w:tcPr>
            <w:tcW w:w="1515" w:type="dxa"/>
          </w:tcPr>
          <w:p>
            <w:pPr>
              <w:pStyle w:val="TableParagraph"/>
              <w:ind w:left="108"/>
              <w:rPr>
                <w:sz w:val="21"/>
              </w:rPr>
            </w:pPr>
            <w:r>
              <w:rPr>
                <w:sz w:val="21"/>
              </w:rPr>
              <w:t>净申购金额</w:t>
            </w:r>
          </w:p>
        </w:tc>
        <w:tc>
          <w:tcPr>
            <w:tcW w:w="1157" w:type="dxa"/>
          </w:tcPr>
          <w:p>
            <w:pPr>
              <w:pStyle w:val="TableParagraph"/>
              <w:ind w:left="108"/>
              <w:rPr>
                <w:sz w:val="21"/>
              </w:rPr>
            </w:pPr>
            <w:r>
              <w:rPr>
                <w:sz w:val="21"/>
              </w:rPr>
              <w:t>申购费</w:t>
            </w:r>
          </w:p>
        </w:tc>
        <w:tc>
          <w:tcPr>
            <w:tcW w:w="1598" w:type="dxa"/>
          </w:tcPr>
          <w:p>
            <w:pPr>
              <w:pStyle w:val="TableParagraph"/>
              <w:ind w:right="158"/>
              <w:jc w:val="right"/>
              <w:rPr>
                <w:sz w:val="21"/>
              </w:rPr>
            </w:pPr>
            <w:r>
              <w:rPr>
                <w:sz w:val="21"/>
              </w:rPr>
              <w:t>基金份额净值</w:t>
            </w:r>
          </w:p>
        </w:tc>
        <w:tc>
          <w:tcPr>
            <w:tcW w:w="1689" w:type="dxa"/>
          </w:tcPr>
          <w:p>
            <w:pPr>
              <w:pStyle w:val="TableParagraph"/>
              <w:ind w:left="141" w:right="131"/>
              <w:jc w:val="center"/>
              <w:rPr>
                <w:sz w:val="21"/>
              </w:rPr>
            </w:pPr>
            <w:r>
              <w:rPr>
                <w:sz w:val="21"/>
              </w:rPr>
              <w:t>申购份数</w:t>
            </w:r>
          </w:p>
        </w:tc>
      </w:tr>
      <w:tr>
        <w:trPr>
          <w:trHeight w:val="408" w:hRule="atLeast"/>
        </w:trPr>
        <w:tc>
          <w:tcPr>
            <w:tcW w:w="1583" w:type="dxa"/>
          </w:tcPr>
          <w:p>
            <w:pPr>
              <w:pStyle w:val="TableParagraph"/>
              <w:ind w:left="345"/>
              <w:rPr>
                <w:sz w:val="21"/>
              </w:rPr>
            </w:pPr>
            <w:r>
              <w:rPr>
                <w:sz w:val="21"/>
              </w:rPr>
              <w:t>50,000 元</w:t>
            </w:r>
          </w:p>
        </w:tc>
        <w:tc>
          <w:tcPr>
            <w:tcW w:w="1207" w:type="dxa"/>
          </w:tcPr>
          <w:p>
            <w:pPr>
              <w:pStyle w:val="TableParagraph"/>
              <w:ind w:left="359"/>
              <w:rPr>
                <w:sz w:val="21"/>
              </w:rPr>
            </w:pPr>
            <w:r>
              <w:rPr>
                <w:sz w:val="21"/>
              </w:rPr>
              <w:t>0.15%</w:t>
            </w:r>
          </w:p>
        </w:tc>
        <w:tc>
          <w:tcPr>
            <w:tcW w:w="1515" w:type="dxa"/>
          </w:tcPr>
          <w:p>
            <w:pPr>
              <w:pStyle w:val="TableParagraph"/>
              <w:ind w:left="108"/>
              <w:rPr>
                <w:sz w:val="21"/>
              </w:rPr>
            </w:pPr>
            <w:r>
              <w:rPr>
                <w:sz w:val="21"/>
              </w:rPr>
              <w:t>49,925.11 元</w:t>
            </w:r>
          </w:p>
        </w:tc>
        <w:tc>
          <w:tcPr>
            <w:tcW w:w="1157" w:type="dxa"/>
          </w:tcPr>
          <w:p>
            <w:pPr>
              <w:pStyle w:val="TableParagraph"/>
              <w:ind w:left="184"/>
              <w:rPr>
                <w:sz w:val="21"/>
              </w:rPr>
            </w:pPr>
            <w:r>
              <w:rPr>
                <w:sz w:val="21"/>
              </w:rPr>
              <w:t>74.89 元</w:t>
            </w:r>
          </w:p>
        </w:tc>
        <w:tc>
          <w:tcPr>
            <w:tcW w:w="1598" w:type="dxa"/>
          </w:tcPr>
          <w:p>
            <w:pPr>
              <w:pStyle w:val="TableParagraph"/>
              <w:ind w:right="130"/>
              <w:jc w:val="right"/>
              <w:rPr>
                <w:sz w:val="21"/>
              </w:rPr>
            </w:pPr>
            <w:r>
              <w:rPr>
                <w:sz w:val="21"/>
              </w:rPr>
              <w:t>1.0000 元</w:t>
            </w:r>
          </w:p>
        </w:tc>
        <w:tc>
          <w:tcPr>
            <w:tcW w:w="1689" w:type="dxa"/>
          </w:tcPr>
          <w:p>
            <w:pPr>
              <w:pStyle w:val="TableParagraph"/>
              <w:ind w:left="141" w:right="132"/>
              <w:jc w:val="center"/>
              <w:rPr>
                <w:sz w:val="21"/>
              </w:rPr>
            </w:pPr>
            <w:r>
              <w:rPr>
                <w:sz w:val="21"/>
              </w:rPr>
              <w:t>49,925.11 份</w:t>
            </w:r>
          </w:p>
        </w:tc>
      </w:tr>
      <w:tr>
        <w:trPr>
          <w:trHeight w:val="408" w:hRule="atLeast"/>
        </w:trPr>
        <w:tc>
          <w:tcPr>
            <w:tcW w:w="1583" w:type="dxa"/>
          </w:tcPr>
          <w:p>
            <w:pPr>
              <w:pStyle w:val="TableParagraph"/>
              <w:ind w:right="123"/>
              <w:jc w:val="right"/>
              <w:rPr>
                <w:sz w:val="21"/>
              </w:rPr>
            </w:pPr>
            <w:r>
              <w:rPr>
                <w:sz w:val="21"/>
              </w:rPr>
              <w:t>18,000,000 元</w:t>
            </w:r>
          </w:p>
        </w:tc>
        <w:tc>
          <w:tcPr>
            <w:tcW w:w="1207" w:type="dxa"/>
          </w:tcPr>
          <w:p>
            <w:pPr>
              <w:pStyle w:val="TableParagraph"/>
              <w:ind w:left="108"/>
              <w:rPr>
                <w:sz w:val="21"/>
              </w:rPr>
            </w:pPr>
            <w:r>
              <w:rPr>
                <w:sz w:val="21"/>
              </w:rPr>
              <w:t>固定费用</w:t>
            </w:r>
          </w:p>
        </w:tc>
        <w:tc>
          <w:tcPr>
            <w:tcW w:w="1515" w:type="dxa"/>
          </w:tcPr>
          <w:p>
            <w:pPr>
              <w:pStyle w:val="TableParagraph"/>
              <w:ind w:left="108"/>
              <w:rPr>
                <w:sz w:val="21"/>
              </w:rPr>
            </w:pPr>
            <w:r>
              <w:rPr>
                <w:sz w:val="21"/>
              </w:rPr>
              <w:t>17,999,000 元</w:t>
            </w:r>
          </w:p>
        </w:tc>
        <w:tc>
          <w:tcPr>
            <w:tcW w:w="1157" w:type="dxa"/>
          </w:tcPr>
          <w:p>
            <w:pPr>
              <w:pStyle w:val="TableParagraph"/>
              <w:ind w:left="237"/>
              <w:rPr>
                <w:sz w:val="21"/>
              </w:rPr>
            </w:pPr>
            <w:r>
              <w:rPr>
                <w:sz w:val="21"/>
              </w:rPr>
              <w:t>1000 元</w:t>
            </w:r>
          </w:p>
        </w:tc>
        <w:tc>
          <w:tcPr>
            <w:tcW w:w="1598" w:type="dxa"/>
          </w:tcPr>
          <w:p>
            <w:pPr>
              <w:pStyle w:val="TableParagraph"/>
              <w:ind w:right="130"/>
              <w:jc w:val="right"/>
              <w:rPr>
                <w:sz w:val="21"/>
              </w:rPr>
            </w:pPr>
            <w:r>
              <w:rPr>
                <w:sz w:val="21"/>
              </w:rPr>
              <w:t>1.0000 元</w:t>
            </w:r>
          </w:p>
        </w:tc>
        <w:tc>
          <w:tcPr>
            <w:tcW w:w="1689" w:type="dxa"/>
          </w:tcPr>
          <w:p>
            <w:pPr>
              <w:pStyle w:val="TableParagraph"/>
              <w:ind w:left="141" w:right="132"/>
              <w:jc w:val="center"/>
              <w:rPr>
                <w:sz w:val="21"/>
              </w:rPr>
            </w:pPr>
            <w:r>
              <w:rPr>
                <w:sz w:val="21"/>
              </w:rPr>
              <w:t>17,999,000 份</w:t>
            </w:r>
          </w:p>
        </w:tc>
      </w:tr>
    </w:tbl>
    <w:p>
      <w:pPr>
        <w:pStyle w:val="BodyText"/>
        <w:spacing w:line="364" w:lineRule="auto" w:before="3"/>
        <w:ind w:left="840" w:right="712" w:firstLine="420"/>
      </w:pPr>
      <w:r>
        <w:rPr>
          <w:spacing w:val="-4"/>
        </w:rPr>
        <w:t>申购费以人民币元为单位，四舍五入，保留至小数点后二位；申购份数按照四舍五入方</w:t>
      </w:r>
      <w:r>
        <w:rPr>
          <w:spacing w:val="-15"/>
        </w:rPr>
        <w:t>法，保留小数点后两位，由此误差产生的损失由基金财产承担，产生的收益归基金财产所有。</w:t>
      </w:r>
    </w:p>
    <w:p>
      <w:pPr>
        <w:pStyle w:val="BodyText"/>
        <w:spacing w:line="268" w:lineRule="exact"/>
        <w:ind w:left="1260"/>
      </w:pPr>
      <w:r>
        <w:rPr/>
        <w:t>2、赎回金额的计算</w:t>
      </w:r>
    </w:p>
    <w:p>
      <w:pPr>
        <w:pStyle w:val="BodyText"/>
        <w:spacing w:line="362" w:lineRule="auto" w:before="139"/>
        <w:ind w:left="1260" w:right="3875"/>
      </w:pPr>
      <w:r>
        <w:rPr/>
        <w:t>本基金的赎回金额为赎回总额扣减赎回费用，其中： 赎回总额=赎回数量</w:t>
      </w:r>
      <w:r>
        <w:rPr>
          <w:rFonts w:ascii="Symbol" w:hAnsi="Symbol" w:eastAsia="Symbol"/>
        </w:rPr>
        <w:t></w:t>
      </w:r>
      <w:r>
        <w:rPr/>
        <w:t>T日基金份额净值</w:t>
      </w:r>
    </w:p>
    <w:p>
      <w:pPr>
        <w:spacing w:after="0" w:line="362" w:lineRule="auto"/>
        <w:sectPr>
          <w:pgSz w:w="11910" w:h="16840"/>
          <w:pgMar w:header="0" w:footer="638" w:top="1420" w:bottom="900" w:left="960" w:right="980"/>
        </w:sectPr>
      </w:pPr>
    </w:p>
    <w:p>
      <w:pPr>
        <w:pStyle w:val="BodyText"/>
        <w:spacing w:line="362" w:lineRule="auto" w:before="84" w:after="2"/>
        <w:ind w:left="1260" w:right="5963"/>
        <w:jc w:val="both"/>
      </w:pPr>
      <w:r>
        <w:rPr/>
        <w:t>赎回费用=赎回总额</w:t>
      </w:r>
      <w:r>
        <w:rPr>
          <w:rFonts w:ascii="Symbol" w:hAnsi="Symbol" w:eastAsia="Symbol"/>
        </w:rPr>
        <w:t></w:t>
      </w:r>
      <w:r>
        <w:rPr/>
        <w:t>赎回费率赎回金额=赎回总额</w:t>
      </w:r>
      <w:r>
        <w:rPr>
          <w:rFonts w:ascii="Symbol" w:hAnsi="Symbol" w:eastAsia="Symbol"/>
        </w:rPr>
        <w:t></w:t>
      </w:r>
      <w:r>
        <w:rPr/>
        <w:t>赎回费用举例说明：</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08" w:hRule="atLeast"/>
        </w:trPr>
        <w:tc>
          <w:tcPr>
            <w:tcW w:w="1243" w:type="dxa"/>
          </w:tcPr>
          <w:p>
            <w:pPr>
              <w:pStyle w:val="TableParagraph"/>
              <w:ind w:left="181" w:right="171"/>
              <w:jc w:val="center"/>
              <w:rPr>
                <w:sz w:val="21"/>
              </w:rPr>
            </w:pPr>
            <w:r>
              <w:rPr>
                <w:sz w:val="21"/>
              </w:rPr>
              <w:t>赎回份额</w:t>
            </w:r>
          </w:p>
        </w:tc>
        <w:tc>
          <w:tcPr>
            <w:tcW w:w="1650" w:type="dxa"/>
          </w:tcPr>
          <w:p>
            <w:pPr>
              <w:pStyle w:val="TableParagraph"/>
              <w:ind w:right="184"/>
              <w:jc w:val="right"/>
              <w:rPr>
                <w:sz w:val="21"/>
              </w:rPr>
            </w:pPr>
            <w:r>
              <w:rPr>
                <w:sz w:val="21"/>
              </w:rPr>
              <w:t>基金份额净值</w:t>
            </w:r>
          </w:p>
        </w:tc>
        <w:tc>
          <w:tcPr>
            <w:tcW w:w="1436" w:type="dxa"/>
          </w:tcPr>
          <w:p>
            <w:pPr>
              <w:pStyle w:val="TableParagraph"/>
              <w:ind w:left="297"/>
              <w:rPr>
                <w:sz w:val="21"/>
              </w:rPr>
            </w:pPr>
            <w:r>
              <w:rPr>
                <w:sz w:val="21"/>
              </w:rPr>
              <w:t>持有时间</w:t>
            </w:r>
          </w:p>
        </w:tc>
        <w:tc>
          <w:tcPr>
            <w:tcW w:w="1437" w:type="dxa"/>
          </w:tcPr>
          <w:p>
            <w:pPr>
              <w:pStyle w:val="TableParagraph"/>
              <w:ind w:left="298"/>
              <w:rPr>
                <w:sz w:val="21"/>
              </w:rPr>
            </w:pPr>
            <w:r>
              <w:rPr>
                <w:sz w:val="21"/>
              </w:rPr>
              <w:t>赎回费率</w:t>
            </w:r>
          </w:p>
        </w:tc>
        <w:tc>
          <w:tcPr>
            <w:tcW w:w="1409" w:type="dxa"/>
          </w:tcPr>
          <w:p>
            <w:pPr>
              <w:pStyle w:val="TableParagraph"/>
              <w:ind w:left="384"/>
              <w:rPr>
                <w:sz w:val="21"/>
              </w:rPr>
            </w:pPr>
            <w:r>
              <w:rPr>
                <w:sz w:val="21"/>
              </w:rPr>
              <w:t>赎回费用</w:t>
            </w:r>
          </w:p>
        </w:tc>
        <w:tc>
          <w:tcPr>
            <w:tcW w:w="1457" w:type="dxa"/>
          </w:tcPr>
          <w:p>
            <w:pPr>
              <w:pStyle w:val="TableParagraph"/>
              <w:ind w:left="308"/>
              <w:rPr>
                <w:sz w:val="21"/>
              </w:rPr>
            </w:pPr>
            <w:r>
              <w:rPr>
                <w:sz w:val="21"/>
              </w:rPr>
              <w:t>赎回金额</w:t>
            </w:r>
          </w:p>
        </w:tc>
      </w:tr>
      <w:tr>
        <w:trPr>
          <w:trHeight w:val="408" w:hRule="atLeast"/>
        </w:trPr>
        <w:tc>
          <w:tcPr>
            <w:tcW w:w="1243" w:type="dxa"/>
          </w:tcPr>
          <w:p>
            <w:pPr>
              <w:pStyle w:val="TableParagraph"/>
              <w:ind w:left="181" w:right="171"/>
              <w:jc w:val="center"/>
              <w:rPr>
                <w:sz w:val="21"/>
              </w:rPr>
            </w:pPr>
            <w:r>
              <w:rPr>
                <w:sz w:val="21"/>
              </w:rPr>
              <w:t>10,000</w:t>
            </w:r>
          </w:p>
        </w:tc>
        <w:tc>
          <w:tcPr>
            <w:tcW w:w="1650" w:type="dxa"/>
          </w:tcPr>
          <w:p>
            <w:pPr>
              <w:pStyle w:val="TableParagraph"/>
              <w:ind w:right="156"/>
              <w:jc w:val="right"/>
              <w:rPr>
                <w:sz w:val="21"/>
              </w:rPr>
            </w:pPr>
            <w:r>
              <w:rPr>
                <w:sz w:val="21"/>
              </w:rPr>
              <w:t>1.0000 元</w:t>
            </w:r>
          </w:p>
        </w:tc>
        <w:tc>
          <w:tcPr>
            <w:tcW w:w="1436" w:type="dxa"/>
          </w:tcPr>
          <w:p>
            <w:pPr>
              <w:pStyle w:val="TableParagraph"/>
              <w:ind w:left="744"/>
              <w:rPr>
                <w:sz w:val="21"/>
              </w:rPr>
            </w:pPr>
            <w:r>
              <w:rPr>
                <w:sz w:val="21"/>
              </w:rPr>
              <w:t>6 天</w:t>
            </w:r>
          </w:p>
        </w:tc>
        <w:tc>
          <w:tcPr>
            <w:tcW w:w="1437" w:type="dxa"/>
          </w:tcPr>
          <w:p>
            <w:pPr>
              <w:pStyle w:val="TableParagraph"/>
              <w:ind w:right="286"/>
              <w:jc w:val="right"/>
              <w:rPr>
                <w:sz w:val="21"/>
              </w:rPr>
            </w:pPr>
            <w:r>
              <w:rPr>
                <w:sz w:val="21"/>
              </w:rPr>
              <w:t>1.5%</w:t>
            </w:r>
          </w:p>
        </w:tc>
        <w:tc>
          <w:tcPr>
            <w:tcW w:w="1409" w:type="dxa"/>
          </w:tcPr>
          <w:p>
            <w:pPr>
              <w:pStyle w:val="TableParagraph"/>
              <w:ind w:left="515"/>
              <w:rPr>
                <w:sz w:val="21"/>
              </w:rPr>
            </w:pPr>
            <w:r>
              <w:rPr>
                <w:sz w:val="21"/>
              </w:rPr>
              <w:t>150 元</w:t>
            </w:r>
          </w:p>
        </w:tc>
        <w:tc>
          <w:tcPr>
            <w:tcW w:w="1457" w:type="dxa"/>
          </w:tcPr>
          <w:p>
            <w:pPr>
              <w:pStyle w:val="TableParagraph"/>
              <w:ind w:right="224"/>
              <w:jc w:val="right"/>
              <w:rPr>
                <w:sz w:val="21"/>
              </w:rPr>
            </w:pPr>
            <w:r>
              <w:rPr>
                <w:sz w:val="21"/>
              </w:rPr>
              <w:t>9,850 元</w:t>
            </w:r>
          </w:p>
        </w:tc>
      </w:tr>
      <w:tr>
        <w:trPr>
          <w:trHeight w:val="408" w:hRule="atLeast"/>
        </w:trPr>
        <w:tc>
          <w:tcPr>
            <w:tcW w:w="1243" w:type="dxa"/>
          </w:tcPr>
          <w:p>
            <w:pPr>
              <w:pStyle w:val="TableParagraph"/>
              <w:ind w:left="181" w:right="171"/>
              <w:jc w:val="center"/>
              <w:rPr>
                <w:sz w:val="21"/>
              </w:rPr>
            </w:pPr>
            <w:r>
              <w:rPr>
                <w:sz w:val="21"/>
              </w:rPr>
              <w:t>10,000</w:t>
            </w:r>
          </w:p>
        </w:tc>
        <w:tc>
          <w:tcPr>
            <w:tcW w:w="1650" w:type="dxa"/>
          </w:tcPr>
          <w:p>
            <w:pPr>
              <w:pStyle w:val="TableParagraph"/>
              <w:ind w:right="156"/>
              <w:jc w:val="right"/>
              <w:rPr>
                <w:sz w:val="21"/>
              </w:rPr>
            </w:pPr>
            <w:r>
              <w:rPr>
                <w:sz w:val="21"/>
              </w:rPr>
              <w:t>1.0000 元</w:t>
            </w:r>
          </w:p>
        </w:tc>
        <w:tc>
          <w:tcPr>
            <w:tcW w:w="1436" w:type="dxa"/>
          </w:tcPr>
          <w:p>
            <w:pPr>
              <w:pStyle w:val="TableParagraph"/>
              <w:ind w:right="207"/>
              <w:jc w:val="right"/>
              <w:rPr>
                <w:sz w:val="21"/>
              </w:rPr>
            </w:pPr>
            <w:r>
              <w:rPr>
                <w:sz w:val="21"/>
              </w:rPr>
              <w:t>100 天</w:t>
            </w:r>
          </w:p>
        </w:tc>
        <w:tc>
          <w:tcPr>
            <w:tcW w:w="1437" w:type="dxa"/>
          </w:tcPr>
          <w:p>
            <w:pPr>
              <w:pStyle w:val="TableParagraph"/>
              <w:ind w:right="286"/>
              <w:jc w:val="right"/>
              <w:rPr>
                <w:sz w:val="21"/>
              </w:rPr>
            </w:pPr>
            <w:r>
              <w:rPr>
                <w:sz w:val="21"/>
              </w:rPr>
              <w:t>0.5%</w:t>
            </w:r>
          </w:p>
        </w:tc>
        <w:tc>
          <w:tcPr>
            <w:tcW w:w="1409" w:type="dxa"/>
          </w:tcPr>
          <w:p>
            <w:pPr>
              <w:pStyle w:val="TableParagraph"/>
              <w:ind w:left="567"/>
              <w:rPr>
                <w:sz w:val="21"/>
              </w:rPr>
            </w:pPr>
            <w:r>
              <w:rPr>
                <w:sz w:val="21"/>
              </w:rPr>
              <w:t>50 元</w:t>
            </w:r>
          </w:p>
        </w:tc>
        <w:tc>
          <w:tcPr>
            <w:tcW w:w="1457" w:type="dxa"/>
          </w:tcPr>
          <w:p>
            <w:pPr>
              <w:pStyle w:val="TableParagraph"/>
              <w:ind w:right="224"/>
              <w:jc w:val="right"/>
              <w:rPr>
                <w:sz w:val="21"/>
              </w:rPr>
            </w:pPr>
            <w:r>
              <w:rPr>
                <w:sz w:val="21"/>
              </w:rPr>
              <w:t>9,950 元</w:t>
            </w:r>
          </w:p>
        </w:tc>
      </w:tr>
      <w:tr>
        <w:trPr>
          <w:trHeight w:val="408" w:hRule="atLeast"/>
        </w:trPr>
        <w:tc>
          <w:tcPr>
            <w:tcW w:w="1243" w:type="dxa"/>
          </w:tcPr>
          <w:p>
            <w:pPr>
              <w:pStyle w:val="TableParagraph"/>
              <w:ind w:left="181" w:right="171"/>
              <w:jc w:val="center"/>
              <w:rPr>
                <w:sz w:val="21"/>
              </w:rPr>
            </w:pPr>
            <w:r>
              <w:rPr>
                <w:sz w:val="21"/>
              </w:rPr>
              <w:t>10,000</w:t>
            </w:r>
          </w:p>
        </w:tc>
        <w:tc>
          <w:tcPr>
            <w:tcW w:w="1650" w:type="dxa"/>
          </w:tcPr>
          <w:p>
            <w:pPr>
              <w:pStyle w:val="TableParagraph"/>
              <w:ind w:right="156"/>
              <w:jc w:val="right"/>
              <w:rPr>
                <w:sz w:val="21"/>
              </w:rPr>
            </w:pPr>
            <w:r>
              <w:rPr>
                <w:sz w:val="21"/>
              </w:rPr>
              <w:t>1.0000 元</w:t>
            </w:r>
          </w:p>
        </w:tc>
        <w:tc>
          <w:tcPr>
            <w:tcW w:w="1436" w:type="dxa"/>
          </w:tcPr>
          <w:p>
            <w:pPr>
              <w:pStyle w:val="TableParagraph"/>
              <w:ind w:right="207"/>
              <w:jc w:val="right"/>
              <w:rPr>
                <w:sz w:val="21"/>
              </w:rPr>
            </w:pPr>
            <w:r>
              <w:rPr>
                <w:sz w:val="21"/>
              </w:rPr>
              <w:t>500 天</w:t>
            </w:r>
          </w:p>
        </w:tc>
        <w:tc>
          <w:tcPr>
            <w:tcW w:w="1437" w:type="dxa"/>
          </w:tcPr>
          <w:p>
            <w:pPr>
              <w:pStyle w:val="TableParagraph"/>
              <w:ind w:right="234"/>
              <w:jc w:val="right"/>
              <w:rPr>
                <w:sz w:val="21"/>
              </w:rPr>
            </w:pPr>
            <w:r>
              <w:rPr>
                <w:sz w:val="21"/>
              </w:rPr>
              <w:t>0.25%</w:t>
            </w:r>
          </w:p>
        </w:tc>
        <w:tc>
          <w:tcPr>
            <w:tcW w:w="1409" w:type="dxa"/>
          </w:tcPr>
          <w:p>
            <w:pPr>
              <w:pStyle w:val="TableParagraph"/>
              <w:ind w:left="567"/>
              <w:rPr>
                <w:sz w:val="21"/>
              </w:rPr>
            </w:pPr>
            <w:r>
              <w:rPr>
                <w:sz w:val="21"/>
              </w:rPr>
              <w:t>25 元</w:t>
            </w:r>
          </w:p>
        </w:tc>
        <w:tc>
          <w:tcPr>
            <w:tcW w:w="1457" w:type="dxa"/>
          </w:tcPr>
          <w:p>
            <w:pPr>
              <w:pStyle w:val="TableParagraph"/>
              <w:ind w:right="224"/>
              <w:jc w:val="right"/>
              <w:rPr>
                <w:sz w:val="21"/>
              </w:rPr>
            </w:pPr>
            <w:r>
              <w:rPr>
                <w:sz w:val="21"/>
              </w:rPr>
              <w:t>9,975 元</w:t>
            </w:r>
          </w:p>
        </w:tc>
      </w:tr>
      <w:tr>
        <w:trPr>
          <w:trHeight w:val="408" w:hRule="atLeast"/>
        </w:trPr>
        <w:tc>
          <w:tcPr>
            <w:tcW w:w="1243" w:type="dxa"/>
          </w:tcPr>
          <w:p>
            <w:pPr>
              <w:pStyle w:val="TableParagraph"/>
              <w:ind w:left="181" w:right="171"/>
              <w:jc w:val="center"/>
              <w:rPr>
                <w:sz w:val="21"/>
              </w:rPr>
            </w:pPr>
            <w:r>
              <w:rPr>
                <w:sz w:val="21"/>
              </w:rPr>
              <w:t>10,000</w:t>
            </w:r>
          </w:p>
        </w:tc>
        <w:tc>
          <w:tcPr>
            <w:tcW w:w="1650" w:type="dxa"/>
          </w:tcPr>
          <w:p>
            <w:pPr>
              <w:pStyle w:val="TableParagraph"/>
              <w:ind w:right="156"/>
              <w:jc w:val="right"/>
              <w:rPr>
                <w:sz w:val="21"/>
              </w:rPr>
            </w:pPr>
            <w:r>
              <w:rPr>
                <w:sz w:val="21"/>
              </w:rPr>
              <w:t>1.0000 元</w:t>
            </w:r>
          </w:p>
        </w:tc>
        <w:tc>
          <w:tcPr>
            <w:tcW w:w="1436" w:type="dxa"/>
          </w:tcPr>
          <w:p>
            <w:pPr>
              <w:pStyle w:val="TableParagraph"/>
              <w:ind w:right="207"/>
              <w:jc w:val="right"/>
              <w:rPr>
                <w:sz w:val="21"/>
              </w:rPr>
            </w:pPr>
            <w:r>
              <w:rPr>
                <w:sz w:val="21"/>
              </w:rPr>
              <w:t>800 天</w:t>
            </w:r>
          </w:p>
        </w:tc>
        <w:tc>
          <w:tcPr>
            <w:tcW w:w="1437" w:type="dxa"/>
          </w:tcPr>
          <w:p>
            <w:pPr>
              <w:pStyle w:val="TableParagraph"/>
              <w:ind w:left="823"/>
              <w:rPr>
                <w:sz w:val="21"/>
              </w:rPr>
            </w:pPr>
            <w:r>
              <w:rPr>
                <w:sz w:val="21"/>
              </w:rPr>
              <w:t>0%</w:t>
            </w:r>
          </w:p>
        </w:tc>
        <w:tc>
          <w:tcPr>
            <w:tcW w:w="1409" w:type="dxa"/>
          </w:tcPr>
          <w:p>
            <w:pPr>
              <w:pStyle w:val="TableParagraph"/>
              <w:ind w:left="861"/>
              <w:rPr>
                <w:sz w:val="21"/>
              </w:rPr>
            </w:pPr>
            <w:r>
              <w:rPr>
                <w:sz w:val="21"/>
              </w:rPr>
              <w:t>0</w:t>
            </w:r>
          </w:p>
        </w:tc>
        <w:tc>
          <w:tcPr>
            <w:tcW w:w="1457" w:type="dxa"/>
          </w:tcPr>
          <w:p>
            <w:pPr>
              <w:pStyle w:val="TableParagraph"/>
              <w:ind w:left="282"/>
              <w:rPr>
                <w:sz w:val="21"/>
              </w:rPr>
            </w:pPr>
            <w:r>
              <w:rPr>
                <w:sz w:val="21"/>
              </w:rPr>
              <w:t>10,000 元</w:t>
            </w:r>
          </w:p>
        </w:tc>
      </w:tr>
    </w:tbl>
    <w:p>
      <w:pPr>
        <w:pStyle w:val="BodyText"/>
        <w:spacing w:before="3"/>
        <w:ind w:left="1260"/>
      </w:pPr>
      <w:r>
        <w:rPr/>
        <w:t>赎回总额、赎回费用以人民币元为单位，四舍五入，保留小数点后两位。</w:t>
      </w:r>
    </w:p>
    <w:p>
      <w:pPr>
        <w:pStyle w:val="BodyText"/>
        <w:spacing w:line="364" w:lineRule="auto" w:before="139"/>
        <w:ind w:left="840" w:right="818" w:firstLine="480"/>
      </w:pPr>
      <w:r>
        <w:rPr/>
        <w:t>3、T</w:t>
      </w:r>
      <w:r>
        <w:rPr>
          <w:spacing w:val="-11"/>
        </w:rPr>
        <w:t> 日的基金份额净值在当天收市后计算，并在 </w:t>
      </w:r>
      <w:r>
        <w:rPr/>
        <w:t>T+1</w:t>
      </w:r>
      <w:r>
        <w:rPr>
          <w:spacing w:val="-9"/>
        </w:rPr>
        <w:t> 日内公告。遇特殊情况，可以适</w:t>
      </w:r>
      <w:r>
        <w:rPr/>
        <w:t>当延迟计算或公告。其计算公式为：</w:t>
      </w:r>
    </w:p>
    <w:p>
      <w:pPr>
        <w:pStyle w:val="BodyText"/>
        <w:spacing w:line="268" w:lineRule="exact"/>
        <w:ind w:left="1260"/>
      </w:pPr>
      <w:r>
        <w:rPr/>
        <w:t>计算日基金份额净值=计算日基金资产净值÷计算日基金总份额</w:t>
      </w:r>
    </w:p>
    <w:p>
      <w:pPr>
        <w:pStyle w:val="BodyText"/>
        <w:spacing w:line="364" w:lineRule="auto" w:before="140"/>
        <w:ind w:left="840" w:right="818" w:firstLine="420"/>
        <w:jc w:val="both"/>
      </w:pPr>
      <w:r>
        <w:rPr/>
        <w:t>4、本基金的申购费由申购人承担，主要用于本基金的市场推广、销售、注册登记等各</w:t>
      </w:r>
      <w:r>
        <w:rPr>
          <w:spacing w:val="-10"/>
        </w:rPr>
        <w:t>项费用，不计入基金财产；本基金的赎回费由赎回人承担，在基金份额持有人赎回基金份额</w:t>
      </w:r>
      <w:r>
        <w:rPr>
          <w:spacing w:val="-5"/>
        </w:rPr>
        <w:t>时收取，赎回费总额的 </w:t>
      </w:r>
      <w:r>
        <w:rPr/>
        <w:t>25%归基金财产，其余用于支付注册登记费和其他必要的手续费。</w:t>
      </w:r>
    </w:p>
    <w:p>
      <w:pPr>
        <w:spacing w:line="358" w:lineRule="exact" w:before="0"/>
        <w:ind w:left="840" w:right="0" w:firstLine="0"/>
        <w:jc w:val="left"/>
        <w:rPr>
          <w:sz w:val="28"/>
        </w:rPr>
      </w:pPr>
      <w:bookmarkStart w:name="_bookmark27" w:id="28"/>
      <w:bookmarkEnd w:id="28"/>
      <w:r>
        <w:rPr/>
      </w:r>
      <w:r>
        <w:rPr>
          <w:sz w:val="28"/>
        </w:rPr>
        <w:t>（九）申购、赎回的注册登记</w:t>
      </w:r>
    </w:p>
    <w:p>
      <w:pPr>
        <w:pStyle w:val="BodyText"/>
        <w:spacing w:line="364" w:lineRule="auto" w:before="185"/>
        <w:ind w:left="840" w:right="818" w:firstLine="420"/>
      </w:pPr>
      <w:r>
        <w:rPr/>
        <w:t>1、经基金销售机构同意，基金投资者提出的申购和赎回申请，在基金管理人规定的时间之前可以撤销。</w:t>
      </w:r>
    </w:p>
    <w:p>
      <w:pPr>
        <w:pStyle w:val="BodyText"/>
        <w:spacing w:line="364" w:lineRule="auto"/>
        <w:ind w:left="840" w:right="817" w:firstLine="420"/>
      </w:pPr>
      <w:r>
        <w:rPr/>
        <w:t>2</w:t>
      </w:r>
      <w:r>
        <w:rPr>
          <w:spacing w:val="-18"/>
        </w:rPr>
        <w:t>、投资者 </w:t>
      </w:r>
      <w:r>
        <w:rPr/>
        <w:t>T</w:t>
      </w:r>
      <w:r>
        <w:rPr>
          <w:spacing w:val="-14"/>
        </w:rPr>
        <w:t> 日申购基金成功后，正常情况下，基金注册登记机构在 </w:t>
      </w:r>
      <w:r>
        <w:rPr/>
        <w:t>T＋1</w:t>
      </w:r>
      <w:r>
        <w:rPr>
          <w:spacing w:val="-11"/>
        </w:rPr>
        <w:t> 日为投资者增</w:t>
      </w:r>
      <w:r>
        <w:rPr>
          <w:spacing w:val="-3"/>
        </w:rPr>
        <w:t>加权益并办理注册登记手续，投资者自 </w:t>
      </w:r>
      <w:r>
        <w:rPr/>
        <w:t>T＋2</w:t>
      </w:r>
      <w:r>
        <w:rPr>
          <w:spacing w:val="-8"/>
        </w:rPr>
        <w:t> 日起有权赎回该部分基金份额。</w:t>
      </w:r>
    </w:p>
    <w:p>
      <w:pPr>
        <w:pStyle w:val="BodyText"/>
        <w:spacing w:line="364" w:lineRule="auto"/>
        <w:ind w:left="840" w:right="817" w:firstLine="420"/>
      </w:pPr>
      <w:r>
        <w:rPr/>
        <w:t>3</w:t>
      </w:r>
      <w:r>
        <w:rPr>
          <w:spacing w:val="-18"/>
        </w:rPr>
        <w:t>、投资者 </w:t>
      </w:r>
      <w:r>
        <w:rPr/>
        <w:t>T</w:t>
      </w:r>
      <w:r>
        <w:rPr>
          <w:spacing w:val="-14"/>
        </w:rPr>
        <w:t> 日赎回基金成功后，正常情况下，基金注册登记机构在 </w:t>
      </w:r>
      <w:r>
        <w:rPr/>
        <w:t>T＋1</w:t>
      </w:r>
      <w:r>
        <w:rPr>
          <w:spacing w:val="-11"/>
        </w:rPr>
        <w:t> 日为投资者扣</w:t>
      </w:r>
      <w:r>
        <w:rPr/>
        <w:t>除权益并办理相应的注册登记手续。</w:t>
      </w:r>
    </w:p>
    <w:p>
      <w:pPr>
        <w:pStyle w:val="BodyText"/>
        <w:spacing w:line="364" w:lineRule="auto"/>
        <w:ind w:left="840" w:right="818" w:firstLine="420"/>
      </w:pPr>
      <w:r>
        <w:rPr/>
        <w:t>4、基金管理人可在法律法规允许的范围内，对上述注册登记办理时间进行调整，并最迟于开始实施前 3 个工作日予以公告。</w:t>
      </w:r>
    </w:p>
    <w:p>
      <w:pPr>
        <w:spacing w:before="0"/>
        <w:ind w:left="840" w:right="0" w:firstLine="0"/>
        <w:jc w:val="left"/>
        <w:rPr>
          <w:sz w:val="28"/>
        </w:rPr>
      </w:pPr>
      <w:bookmarkStart w:name="_bookmark28" w:id="29"/>
      <w:bookmarkEnd w:id="29"/>
      <w:r>
        <w:rPr/>
      </w:r>
      <w:r>
        <w:rPr>
          <w:sz w:val="28"/>
        </w:rPr>
        <w:t>（十）巨额赎回的认定及处理方式</w:t>
      </w:r>
    </w:p>
    <w:p>
      <w:pPr>
        <w:pStyle w:val="BodyText"/>
        <w:spacing w:before="182"/>
        <w:ind w:left="1260"/>
      </w:pPr>
      <w:r>
        <w:rPr/>
        <w:t>1、巨额赎回的认定</w:t>
      </w:r>
    </w:p>
    <w:p>
      <w:pPr>
        <w:pStyle w:val="BodyText"/>
        <w:spacing w:line="364" w:lineRule="auto" w:before="139"/>
        <w:ind w:left="840" w:right="817" w:firstLine="420"/>
        <w:jc w:val="both"/>
      </w:pPr>
      <w:r>
        <w:rPr>
          <w:spacing w:val="-10"/>
        </w:rPr>
        <w:t>单个开放日中，本基金的基金份额净赎回申请</w:t>
      </w:r>
      <w:r>
        <w:rPr/>
        <w:t>（</w:t>
      </w:r>
      <w:r>
        <w:rPr>
          <w:spacing w:val="-1"/>
        </w:rPr>
        <w:t>赎回申请总份额扣除申购总份额后的余</w:t>
      </w:r>
      <w:r>
        <w:rPr/>
        <w:t>额</w:t>
      </w:r>
      <w:r>
        <w:rPr>
          <w:spacing w:val="-32"/>
        </w:rPr>
        <w:t>）</w:t>
      </w:r>
      <w:r>
        <w:rPr>
          <w:spacing w:val="-6"/>
        </w:rPr>
        <w:t>与净转出申请</w:t>
      </w:r>
      <w:r>
        <w:rPr/>
        <w:t>（转出申请总份额扣除转入申请总份额后的余额</w:t>
      </w:r>
      <w:r>
        <w:rPr>
          <w:spacing w:val="-32"/>
        </w:rPr>
        <w:t>）</w:t>
      </w:r>
      <w:r>
        <w:rPr>
          <w:spacing w:val="-2"/>
        </w:rPr>
        <w:t>之和超过上一日基金总</w:t>
      </w:r>
      <w:r>
        <w:rPr>
          <w:spacing w:val="-14"/>
        </w:rPr>
        <w:t>份额的 </w:t>
      </w:r>
      <w:r>
        <w:rPr/>
        <w:t>10%，为巨额赎回。</w:t>
      </w:r>
    </w:p>
    <w:p>
      <w:pPr>
        <w:pStyle w:val="BodyText"/>
        <w:spacing w:line="268" w:lineRule="exact"/>
        <w:ind w:left="1260"/>
      </w:pPr>
      <w:r>
        <w:rPr/>
        <w:t>2、巨额赎回的处理方式</w:t>
      </w:r>
    </w:p>
    <w:p>
      <w:pPr>
        <w:pStyle w:val="BodyText"/>
        <w:spacing w:line="364" w:lineRule="auto" w:before="140"/>
        <w:ind w:left="840" w:right="818" w:firstLine="420"/>
      </w:pPr>
      <w:r>
        <w:rPr>
          <w:spacing w:val="-11"/>
        </w:rPr>
        <w:t>出现巨额赎回时，基金管理人可以根据本基金当时的资产组合状况决定接受全额赎回或</w:t>
      </w:r>
      <w:r>
        <w:rPr/>
        <w:t>部分延期赎回。</w:t>
      </w:r>
    </w:p>
    <w:p>
      <w:pPr>
        <w:pStyle w:val="ListParagraph"/>
        <w:numPr>
          <w:ilvl w:val="0"/>
          <w:numId w:val="8"/>
        </w:numPr>
        <w:tabs>
          <w:tab w:pos="1787" w:val="left" w:leader="none"/>
        </w:tabs>
        <w:spacing w:line="268" w:lineRule="exact" w:before="0" w:after="0"/>
        <w:ind w:left="1786" w:right="0" w:hanging="527"/>
        <w:jc w:val="left"/>
        <w:rPr>
          <w:sz w:val="21"/>
        </w:rPr>
      </w:pPr>
      <w:r>
        <w:rPr>
          <w:sz w:val="21"/>
        </w:rPr>
        <w:t>接受全额赎回：当基金管理人认为有能力兑付投资者的全部赎回申请时，按正常</w:t>
      </w:r>
    </w:p>
    <w:p>
      <w:pPr>
        <w:spacing w:after="0" w:line="268" w:lineRule="exact"/>
        <w:jc w:val="left"/>
        <w:rPr>
          <w:sz w:val="21"/>
        </w:rPr>
        <w:sectPr>
          <w:pgSz w:w="11910" w:h="16840"/>
          <w:pgMar w:header="0" w:footer="638" w:top="1340" w:bottom="900" w:left="960" w:right="980"/>
        </w:sectPr>
      </w:pPr>
    </w:p>
    <w:p>
      <w:pPr>
        <w:pStyle w:val="BodyText"/>
        <w:spacing w:before="45"/>
        <w:ind w:left="840"/>
      </w:pPr>
      <w:r>
        <w:rPr/>
        <w:t>赎回程序执行。</w:t>
      </w:r>
    </w:p>
    <w:p>
      <w:pPr>
        <w:pStyle w:val="ListParagraph"/>
        <w:numPr>
          <w:ilvl w:val="0"/>
          <w:numId w:val="8"/>
        </w:numPr>
        <w:tabs>
          <w:tab w:pos="1787" w:val="left" w:leader="none"/>
        </w:tabs>
        <w:spacing w:line="364" w:lineRule="auto" w:before="139" w:after="0"/>
        <w:ind w:left="840" w:right="817" w:firstLine="420"/>
        <w:jc w:val="both"/>
        <w:rPr>
          <w:sz w:val="21"/>
        </w:rPr>
      </w:pPr>
      <w:r>
        <w:rPr>
          <w:sz w:val="21"/>
        </w:rPr>
        <w:t>部分延期赎回：当基金管理人认为兑付投资者的赎回申请有困难，或认为兑付投</w:t>
      </w:r>
      <w:r>
        <w:rPr>
          <w:spacing w:val="-5"/>
          <w:sz w:val="21"/>
        </w:rPr>
        <w:t>资者的赎回申请进行的资产变现可能使基金资产净值发生较大波动时，基金管理人在当日接</w:t>
      </w:r>
      <w:r>
        <w:rPr>
          <w:spacing w:val="-2"/>
          <w:sz w:val="21"/>
        </w:rPr>
        <w:t>受赎回比例不低于上一日基金总份额 </w:t>
      </w:r>
      <w:r>
        <w:rPr>
          <w:sz w:val="21"/>
        </w:rPr>
        <w:t>10％的前提下，对其余赎回申请延期办理。对于当日</w:t>
      </w:r>
      <w:r>
        <w:rPr>
          <w:spacing w:val="-10"/>
          <w:sz w:val="21"/>
        </w:rPr>
        <w:t>的赎回申请，应当按单个基金份额持有人申请赎回份额占当日申请赎回总份额的比例，确定</w:t>
      </w:r>
      <w:r>
        <w:rPr>
          <w:spacing w:val="-7"/>
          <w:sz w:val="21"/>
        </w:rPr>
        <w:t>该基金份额持有人当日受理的赎回份额；未受理部分除投资者在提交赎回申请时选择将当日未获受理部分予以撤销者外，延迟至下一开放日办理，赎回价格为下一个开放日的价格。转</w:t>
      </w:r>
      <w:r>
        <w:rPr>
          <w:sz w:val="21"/>
        </w:rPr>
        <w:t>入下一开放日的赎回申请不享有赎回优先权，以此类推，直到全部赎回为止。</w:t>
      </w:r>
    </w:p>
    <w:p>
      <w:pPr>
        <w:pStyle w:val="BodyText"/>
        <w:spacing w:line="364" w:lineRule="auto"/>
        <w:ind w:left="840" w:right="8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8"/>
        </w:numPr>
        <w:tabs>
          <w:tab w:pos="1787" w:val="left" w:leader="none"/>
        </w:tabs>
        <w:spacing w:line="364" w:lineRule="auto" w:before="0" w:after="0"/>
        <w:ind w:left="840" w:right="818" w:firstLine="420"/>
        <w:jc w:val="left"/>
        <w:rPr>
          <w:sz w:val="21"/>
        </w:rPr>
      </w:pPr>
      <w:r>
        <w:rPr>
          <w:sz w:val="21"/>
        </w:rPr>
        <w:t>当发生巨额赎回并延期办理时，基金管理人应当在指定媒介予以公告，说明有关处理方法。</w:t>
      </w:r>
    </w:p>
    <w:p>
      <w:pPr>
        <w:pStyle w:val="ListParagraph"/>
        <w:numPr>
          <w:ilvl w:val="0"/>
          <w:numId w:val="8"/>
        </w:numPr>
        <w:tabs>
          <w:tab w:pos="1787" w:val="left" w:leader="none"/>
        </w:tabs>
        <w:spacing w:line="364" w:lineRule="auto" w:before="0" w:after="0"/>
        <w:ind w:left="840" w:right="818" w:firstLine="420"/>
        <w:jc w:val="both"/>
        <w:rPr>
          <w:sz w:val="21"/>
        </w:rPr>
      </w:pPr>
      <w:r>
        <w:rPr>
          <w:spacing w:val="-4"/>
          <w:sz w:val="21"/>
        </w:rPr>
        <w:t>暂停接受和延缓支付：本基金连续 </w:t>
      </w:r>
      <w:r>
        <w:rPr>
          <w:sz w:val="21"/>
        </w:rPr>
        <w:t>2</w:t>
      </w:r>
      <w:r>
        <w:rPr>
          <w:spacing w:val="-8"/>
          <w:sz w:val="21"/>
        </w:rPr>
        <w:t> 个开放日以上发生巨额赎回，如基金管理人</w:t>
      </w:r>
      <w:r>
        <w:rPr>
          <w:spacing w:val="-15"/>
          <w:sz w:val="21"/>
        </w:rPr>
        <w:t>认为有必要，可暂停接受赎回申请；已经接受的赎回申请可以延缓支付赎回款项，但延缓期</w:t>
      </w:r>
      <w:r>
        <w:rPr>
          <w:spacing w:val="-9"/>
          <w:sz w:val="21"/>
        </w:rPr>
        <w:t>限不得超过 </w:t>
      </w:r>
      <w:r>
        <w:rPr>
          <w:sz w:val="21"/>
        </w:rPr>
        <w:t>20</w:t>
      </w:r>
      <w:r>
        <w:rPr>
          <w:spacing w:val="-8"/>
          <w:sz w:val="21"/>
        </w:rPr>
        <w:t> 个工作日，并应当在指定媒介公告。</w:t>
      </w:r>
    </w:p>
    <w:p>
      <w:pPr>
        <w:spacing w:line="358" w:lineRule="exact" w:before="0"/>
        <w:ind w:left="840" w:right="0" w:firstLine="0"/>
        <w:jc w:val="left"/>
        <w:rPr>
          <w:sz w:val="28"/>
        </w:rPr>
      </w:pPr>
      <w:bookmarkStart w:name="_bookmark29" w:id="30"/>
      <w:bookmarkEnd w:id="30"/>
      <w:r>
        <w:rPr/>
      </w:r>
      <w:r>
        <w:rPr>
          <w:sz w:val="28"/>
        </w:rPr>
        <w:t>（十一）拒绝或暂停申购、赎回的情形及处理方式</w:t>
      </w:r>
    </w:p>
    <w:p>
      <w:pPr>
        <w:pStyle w:val="BodyText"/>
        <w:spacing w:before="180"/>
        <w:ind w:left="1260"/>
      </w:pPr>
      <w:r>
        <w:rPr/>
        <w:t>1、在如下情况下，基金管理人可以拒绝或暂停接受投资者的申购申请：</w:t>
      </w:r>
    </w:p>
    <w:p>
      <w:pPr>
        <w:pStyle w:val="ListParagraph"/>
        <w:numPr>
          <w:ilvl w:val="0"/>
          <w:numId w:val="9"/>
        </w:numPr>
        <w:tabs>
          <w:tab w:pos="1786" w:val="left" w:leader="none"/>
        </w:tabs>
        <w:spacing w:line="240" w:lineRule="auto" w:before="139" w:after="0"/>
        <w:ind w:left="1786" w:right="0" w:hanging="526"/>
        <w:jc w:val="left"/>
        <w:rPr>
          <w:sz w:val="21"/>
        </w:rPr>
      </w:pPr>
      <w:r>
        <w:rPr>
          <w:sz w:val="21"/>
        </w:rPr>
        <w:t>因不可抗力导致基金无法正常运作；</w:t>
      </w:r>
    </w:p>
    <w:p>
      <w:pPr>
        <w:pStyle w:val="ListParagraph"/>
        <w:numPr>
          <w:ilvl w:val="0"/>
          <w:numId w:val="9"/>
        </w:numPr>
        <w:tabs>
          <w:tab w:pos="1786" w:val="left" w:leader="none"/>
        </w:tabs>
        <w:spacing w:line="240" w:lineRule="auto" w:before="139" w:after="0"/>
        <w:ind w:left="1786" w:right="0" w:hanging="526"/>
        <w:jc w:val="left"/>
        <w:rPr>
          <w:sz w:val="21"/>
        </w:rPr>
      </w:pPr>
      <w:r>
        <w:rPr>
          <w:spacing w:val="-4"/>
          <w:sz w:val="21"/>
        </w:rPr>
        <w:t>证券交易场所交易时间非正常停市，导致基金管理人无法计算当日基金资产净值；</w:t>
      </w:r>
    </w:p>
    <w:p>
      <w:pPr>
        <w:pStyle w:val="ListParagraph"/>
        <w:numPr>
          <w:ilvl w:val="0"/>
          <w:numId w:val="9"/>
        </w:numPr>
        <w:tabs>
          <w:tab w:pos="1786" w:val="left" w:leader="none"/>
        </w:tabs>
        <w:spacing w:line="240" w:lineRule="auto" w:before="140" w:after="0"/>
        <w:ind w:left="1786" w:right="0" w:hanging="526"/>
        <w:jc w:val="left"/>
        <w:rPr>
          <w:sz w:val="21"/>
        </w:rPr>
      </w:pPr>
      <w:r>
        <w:rPr>
          <w:sz w:val="21"/>
        </w:rPr>
        <w:t>发生本基金合同规定的暂停基金资产估值情况；</w:t>
      </w:r>
    </w:p>
    <w:p>
      <w:pPr>
        <w:pStyle w:val="ListParagraph"/>
        <w:numPr>
          <w:ilvl w:val="0"/>
          <w:numId w:val="9"/>
        </w:numPr>
        <w:tabs>
          <w:tab w:pos="1787" w:val="left" w:leader="none"/>
        </w:tabs>
        <w:spacing w:line="364" w:lineRule="auto" w:before="139" w:after="0"/>
        <w:ind w:left="840" w:right="818" w:firstLine="420"/>
        <w:jc w:val="left"/>
        <w:rPr>
          <w:sz w:val="21"/>
        </w:rPr>
      </w:pPr>
      <w:r>
        <w:rPr>
          <w:sz w:val="21"/>
        </w:rPr>
        <w:t>基金财产规模过大，使基金管理人无法找到合适的投资品种，或其他可能对基金业绩产生负面影响，从而损害现有基金份额持有人的利益的情形；</w:t>
      </w:r>
    </w:p>
    <w:p>
      <w:pPr>
        <w:pStyle w:val="ListParagraph"/>
        <w:numPr>
          <w:ilvl w:val="0"/>
          <w:numId w:val="9"/>
        </w:numPr>
        <w:tabs>
          <w:tab w:pos="1786" w:val="left" w:leader="none"/>
        </w:tabs>
        <w:spacing w:line="268" w:lineRule="exact" w:before="0" w:after="0"/>
        <w:ind w:left="1786" w:right="0" w:hanging="526"/>
        <w:jc w:val="left"/>
        <w:rPr>
          <w:sz w:val="21"/>
        </w:rPr>
      </w:pPr>
      <w:r>
        <w:rPr>
          <w:sz w:val="21"/>
        </w:rPr>
        <w:t>基金管理人认为会有损于现有基金份额持有人利益的某笔申购。</w:t>
      </w:r>
    </w:p>
    <w:p>
      <w:pPr>
        <w:pStyle w:val="ListParagraph"/>
        <w:numPr>
          <w:ilvl w:val="0"/>
          <w:numId w:val="9"/>
        </w:numPr>
        <w:tabs>
          <w:tab w:pos="1787" w:val="left" w:leader="none"/>
        </w:tabs>
        <w:spacing w:line="364" w:lineRule="auto" w:before="140" w:after="0"/>
        <w:ind w:left="840" w:right="8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9"/>
        </w:numPr>
        <w:tabs>
          <w:tab w:pos="1787" w:val="left" w:leader="none"/>
        </w:tabs>
        <w:spacing w:line="364" w:lineRule="auto" w:before="0" w:after="0"/>
        <w:ind w:left="840" w:right="6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9"/>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9"/>
        </w:numPr>
        <w:tabs>
          <w:tab w:pos="1786" w:val="left" w:leader="none"/>
        </w:tabs>
        <w:spacing w:line="268" w:lineRule="exact" w:before="0" w:after="0"/>
        <w:ind w:left="1786" w:right="0" w:hanging="526"/>
        <w:jc w:val="left"/>
        <w:rPr>
          <w:sz w:val="21"/>
        </w:rPr>
      </w:pPr>
      <w:r>
        <w:rPr>
          <w:sz w:val="21"/>
        </w:rPr>
        <w:t>法律法规规定或经中国证监会认定的其他情形。</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left="840" w:right="503" w:firstLine="420"/>
      </w:pPr>
      <w:r>
        <w:rPr/>
        <w:t>基金管理人决定拒绝或暂停接受某些投资者的申购申请时，申购款项将退回投资者账户。发生上述（1）到（4）、（7）、（8）、（9）项情形，基金管理人决定暂停接受申购申请</w:t>
      </w:r>
    </w:p>
    <w:p>
      <w:pPr>
        <w:pStyle w:val="BodyText"/>
        <w:spacing w:line="364" w:lineRule="auto"/>
        <w:ind w:left="840" w:right="817"/>
      </w:pPr>
      <w:r>
        <w:rPr>
          <w:spacing w:val="-12"/>
        </w:rPr>
        <w:t>时，应当依法公告。在暂停申购的情形消除时，基金管理人应及时恢复申购业务的办理并予</w:t>
      </w:r>
      <w:r>
        <w:rPr/>
        <w:t>以公告。</w:t>
      </w:r>
    </w:p>
    <w:p>
      <w:pPr>
        <w:pStyle w:val="BodyText"/>
        <w:spacing w:line="268" w:lineRule="exact"/>
        <w:ind w:left="1260"/>
      </w:pPr>
      <w:r>
        <w:rPr/>
        <w:t>2、在如下情况下，基金管理人可以暂停接受投资者的赎回申请：</w:t>
      </w:r>
    </w:p>
    <w:p>
      <w:pPr>
        <w:pStyle w:val="ListParagraph"/>
        <w:numPr>
          <w:ilvl w:val="0"/>
          <w:numId w:val="10"/>
        </w:numPr>
        <w:tabs>
          <w:tab w:pos="1786" w:val="left" w:leader="none"/>
        </w:tabs>
        <w:spacing w:line="240" w:lineRule="auto" w:before="138" w:after="0"/>
        <w:ind w:left="1786" w:right="0" w:hanging="526"/>
        <w:jc w:val="left"/>
        <w:rPr>
          <w:sz w:val="21"/>
        </w:rPr>
      </w:pPr>
      <w:r>
        <w:rPr>
          <w:sz w:val="21"/>
        </w:rPr>
        <w:t>因不可抗力导致基金管理人无法支付赎回款项；</w:t>
      </w:r>
    </w:p>
    <w:p>
      <w:pPr>
        <w:pStyle w:val="ListParagraph"/>
        <w:numPr>
          <w:ilvl w:val="0"/>
          <w:numId w:val="10"/>
        </w:numPr>
        <w:tabs>
          <w:tab w:pos="1786" w:val="left" w:leader="none"/>
        </w:tabs>
        <w:spacing w:line="240" w:lineRule="auto" w:before="140" w:after="0"/>
        <w:ind w:left="1786" w:right="0" w:hanging="526"/>
        <w:jc w:val="left"/>
        <w:rPr>
          <w:sz w:val="21"/>
        </w:rPr>
      </w:pPr>
      <w:r>
        <w:rPr>
          <w:spacing w:val="-4"/>
          <w:sz w:val="21"/>
        </w:rPr>
        <w:t>证券交易场所交易时间非正常停市，导致基金管理人无法计算当日基金资产净值；</w:t>
      </w:r>
    </w:p>
    <w:p>
      <w:pPr>
        <w:pStyle w:val="ListParagraph"/>
        <w:numPr>
          <w:ilvl w:val="0"/>
          <w:numId w:val="10"/>
        </w:numPr>
        <w:tabs>
          <w:tab w:pos="1786" w:val="left" w:leader="none"/>
        </w:tabs>
        <w:spacing w:line="240" w:lineRule="auto" w:before="139" w:after="0"/>
        <w:ind w:left="1786" w:right="0" w:hanging="526"/>
        <w:jc w:val="left"/>
        <w:rPr>
          <w:sz w:val="21"/>
        </w:rPr>
      </w:pPr>
      <w:r>
        <w:rPr>
          <w:sz w:val="21"/>
        </w:rPr>
        <w:t>基金连续发生巨额赎回，根据本基金合同规定，可以暂停接受赎回申请的情况；</w:t>
      </w:r>
    </w:p>
    <w:p>
      <w:pPr>
        <w:pStyle w:val="ListParagraph"/>
        <w:numPr>
          <w:ilvl w:val="0"/>
          <w:numId w:val="10"/>
        </w:numPr>
        <w:tabs>
          <w:tab w:pos="1786" w:val="left" w:leader="none"/>
        </w:tabs>
        <w:spacing w:line="240" w:lineRule="auto" w:before="140" w:after="0"/>
        <w:ind w:left="1786" w:right="0" w:hanging="526"/>
        <w:jc w:val="left"/>
        <w:rPr>
          <w:sz w:val="21"/>
        </w:rPr>
      </w:pPr>
      <w:r>
        <w:rPr>
          <w:sz w:val="21"/>
        </w:rPr>
        <w:t>发生本基金合同规定的暂停基金资产估值的情况；</w:t>
      </w:r>
    </w:p>
    <w:p>
      <w:pPr>
        <w:pStyle w:val="ListParagraph"/>
        <w:numPr>
          <w:ilvl w:val="0"/>
          <w:numId w:val="10"/>
        </w:numPr>
        <w:tabs>
          <w:tab w:pos="1791" w:val="left" w:leader="none"/>
        </w:tabs>
        <w:spacing w:line="364" w:lineRule="auto" w:before="139"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0"/>
        </w:numPr>
        <w:tabs>
          <w:tab w:pos="1786" w:val="left" w:leader="none"/>
        </w:tabs>
        <w:spacing w:line="268" w:lineRule="exact" w:before="0" w:after="0"/>
        <w:ind w:left="1786" w:right="0" w:hanging="526"/>
        <w:jc w:val="left"/>
        <w:rPr>
          <w:sz w:val="21"/>
        </w:rPr>
      </w:pPr>
      <w:r>
        <w:rPr>
          <w:sz w:val="21"/>
        </w:rPr>
        <w:t>法律法规规定或经中国证监会认定的其他情形。</w:t>
      </w:r>
    </w:p>
    <w:p>
      <w:pPr>
        <w:pStyle w:val="BodyText"/>
        <w:spacing w:line="364" w:lineRule="auto" w:before="140"/>
        <w:ind w:left="840" w:right="817" w:firstLine="420"/>
        <w:jc w:val="both"/>
      </w:pPr>
      <w:r>
        <w:rPr>
          <w:spacing w:val="-7"/>
        </w:rPr>
        <w:t>发生上述情形之一的，基金管理人应当在当日向中国证监会备案，并及时公告。已接受的赎回申请，基金管理人应当足额支付；如暂时不能足额支付，应当按单个赎回申请人已被</w:t>
      </w:r>
      <w:r>
        <w:rPr>
          <w:spacing w:val="-5"/>
        </w:rPr>
        <w:t>接受的赎回申请量占已接受的赎回申请总量的比例分配给赎回申请人，其余部分在后续开放</w:t>
      </w:r>
      <w:r>
        <w:rPr/>
        <w:t>日予以支付。</w:t>
      </w:r>
    </w:p>
    <w:p>
      <w:pPr>
        <w:pStyle w:val="BodyText"/>
        <w:spacing w:line="267" w:lineRule="exact"/>
        <w:ind w:left="1260"/>
      </w:pPr>
      <w:r>
        <w:rPr/>
        <w:t>在暂停赎回的情况消除时，基金管理人应及时恢复赎回业务的办理并及时公告。</w:t>
      </w:r>
    </w:p>
    <w:p>
      <w:pPr>
        <w:pStyle w:val="BodyText"/>
        <w:spacing w:before="139"/>
        <w:ind w:left="1260"/>
      </w:pPr>
      <w:r>
        <w:rPr/>
        <w:t>3、暂停基金的申购、赎回，基金管理人应按规定公告。</w:t>
      </w:r>
    </w:p>
    <w:p>
      <w:pPr>
        <w:pStyle w:val="BodyText"/>
        <w:spacing w:before="140"/>
        <w:ind w:left="1260"/>
      </w:pPr>
      <w:r>
        <w:rPr/>
        <w:t>4、暂停申购或赎回期间结束，基金重新开放时，基金管理人应按规定公告。</w:t>
      </w:r>
    </w:p>
    <w:p>
      <w:pPr>
        <w:pStyle w:val="ListParagraph"/>
        <w:numPr>
          <w:ilvl w:val="0"/>
          <w:numId w:val="11"/>
        </w:numPr>
        <w:tabs>
          <w:tab w:pos="1787" w:val="left" w:leader="none"/>
        </w:tabs>
        <w:spacing w:line="364" w:lineRule="auto" w:before="139" w:after="0"/>
        <w:ind w:left="840" w:right="818" w:firstLine="420"/>
        <w:jc w:val="left"/>
        <w:rPr>
          <w:sz w:val="21"/>
        </w:rPr>
      </w:pPr>
      <w:r>
        <w:rPr>
          <w:sz w:val="21"/>
        </w:rPr>
        <w:t>如果发生暂停的时间为一天，基金管理人将于重新开放日，在指定媒介刊登基金重新开放申购或赎回的公告，并公告最近一个工作日的基金份额净值。</w:t>
      </w:r>
    </w:p>
    <w:p>
      <w:pPr>
        <w:pStyle w:val="ListParagraph"/>
        <w:numPr>
          <w:ilvl w:val="0"/>
          <w:numId w:val="11"/>
        </w:numPr>
        <w:tabs>
          <w:tab w:pos="1787" w:val="left" w:leader="none"/>
        </w:tabs>
        <w:spacing w:line="364" w:lineRule="auto" w:before="0" w:after="0"/>
        <w:ind w:left="840" w:right="817" w:firstLine="420"/>
        <w:jc w:val="both"/>
        <w:rPr>
          <w:sz w:val="21"/>
        </w:rPr>
      </w:pPr>
      <w:r>
        <w:rPr>
          <w:sz w:val="21"/>
        </w:rPr>
        <w:t>如果发生暂停的时间超过一天但少于两周，暂停结束，基金重新开放申购或赎回</w:t>
      </w:r>
      <w:r>
        <w:rPr>
          <w:spacing w:val="-10"/>
          <w:sz w:val="21"/>
        </w:rPr>
        <w:t>时，基金管理人应提前一个工作日，在指定媒介刊登基金重新开放申购或赎回的公告，并在</w:t>
      </w:r>
      <w:r>
        <w:rPr>
          <w:sz w:val="21"/>
        </w:rPr>
        <w:t>重新开放申购或赎回日公告最近一个工作日的基金份额净值。</w:t>
      </w:r>
    </w:p>
    <w:p>
      <w:pPr>
        <w:pStyle w:val="ListParagraph"/>
        <w:numPr>
          <w:ilvl w:val="0"/>
          <w:numId w:val="11"/>
        </w:numPr>
        <w:tabs>
          <w:tab w:pos="1787" w:val="left" w:leader="none"/>
        </w:tabs>
        <w:spacing w:line="364" w:lineRule="auto" w:before="0" w:after="0"/>
        <w:ind w:left="840" w:right="620" w:firstLine="420"/>
        <w:jc w:val="left"/>
        <w:rPr>
          <w:sz w:val="21"/>
        </w:rPr>
      </w:pPr>
      <w:r>
        <w:rPr>
          <w:sz w:val="21"/>
        </w:rPr>
        <w:t>如果发生暂停的时间超过两周，暂停期间，基金管理人应每两周至少重复刊登暂 </w:t>
      </w:r>
      <w:r>
        <w:rPr>
          <w:spacing w:val="-11"/>
          <w:sz w:val="21"/>
        </w:rPr>
        <w:t>停公告一次；当连续暂停时间超过两个月时，可对重复刊登暂停公告的频率进行调整。暂停结束，基金重新开放申购或赎回时，基金管理人应提前三个工作日，在指定媒介刊登基金重</w:t>
      </w:r>
      <w:r>
        <w:rPr>
          <w:spacing w:val="-16"/>
          <w:sz w:val="21"/>
        </w:rPr>
        <w:t>新开放申购或赎回的公告，并在重新开放申购或赎回日公告最近一个工作日的基金份额净值。</w:t>
      </w:r>
    </w:p>
    <w:p>
      <w:pPr>
        <w:spacing w:line="358" w:lineRule="exact" w:before="0"/>
        <w:ind w:left="840" w:right="0" w:firstLine="0"/>
        <w:jc w:val="left"/>
        <w:rPr>
          <w:sz w:val="28"/>
        </w:rPr>
      </w:pPr>
      <w:bookmarkStart w:name="_bookmark30" w:id="31"/>
      <w:bookmarkEnd w:id="31"/>
      <w:r>
        <w:rPr/>
      </w:r>
      <w:r>
        <w:rPr>
          <w:sz w:val="28"/>
        </w:rPr>
        <w:t>（十二）定期定额投资计划</w:t>
      </w:r>
    </w:p>
    <w:p>
      <w:pPr>
        <w:pStyle w:val="BodyText"/>
        <w:spacing w:line="364" w:lineRule="auto" w:before="182"/>
        <w:ind w:left="840" w:right="818" w:firstLine="420"/>
        <w:jc w:val="both"/>
      </w:pPr>
      <w:r>
        <w:rPr>
          <w:spacing w:val="-4"/>
        </w:rPr>
        <w:t>定期定额申购业务是指投资者可通过本基金管理人指定的销售机构提交申请，约定每期</w:t>
      </w:r>
      <w:r>
        <w:rPr>
          <w:spacing w:val="-12"/>
        </w:rPr>
        <w:t>扣款时间、扣款金额，由指定的销售机构于每期约定扣款日在投资者指定资金账户内自动完</w:t>
      </w:r>
      <w:r>
        <w:rPr/>
        <w:t>成扣款，并提交基金申购申请的一种长期投资方式。</w:t>
      </w:r>
    </w:p>
    <w:p>
      <w:pPr>
        <w:pStyle w:val="BodyText"/>
        <w:spacing w:line="268" w:lineRule="exact"/>
        <w:ind w:left="1260"/>
        <w:jc w:val="both"/>
      </w:pPr>
      <w:r>
        <w:rPr/>
        <w:t>本基金已于 2008 年 11 月 11 日开通定期定额申购业务，具体实施办法详见相关公告。</w:t>
      </w:r>
    </w:p>
    <w:p>
      <w:pPr>
        <w:spacing w:after="0" w:line="268" w:lineRule="exact"/>
        <w:jc w:val="both"/>
        <w:sectPr>
          <w:pgSz w:w="11910" w:h="16840"/>
          <w:pgMar w:header="0" w:footer="638" w:top="1380" w:bottom="900" w:left="960" w:right="980"/>
        </w:sectPr>
      </w:pPr>
    </w:p>
    <w:p>
      <w:pPr>
        <w:spacing w:before="27"/>
        <w:ind w:left="1242" w:right="1222" w:firstLine="0"/>
        <w:jc w:val="center"/>
        <w:rPr>
          <w:sz w:val="32"/>
        </w:rPr>
      </w:pPr>
      <w:bookmarkStart w:name="_bookmark31" w:id="32"/>
      <w:bookmarkEnd w:id="32"/>
      <w:r>
        <w:rPr/>
      </w:r>
      <w:r>
        <w:rPr>
          <w:sz w:val="32"/>
        </w:rPr>
        <w:t>九、基金转换</w:t>
      </w:r>
    </w:p>
    <w:p>
      <w:pPr>
        <w:pStyle w:val="BodyText"/>
        <w:spacing w:line="364" w:lineRule="auto" w:before="210"/>
        <w:ind w:left="840" w:right="818" w:firstLine="420"/>
      </w:pPr>
      <w:r>
        <w:rPr/>
        <w:t>基金转换是指基金份额持有人按基金管理人规定的条件将其持有的某一只基金的基金份额转换为同一基金管理人管理的另一只基金的基金份额的行为。</w:t>
      </w:r>
    </w:p>
    <w:p>
      <w:pPr>
        <w:spacing w:line="423" w:lineRule="exact" w:before="0"/>
        <w:ind w:left="1400" w:right="0" w:firstLine="0"/>
        <w:jc w:val="left"/>
        <w:rPr>
          <w:rFonts w:ascii="Microsoft JhengHei" w:eastAsia="Microsoft JhengHei" w:hint="eastAsia"/>
          <w:b/>
          <w:sz w:val="28"/>
        </w:rPr>
      </w:pPr>
      <w:bookmarkStart w:name="_bookmark32" w:id="33"/>
      <w:bookmarkEnd w:id="33"/>
      <w:r>
        <w:rPr/>
      </w:r>
      <w:r>
        <w:rPr>
          <w:rFonts w:ascii="Microsoft JhengHei" w:eastAsia="Microsoft JhengHei" w:hint="eastAsia"/>
          <w:b/>
          <w:sz w:val="28"/>
        </w:rPr>
        <w:t>（一）基金转换开始日及时间</w:t>
      </w:r>
    </w:p>
    <w:p>
      <w:pPr>
        <w:pStyle w:val="BodyText"/>
        <w:spacing w:before="122"/>
        <w:ind w:left="1260"/>
        <w:jc w:val="both"/>
      </w:pPr>
      <w:r>
        <w:rPr/>
        <w:t>本基金已于 2008 年 11 月 11 日开始办理转换业务，具体实施办法参见相关公告。</w:t>
      </w:r>
    </w:p>
    <w:p>
      <w:pPr>
        <w:pStyle w:val="BodyText"/>
        <w:spacing w:line="364" w:lineRule="auto" w:before="139"/>
        <w:ind w:left="840" w:right="818" w:firstLine="420"/>
        <w:jc w:val="both"/>
      </w:pPr>
      <w:r>
        <w:rPr>
          <w:spacing w:val="-4"/>
        </w:rPr>
        <w:t>本基金办理转换业务的开放日为上海证券交易所和深圳证券交易所交易日。但基金管理</w:t>
      </w:r>
      <w:r>
        <w:rPr>
          <w:spacing w:val="-9"/>
        </w:rPr>
        <w:t>人根据法律法规、中国证监会的要求或本基金合同的规定公告暂停转换时除外。具体业务办</w:t>
      </w:r>
      <w:r>
        <w:rPr>
          <w:spacing w:val="-7"/>
        </w:rPr>
        <w:t>理时间为上海证券交易所、深圳证券交易所的交易时间。若出现新的证券交易市场或交易所</w:t>
      </w:r>
      <w:r>
        <w:rPr>
          <w:spacing w:val="-8"/>
        </w:rPr>
        <w:t>交易时间更改或其他特殊情况，基金管理人将视情况对前述开放日及具体业务办理时间进行</w:t>
      </w:r>
      <w:r>
        <w:rPr/>
        <w:t>相应的调整并提前公告。</w:t>
      </w:r>
    </w:p>
    <w:p>
      <w:pPr>
        <w:spacing w:line="421" w:lineRule="exact" w:before="0"/>
        <w:ind w:left="1400" w:right="0" w:firstLine="0"/>
        <w:jc w:val="left"/>
        <w:rPr>
          <w:rFonts w:ascii="Microsoft JhengHei" w:eastAsia="Microsoft JhengHei" w:hint="eastAsia"/>
          <w:b/>
          <w:sz w:val="28"/>
        </w:rPr>
      </w:pPr>
      <w:bookmarkStart w:name="_bookmark33" w:id="34"/>
      <w:bookmarkEnd w:id="34"/>
      <w:r>
        <w:rPr/>
      </w:r>
      <w:r>
        <w:rPr>
          <w:rFonts w:ascii="Microsoft JhengHei" w:eastAsia="Microsoft JhengHei" w:hint="eastAsia"/>
          <w:b/>
          <w:sz w:val="28"/>
        </w:rPr>
        <w:t>（二）基金转换的原则</w:t>
      </w:r>
    </w:p>
    <w:p>
      <w:pPr>
        <w:pStyle w:val="BodyText"/>
        <w:spacing w:before="121"/>
        <w:ind w:left="1260"/>
      </w:pPr>
      <w:r>
        <w:rPr/>
        <w:t>1、本基金采用份额转换原则，即转换以份额申请；</w:t>
      </w:r>
    </w:p>
    <w:p>
      <w:pPr>
        <w:pStyle w:val="BodyText"/>
        <w:spacing w:line="364" w:lineRule="auto" w:before="140"/>
        <w:ind w:left="840" w:right="818" w:firstLine="420"/>
      </w:pPr>
      <w:r>
        <w:rPr/>
        <w:t>2、当日的转换申请可以在当日交易结束时间前撤销，在当日的交易时间结束后不得撤销；</w:t>
      </w:r>
    </w:p>
    <w:p>
      <w:pPr>
        <w:pStyle w:val="BodyText"/>
        <w:spacing w:line="268" w:lineRule="exact"/>
        <w:ind w:left="1260"/>
      </w:pPr>
      <w:r>
        <w:rPr/>
        <w:t>3、基金转换价格以申请转换当日各基金份额净值为基础计算；</w:t>
      </w:r>
    </w:p>
    <w:p>
      <w:pPr>
        <w:pStyle w:val="BodyText"/>
        <w:spacing w:line="364" w:lineRule="auto" w:before="139"/>
        <w:ind w:left="840" w:right="818" w:firstLine="420"/>
      </w:pPr>
      <w:r>
        <w:rPr/>
        <w:t>4、基金份额在转换后，转入的基金份额的持有期将自转入的基金份额被确认之日起重新开始计算；</w:t>
      </w:r>
    </w:p>
    <w:p>
      <w:pPr>
        <w:pStyle w:val="BodyText"/>
        <w:spacing w:line="364" w:lineRule="auto"/>
        <w:ind w:left="840" w:right="818" w:firstLine="420"/>
        <w:jc w:val="both"/>
      </w:pPr>
      <w:r>
        <w:rPr/>
        <w:t>5、投资者可在同时销售拟转出基金及转入基金的销售机构处办理基金转换。基金转换</w:t>
      </w:r>
      <w:r>
        <w:rPr>
          <w:spacing w:val="-9"/>
        </w:rPr>
        <w:t>只能在同一销售机构进行。转换的两只基金必须都是该销售机构代理的同一基金管理人管理</w:t>
      </w:r>
      <w:r>
        <w:rPr/>
        <w:t>的、在同一基金注册登记机构处注册的基金；</w:t>
      </w:r>
    </w:p>
    <w:p>
      <w:pPr>
        <w:pStyle w:val="BodyText"/>
        <w:spacing w:line="364" w:lineRule="auto"/>
        <w:ind w:left="840" w:right="818" w:firstLine="420"/>
      </w:pPr>
      <w:r>
        <w:rPr/>
        <w:t>6、投资者办理基金转换业务时，转出方的基金必须处于可赎回状态，转入方的基金必须处于可申购状态；</w:t>
      </w:r>
    </w:p>
    <w:p>
      <w:pPr>
        <w:pStyle w:val="BodyText"/>
        <w:spacing w:line="364" w:lineRule="auto"/>
        <w:ind w:left="840" w:right="817" w:firstLine="420"/>
        <w:jc w:val="both"/>
      </w:pPr>
      <w:r>
        <w:rPr/>
        <w:t>7、转换业务遵循“先进先出”的业务规则，即份额注册日期在前的先转换出，份额注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840" w:right="818" w:firstLine="420"/>
        <w:jc w:val="both"/>
      </w:pPr>
      <w:r>
        <w:rPr/>
        <w:t>8、基金管理人可在不损害基金份额持有人权益的情况下更改上述原则，但最迟应在调整生效前 2 日在指定媒介上予以公告。</w:t>
      </w:r>
    </w:p>
    <w:p>
      <w:pPr>
        <w:spacing w:line="423" w:lineRule="exact" w:before="0"/>
        <w:ind w:left="1400" w:right="0" w:firstLine="0"/>
        <w:jc w:val="left"/>
        <w:rPr>
          <w:rFonts w:ascii="Microsoft JhengHei" w:eastAsia="Microsoft JhengHei" w:hint="eastAsia"/>
          <w:b/>
          <w:sz w:val="28"/>
        </w:rPr>
      </w:pPr>
      <w:bookmarkStart w:name="_bookmark34" w:id="35"/>
      <w:bookmarkEnd w:id="35"/>
      <w:r>
        <w:rPr/>
      </w:r>
      <w:r>
        <w:rPr>
          <w:rFonts w:ascii="Microsoft JhengHei" w:eastAsia="Microsoft JhengHei" w:hint="eastAsia"/>
          <w:b/>
          <w:sz w:val="28"/>
        </w:rPr>
        <w:t>（三）基金转换的程序</w:t>
      </w:r>
    </w:p>
    <w:p>
      <w:pPr>
        <w:pStyle w:val="BodyText"/>
        <w:spacing w:before="116"/>
        <w:ind w:left="1260"/>
      </w:pPr>
      <w:r>
        <w:rPr/>
        <w:t>1、基金转换的申请方式</w:t>
      </w:r>
    </w:p>
    <w:p>
      <w:pPr>
        <w:pStyle w:val="BodyText"/>
        <w:spacing w:line="364" w:lineRule="auto" w:before="140"/>
        <w:ind w:left="840" w:right="81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1260"/>
      </w:pPr>
      <w:r>
        <w:rPr/>
        <w:t>提交基金转换申请时，账户中必须有足够可用的转出基金份额余额。</w:t>
      </w:r>
    </w:p>
    <w:p>
      <w:pPr>
        <w:spacing w:after="0" w:line="268" w:lineRule="exact"/>
        <w:sectPr>
          <w:pgSz w:w="11910" w:h="16840"/>
          <w:pgMar w:header="0" w:footer="638" w:top="1400" w:bottom="900" w:left="960" w:right="980"/>
        </w:sectPr>
      </w:pPr>
    </w:p>
    <w:p>
      <w:pPr>
        <w:pStyle w:val="BodyText"/>
        <w:spacing w:before="45"/>
        <w:ind w:left="1260"/>
      </w:pPr>
      <w:r>
        <w:rPr/>
        <w:t>2、基金转换申请的确认</w:t>
      </w:r>
    </w:p>
    <w:p>
      <w:pPr>
        <w:pStyle w:val="BodyText"/>
        <w:spacing w:line="364" w:lineRule="auto" w:before="139"/>
        <w:ind w:left="840" w:right="8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spacing w:line="422" w:lineRule="exact" w:before="0"/>
        <w:ind w:left="1400" w:right="0" w:firstLine="0"/>
        <w:jc w:val="left"/>
        <w:rPr>
          <w:rFonts w:ascii="Microsoft JhengHei" w:eastAsia="Microsoft JhengHei" w:hint="eastAsia"/>
          <w:b/>
          <w:sz w:val="28"/>
        </w:rPr>
      </w:pPr>
      <w:bookmarkStart w:name="_bookmark35" w:id="36"/>
      <w:bookmarkEnd w:id="36"/>
      <w:r>
        <w:rPr/>
      </w:r>
      <w:r>
        <w:rPr>
          <w:rFonts w:ascii="Microsoft JhengHei" w:eastAsia="Microsoft JhengHei" w:hint="eastAsia"/>
          <w:b/>
          <w:sz w:val="28"/>
        </w:rPr>
        <w:t>（四）基金转换的数额限制</w:t>
      </w:r>
    </w:p>
    <w:p>
      <w:pPr>
        <w:pStyle w:val="BodyText"/>
        <w:spacing w:line="364" w:lineRule="auto" w:before="122"/>
        <w:ind w:left="840" w:right="818" w:firstLine="420"/>
        <w:jc w:val="both"/>
      </w:pPr>
      <w:r>
        <w:rPr>
          <w:spacing w:val="-5"/>
        </w:rPr>
        <w:t>基金份额持有人可将其全部或部分基金份额转换成另一只基金，单笔转出申请不得少于</w:t>
      </w:r>
      <w:r>
        <w:rPr/>
        <w:t>1</w:t>
      </w:r>
      <w:r>
        <w:rPr>
          <w:spacing w:val="-37"/>
        </w:rPr>
        <w:t> 份</w:t>
      </w:r>
      <w:r>
        <w:rPr/>
        <w:t>（</w:t>
      </w:r>
      <w:r>
        <w:rPr>
          <w:spacing w:val="-3"/>
        </w:rPr>
        <w:t>如该账户在该销售机构托管的该基金余额不足 </w:t>
      </w:r>
      <w:r>
        <w:rPr/>
        <w:t>1</w:t>
      </w:r>
      <w:r>
        <w:rPr>
          <w:spacing w:val="-10"/>
        </w:rPr>
        <w:t> 份，则必须一次性赎回或转出该基金</w:t>
      </w:r>
      <w:r>
        <w:rPr/>
        <w:t>全部份额</w:t>
      </w:r>
      <w:r>
        <w:rPr>
          <w:spacing w:val="-105"/>
        </w:rPr>
        <w:t>）</w:t>
      </w:r>
      <w:r>
        <w:rPr>
          <w:spacing w:val="-2"/>
        </w:rPr>
        <w:t>；若某笔转换导致投资者在该销售机构托管的该基金余额不足 </w:t>
      </w:r>
      <w:r>
        <w:rPr/>
        <w:t>1</w:t>
      </w:r>
      <w:r>
        <w:rPr>
          <w:spacing w:val="-8"/>
        </w:rPr>
        <w:t> 份时，基金管理人有权将投资者在该销售机构托管的该基金剩余份额一次性全部赎回。</w:t>
      </w:r>
    </w:p>
    <w:p>
      <w:pPr>
        <w:pStyle w:val="BodyText"/>
        <w:spacing w:line="364" w:lineRule="auto"/>
        <w:ind w:left="840" w:right="818" w:firstLine="420"/>
      </w:pPr>
      <w:r>
        <w:rPr>
          <w:spacing w:val="-4"/>
        </w:rPr>
        <w:t>基金管理人可根据市场情况制定或调整上述基金转换的程序及有关限制，但最迟应在调</w:t>
      </w:r>
      <w:r>
        <w:rPr/>
        <w:t>整生效前三个工作日在指定媒介上予以公告。</w:t>
      </w:r>
    </w:p>
    <w:p>
      <w:pPr>
        <w:spacing w:line="423" w:lineRule="exact" w:before="0"/>
        <w:ind w:left="1400" w:right="0" w:firstLine="0"/>
        <w:jc w:val="left"/>
        <w:rPr>
          <w:rFonts w:ascii="Microsoft JhengHei" w:eastAsia="Microsoft JhengHei" w:hint="eastAsia"/>
          <w:b/>
          <w:sz w:val="28"/>
        </w:rPr>
      </w:pPr>
      <w:bookmarkStart w:name="_bookmark36" w:id="37"/>
      <w:bookmarkEnd w:id="37"/>
      <w:r>
        <w:rPr/>
      </w:r>
      <w:r>
        <w:rPr>
          <w:rFonts w:ascii="Microsoft JhengHei" w:eastAsia="Microsoft JhengHei" w:hint="eastAsia"/>
          <w:b/>
          <w:sz w:val="28"/>
        </w:rPr>
        <w:t>（五）基金转换费率</w:t>
      </w:r>
    </w:p>
    <w:p>
      <w:pPr>
        <w:pStyle w:val="BodyText"/>
        <w:spacing w:line="364" w:lineRule="auto" w:before="119"/>
        <w:ind w:left="840" w:right="818" w:firstLine="420"/>
        <w:jc w:val="both"/>
      </w:pPr>
      <w:r>
        <w:rPr>
          <w:spacing w:val="-6"/>
        </w:rPr>
        <w:t>基金转换费由基金份额持有人承担，由转出基金赎回费用及基金申购补差费用构成，其</w:t>
      </w:r>
      <w:r>
        <w:rPr>
          <w:spacing w:val="-8"/>
        </w:rPr>
        <w:t>中赎回费按照各基金的基金合同、更新的招募说明书及最新的相关公告约定的比例归入基金</w:t>
      </w:r>
      <w:r>
        <w:rPr/>
        <w:t>财产，其余部分用于支付注册登记费等相关手续费，基金转换费率详见相关公告。</w:t>
      </w:r>
    </w:p>
    <w:p>
      <w:pPr>
        <w:pStyle w:val="BodyText"/>
        <w:spacing w:line="364" w:lineRule="auto"/>
        <w:ind w:left="840" w:right="818" w:firstLine="420"/>
      </w:pPr>
      <w:r>
        <w:rPr>
          <w:spacing w:val="-5"/>
        </w:rPr>
        <w:t>基金管理人可以在基金合同规定的范围内调整上述费率，上述费率如发生变更，基金管</w:t>
      </w:r>
      <w:r>
        <w:rPr/>
        <w:t>理人应最迟于新的费率实施前2个工作日在指定媒介公告。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spacing w:line="422" w:lineRule="exact" w:before="0"/>
        <w:ind w:left="1400" w:right="0" w:firstLine="0"/>
        <w:jc w:val="left"/>
        <w:rPr>
          <w:rFonts w:ascii="Microsoft JhengHei" w:eastAsia="Microsoft JhengHei" w:hint="eastAsia"/>
          <w:b/>
          <w:sz w:val="28"/>
        </w:rPr>
      </w:pPr>
      <w:bookmarkStart w:name="_bookmark37" w:id="38"/>
      <w:bookmarkEnd w:id="38"/>
      <w:r>
        <w:rPr/>
      </w:r>
      <w:r>
        <w:rPr>
          <w:rFonts w:ascii="Microsoft JhengHei" w:eastAsia="Microsoft JhengHei" w:hint="eastAsia"/>
          <w:b/>
          <w:sz w:val="28"/>
        </w:rPr>
        <w:t>（六）基金转换份额的计算方式</w:t>
      </w:r>
    </w:p>
    <w:p>
      <w:pPr>
        <w:pStyle w:val="BodyText"/>
        <w:spacing w:before="118"/>
        <w:ind w:left="1260"/>
      </w:pPr>
      <w:r>
        <w:rPr/>
        <w:t>计算公式：</w:t>
      </w:r>
    </w:p>
    <w:p>
      <w:pPr>
        <w:pStyle w:val="BodyText"/>
        <w:spacing w:line="364" w:lineRule="auto" w:before="140"/>
        <w:ind w:left="1260" w:right="5540"/>
      </w:pPr>
      <w:r>
        <w:rPr/>
        <w:t>A＝［B×C×(1-D)/（1+G）+F］/E H＝B×C×D</w:t>
      </w:r>
    </w:p>
    <w:p>
      <w:pPr>
        <w:pStyle w:val="BodyText"/>
        <w:spacing w:line="268" w:lineRule="exact"/>
        <w:ind w:left="1260"/>
      </w:pPr>
      <w:r>
        <w:rPr/>
        <w:t>J＝[B×C×(1-D)/(1+G)]×G</w:t>
      </w:r>
    </w:p>
    <w:p>
      <w:pPr>
        <w:pStyle w:val="BodyText"/>
        <w:spacing w:line="364" w:lineRule="auto" w:before="139"/>
        <w:ind w:left="840" w:right="8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6"/>
        </w:rPr>
        <w:t>仅</w:t>
      </w: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w:t>
      </w:r>
      <w:r>
        <w:rPr>
          <w:spacing w:val="-11"/>
        </w:rPr>
        <w:t>基金、易方达现金增利货币市场基金、易方达天天发货币市场基金和易方达易理财货币市场</w:t>
      </w:r>
      <w:r>
        <w:rPr/>
        <w:t>基金</w:t>
      </w:r>
      <w:r>
        <w:rPr>
          <w:spacing w:val="-48"/>
        </w:rPr>
        <w:t>）</w:t>
      </w:r>
      <w:r>
        <w:rPr>
          <w:spacing w:val="-3"/>
        </w:rPr>
        <w:t>或者短期理财基金转出时对应的累计未付收益</w:t>
      </w:r>
      <w:r>
        <w:rPr/>
        <w:t>（</w:t>
      </w:r>
      <w:r>
        <w:rPr>
          <w:spacing w:val="-1"/>
        </w:rPr>
        <w:t>转出基金为易方达月月利理财债券型</w:t>
      </w:r>
    </w:p>
    <w:p>
      <w:pPr>
        <w:spacing w:after="0" w:line="364" w:lineRule="auto"/>
        <w:jc w:val="both"/>
        <w:sectPr>
          <w:pgSz w:w="11910" w:h="16840"/>
          <w:pgMar w:header="0" w:footer="638" w:top="1380" w:bottom="900" w:left="960" w:right="980"/>
        </w:sectPr>
      </w:pPr>
    </w:p>
    <w:p>
      <w:pPr>
        <w:pStyle w:val="BodyText"/>
        <w:spacing w:before="45"/>
        <w:ind w:left="840"/>
      </w:pPr>
      <w:r>
        <w:rPr/>
        <w:t>基金和易方达掌柜季季盈理财债券型基金</w:t>
      </w:r>
      <w:r>
        <w:rPr>
          <w:spacing w:val="-105"/>
        </w:rPr>
        <w:t>）</w:t>
      </w:r>
      <w:r>
        <w:rPr/>
        <w:t>；H</w:t>
      </w:r>
      <w:r>
        <w:rPr>
          <w:spacing w:val="-8"/>
        </w:rPr>
        <w:t> 为转出基金赎回费</w:t>
      </w:r>
      <w:r>
        <w:rPr/>
        <w:t>；J</w:t>
      </w:r>
      <w:r>
        <w:rPr>
          <w:spacing w:val="-8"/>
        </w:rPr>
        <w:t> 为申购补差费。</w:t>
      </w:r>
    </w:p>
    <w:p>
      <w:pPr>
        <w:pStyle w:val="BodyText"/>
        <w:spacing w:line="364" w:lineRule="auto" w:before="139"/>
        <w:ind w:left="840" w:right="8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ind w:left="1322"/>
      </w:pPr>
      <w:r>
        <w:rPr/>
        <w:t>说明：</w:t>
      </w:r>
    </w:p>
    <w:p>
      <w:pPr>
        <w:pStyle w:val="BodyText"/>
        <w:spacing w:before="139"/>
        <w:ind w:left="1322"/>
      </w:pPr>
      <w:r>
        <w:rPr/>
        <w:t>1、基金转换费用由转出基金赎回费用及基金申购补差费用构成。</w:t>
      </w:r>
    </w:p>
    <w:p>
      <w:pPr>
        <w:pStyle w:val="BodyText"/>
        <w:spacing w:line="364" w:lineRule="auto" w:before="140"/>
        <w:ind w:left="840" w:right="818" w:firstLine="482"/>
        <w:jc w:val="both"/>
      </w:pPr>
      <w:r>
        <w:rPr/>
        <w:t>2</w:t>
      </w:r>
      <w:r>
        <w:rPr>
          <w:spacing w:val="-8"/>
        </w:rPr>
        <w:t>、转入基金时，从申购费用低的基金向申购费用高的基金转换时，每次收取申购补差</w:t>
      </w:r>
      <w:r>
        <w:rPr/>
        <w:t>费用；从申购费用高的基金向申购费用低的基金转换时,不收取申购补差费用（注：对通过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840" w:right="608" w:firstLine="482"/>
      </w:pPr>
      <w:r>
        <w:rPr/>
        <w:t>3</w:t>
      </w:r>
      <w:r>
        <w:rPr>
          <w:spacing w:val="-8"/>
        </w:rPr>
        <w:t>、转出基金时，如涉及的转出基金有赎回费用，收取该基金的赎回费用。收取的赎回 </w:t>
      </w:r>
      <w:r>
        <w:rPr>
          <w:spacing w:val="-6"/>
        </w:rPr>
        <w:t>费按照各基金的基金合同、更新的招募说明书及最新的相关公告约定的比例归入基金财产， 其余部分用于支付注册登记费等相关手续费。</w:t>
      </w:r>
    </w:p>
    <w:p>
      <w:pPr>
        <w:pStyle w:val="BodyText"/>
        <w:spacing w:line="364" w:lineRule="auto"/>
        <w:ind w:left="840" w:right="818" w:firstLine="482"/>
      </w:pPr>
      <w:r>
        <w:rPr/>
        <w:t>4</w:t>
      </w:r>
      <w:r>
        <w:rPr>
          <w:spacing w:val="-7"/>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840" w:right="818" w:firstLine="420"/>
        <w:jc w:val="both"/>
      </w:pPr>
      <w:r>
        <w:rPr>
          <w:spacing w:val="-5"/>
        </w:rPr>
        <w:t>举例说明：假定某投资者在 </w:t>
      </w:r>
      <w:r>
        <w:rPr/>
        <w:t>T</w:t>
      </w:r>
      <w:r>
        <w:rPr>
          <w:spacing w:val="-22"/>
        </w:rPr>
        <w:t> 日转出 </w:t>
      </w:r>
      <w:r>
        <w:rPr/>
        <w:t>10,000</w:t>
      </w:r>
      <w:r>
        <w:rPr>
          <w:spacing w:val="-8"/>
        </w:rPr>
        <w:t> 份易方达中小盘混合型基金至易方达策略</w:t>
      </w:r>
      <w:r>
        <w:rPr>
          <w:spacing w:val="-11"/>
        </w:rPr>
        <w:t>成长二号混合型基金份额，转出基金 </w:t>
      </w:r>
      <w:r>
        <w:rPr/>
        <w:t>T</w:t>
      </w:r>
      <w:r>
        <w:rPr>
          <w:spacing w:val="-13"/>
        </w:rPr>
        <w:t> 日的基金份额净值为 </w:t>
      </w:r>
      <w:r>
        <w:rPr/>
        <w:t>1.1000</w:t>
      </w:r>
      <w:r>
        <w:rPr>
          <w:spacing w:val="-8"/>
        </w:rPr>
        <w:t> 元，转入易方达策略成</w:t>
      </w:r>
      <w:r>
        <w:rPr>
          <w:spacing w:val="-13"/>
        </w:rPr>
        <w:t>长二号混合型基金 </w:t>
      </w:r>
      <w:r>
        <w:rPr/>
        <w:t>T</w:t>
      </w:r>
      <w:r>
        <w:rPr>
          <w:spacing w:val="-11"/>
        </w:rPr>
        <w:t> 日的基金份额净值为 </w:t>
      </w:r>
      <w:r>
        <w:rPr/>
        <w:t>1.020</w:t>
      </w:r>
      <w:r>
        <w:rPr>
          <w:spacing w:val="-10"/>
        </w:rPr>
        <w:t> 元，假设该转出基金的赎回费率为 </w:t>
      </w:r>
      <w:r>
        <w:rPr/>
        <w:t>0.5%， </w:t>
      </w:r>
      <w:r>
        <w:rPr>
          <w:spacing w:val="-4"/>
        </w:rPr>
        <w:t>申购补差费率为 </w:t>
      </w:r>
      <w:r>
        <w:rPr/>
        <w:t>0.5%，则可获得转入基金的易方达策略成长二号混合型基金基金份额计算如下：</w:t>
      </w:r>
    </w:p>
    <w:p>
      <w:pPr>
        <w:pStyle w:val="BodyText"/>
        <w:spacing w:line="364" w:lineRule="auto"/>
        <w:ind w:left="1260" w:right="1028"/>
      </w:pPr>
      <w:r>
        <w:rPr/>
        <w:t>转换金额＝转出基金申请份额×转出基金份额净值=10,000×1.1000＝11,000.00 元转出基金赎回费＝转换金额×转出基金赎回费率=11,000.00×0.5%=55.00 元</w:t>
      </w:r>
    </w:p>
    <w:p>
      <w:pPr>
        <w:pStyle w:val="BodyText"/>
        <w:spacing w:line="268" w:lineRule="exact"/>
        <w:ind w:left="1260"/>
      </w:pPr>
      <w:r>
        <w:rPr/>
        <w:t>申购补差费=（转换金额—转出基金赎回费）×申购补差费率÷（１＋申购补差费率）=</w:t>
      </w:r>
    </w:p>
    <w:p>
      <w:pPr>
        <w:pStyle w:val="BodyText"/>
        <w:spacing w:before="131"/>
        <w:ind w:left="840"/>
      </w:pPr>
      <w:r>
        <w:rPr/>
        <w:t>（11,000.00-55.00）×0.5%÷(1+0.5%)=54.45 元</w:t>
      </w:r>
    </w:p>
    <w:p>
      <w:pPr>
        <w:pStyle w:val="BodyText"/>
        <w:spacing w:line="364" w:lineRule="auto" w:before="140"/>
        <w:ind w:left="1260" w:right="2813"/>
      </w:pPr>
      <w:r>
        <w:rPr/>
        <w:t>转换费＝转出基金赎回费+申购补差费=55.00+54.45＝109.45 元转入金额=转换金额—转换费=11,000.00-109.45=10,890.55 元</w:t>
      </w:r>
    </w:p>
    <w:p>
      <w:pPr>
        <w:pStyle w:val="BodyText"/>
        <w:spacing w:line="268" w:lineRule="exact"/>
        <w:ind w:left="1260"/>
      </w:pPr>
      <w:r>
        <w:rPr/>
        <w:t>转入份额=转入金额÷转入基金份额净值=10,890.55÷1.020=10,677.01 份</w:t>
      </w:r>
    </w:p>
    <w:p>
      <w:pPr>
        <w:pStyle w:val="BodyText"/>
        <w:spacing w:before="8"/>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ind w:left="132"/>
              <w:rPr>
                <w:sz w:val="21"/>
              </w:rPr>
            </w:pPr>
            <w:r>
              <w:rPr>
                <w:sz w:val="21"/>
              </w:rPr>
              <w:t>转出份额</w:t>
            </w:r>
          </w:p>
        </w:tc>
        <w:tc>
          <w:tcPr>
            <w:tcW w:w="900" w:type="dxa"/>
            <w:vMerge w:val="restart"/>
          </w:tcPr>
          <w:p>
            <w:pPr>
              <w:pStyle w:val="TableParagraph"/>
              <w:spacing w:line="364" w:lineRule="auto"/>
              <w:ind w:left="42" w:right="5"/>
              <w:rPr>
                <w:sz w:val="21"/>
              </w:rPr>
            </w:pPr>
            <w:r>
              <w:rPr>
                <w:sz w:val="21"/>
              </w:rPr>
              <w:t>转出基金份额净值</w:t>
            </w:r>
          </w:p>
        </w:tc>
        <w:tc>
          <w:tcPr>
            <w:tcW w:w="1440" w:type="dxa"/>
            <w:vMerge w:val="restart"/>
          </w:tcPr>
          <w:p>
            <w:pPr>
              <w:pStyle w:val="TableParagraph"/>
              <w:ind w:left="312"/>
              <w:rPr>
                <w:sz w:val="21"/>
              </w:rPr>
            </w:pPr>
            <w:r>
              <w:rPr>
                <w:sz w:val="21"/>
              </w:rPr>
              <w:t>转换金额</w:t>
            </w:r>
          </w:p>
        </w:tc>
        <w:tc>
          <w:tcPr>
            <w:tcW w:w="2340" w:type="dxa"/>
            <w:gridSpan w:val="2"/>
          </w:tcPr>
          <w:p>
            <w:pPr>
              <w:pStyle w:val="TableParagraph"/>
              <w:ind w:left="847" w:right="813"/>
              <w:jc w:val="center"/>
              <w:rPr>
                <w:sz w:val="21"/>
              </w:rPr>
            </w:pPr>
            <w:r>
              <w:rPr>
                <w:sz w:val="21"/>
              </w:rPr>
              <w:t>转换费</w:t>
            </w:r>
          </w:p>
        </w:tc>
        <w:tc>
          <w:tcPr>
            <w:tcW w:w="1440" w:type="dxa"/>
            <w:vMerge w:val="restart"/>
          </w:tcPr>
          <w:p>
            <w:pPr>
              <w:pStyle w:val="TableParagraph"/>
              <w:ind w:left="312"/>
              <w:rPr>
                <w:sz w:val="21"/>
              </w:rPr>
            </w:pPr>
            <w:r>
              <w:rPr>
                <w:sz w:val="21"/>
              </w:rPr>
              <w:t>转入金额</w:t>
            </w:r>
          </w:p>
        </w:tc>
        <w:tc>
          <w:tcPr>
            <w:tcW w:w="1185" w:type="dxa"/>
            <w:vMerge w:val="restart"/>
          </w:tcPr>
          <w:p>
            <w:pPr>
              <w:pStyle w:val="TableParagraph"/>
              <w:spacing w:line="364" w:lineRule="auto"/>
              <w:ind w:left="290" w:right="44" w:hanging="210"/>
              <w:rPr>
                <w:sz w:val="21"/>
              </w:rPr>
            </w:pPr>
            <w:r>
              <w:rPr>
                <w:sz w:val="21"/>
              </w:rPr>
              <w:t>转入基金份额净值</w:t>
            </w:r>
          </w:p>
        </w:tc>
        <w:tc>
          <w:tcPr>
            <w:tcW w:w="1335" w:type="dxa"/>
            <w:vMerge w:val="restart"/>
          </w:tcPr>
          <w:p>
            <w:pPr>
              <w:pStyle w:val="TableParagraph"/>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ind w:left="27" w:right="-15"/>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bl>
    <w:p>
      <w:pPr>
        <w:spacing w:after="0"/>
        <w:rPr>
          <w:sz w:val="2"/>
          <w:szCs w:val="2"/>
        </w:rPr>
        <w:sectPr>
          <w:pgSz w:w="11910" w:h="16840"/>
          <w:pgMar w:header="0" w:footer="638" w:top="1380" w:bottom="900" w:left="960" w:right="98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08" w:hRule="atLeast"/>
        </w:trPr>
        <w:tc>
          <w:tcPr>
            <w:tcW w:w="1080" w:type="dxa"/>
          </w:tcPr>
          <w:p>
            <w:pPr>
              <w:pStyle w:val="TableParagraph"/>
              <w:ind w:left="106"/>
              <w:rPr>
                <w:sz w:val="21"/>
              </w:rPr>
            </w:pPr>
            <w:r>
              <w:rPr>
                <w:sz w:val="21"/>
              </w:rPr>
              <w:t>10,000 份</w:t>
            </w:r>
          </w:p>
        </w:tc>
        <w:tc>
          <w:tcPr>
            <w:tcW w:w="900" w:type="dxa"/>
          </w:tcPr>
          <w:p>
            <w:pPr>
              <w:pStyle w:val="TableParagraph"/>
              <w:ind w:left="16" w:right="-29"/>
              <w:rPr>
                <w:sz w:val="21"/>
              </w:rPr>
            </w:pPr>
            <w:r>
              <w:rPr>
                <w:sz w:val="21"/>
              </w:rPr>
              <w:t>1.1000</w:t>
            </w:r>
            <w:r>
              <w:rPr>
                <w:spacing w:val="-27"/>
                <w:sz w:val="21"/>
              </w:rPr>
              <w:t> 元</w:t>
            </w:r>
          </w:p>
        </w:tc>
        <w:tc>
          <w:tcPr>
            <w:tcW w:w="1440" w:type="dxa"/>
          </w:tcPr>
          <w:p>
            <w:pPr>
              <w:pStyle w:val="TableParagraph"/>
              <w:ind w:left="128"/>
              <w:rPr>
                <w:sz w:val="21"/>
              </w:rPr>
            </w:pPr>
            <w:r>
              <w:rPr>
                <w:sz w:val="21"/>
              </w:rPr>
              <w:t>11,000.00 元</w:t>
            </w:r>
          </w:p>
        </w:tc>
        <w:tc>
          <w:tcPr>
            <w:tcW w:w="1260" w:type="dxa"/>
          </w:tcPr>
          <w:p>
            <w:pPr>
              <w:pStyle w:val="TableParagraph"/>
              <w:ind w:left="248"/>
              <w:rPr>
                <w:sz w:val="21"/>
              </w:rPr>
            </w:pPr>
            <w:r>
              <w:rPr>
                <w:sz w:val="21"/>
              </w:rPr>
              <w:t>55.00 元</w:t>
            </w:r>
          </w:p>
        </w:tc>
        <w:tc>
          <w:tcPr>
            <w:tcW w:w="1080" w:type="dxa"/>
          </w:tcPr>
          <w:p>
            <w:pPr>
              <w:pStyle w:val="TableParagraph"/>
              <w:ind w:left="158"/>
              <w:rPr>
                <w:sz w:val="21"/>
              </w:rPr>
            </w:pPr>
            <w:r>
              <w:rPr>
                <w:sz w:val="21"/>
              </w:rPr>
              <w:t>54.45 元</w:t>
            </w:r>
          </w:p>
        </w:tc>
        <w:tc>
          <w:tcPr>
            <w:tcW w:w="1440" w:type="dxa"/>
          </w:tcPr>
          <w:p>
            <w:pPr>
              <w:pStyle w:val="TableParagraph"/>
              <w:ind w:left="128"/>
              <w:rPr>
                <w:sz w:val="21"/>
              </w:rPr>
            </w:pPr>
            <w:r>
              <w:rPr>
                <w:sz w:val="21"/>
              </w:rPr>
              <w:t>10,890.55 元</w:t>
            </w:r>
          </w:p>
        </w:tc>
        <w:tc>
          <w:tcPr>
            <w:tcW w:w="1185" w:type="dxa"/>
          </w:tcPr>
          <w:p>
            <w:pPr>
              <w:pStyle w:val="TableParagraph"/>
              <w:ind w:left="211"/>
              <w:rPr>
                <w:sz w:val="21"/>
              </w:rPr>
            </w:pPr>
            <w:r>
              <w:rPr>
                <w:sz w:val="21"/>
              </w:rPr>
              <w:t>1.020 元</w:t>
            </w:r>
          </w:p>
        </w:tc>
        <w:tc>
          <w:tcPr>
            <w:tcW w:w="1335" w:type="dxa"/>
          </w:tcPr>
          <w:p>
            <w:pPr>
              <w:pStyle w:val="TableParagraph"/>
              <w:ind w:left="76"/>
              <w:rPr>
                <w:sz w:val="21"/>
              </w:rPr>
            </w:pPr>
            <w:r>
              <w:rPr>
                <w:sz w:val="21"/>
              </w:rPr>
              <w:t>10,677.01</w:t>
            </w:r>
            <w:r>
              <w:rPr>
                <w:spacing w:val="-27"/>
                <w:sz w:val="21"/>
              </w:rPr>
              <w:t> 份</w:t>
            </w:r>
          </w:p>
        </w:tc>
      </w:tr>
    </w:tbl>
    <w:p>
      <w:pPr>
        <w:pStyle w:val="BodyText"/>
        <w:spacing w:line="364" w:lineRule="auto" w:before="3"/>
        <w:ind w:left="840" w:right="608" w:firstLine="420"/>
      </w:pPr>
      <w:r>
        <w:rPr>
          <w:spacing w:val="-2"/>
        </w:rPr>
        <w:t>注：本基金转出至易方达平稳增长混合、易方达策略成长混合、易方达上证 </w:t>
      </w:r>
      <w:r>
        <w:rPr/>
        <w:t>50</w:t>
      </w:r>
      <w:r>
        <w:rPr>
          <w:spacing w:val="-10"/>
        </w:rPr>
        <w:t> 指数、易</w:t>
      </w:r>
      <w:r>
        <w:rPr>
          <w:spacing w:val="-14"/>
        </w:rPr>
        <w:t>方达积极成长混合、易方达货币、易方达稳健收益债券时，转入份额的计算结果保留到小 数</w:t>
      </w:r>
      <w:r>
        <w:rPr>
          <w:spacing w:val="-17"/>
        </w:rPr>
        <w:t>点后两位，小数点两位以后舍去，舍去部分所代表的资产归基金财产所有；本基金转出至 易方达天天理财货币、易方达信用债债券、易方达纯债 </w:t>
      </w:r>
      <w:r>
        <w:rPr/>
        <w:t>1</w:t>
      </w:r>
      <w:r>
        <w:rPr>
          <w:spacing w:val="-9"/>
        </w:rPr>
        <w:t> 年定期开放债券、易方达高等级信用债</w:t>
      </w:r>
      <w:r>
        <w:rPr>
          <w:spacing w:val="-11"/>
        </w:rPr>
        <w:t>债券、易方达裕丰回报债券、易方达丰华债券、易方达投资级信用债债券、易方达恒久  </w:t>
      </w:r>
      <w:r>
        <w:rPr/>
        <w:t>1</w:t>
      </w:r>
      <w:r>
        <w:rPr>
          <w:spacing w:val="-25"/>
        </w:rPr>
        <w:t> 年</w:t>
      </w:r>
      <w:r>
        <w:rPr>
          <w:spacing w:val="-18"/>
        </w:rPr>
        <w:t>定期债券、易方达黄金 </w:t>
      </w:r>
      <w:r>
        <w:rPr/>
        <w:t>ETF</w:t>
      </w:r>
      <w:r>
        <w:rPr>
          <w:spacing w:val="-10"/>
        </w:rPr>
        <w:t> 联接、易方达易理财货币、易方达新兴成长混合、易方达裕惠定</w:t>
      </w:r>
      <w:r>
        <w:rPr>
          <w:spacing w:val="-12"/>
        </w:rPr>
        <w:t>开混合发起式、易方达创新驱动混合、易方达现金增利货币、易方达财富快线货币、易 方达</w:t>
      </w:r>
      <w:r>
        <w:rPr>
          <w:spacing w:val="-13"/>
        </w:rPr>
        <w:t>天天增利货币、易方达龙宝货币、易方达天天发货币、易方达掌柜季季盈理财债券、易 方达</w:t>
      </w:r>
      <w:r>
        <w:rPr>
          <w:spacing w:val="-25"/>
        </w:rPr>
        <w:t>沪深 </w:t>
      </w:r>
      <w:r>
        <w:rPr/>
        <w:t>300</w:t>
      </w:r>
      <w:r>
        <w:rPr>
          <w:spacing w:val="-12"/>
        </w:rPr>
        <w:t> 非银联接、易方达增金宝货币、易方达新经济混合、易方达改革红利混合、易方达裕</w:t>
      </w:r>
      <w:r>
        <w:rPr>
          <w:spacing w:val="-13"/>
        </w:rPr>
        <w:t>如混合、易方达安心回馈混合、易方达新常态混合、易方达新收益混合、易方达新利 混合、</w:t>
      </w:r>
      <w:r>
        <w:rPr>
          <w:spacing w:val="-14"/>
        </w:rPr>
        <w:t>易方达新鑫混合、易方达新益混合、易方达新享混合、易方达沪深 </w:t>
      </w:r>
      <w:r>
        <w:rPr/>
        <w:t>300</w:t>
      </w:r>
      <w:r>
        <w:rPr>
          <w:spacing w:val="-27"/>
        </w:rPr>
        <w:t> 医药 </w:t>
      </w:r>
      <w:r>
        <w:rPr/>
        <w:t>ETF</w:t>
      </w:r>
      <w:r>
        <w:rPr>
          <w:spacing w:val="-9"/>
        </w:rPr>
        <w:t> 联接、易方达</w:t>
      </w:r>
      <w:r>
        <w:rPr>
          <w:spacing w:val="-13"/>
        </w:rPr>
        <w:t>新丝路混合、易方达国企改革混合、易方达瑞景混合、易方达瑞享混合、易方达瑞信 混合、</w:t>
      </w:r>
      <w:r>
        <w:rPr>
          <w:spacing w:val="-7"/>
        </w:rPr>
        <w:t>易方达瑞选混合、易方达国防军工混合、易方达中债 </w:t>
      </w:r>
      <w:r>
        <w:rPr/>
        <w:t>3-5</w:t>
      </w:r>
      <w:r>
        <w:rPr>
          <w:spacing w:val="-9"/>
        </w:rPr>
        <w:t> 年期国债指数、易方达信息产业混</w:t>
      </w:r>
      <w:r>
        <w:rPr>
          <w:spacing w:val="-11"/>
        </w:rPr>
        <w:t>合、易方达瑞和混合、易方达安盈回报混合、易方达瑞财混合、易方达瑞智混合、易 方达瑞</w:t>
      </w:r>
      <w:r>
        <w:rPr>
          <w:spacing w:val="-12"/>
        </w:rPr>
        <w:t>兴混合、易方达瑞恒混合、易方达瑞祥混合、易方达环保主题混合、易方达现代服务 业混合</w:t>
      </w:r>
      <w:r>
        <w:rPr>
          <w:spacing w:val="-9"/>
        </w:rPr>
        <w:t>、易方达大健康主题混合、易方达量化策略精选混合、易方达裕祥回报债券、易方达 裕景添</w:t>
      </w:r>
      <w:r>
        <w:rPr>
          <w:spacing w:val="-13"/>
        </w:rPr>
        <w:t>利 </w:t>
      </w:r>
      <w:r>
        <w:rPr/>
        <w:t>6</w:t>
      </w:r>
      <w:r>
        <w:rPr>
          <w:spacing w:val="-4"/>
        </w:rPr>
        <w:t> 个月定期开放债券、易方达丰惠混合、易方达供给改革混合、易方达丰和债券、</w:t>
      </w:r>
    </w:p>
    <w:p>
      <w:pPr>
        <w:pStyle w:val="BodyText"/>
        <w:spacing w:line="364" w:lineRule="auto"/>
        <w:ind w:left="840" w:right="608"/>
      </w:pPr>
      <w:r>
        <w:rPr>
          <w:spacing w:val="-2"/>
        </w:rPr>
        <w:t>易方达裕鑫债券、易方达富惠纯债债券、易方达科瑞混合、易方达中债 </w:t>
      </w:r>
      <w:r>
        <w:rPr/>
        <w:t>7-10</w:t>
      </w:r>
      <w:r>
        <w:rPr>
          <w:spacing w:val="-7"/>
        </w:rPr>
        <w:t> 年期国开行债券</w:t>
      </w:r>
      <w:r>
        <w:rPr>
          <w:spacing w:val="-16"/>
        </w:rPr>
        <w:t>指数、易方达瑞通混合、易方达瑞弘混合、易方达瑞程混合、易方达恒益定开债券发起式、易</w:t>
      </w:r>
      <w:r>
        <w:rPr>
          <w:spacing w:val="-17"/>
        </w:rPr>
        <w:t>方达易百智能量化策略混合、易方达恒安定开债券发起式、易方达港股通红利混合、易方 达</w:t>
      </w:r>
      <w:r>
        <w:rPr>
          <w:spacing w:val="-19"/>
        </w:rPr>
        <w:t>富财纯债债券、易方达恒信定开债券发起式、易方达蓝筹精选混合、易方达中盘成长混合、易</w:t>
      </w:r>
      <w:r>
        <w:rPr>
          <w:spacing w:val="-16"/>
        </w:rPr>
        <w:t>方达鑫转增利混合、易方达鑫转添利混合、易方达鑫转招利混合、易方达恒惠定开债券发 起式、易方达安瑞短债债券、易方达科融混合、易方达安悦超短债债券、易方达 </w:t>
      </w:r>
      <w:r>
        <w:rPr/>
        <w:t>MSCI</w:t>
      </w:r>
      <w:r>
        <w:rPr>
          <w:spacing w:val="-26"/>
        </w:rPr>
        <w:t> 中国 </w:t>
      </w:r>
      <w:r>
        <w:rPr/>
        <w:t>A 股</w:t>
      </w:r>
      <w:r>
        <w:rPr>
          <w:spacing w:val="-13"/>
        </w:rPr>
        <w:t>国际通 </w:t>
      </w:r>
      <w:r>
        <w:rPr/>
        <w:t>ETF</w:t>
      </w:r>
      <w:r>
        <w:rPr>
          <w:spacing w:val="-12"/>
        </w:rPr>
        <w:t> 联接发起式、易方达中证 </w:t>
      </w:r>
      <w:r>
        <w:rPr/>
        <w:t>500ETF</w:t>
      </w:r>
      <w:r>
        <w:rPr>
          <w:spacing w:val="-12"/>
        </w:rPr>
        <w:t> 联接发起式、易方达恒利 </w:t>
      </w:r>
      <w:r>
        <w:rPr/>
        <w:t>3</w:t>
      </w:r>
      <w:r>
        <w:rPr>
          <w:spacing w:val="-8"/>
        </w:rPr>
        <w:t> 个月定开债券发起式</w:t>
      </w:r>
      <w:r>
        <w:rPr>
          <w:spacing w:val="-14"/>
        </w:rPr>
        <w:t>、易方达中债 </w:t>
      </w:r>
      <w:r>
        <w:rPr/>
        <w:t>1-3</w:t>
      </w:r>
      <w:r>
        <w:rPr>
          <w:spacing w:val="-13"/>
        </w:rPr>
        <w:t> 年国开行债券指数、易方达中债 </w:t>
      </w:r>
      <w:r>
        <w:rPr/>
        <w:t>3-5</w:t>
      </w:r>
      <w:r>
        <w:rPr>
          <w:spacing w:val="-10"/>
        </w:rPr>
        <w:t> 年国开行债券指数、易方达中债</w:t>
      </w:r>
      <w:r>
        <w:rPr/>
        <w:t>1-3</w:t>
      </w:r>
      <w:r>
        <w:rPr>
          <w:spacing w:val="-26"/>
        </w:rPr>
        <w:t> 年</w:t>
      </w:r>
      <w:r>
        <w:rPr>
          <w:spacing w:val="-19"/>
        </w:rPr>
        <w:t>政金债指数、易方达中债 </w:t>
      </w:r>
      <w:r>
        <w:rPr/>
        <w:t>3-5</w:t>
      </w:r>
      <w:r>
        <w:rPr>
          <w:spacing w:val="-12"/>
        </w:rPr>
        <w:t> 年政金债指数、易方达上证 </w:t>
      </w:r>
      <w:r>
        <w:rPr/>
        <w:t>50ETF</w:t>
      </w:r>
      <w:r>
        <w:rPr>
          <w:spacing w:val="-13"/>
        </w:rPr>
        <w:t> 联接发起式、易方达恒兴 </w:t>
      </w:r>
      <w:r>
        <w:rPr/>
        <w:t>3</w:t>
      </w:r>
      <w:r>
        <w:rPr>
          <w:spacing w:val="-60"/>
        </w:rPr>
        <w:t> </w:t>
      </w:r>
      <w:r>
        <w:rPr>
          <w:spacing w:val="-14"/>
        </w:rPr>
        <w:t>个月定开债券发起式、易方达 </w:t>
      </w:r>
      <w:r>
        <w:rPr/>
        <w:t>ESG</w:t>
      </w:r>
      <w:r>
        <w:rPr>
          <w:spacing w:val="-16"/>
        </w:rPr>
        <w:t> 责任投资股票发起式、易方达中证国企一带一路 </w:t>
      </w:r>
      <w:r>
        <w:rPr/>
        <w:t>ETF 联接、</w:t>
      </w:r>
      <w:r>
        <w:rPr>
          <w:spacing w:val="-9"/>
        </w:rPr>
        <w:t>易方达中证 </w:t>
      </w:r>
      <w:r>
        <w:rPr/>
        <w:t>800ETF</w:t>
      </w:r>
      <w:r>
        <w:rPr>
          <w:spacing w:val="-11"/>
        </w:rPr>
        <w:t> 联接发起式、易方达恒盛 </w:t>
      </w:r>
      <w:r>
        <w:rPr/>
        <w:t>3</w:t>
      </w:r>
      <w:r>
        <w:rPr>
          <w:spacing w:val="-8"/>
        </w:rPr>
        <w:t> 个月定开混合发起式、易方达研究精选股票、</w:t>
      </w:r>
      <w:r>
        <w:rPr>
          <w:spacing w:val="-5"/>
        </w:rPr>
        <w:t>易方达裕富债券、易方达高端制造混合发起式、易方达消费精选股票、易方达金融 行业股票</w:t>
      </w:r>
      <w:r>
        <w:rPr>
          <w:spacing w:val="-1"/>
        </w:rPr>
        <w:t>发起式、易方达价值精选混合、易方达价值成长混合、易方达科汇灵活配置混合、易方达科</w:t>
      </w:r>
      <w:r>
        <w:rPr>
          <w:spacing w:val="-3"/>
        </w:rPr>
        <w:t>翔混合、易方达行业领先混合、易方达增强回报债券、易方达深证 </w:t>
      </w:r>
      <w:r>
        <w:rPr/>
        <w:t>100ETF</w:t>
      </w:r>
      <w:r>
        <w:rPr>
          <w:spacing w:val="-7"/>
        </w:rPr>
        <w:t> 联接、易方达沪深</w:t>
      </w:r>
      <w:r>
        <w:rPr>
          <w:spacing w:val="-49"/>
        </w:rPr>
        <w:t> </w:t>
      </w:r>
      <w:r>
        <w:rPr/>
        <w:t>300ETF</w:t>
      </w:r>
      <w:r>
        <w:rPr>
          <w:spacing w:val="-10"/>
        </w:rPr>
        <w:t> 发起式联接、易方达上证中盘 </w:t>
      </w:r>
      <w:r>
        <w:rPr/>
        <w:t>ETF</w:t>
      </w:r>
      <w:r>
        <w:rPr>
          <w:spacing w:val="-7"/>
        </w:rPr>
        <w:t> 联接、易方达消费行业股票、易方达医疗保健行业</w:t>
      </w:r>
      <w:r>
        <w:rPr>
          <w:spacing w:val="-2"/>
        </w:rPr>
        <w:t>混合、易方达资源行业混合、易方达创业板 </w:t>
      </w:r>
      <w:r>
        <w:rPr/>
        <w:t>ETF</w:t>
      </w:r>
      <w:r>
        <w:rPr>
          <w:spacing w:val="-4"/>
        </w:rPr>
        <w:t> 联接、易方达安心回报债券、</w:t>
      </w:r>
    </w:p>
    <w:p>
      <w:pPr>
        <w:spacing w:after="0" w:line="364" w:lineRule="auto"/>
        <w:sectPr>
          <w:pgSz w:w="11910" w:h="16840"/>
          <w:pgMar w:header="0" w:footer="638" w:top="1420" w:bottom="900" w:left="960" w:right="980"/>
        </w:sectPr>
      </w:pPr>
    </w:p>
    <w:p>
      <w:pPr>
        <w:pStyle w:val="BodyText"/>
        <w:spacing w:line="364" w:lineRule="auto" w:before="45"/>
        <w:ind w:left="840" w:right="817"/>
        <w:jc w:val="both"/>
      </w:pPr>
      <w:r>
        <w:rPr>
          <w:spacing w:val="-7"/>
        </w:rPr>
        <w:t>易方达科讯混合、易方达沪深 </w:t>
      </w:r>
      <w:r>
        <w:rPr/>
        <w:t>300</w:t>
      </w:r>
      <w:r>
        <w:rPr>
          <w:spacing w:val="-12"/>
        </w:rPr>
        <w:t> 量化增强、易方达双债增强债券、易方达纯债债券、易方</w:t>
      </w:r>
      <w:r>
        <w:rPr>
          <w:spacing w:val="-8"/>
        </w:rPr>
        <w:t>达月月利理财债券、易方达安源中短债债券、易方达策略成长二号混合时，转入份额的计算</w:t>
      </w:r>
      <w:r>
        <w:rPr>
          <w:spacing w:val="-7"/>
        </w:rPr>
        <w:t>结果保留到小数点后两位，小数点后两位以后的部分四舍五入，由此误差产生的损失由基金</w:t>
      </w:r>
      <w:r>
        <w:rPr/>
        <w:t>财产承担，产生的收益归基金财产所有。</w:t>
      </w:r>
    </w:p>
    <w:p>
      <w:pPr>
        <w:spacing w:line="422" w:lineRule="exact" w:before="0"/>
        <w:ind w:left="1400" w:right="0" w:firstLine="0"/>
        <w:jc w:val="left"/>
        <w:rPr>
          <w:rFonts w:ascii="Microsoft JhengHei" w:eastAsia="Microsoft JhengHei" w:hint="eastAsia"/>
          <w:b/>
          <w:sz w:val="28"/>
        </w:rPr>
      </w:pPr>
      <w:bookmarkStart w:name="_bookmark38" w:id="39"/>
      <w:bookmarkEnd w:id="39"/>
      <w:r>
        <w:rPr/>
      </w:r>
      <w:r>
        <w:rPr>
          <w:rFonts w:ascii="Microsoft JhengHei" w:eastAsia="Microsoft JhengHei" w:hint="eastAsia"/>
          <w:b/>
          <w:sz w:val="28"/>
        </w:rPr>
        <w:t>（七）基金转换的注册登记</w:t>
      </w:r>
    </w:p>
    <w:p>
      <w:pPr>
        <w:pStyle w:val="BodyText"/>
        <w:spacing w:line="364" w:lineRule="auto" w:before="121"/>
        <w:ind w:left="840" w:right="8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364" w:lineRule="auto"/>
        <w:ind w:left="840" w:right="818" w:firstLine="420"/>
        <w:jc w:val="both"/>
      </w:pPr>
      <w:r>
        <w:rPr>
          <w:spacing w:val="-6"/>
        </w:rPr>
        <w:t>基金管理人可在法律法规允许的范围内，对上述注册登记办理时间进行调整，并最迟应</w:t>
      </w:r>
      <w:r>
        <w:rPr>
          <w:spacing w:val="-8"/>
        </w:rPr>
        <w:t>在调整生效前 </w:t>
      </w:r>
      <w:r>
        <w:rPr/>
        <w:t>2</w:t>
      </w:r>
      <w:r>
        <w:rPr>
          <w:spacing w:val="-8"/>
        </w:rPr>
        <w:t> 日在指定媒介上予以公告。</w:t>
      </w:r>
    </w:p>
    <w:p>
      <w:pPr>
        <w:spacing w:line="423" w:lineRule="exact" w:before="0"/>
        <w:ind w:left="1400" w:right="0" w:firstLine="0"/>
        <w:jc w:val="left"/>
        <w:rPr>
          <w:rFonts w:ascii="Microsoft JhengHei" w:eastAsia="Microsoft JhengHei" w:hint="eastAsia"/>
          <w:b/>
          <w:sz w:val="28"/>
        </w:rPr>
      </w:pPr>
      <w:bookmarkStart w:name="_bookmark39" w:id="40"/>
      <w:bookmarkEnd w:id="40"/>
      <w:r>
        <w:rPr/>
      </w:r>
      <w:r>
        <w:rPr>
          <w:rFonts w:ascii="Microsoft JhengHei" w:eastAsia="Microsoft JhengHei" w:hint="eastAsia"/>
          <w:b/>
          <w:sz w:val="28"/>
        </w:rPr>
        <w:t>（八）基金转换与巨额赎回</w:t>
      </w:r>
    </w:p>
    <w:p>
      <w:pPr>
        <w:pStyle w:val="BodyText"/>
        <w:spacing w:line="364" w:lineRule="auto" w:before="120"/>
        <w:ind w:left="840" w:right="817" w:firstLine="420"/>
        <w:jc w:val="both"/>
      </w:pPr>
      <w:r>
        <w:rPr>
          <w:spacing w:val="-9"/>
        </w:rPr>
        <w:t>当发生巨额赎回时，基金转出与基金赎回具有相同的优先级，基金管理人可根据基金资</w:t>
      </w:r>
      <w:r>
        <w:rPr>
          <w:spacing w:val="-10"/>
        </w:rPr>
        <w:t>产组合情况，决定全额转出或部分转出，并且对于基金转出和基金赎回，将采取相同的比例</w:t>
      </w:r>
      <w:r>
        <w:rPr/>
        <w:t>确认（另有公告的除外</w:t>
      </w:r>
      <w:r>
        <w:rPr>
          <w:spacing w:val="-48"/>
        </w:rPr>
        <w:t>）；</w:t>
      </w:r>
      <w:r>
        <w:rPr>
          <w:spacing w:val="-1"/>
        </w:rPr>
        <w:t>在转出申请得到部分确认的情况下，未确认的转出申请将不予以</w:t>
      </w:r>
      <w:r>
        <w:rPr/>
        <w:t>顺延。</w:t>
      </w:r>
    </w:p>
    <w:p>
      <w:pPr>
        <w:spacing w:line="422" w:lineRule="exact" w:before="0"/>
        <w:ind w:left="1400" w:right="0" w:firstLine="0"/>
        <w:jc w:val="left"/>
        <w:rPr>
          <w:rFonts w:ascii="Microsoft JhengHei" w:eastAsia="Microsoft JhengHei" w:hint="eastAsia"/>
          <w:b/>
          <w:sz w:val="28"/>
        </w:rPr>
      </w:pPr>
      <w:bookmarkStart w:name="_bookmark40" w:id="41"/>
      <w:bookmarkEnd w:id="41"/>
      <w:r>
        <w:rPr/>
      </w:r>
      <w:r>
        <w:rPr>
          <w:rFonts w:ascii="Microsoft JhengHei" w:eastAsia="Microsoft JhengHei" w:hint="eastAsia"/>
          <w:b/>
          <w:sz w:val="28"/>
        </w:rPr>
        <w:t>（九）拒绝或暂停基金转换的情形</w:t>
      </w:r>
    </w:p>
    <w:p>
      <w:pPr>
        <w:pStyle w:val="BodyText"/>
        <w:spacing w:before="121"/>
        <w:ind w:left="1260"/>
      </w:pPr>
      <w:r>
        <w:rPr/>
        <w:t>出现下列情况之一时,基金管理人可以暂停接受基金份额持有人的基金转换申请：</w:t>
      </w:r>
    </w:p>
    <w:p>
      <w:pPr>
        <w:pStyle w:val="BodyText"/>
        <w:spacing w:before="139"/>
        <w:ind w:left="1260"/>
      </w:pPr>
      <w:r>
        <w:rPr/>
        <w:t>1、不可抗力的原因导致基金无法正常运作；</w:t>
      </w:r>
    </w:p>
    <w:p>
      <w:pPr>
        <w:pStyle w:val="BodyText"/>
        <w:spacing w:line="364" w:lineRule="auto" w:before="140"/>
        <w:ind w:left="840" w:right="818" w:firstLine="420"/>
      </w:pPr>
      <w:r>
        <w:rPr/>
        <w:t>2、证券交易场所在交易时间非正常停市或证券交易场所依法决定临时停市，导致当日基金资产净值无法计算；</w:t>
      </w:r>
    </w:p>
    <w:p>
      <w:pPr>
        <w:pStyle w:val="BodyText"/>
        <w:spacing w:line="268" w:lineRule="exact"/>
        <w:ind w:left="1260"/>
      </w:pPr>
      <w:r>
        <w:rPr/>
        <w:t>3、因市场剧烈波动或其它原因而出现连续巨额赎回，导致本基金的现金支付出现困难；</w:t>
      </w:r>
    </w:p>
    <w:p>
      <w:pPr>
        <w:pStyle w:val="BodyText"/>
        <w:spacing w:before="139"/>
        <w:ind w:left="1260"/>
      </w:pPr>
      <w:r>
        <w:rPr/>
        <w:t>4、基金管理人认为会有损于现有基金份额持有人利益的某笔转入或某笔转出；</w:t>
      </w:r>
    </w:p>
    <w:p>
      <w:pPr>
        <w:pStyle w:val="BodyText"/>
        <w:spacing w:before="140"/>
        <w:ind w:left="1260"/>
      </w:pPr>
      <w:r>
        <w:rPr/>
        <w:t>5、发生基金合同规定的暂停基金资产估值情况；</w:t>
      </w:r>
    </w:p>
    <w:p>
      <w:pPr>
        <w:pStyle w:val="BodyText"/>
        <w:spacing w:line="364" w:lineRule="auto" w:before="139"/>
        <w:ind w:left="840" w:right="818" w:firstLine="420"/>
      </w:pPr>
      <w:r>
        <w:rPr/>
        <w:t>6、基金资产规模过大，使基金管理人无法找到合适的投资品种，或可能对基金业绩产生负面影响，从而损害现有基金份额持有人的利益；</w:t>
      </w:r>
    </w:p>
    <w:p>
      <w:pPr>
        <w:pStyle w:val="BodyText"/>
        <w:spacing w:line="364" w:lineRule="auto"/>
        <w:ind w:left="840" w:right="818" w:firstLine="420"/>
      </w:pPr>
      <w:r>
        <w:rPr/>
        <w:t>7、基金管理人接受某笔或者某些转换转入申请有可能导致单一投资者持有基金份额的比例达到或者超过 50%，或者变相规避 50%集中度的情形时；</w:t>
      </w:r>
    </w:p>
    <w:p>
      <w:pPr>
        <w:pStyle w:val="BodyText"/>
        <w:spacing w:line="364" w:lineRule="auto"/>
        <w:ind w:left="840" w:right="671" w:firstLine="420"/>
      </w:pPr>
      <w:r>
        <w:rPr/>
        <w:t>8、当一笔新的转换转入申请被确认成功，使本基金总规模超过基金管理人规定的本基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left="840" w:right="818" w:firstLine="420"/>
      </w:pPr>
      <w:r>
        <w:rPr/>
        <w:t>9</w:t>
      </w:r>
      <w:r>
        <w:rPr>
          <w:spacing w:val="-3"/>
        </w:rPr>
        <w:t>、当前一估值日基金资产净值 </w:t>
      </w:r>
      <w:r>
        <w:rPr/>
        <w:t>50%以上的资产出现无可参考的活跃市场价格且采用估</w:t>
      </w:r>
      <w:r>
        <w:rPr>
          <w:spacing w:val="-6"/>
        </w:rPr>
        <w:t>值技术仍导致公允价值存在重大不确定性时，经与基金托管人协商确认后，基金管理人应当</w:t>
      </w:r>
    </w:p>
    <w:p>
      <w:pPr>
        <w:spacing w:after="0" w:line="364" w:lineRule="auto"/>
        <w:sectPr>
          <w:pgSz w:w="11910" w:h="16840"/>
          <w:pgMar w:header="0" w:footer="638" w:top="1380" w:bottom="900" w:left="960" w:right="980"/>
        </w:sectPr>
      </w:pPr>
    </w:p>
    <w:p>
      <w:pPr>
        <w:pStyle w:val="BodyText"/>
        <w:spacing w:before="45"/>
        <w:ind w:left="840"/>
      </w:pPr>
      <w:r>
        <w:rPr/>
        <w:t>采取暂停接受基金转换申请的措施；</w:t>
      </w:r>
    </w:p>
    <w:p>
      <w:pPr>
        <w:pStyle w:val="BodyText"/>
        <w:spacing w:before="139"/>
        <w:ind w:left="1260"/>
      </w:pPr>
      <w:r>
        <w:rPr/>
        <w:t>10、法律、法规规定或中国证监会认定的其他情形。</w:t>
      </w:r>
    </w:p>
    <w:p>
      <w:pPr>
        <w:pStyle w:val="BodyText"/>
        <w:spacing w:before="140"/>
        <w:ind w:left="1260"/>
      </w:pPr>
      <w:r>
        <w:rPr/>
        <w:t>基金暂停转换或暂停后重新开放转换时，基金管理人应在指定媒介上公告。</w:t>
      </w:r>
    </w:p>
    <w:p>
      <w:pPr>
        <w:pStyle w:val="BodyText"/>
        <w:spacing w:line="364" w:lineRule="auto" w:before="139"/>
        <w:ind w:left="840" w:right="818"/>
        <w:jc w:val="both"/>
      </w:pPr>
      <w:r>
        <w:rPr>
          <w:spacing w:val="-6"/>
        </w:rPr>
        <w:t>基金转换业务的解释权归本基金管理人，本公司可以根据市场情况在不违背有关法律、法规</w:t>
      </w:r>
      <w:r>
        <w:rPr/>
        <w:t>和基金合同的规定之前提下调整上述转换的收费方式、费率水平、业务规则及有关限制,但</w:t>
      </w:r>
      <w:r>
        <w:rPr>
          <w:spacing w:val="-6"/>
        </w:rPr>
        <w:t>最迟应在调整生效前 </w:t>
      </w:r>
      <w:r>
        <w:rPr/>
        <w:t>2</w:t>
      </w:r>
      <w:r>
        <w:rPr>
          <w:spacing w:val="-8"/>
        </w:rPr>
        <w:t> 日在指定媒介上予以公告。</w:t>
      </w:r>
    </w:p>
    <w:p>
      <w:pPr>
        <w:spacing w:after="0" w:line="364" w:lineRule="auto"/>
        <w:jc w:val="both"/>
        <w:sectPr>
          <w:pgSz w:w="11910" w:h="16840"/>
          <w:pgMar w:header="0" w:footer="638" w:top="1380" w:bottom="900" w:left="960" w:right="980"/>
        </w:sectPr>
      </w:pPr>
    </w:p>
    <w:p>
      <w:pPr>
        <w:pStyle w:val="Heading1"/>
        <w:ind w:left="2293"/>
      </w:pPr>
      <w:bookmarkStart w:name="_bookmark41" w:id="42"/>
      <w:bookmarkEnd w:id="42"/>
      <w:r>
        <w:rPr/>
      </w:r>
      <w:r>
        <w:rPr/>
        <w:t>十、基金的非交易过户、转托管、冻结与质押</w:t>
      </w:r>
    </w:p>
    <w:p>
      <w:pPr>
        <w:pStyle w:val="BodyText"/>
        <w:spacing w:line="364" w:lineRule="auto" w:before="198"/>
        <w:ind w:left="840" w:right="817" w:firstLine="420"/>
      </w:pPr>
      <w:r>
        <w:rPr/>
        <w:t>（一</w:t>
      </w:r>
      <w:r>
        <w:rPr>
          <w:spacing w:val="-32"/>
        </w:rPr>
        <w:t>）</w:t>
      </w:r>
      <w:r>
        <w:rPr>
          <w:spacing w:val="-6"/>
        </w:rPr>
        <w:t>基金注册登记机构只受理继承、捐赠、司法强制执行和经注册登记机构认可的其</w:t>
      </w:r>
      <w:r>
        <w:rPr/>
        <w:t>他情况下的非交易过户。其中：</w:t>
      </w:r>
    </w:p>
    <w:p>
      <w:pPr>
        <w:pStyle w:val="BodyText"/>
        <w:spacing w:line="268" w:lineRule="exact"/>
        <w:ind w:left="1260"/>
      </w:pPr>
      <w:r>
        <w:rPr/>
        <w:t>“继承”指基金份额持有人死亡,其持有的基金份额由其合法的继承人继承；</w:t>
      </w:r>
    </w:p>
    <w:p>
      <w:pPr>
        <w:pStyle w:val="BodyText"/>
        <w:spacing w:line="364" w:lineRule="auto" w:before="140"/>
        <w:ind w:left="840" w:right="818" w:firstLine="420"/>
      </w:pPr>
      <w:r>
        <w:rPr>
          <w:spacing w:val="-12"/>
        </w:rPr>
        <w:t>“捐赠”仅指基金份额持有人将其合法持有的基金份额捐赠给福利性质的基金会或社会</w:t>
      </w:r>
      <w:r>
        <w:rPr/>
        <w:t>团体的情形；</w:t>
      </w:r>
    </w:p>
    <w:p>
      <w:pPr>
        <w:pStyle w:val="BodyText"/>
        <w:spacing w:line="364" w:lineRule="auto"/>
        <w:ind w:left="840" w:right="818" w:firstLine="420"/>
      </w:pPr>
      <w:r>
        <w:rPr>
          <w:spacing w:val="-11"/>
        </w:rPr>
        <w:t>“司法强制执行”是指司法机构依据生效司法文书将基金份额持有人持有的基金份额强</w:t>
      </w:r>
      <w:r>
        <w:rPr/>
        <w:t>制划转给其他自然人、法人、社会团体或其他组织。</w:t>
      </w:r>
    </w:p>
    <w:p>
      <w:pPr>
        <w:pStyle w:val="BodyText"/>
        <w:spacing w:line="268" w:lineRule="exact"/>
        <w:ind w:left="1260"/>
      </w:pPr>
      <w:r>
        <w:rPr/>
        <w:t>办理非交易过户业务必须提供基金注册登记机构规定的相关资料。</w:t>
      </w:r>
    </w:p>
    <w:p>
      <w:pPr>
        <w:pStyle w:val="BodyText"/>
        <w:spacing w:line="364" w:lineRule="auto" w:before="138"/>
        <w:ind w:left="840" w:right="818" w:firstLine="420"/>
      </w:pPr>
      <w:r>
        <w:rPr/>
        <w:t>（二）</w:t>
      </w:r>
      <w:r>
        <w:rPr>
          <w:spacing w:val="-5"/>
        </w:rPr>
        <w:t>符合条件的非交易过户申请自申请受理日起，两个月内办理；申请人按基金注册</w:t>
      </w:r>
      <w:r>
        <w:rPr/>
        <w:t>登记机构规定的标准缴纳过户费用。</w:t>
      </w:r>
    </w:p>
    <w:p>
      <w:pPr>
        <w:pStyle w:val="BodyText"/>
        <w:spacing w:line="364" w:lineRule="auto"/>
        <w:ind w:left="840" w:right="818" w:firstLine="420"/>
      </w:pPr>
      <w:r>
        <w:rPr/>
        <w:t>（三</w:t>
      </w:r>
      <w:r>
        <w:rPr>
          <w:spacing w:val="-48"/>
        </w:rPr>
        <w:t>）</w:t>
      </w:r>
      <w:r>
        <w:rPr>
          <w:spacing w:val="-3"/>
        </w:rPr>
        <w:t>基金份额持有人可根据各销售机构的实际情况办理已持有基金份额的转托管。基</w:t>
      </w:r>
      <w:r>
        <w:rPr/>
        <w:t>金销售机构可以按照其业务规则规定的标准收取转托管费。</w:t>
      </w:r>
    </w:p>
    <w:p>
      <w:pPr>
        <w:pStyle w:val="BodyText"/>
        <w:spacing w:line="268" w:lineRule="exact"/>
        <w:ind w:left="1260"/>
      </w:pPr>
      <w:r>
        <w:rPr/>
        <w:t>（四）基金注册登记机构只受理国家有权机关依法要求以及注册登记机构认可的其</w:t>
      </w:r>
    </w:p>
    <w:p>
      <w:pPr>
        <w:pStyle w:val="BodyText"/>
        <w:spacing w:line="364" w:lineRule="auto" w:before="139"/>
        <w:ind w:left="840" w:right="818"/>
      </w:pPr>
      <w:r>
        <w:rPr>
          <w:spacing w:val="-6"/>
        </w:rPr>
        <w:t>他情况下的基金账户或基金份额的冻结与解冻。基金账户或基金份额被冻结的，被冻结部分</w:t>
      </w:r>
      <w:r>
        <w:rPr/>
        <w:t>产生的权益（包括现金分红和红利再投资）一并冻结。</w:t>
      </w:r>
    </w:p>
    <w:p>
      <w:pPr>
        <w:pStyle w:val="BodyText"/>
        <w:spacing w:line="364" w:lineRule="auto"/>
        <w:ind w:left="840" w:right="935" w:firstLine="420"/>
      </w:pPr>
      <w:r>
        <w:rPr/>
        <w:t>（五）在不违反届时有效的法律法规的条件下，基金管理人将可以办理基金份额的质押业务或其他基金业务，并制定和实施相应的业务规则。</w:t>
      </w:r>
    </w:p>
    <w:p>
      <w:pPr>
        <w:spacing w:after="0" w:line="364" w:lineRule="auto"/>
        <w:sectPr>
          <w:pgSz w:w="11910" w:h="16840"/>
          <w:pgMar w:header="0" w:footer="638" w:top="1380" w:bottom="900" w:left="960" w:right="980"/>
        </w:sectPr>
      </w:pPr>
    </w:p>
    <w:p>
      <w:pPr>
        <w:pStyle w:val="Heading1"/>
        <w:ind w:right="622"/>
        <w:jc w:val="center"/>
      </w:pPr>
      <w:bookmarkStart w:name="_bookmark42" w:id="43"/>
      <w:bookmarkEnd w:id="43"/>
      <w:r>
        <w:rPr/>
      </w:r>
      <w:r>
        <w:rPr/>
        <w:t>十一、基金的投资</w:t>
      </w:r>
    </w:p>
    <w:p>
      <w:pPr>
        <w:pStyle w:val="BodyText"/>
        <w:spacing w:before="10"/>
        <w:ind w:left="0"/>
        <w:rPr>
          <w:sz w:val="10"/>
        </w:rPr>
      </w:pPr>
    </w:p>
    <w:p>
      <w:pPr>
        <w:spacing w:before="61"/>
        <w:ind w:left="840" w:right="0" w:firstLine="0"/>
        <w:jc w:val="left"/>
        <w:rPr>
          <w:sz w:val="28"/>
        </w:rPr>
      </w:pPr>
      <w:bookmarkStart w:name="_bookmark43" w:id="44"/>
      <w:bookmarkEnd w:id="44"/>
      <w:r>
        <w:rPr/>
      </w:r>
      <w:r>
        <w:rPr>
          <w:sz w:val="28"/>
        </w:rPr>
        <w:t>（一）投资目标</w:t>
      </w:r>
    </w:p>
    <w:p>
      <w:pPr>
        <w:pStyle w:val="BodyText"/>
        <w:spacing w:line="364" w:lineRule="auto" w:before="185"/>
        <w:ind w:left="840" w:right="818" w:firstLine="472"/>
      </w:pPr>
      <w:r>
        <w:rPr/>
        <w:t>通过投资具有竞争优势和较高成长性的中小盘股票，力求在有效控制风险的前提下， 谋求基金资产的长期增值。</w:t>
      </w:r>
    </w:p>
    <w:p>
      <w:pPr>
        <w:spacing w:before="0"/>
        <w:ind w:left="840" w:right="0" w:firstLine="0"/>
        <w:jc w:val="left"/>
        <w:rPr>
          <w:sz w:val="28"/>
        </w:rPr>
      </w:pPr>
      <w:bookmarkStart w:name="_bookmark44" w:id="45"/>
      <w:bookmarkEnd w:id="45"/>
      <w:r>
        <w:rPr/>
      </w:r>
      <w:r>
        <w:rPr>
          <w:sz w:val="28"/>
        </w:rPr>
        <w:t>（二）投资范围</w:t>
      </w:r>
    </w:p>
    <w:p>
      <w:pPr>
        <w:pStyle w:val="BodyText"/>
        <w:spacing w:line="364" w:lineRule="auto" w:before="185"/>
        <w:ind w:left="840" w:right="817" w:firstLine="472"/>
        <w:jc w:val="both"/>
      </w:pPr>
      <w:r>
        <w:rPr>
          <w:spacing w:val="-7"/>
        </w:rPr>
        <w:t>本基金的投资范围为具有良好流动性的金融工具，包括国内依法发行、上市的股票</w:t>
      </w:r>
      <w:r>
        <w:rPr/>
        <w:t>（</w:t>
      </w:r>
      <w:r>
        <w:rPr>
          <w:spacing w:val="-16"/>
        </w:rPr>
        <w:t>含</w:t>
      </w:r>
      <w:r>
        <w:rPr/>
        <w:t>存托凭证</w:t>
      </w:r>
      <w:r>
        <w:rPr>
          <w:spacing w:val="-105"/>
        </w:rPr>
        <w:t>）</w:t>
      </w:r>
      <w:r>
        <w:rPr/>
        <w:t>、债券、权证、资产支持证券、货币市场工具及法律法规或中国证监会允许基金</w:t>
      </w:r>
      <w:r>
        <w:rPr>
          <w:spacing w:val="-8"/>
        </w:rPr>
        <w:t>投资的其他金融工具。如法律法规或监管机构以后允许基金投资其它品种，基金管理人在履</w:t>
      </w:r>
      <w:r>
        <w:rPr/>
        <w:t>行适当程序后，可以将其纳入投资范围。</w:t>
      </w:r>
    </w:p>
    <w:p>
      <w:pPr>
        <w:pStyle w:val="BodyText"/>
        <w:spacing w:line="364" w:lineRule="auto"/>
        <w:ind w:left="840" w:right="697" w:firstLine="472"/>
      </w:pPr>
      <w:r>
        <w:rPr>
          <w:spacing w:val="-3"/>
        </w:rPr>
        <w:t>本基金各类资产的投资比例为：股票资产占基金资产的 </w:t>
      </w:r>
      <w:r>
        <w:rPr/>
        <w:t>60%—95%；债券、资产支持证</w:t>
      </w:r>
      <w:r>
        <w:rPr>
          <w:spacing w:val="-15"/>
        </w:rPr>
        <w:t>券、权证、货币市场工具以及中国证监会允许基金投资的其他证券品种占基金资产的</w:t>
      </w:r>
      <w:r>
        <w:rPr>
          <w:spacing w:val="-3"/>
        </w:rPr>
        <w:t>5%-40%， </w:t>
      </w:r>
      <w:r>
        <w:rPr>
          <w:spacing w:val="-2"/>
        </w:rPr>
        <w:t>其中，基金持有全部股改权证的市值不得超过基金资产净值的 </w:t>
      </w:r>
      <w:r>
        <w:rPr/>
        <w:t>3%，基金保留的现金以及投</w:t>
      </w:r>
      <w:r>
        <w:rPr>
          <w:spacing w:val="-2"/>
        </w:rPr>
        <w:t>资于到期日在一年以内的政府债券的比例合计不低于基金资产净值的 </w:t>
      </w:r>
      <w:r>
        <w:rPr/>
        <w:t>5%，现金不包括结算</w:t>
      </w:r>
    </w:p>
    <w:p>
      <w:pPr>
        <w:pStyle w:val="BodyText"/>
        <w:spacing w:line="267" w:lineRule="exact"/>
        <w:ind w:left="840"/>
      </w:pPr>
      <w:r>
        <w:rPr/>
        <w:t>备付金、存出保证金、应收申购款等。本基金投资中小盘股票的资产不低于股票资产的 80%。</w:t>
      </w:r>
    </w:p>
    <w:p>
      <w:pPr>
        <w:spacing w:before="139"/>
        <w:ind w:left="840" w:right="0" w:firstLine="0"/>
        <w:jc w:val="left"/>
        <w:rPr>
          <w:sz w:val="28"/>
        </w:rPr>
      </w:pPr>
      <w:bookmarkStart w:name="_bookmark45" w:id="46"/>
      <w:bookmarkEnd w:id="46"/>
      <w:r>
        <w:rPr/>
      </w:r>
      <w:r>
        <w:rPr>
          <w:sz w:val="28"/>
        </w:rPr>
        <w:t>（三）投资理念</w:t>
      </w:r>
    </w:p>
    <w:p>
      <w:pPr>
        <w:pStyle w:val="BodyText"/>
        <w:spacing w:before="184"/>
        <w:ind w:left="1312"/>
      </w:pPr>
      <w:r>
        <w:rPr/>
        <w:t>发掘较高成长性的中小盘股票，寻求资本长期增值。</w:t>
      </w:r>
    </w:p>
    <w:p>
      <w:pPr>
        <w:spacing w:before="141"/>
        <w:ind w:left="840" w:right="0" w:firstLine="0"/>
        <w:jc w:val="left"/>
        <w:rPr>
          <w:sz w:val="28"/>
        </w:rPr>
      </w:pPr>
      <w:bookmarkStart w:name="_bookmark46" w:id="47"/>
      <w:bookmarkEnd w:id="47"/>
      <w:r>
        <w:rPr/>
      </w:r>
      <w:r>
        <w:rPr>
          <w:sz w:val="28"/>
        </w:rPr>
        <w:t>（四）投资策略</w:t>
      </w:r>
    </w:p>
    <w:p>
      <w:pPr>
        <w:pStyle w:val="Heading3"/>
        <w:spacing w:before="115"/>
      </w:pPr>
      <w:r>
        <w:rPr>
          <w:w w:val="95"/>
        </w:rPr>
        <w:t>1、资产配置策略</w:t>
      </w:r>
    </w:p>
    <w:p>
      <w:pPr>
        <w:pStyle w:val="BodyText"/>
        <w:spacing w:line="364" w:lineRule="auto" w:before="92"/>
        <w:ind w:left="840" w:right="817" w:firstLine="420"/>
        <w:jc w:val="both"/>
      </w:pPr>
      <w:r>
        <w:rPr>
          <w:spacing w:val="-1"/>
        </w:rPr>
        <w:t>本基金为混合基金，基金各类资产的投资比例为：股票资产占基金资产的 </w:t>
      </w:r>
      <w:r>
        <w:rPr/>
        <w:t>60%—95%； </w:t>
      </w:r>
      <w:r>
        <w:rPr>
          <w:spacing w:val="-12"/>
        </w:rPr>
        <w:t>债券、资产支持证券、权证、货币市场工具以及中国证监会允许基金投资的其他证券品种占</w:t>
      </w:r>
      <w:r>
        <w:rPr>
          <w:spacing w:val="-9"/>
        </w:rPr>
        <w:t>基金资产的 </w:t>
      </w:r>
      <w:r>
        <w:rPr/>
        <w:t>5%-40%，</w:t>
      </w:r>
      <w:r>
        <w:rPr>
          <w:spacing w:val="-2"/>
        </w:rPr>
        <w:t>其中，基金持有全部股改权证的市值不得超过基金资产净值的 </w:t>
      </w:r>
      <w:r>
        <w:rPr/>
        <w:t>3%，基金保留的现金以及投资于到期日在一年以内的政府债券的比例合计不低于基金资产净值的</w:t>
      </w:r>
      <w:r>
        <w:rPr>
          <w:spacing w:val="-8"/>
        </w:rPr>
        <w:t>5%</w:t>
      </w:r>
      <w:r>
        <w:rPr>
          <w:spacing w:val="-9"/>
        </w:rPr>
        <w:t>，现金不包括结算备付金、存出保证金、应收申购款等。本基金投资中小盘股票的资产不</w:t>
      </w:r>
      <w:r>
        <w:rPr>
          <w:spacing w:val="-7"/>
        </w:rPr>
        <w:t>低于股票资产的 </w:t>
      </w:r>
      <w:r>
        <w:rPr/>
        <w:t>80%。</w:t>
      </w:r>
    </w:p>
    <w:p>
      <w:pPr>
        <w:pStyle w:val="BodyText"/>
        <w:spacing w:line="364" w:lineRule="auto"/>
        <w:ind w:left="840" w:right="818" w:firstLine="420"/>
        <w:jc w:val="both"/>
      </w:pPr>
      <w:r>
        <w:rPr>
          <w:spacing w:val="-7"/>
        </w:rPr>
        <w:t>在以上战略性资产配置的基础上，本基金基于定量与定性相结合的宏观及市场分析，进</w:t>
      </w:r>
      <w:r>
        <w:rPr>
          <w:spacing w:val="-8"/>
        </w:rPr>
        <w:t>行战术性资产配置，确定组合中股票、债券、货币市场工具及其他金融工具的比例，追求更</w:t>
      </w:r>
      <w:r>
        <w:rPr/>
        <w:t>高收益，回避市场风险。</w:t>
      </w:r>
    </w:p>
    <w:p>
      <w:pPr>
        <w:pStyle w:val="BodyText"/>
        <w:spacing w:line="364" w:lineRule="auto"/>
        <w:ind w:left="840" w:right="608" w:firstLine="420"/>
      </w:pPr>
      <w:r>
        <w:rPr>
          <w:spacing w:val="3"/>
        </w:rPr>
        <w:t>在资产配置中，本基金主要考虑（1）</w:t>
      </w:r>
      <w:r>
        <w:rPr>
          <w:spacing w:val="-4"/>
        </w:rPr>
        <w:t>宏观经济因素，包括 </w:t>
      </w:r>
      <w:r>
        <w:rPr/>
        <w:t>GDP</w:t>
      </w:r>
      <w:r>
        <w:rPr>
          <w:spacing w:val="-5"/>
        </w:rPr>
        <w:t> 增长率及其构成、</w:t>
      </w:r>
      <w:r>
        <w:rPr/>
        <w:t>CPI、市场利率水平变化、货币政策等，以判断经济周期对市场的影响；（2）微观经济因素，包 括各行业主要企业的盈利变化情况及其盈利预期；（3）市场因素，包括股票及债券市场的 </w:t>
      </w:r>
      <w:r>
        <w:rPr>
          <w:spacing w:val="-10"/>
        </w:rPr>
        <w:t>涨跌、市场整体估值水平、大类资产的预期收益率水平及其历史比较、市场资金供求关系及 其变化；（4）政策因素，与证券市场密切相关的各种政策出台对市场的影响等。</w:t>
      </w:r>
    </w:p>
    <w:p>
      <w:pPr>
        <w:spacing w:after="0" w:line="364" w:lineRule="auto"/>
        <w:sectPr>
          <w:pgSz w:w="11910" w:h="16840"/>
          <w:pgMar w:header="0" w:footer="638" w:top="1380" w:bottom="900" w:left="960" w:right="980"/>
        </w:sectPr>
      </w:pPr>
    </w:p>
    <w:p>
      <w:pPr>
        <w:pStyle w:val="BodyText"/>
        <w:spacing w:before="45"/>
        <w:ind w:left="1260"/>
      </w:pPr>
      <w:r>
        <w:rPr/>
        <w:t>本基金在合同生效后六个月内达到上述规定的投资比例。</w:t>
      </w:r>
    </w:p>
    <w:p>
      <w:pPr>
        <w:pStyle w:val="Heading3"/>
        <w:spacing w:before="70"/>
      </w:pPr>
      <w:r>
        <w:rPr/>
        <w:t>2、股票投资策略</w:t>
      </w:r>
    </w:p>
    <w:p>
      <w:pPr>
        <w:pStyle w:val="BodyText"/>
        <w:spacing w:line="364" w:lineRule="auto" w:before="92"/>
        <w:ind w:left="840" w:right="818" w:firstLine="420"/>
      </w:pPr>
      <w:r>
        <w:rPr>
          <w:spacing w:val="-9"/>
        </w:rPr>
        <w:t>在股票资产方面，本基金采取“自下而上”的策略，投资具有良好治理结构、在细分行</w:t>
      </w:r>
      <w:r>
        <w:rPr/>
        <w:t>业具有竞争优势以及有较高成长性的中小盘股票。</w:t>
      </w:r>
    </w:p>
    <w:p>
      <w:pPr>
        <w:pStyle w:val="Heading3"/>
        <w:numPr>
          <w:ilvl w:val="0"/>
          <w:numId w:val="12"/>
        </w:numPr>
        <w:tabs>
          <w:tab w:pos="1845" w:val="left" w:leader="none"/>
        </w:tabs>
        <w:spacing w:line="316" w:lineRule="exact" w:before="0" w:after="0"/>
        <w:ind w:left="1844" w:right="0" w:hanging="585"/>
        <w:jc w:val="left"/>
      </w:pPr>
      <w:r>
        <w:rPr/>
        <w:t>中小盘股票的定义</w:t>
      </w:r>
    </w:p>
    <w:p>
      <w:pPr>
        <w:pStyle w:val="BodyText"/>
        <w:spacing w:line="364" w:lineRule="auto" w:before="91"/>
        <w:ind w:left="840" w:right="817" w:firstLine="420"/>
        <w:jc w:val="both"/>
      </w:pPr>
      <w:r>
        <w:rPr>
          <w:spacing w:val="-5"/>
        </w:rPr>
        <w:t>基金管理人每季度末对中国 </w:t>
      </w:r>
      <w:r>
        <w:rPr/>
        <w:t>A</w:t>
      </w:r>
      <w:r>
        <w:rPr>
          <w:spacing w:val="-14"/>
        </w:rPr>
        <w:t> 股市场的股票按流通市值自小到大进行排序，累计流通市</w:t>
      </w:r>
      <w:r>
        <w:rPr>
          <w:spacing w:val="-18"/>
        </w:rPr>
        <w:t>值占 </w:t>
      </w:r>
      <w:r>
        <w:rPr/>
        <w:t>A</w:t>
      </w:r>
      <w:r>
        <w:rPr>
          <w:spacing w:val="-15"/>
        </w:rPr>
        <w:t> 股总流通市值 </w:t>
      </w:r>
      <w:r>
        <w:rPr/>
        <w:t>2/3</w:t>
      </w:r>
      <w:r>
        <w:rPr>
          <w:spacing w:val="-13"/>
        </w:rPr>
        <w:t> 的股票，称为中小盘股票。在此期间对于未纳入最近一次排序范围</w:t>
      </w:r>
      <w:r>
        <w:rPr/>
        <w:t>的股票（如新股、恢复上市股票等</w:t>
      </w:r>
      <w:r>
        <w:rPr>
          <w:spacing w:val="-105"/>
        </w:rPr>
        <w:t>）</w:t>
      </w:r>
      <w:r>
        <w:rPr/>
        <w:t>，如果其流通市值（对未上市新股而言为本基金管理人预计的流通市值</w:t>
      </w:r>
      <w:r>
        <w:rPr>
          <w:spacing w:val="-32"/>
        </w:rPr>
        <w:t>）</w:t>
      </w:r>
      <w:r>
        <w:rPr>
          <w:spacing w:val="-7"/>
        </w:rPr>
        <w:t>可满足以上标准，也称为中小盘股票。基金因所持有股票价格的相对变化</w:t>
      </w:r>
      <w:r>
        <w:rPr>
          <w:spacing w:val="-5"/>
        </w:rPr>
        <w:t>而导致中小盘股票投资比例低于基金合同规定的范围，本基金管理人将根据市场情况，本着</w:t>
      </w:r>
      <w:r>
        <w:rPr>
          <w:spacing w:val="-3"/>
        </w:rPr>
        <w:t>投资者利益最大化的原则，适时予以调整，最长不超过 </w:t>
      </w:r>
      <w:r>
        <w:rPr/>
        <w:t>3</w:t>
      </w:r>
      <w:r>
        <w:rPr>
          <w:spacing w:val="-14"/>
        </w:rPr>
        <w:t> 个月。</w:t>
      </w:r>
    </w:p>
    <w:p>
      <w:pPr>
        <w:pStyle w:val="BodyText"/>
        <w:spacing w:line="364" w:lineRule="auto"/>
        <w:ind w:left="840" w:right="608" w:firstLine="420"/>
      </w:pPr>
      <w:r>
        <w:rPr>
          <w:spacing w:val="-3"/>
        </w:rPr>
        <w:t>上述所称的流通市值指的是在上海和深圳证券交易所上市流通的股本乘以收盘价。当权 </w:t>
      </w:r>
      <w:r>
        <w:rPr>
          <w:spacing w:val="-2"/>
        </w:rPr>
        <w:t>威的证券数据服务机构能够提供可供投资者在公开股票市场上买卖的自由流通股本数据时， 本基金管理人可采取自由流通股本乘以收盘价计算流通市值，并提前公告具体的计算方法。</w:t>
      </w:r>
    </w:p>
    <w:p>
      <w:pPr>
        <w:pStyle w:val="Heading3"/>
        <w:numPr>
          <w:ilvl w:val="0"/>
          <w:numId w:val="12"/>
        </w:numPr>
        <w:tabs>
          <w:tab w:pos="1845" w:val="left" w:leader="none"/>
        </w:tabs>
        <w:spacing w:line="315" w:lineRule="exact" w:before="0" w:after="0"/>
        <w:ind w:left="1844" w:right="0" w:hanging="585"/>
        <w:jc w:val="left"/>
      </w:pPr>
      <w:r>
        <w:rPr/>
        <w:t>中小盘股票的选股标准</w:t>
      </w:r>
    </w:p>
    <w:p>
      <w:pPr>
        <w:pStyle w:val="BodyText"/>
        <w:spacing w:line="364" w:lineRule="auto" w:before="89"/>
        <w:ind w:left="840" w:right="818" w:firstLine="420"/>
        <w:jc w:val="both"/>
      </w:pPr>
      <w:r>
        <w:rPr>
          <w:spacing w:val="-6"/>
        </w:rPr>
        <w:t>本基金管理人采取案头分析与实地调研等方法，对拟投资的上市企业经营情况进行透彻</w:t>
      </w:r>
      <w:r>
        <w:rPr>
          <w:spacing w:val="-10"/>
        </w:rPr>
        <w:t>的分析，包括统计分析行业数据、走访上市公司及其上下游企业、调研公司的竞争对手、与</w:t>
      </w:r>
      <w:r>
        <w:rPr/>
        <w:t>公司经营管理层和员工谈话等，按以下标准选出本基金的备选股票。</w:t>
      </w:r>
    </w:p>
    <w:p>
      <w:pPr>
        <w:pStyle w:val="Heading3"/>
        <w:numPr>
          <w:ilvl w:val="0"/>
          <w:numId w:val="13"/>
        </w:numPr>
        <w:tabs>
          <w:tab w:pos="1620" w:val="left" w:leader="none"/>
        </w:tabs>
        <w:spacing w:line="315" w:lineRule="exact" w:before="0" w:after="0"/>
        <w:ind w:left="1619" w:right="0" w:hanging="360"/>
        <w:jc w:val="left"/>
      </w:pPr>
      <w:r>
        <w:rPr/>
        <w:t>具有较高成长性</w:t>
      </w:r>
    </w:p>
    <w:p>
      <w:pPr>
        <w:pStyle w:val="BodyText"/>
        <w:spacing w:line="364" w:lineRule="auto" w:before="92"/>
        <w:ind w:left="840" w:right="818" w:firstLine="420"/>
        <w:jc w:val="both"/>
      </w:pPr>
      <w:r>
        <w:rPr>
          <w:spacing w:val="-7"/>
        </w:rPr>
        <w:t>本基金主要投资具有较高成长性的企业。较高成长性指的是企业未来一年净利润增长率</w:t>
      </w:r>
      <w:r>
        <w:rPr>
          <w:spacing w:val="-8"/>
        </w:rPr>
        <w:t>高于上市公司平均水平、行业平均水平和 </w:t>
      </w:r>
      <w:r>
        <w:rPr/>
        <w:t>GDP</w:t>
      </w:r>
      <w:r>
        <w:rPr>
          <w:spacing w:val="-12"/>
        </w:rPr>
        <w:t> 增长率。本基金管理人将重点投资未来一年有</w:t>
      </w:r>
      <w:r>
        <w:rPr>
          <w:spacing w:val="-5"/>
        </w:rPr>
        <w:t>爆发性增长或未来两年甚至更长时间可持续增长的企业，而且短期或长期增长率位居备选企</w:t>
      </w:r>
      <w:r>
        <w:rPr/>
        <w:t>业前列的公司。</w:t>
      </w:r>
    </w:p>
    <w:p>
      <w:pPr>
        <w:pStyle w:val="BodyText"/>
        <w:spacing w:line="364" w:lineRule="auto"/>
        <w:ind w:left="840" w:right="608" w:firstLine="420"/>
      </w:pPr>
      <w:r>
        <w:rPr/>
        <w:t>企业业绩短期的爆发性增长指的是企业未来一年净利润增长率远高于以往的平均水平， </w:t>
      </w:r>
      <w:r>
        <w:rPr>
          <w:spacing w:val="-9"/>
        </w:rPr>
        <w:t>其原因主要包括：产能大幅提高，并有相应的市场需求；技术水平出现突破性进展；行业景 气回升，产品价格和毛利率大幅提高；资产重组、收购兼并等。</w:t>
      </w:r>
    </w:p>
    <w:p>
      <w:pPr>
        <w:pStyle w:val="BodyText"/>
        <w:spacing w:line="364" w:lineRule="auto"/>
        <w:ind w:left="840" w:right="712" w:firstLine="420"/>
      </w:pPr>
      <w:r>
        <w:rPr>
          <w:spacing w:val="-3"/>
        </w:rPr>
        <w:t>企业业绩的持续增长指的是企业净利润的增长可持续到未来两年甚至更长时间，其动力</w:t>
      </w:r>
      <w:r>
        <w:rPr>
          <w:spacing w:val="-16"/>
        </w:rPr>
        <w:t>主要来自：行业处于成长周期或者出现行业景气；公司通过改进管理来降低能耗和生产成本， </w:t>
      </w:r>
      <w:r>
        <w:rPr>
          <w:spacing w:val="-9"/>
        </w:rPr>
        <w:t>提高产能利用率；企业加大营销力度，开拓新市场；开发与引进新技术；新建产能以及收购外部生产能力等。</w:t>
      </w:r>
    </w:p>
    <w:p>
      <w:pPr>
        <w:pStyle w:val="Heading3"/>
        <w:numPr>
          <w:ilvl w:val="0"/>
          <w:numId w:val="13"/>
        </w:numPr>
        <w:tabs>
          <w:tab w:pos="1620" w:val="left" w:leader="none"/>
        </w:tabs>
        <w:spacing w:line="315" w:lineRule="exact" w:before="0" w:after="0"/>
        <w:ind w:left="1619" w:right="0" w:hanging="360"/>
        <w:jc w:val="left"/>
      </w:pPr>
      <w:r>
        <w:rPr/>
        <w:t>在细分行业具有较强的竞争优势</w:t>
      </w:r>
    </w:p>
    <w:p>
      <w:pPr>
        <w:pStyle w:val="BodyText"/>
        <w:spacing w:line="364" w:lineRule="auto" w:before="88"/>
        <w:ind w:left="840" w:right="818" w:firstLine="420"/>
        <w:jc w:val="both"/>
      </w:pPr>
      <w:r>
        <w:rPr>
          <w:spacing w:val="-7"/>
        </w:rPr>
        <w:t>本基金优先投资细分行业的龙头企业，即在细分行业中市场占有率及盈利能力综合指标</w:t>
      </w:r>
      <w:r>
        <w:rPr>
          <w:spacing w:val="-5"/>
        </w:rPr>
        <w:t>位居前列的企业，也包括经过快速成长即将成为细分行业龙头的企业；而且该行业具有较大</w:t>
      </w:r>
      <w:r>
        <w:rPr/>
        <w:t>的发展空间，行业景气度较高；</w:t>
      </w:r>
    </w:p>
    <w:p>
      <w:pPr>
        <w:spacing w:after="0" w:line="364" w:lineRule="auto"/>
        <w:jc w:val="both"/>
        <w:sectPr>
          <w:pgSz w:w="11910" w:h="16840"/>
          <w:pgMar w:header="0" w:footer="638" w:top="1380" w:bottom="900" w:left="960" w:right="980"/>
        </w:sectPr>
      </w:pPr>
    </w:p>
    <w:p>
      <w:pPr>
        <w:pStyle w:val="BodyText"/>
        <w:spacing w:line="364" w:lineRule="auto" w:before="45"/>
        <w:ind w:left="840" w:right="713" w:firstLine="420"/>
      </w:pPr>
      <w:r>
        <w:rPr>
          <w:spacing w:val="-15"/>
        </w:rPr>
        <w:t>公司盈利能力较强，销售毛利率或净资产收益率位居行业前列，因企业独特的竞争优势， </w:t>
      </w:r>
      <w:r>
        <w:rPr/>
        <w:t>企业的高盈利水平有望长期保持；</w:t>
      </w:r>
    </w:p>
    <w:p>
      <w:pPr>
        <w:pStyle w:val="BodyText"/>
        <w:spacing w:line="364" w:lineRule="auto"/>
        <w:ind w:left="840" w:right="817" w:firstLine="420"/>
      </w:pPr>
      <w:r>
        <w:rPr>
          <w:spacing w:val="-7"/>
        </w:rPr>
        <w:t>公司拥有一只管理能力较强的经营团队，管理层稳定、团结、敬业、专业、诚信，能带</w:t>
      </w:r>
      <w:r>
        <w:rPr/>
        <w:t>领企业不断成长，而且公司制定了对管理层有效激励约束的薪酬制度；</w:t>
      </w:r>
    </w:p>
    <w:p>
      <w:pPr>
        <w:pStyle w:val="BodyText"/>
        <w:spacing w:line="364" w:lineRule="auto"/>
        <w:ind w:left="840" w:right="818" w:firstLine="420"/>
        <w:jc w:val="both"/>
      </w:pPr>
      <w:r>
        <w:rPr>
          <w:spacing w:val="-9"/>
        </w:rPr>
        <w:t>经营管理机制灵活，能根据市场变化及时调整经营战略，并充分考虑了产业发展的规律</w:t>
      </w:r>
      <w:r>
        <w:rPr>
          <w:spacing w:val="-11"/>
        </w:rPr>
        <w:t>和企业的竞争优势；已形成或初步形成较完备的生产管理、成本管理、薪酬管理、技术开发</w:t>
      </w:r>
      <w:r>
        <w:rPr/>
        <w:t>管理、营销管理的制度体系；</w:t>
      </w:r>
    </w:p>
    <w:p>
      <w:pPr>
        <w:pStyle w:val="BodyText"/>
        <w:spacing w:line="268" w:lineRule="exact"/>
        <w:ind w:left="1260"/>
      </w:pPr>
      <w:r>
        <w:rPr/>
        <w:t>营销机制灵活，具有较强的市场开拓能力；</w:t>
      </w:r>
    </w:p>
    <w:p>
      <w:pPr>
        <w:pStyle w:val="BodyText"/>
        <w:spacing w:before="138"/>
        <w:ind w:left="1260"/>
      </w:pPr>
      <w:r>
        <w:rPr/>
        <w:t>通过自主开发或引进先进技术，在某一领域形成技术领先优势；</w:t>
      </w:r>
    </w:p>
    <w:p>
      <w:pPr>
        <w:pStyle w:val="BodyText"/>
        <w:spacing w:line="364" w:lineRule="auto" w:before="139"/>
        <w:ind w:left="840" w:right="818" w:firstLine="420"/>
      </w:pPr>
      <w:r>
        <w:rPr>
          <w:spacing w:val="-9"/>
        </w:rPr>
        <w:t>公司财务稳健，相对同行业企业，资产负债率、短期偿债能力都处于合理水平，应收账</w:t>
      </w:r>
      <w:r>
        <w:rPr/>
        <w:t>款周转率较高、坏账率较低。</w:t>
      </w:r>
    </w:p>
    <w:p>
      <w:pPr>
        <w:pStyle w:val="Heading3"/>
        <w:numPr>
          <w:ilvl w:val="0"/>
          <w:numId w:val="13"/>
        </w:numPr>
        <w:tabs>
          <w:tab w:pos="1620" w:val="left" w:leader="none"/>
        </w:tabs>
        <w:spacing w:line="316" w:lineRule="exact" w:before="0" w:after="0"/>
        <w:ind w:left="1619" w:right="0" w:hanging="360"/>
        <w:jc w:val="left"/>
      </w:pPr>
      <w:r>
        <w:rPr/>
        <w:t>具有较好的公司治理机制，关心社会股东利益</w:t>
      </w:r>
    </w:p>
    <w:p>
      <w:pPr>
        <w:pStyle w:val="BodyText"/>
        <w:spacing w:line="364" w:lineRule="auto" w:before="92"/>
        <w:ind w:left="840" w:right="818" w:firstLine="420"/>
        <w:jc w:val="both"/>
      </w:pPr>
      <w:r>
        <w:rPr>
          <w:spacing w:val="-7"/>
        </w:rPr>
        <w:t>公司具有较好的治理结构，公司管理层关心社会股东利益，关联交易按公平价格或有利</w:t>
      </w:r>
      <w:r>
        <w:rPr>
          <w:spacing w:val="-6"/>
        </w:rPr>
        <w:t>于社会股东的价格成交并充分披露，在股息分派、融资、收购兼并、高管及员工的股权激励</w:t>
      </w:r>
      <w:r>
        <w:rPr/>
        <w:t>等政策制定中都充分考虑到将社会股东的利益放在首位。</w:t>
      </w:r>
    </w:p>
    <w:p>
      <w:pPr>
        <w:pStyle w:val="Heading3"/>
        <w:numPr>
          <w:ilvl w:val="0"/>
          <w:numId w:val="12"/>
        </w:numPr>
        <w:tabs>
          <w:tab w:pos="1845" w:val="left" w:leader="none"/>
        </w:tabs>
        <w:spacing w:line="315" w:lineRule="exact" w:before="0" w:after="0"/>
        <w:ind w:left="1844" w:right="0" w:hanging="585"/>
        <w:jc w:val="left"/>
      </w:pPr>
      <w:r>
        <w:rPr/>
        <w:t>评估中小盘股票的估值水平</w:t>
      </w:r>
    </w:p>
    <w:p>
      <w:pPr>
        <w:pStyle w:val="BodyText"/>
        <w:spacing w:line="364" w:lineRule="auto" w:before="91"/>
        <w:ind w:left="840" w:right="818" w:firstLine="420"/>
        <w:jc w:val="both"/>
      </w:pPr>
      <w:r>
        <w:rPr>
          <w:spacing w:val="-6"/>
        </w:rPr>
        <w:t>本基金管理人将根据企业所处的行业，选择适当的估值方法，对备选的中小盘股票价值</w:t>
      </w:r>
      <w:r>
        <w:rPr>
          <w:spacing w:val="-10"/>
        </w:rPr>
        <w:t>进行动态评估。本基金将关注国外市场上同类企业在类似发展阶段的估值水平，以判断该企</w:t>
      </w:r>
      <w:r>
        <w:rPr/>
        <w:t>业的估值是否处于合理区间。</w:t>
      </w:r>
    </w:p>
    <w:p>
      <w:pPr>
        <w:pStyle w:val="BodyText"/>
        <w:spacing w:line="364" w:lineRule="auto"/>
        <w:ind w:left="840" w:right="818" w:firstLine="420"/>
      </w:pPr>
      <w:r>
        <w:rPr>
          <w:spacing w:val="-7"/>
        </w:rPr>
        <w:t>中小盘股票往往具有较高的估值水平，本基金将重点考察所投资的股票价值是否被过分</w:t>
      </w:r>
      <w:r>
        <w:rPr/>
        <w:t>高估从而隐含较高风险。</w:t>
      </w:r>
    </w:p>
    <w:p>
      <w:pPr>
        <w:pStyle w:val="Heading3"/>
        <w:numPr>
          <w:ilvl w:val="0"/>
          <w:numId w:val="12"/>
        </w:numPr>
        <w:tabs>
          <w:tab w:pos="1845" w:val="left" w:leader="none"/>
        </w:tabs>
        <w:spacing w:line="316" w:lineRule="exact" w:before="0" w:after="0"/>
        <w:ind w:left="1844" w:right="0" w:hanging="585"/>
        <w:jc w:val="left"/>
      </w:pPr>
      <w:r>
        <w:rPr/>
        <w:t>股票组合的构造</w:t>
      </w:r>
    </w:p>
    <w:p>
      <w:pPr>
        <w:pStyle w:val="BodyText"/>
        <w:spacing w:line="364" w:lineRule="auto" w:before="90"/>
        <w:ind w:left="840" w:right="817" w:firstLine="420"/>
        <w:jc w:val="both"/>
      </w:pPr>
      <w:r>
        <w:rPr>
          <w:spacing w:val="-6"/>
        </w:rPr>
        <w:t>本基金管理人根据对中小盘股票的成长性、公司竞争优势、估值水平和行业前景的综合</w:t>
      </w:r>
      <w:r>
        <w:rPr>
          <w:spacing w:val="-11"/>
        </w:rPr>
        <w:t>判断，进行股票组合的构造。在股票组合的构造中，将充分考虑中小盘备选股票的流动性以</w:t>
      </w:r>
      <w:r>
        <w:rPr/>
        <w:t>及波动性，注意分散投资。</w:t>
      </w:r>
    </w:p>
    <w:p>
      <w:pPr>
        <w:pStyle w:val="Heading3"/>
        <w:spacing w:line="315" w:lineRule="exact"/>
      </w:pPr>
      <w:r>
        <w:rPr/>
        <w:t>3、存托凭证投资策略</w:t>
      </w:r>
    </w:p>
    <w:p>
      <w:pPr>
        <w:pStyle w:val="BodyText"/>
        <w:spacing w:line="364" w:lineRule="auto" w:before="92"/>
        <w:ind w:left="840" w:right="608" w:firstLine="420"/>
      </w:pPr>
      <w:r>
        <w:rPr/>
        <w:t>本基金可投资存托凭证，本基金将结合对宏观经济状况、行业景气度、公司竞争优势、公司治理结构、估值水平等因素的分析判断，选择投资价值高的存托凭证进行投资。</w:t>
      </w:r>
    </w:p>
    <w:p>
      <w:pPr>
        <w:pStyle w:val="Heading3"/>
        <w:spacing w:line="316" w:lineRule="exact"/>
      </w:pPr>
      <w:r>
        <w:rPr/>
        <w:t>4、其他投资策略</w:t>
      </w:r>
    </w:p>
    <w:p>
      <w:pPr>
        <w:pStyle w:val="BodyText"/>
        <w:spacing w:line="364" w:lineRule="auto" w:before="92"/>
        <w:ind w:left="840" w:right="818" w:firstLine="420"/>
        <w:jc w:val="both"/>
      </w:pPr>
      <w:r>
        <w:rPr>
          <w:spacing w:val="-5"/>
        </w:rPr>
        <w:t>本基金投资可转债主要为了获取可转债低风险下的超额收益。投资策略主要包括：投资具有较高成长性或正股价格被低估的中小盘公司发行的可转债；投资折价交易或底价溢价率</w:t>
      </w:r>
      <w:r>
        <w:rPr>
          <w:spacing w:val="-7"/>
        </w:rPr>
        <w:t>较低的转债，在接近强制赎回点时卖出；及时把握可转债与股票的套利机会；根据中签率预</w:t>
      </w:r>
      <w:r>
        <w:rPr>
          <w:spacing w:val="-9"/>
        </w:rPr>
        <w:t>测和模型定价结果，积极参与可转债新券申购等。本基金管理人将动态监控转债发行主体的</w:t>
      </w:r>
      <w:r>
        <w:rPr/>
        <w:t>信用状况，及时抛售主体信用状况有恶化迹象的可转换债券。</w:t>
      </w:r>
    </w:p>
    <w:p>
      <w:pPr>
        <w:spacing w:after="0" w:line="364" w:lineRule="auto"/>
        <w:jc w:val="both"/>
        <w:sectPr>
          <w:pgSz w:w="11910" w:h="16840"/>
          <w:pgMar w:header="0" w:footer="638" w:top="1380" w:bottom="900" w:left="960" w:right="980"/>
        </w:sectPr>
      </w:pPr>
    </w:p>
    <w:p>
      <w:pPr>
        <w:pStyle w:val="BodyText"/>
        <w:spacing w:line="364" w:lineRule="auto" w:before="45"/>
        <w:ind w:left="840" w:right="818" w:firstLine="420"/>
      </w:pPr>
      <w:r>
        <w:rPr>
          <w:spacing w:val="-7"/>
        </w:rPr>
        <w:t>当股票及转债市场风险加大时，本基金可投资货币市场工具及除可转债以外的债券，其</w:t>
      </w:r>
      <w:r>
        <w:rPr/>
        <w:t>主要目的是在保持灵活性的同时获得一定收益，以便未来及时把握重大的投资机会。</w:t>
      </w:r>
    </w:p>
    <w:p>
      <w:pPr>
        <w:pStyle w:val="BodyText"/>
        <w:spacing w:line="364" w:lineRule="auto"/>
        <w:ind w:left="840" w:right="817" w:firstLine="420"/>
      </w:pPr>
      <w:r>
        <w:rPr>
          <w:spacing w:val="-6"/>
        </w:rPr>
        <w:t>权证为本基金辅助性投资工具，投资原则为有利于基金资产增值、控制下跌风险、实现</w:t>
      </w:r>
      <w:r>
        <w:rPr/>
        <w:t>保值和锁定收益。</w:t>
      </w:r>
    </w:p>
    <w:p>
      <w:pPr>
        <w:spacing w:before="0"/>
        <w:ind w:left="840" w:right="0" w:firstLine="0"/>
        <w:jc w:val="left"/>
        <w:rPr>
          <w:sz w:val="28"/>
        </w:rPr>
      </w:pPr>
      <w:bookmarkStart w:name="_bookmark47" w:id="48"/>
      <w:bookmarkEnd w:id="48"/>
      <w:r>
        <w:rPr/>
      </w:r>
      <w:r>
        <w:rPr>
          <w:sz w:val="28"/>
        </w:rPr>
        <w:t>（五）业绩比较基准</w:t>
      </w:r>
    </w:p>
    <w:p>
      <w:pPr>
        <w:pStyle w:val="BodyText"/>
        <w:spacing w:before="184"/>
        <w:ind w:left="1260"/>
      </w:pPr>
      <w:r>
        <w:rPr/>
        <w:t>45%X 天相中盘指数收益率+35%X 天相小盘指数收益率+20%X 中债总指数收益率</w:t>
      </w:r>
    </w:p>
    <w:p>
      <w:pPr>
        <w:pStyle w:val="BodyText"/>
        <w:spacing w:line="364" w:lineRule="auto" w:before="139"/>
        <w:ind w:left="840" w:right="818" w:firstLine="420"/>
      </w:pPr>
      <w:r>
        <w:rPr>
          <w:spacing w:val="-5"/>
        </w:rPr>
        <w:t>如果指数编制单位停止计算编制该指数或更改指数名称、或有更权威的、更能为市场普</w:t>
      </w:r>
      <w:r>
        <w:rPr/>
        <w:t>遍接受的业绩比较基准推出，本基金管理人有权对此基准进行调整并及时公告。</w:t>
      </w:r>
    </w:p>
    <w:p>
      <w:pPr>
        <w:spacing w:before="1"/>
        <w:ind w:left="840" w:right="0" w:firstLine="0"/>
        <w:jc w:val="left"/>
        <w:rPr>
          <w:sz w:val="28"/>
        </w:rPr>
      </w:pPr>
      <w:bookmarkStart w:name="_bookmark48" w:id="49"/>
      <w:bookmarkEnd w:id="49"/>
      <w:r>
        <w:rPr/>
      </w:r>
      <w:r>
        <w:rPr>
          <w:sz w:val="28"/>
        </w:rPr>
        <w:t>（六）风险收益特征</w:t>
      </w:r>
    </w:p>
    <w:p>
      <w:pPr>
        <w:pStyle w:val="BodyText"/>
        <w:spacing w:line="364" w:lineRule="auto" w:before="184"/>
        <w:ind w:left="840" w:right="818" w:firstLine="420"/>
      </w:pPr>
      <w:r>
        <w:rPr>
          <w:spacing w:val="-9"/>
        </w:rPr>
        <w:t>本基金是混合基金，理论上其风险收益水平高于债券基金和货币市场基金，低于股票基</w:t>
      </w:r>
      <w:r>
        <w:rPr/>
        <w:t>金。</w:t>
      </w:r>
    </w:p>
    <w:p>
      <w:pPr>
        <w:spacing w:before="1"/>
        <w:ind w:left="840" w:right="0" w:firstLine="0"/>
        <w:jc w:val="left"/>
        <w:rPr>
          <w:sz w:val="28"/>
        </w:rPr>
      </w:pPr>
      <w:bookmarkStart w:name="_bookmark49" w:id="50"/>
      <w:bookmarkEnd w:id="50"/>
      <w:r>
        <w:rPr/>
      </w:r>
      <w:r>
        <w:rPr>
          <w:sz w:val="28"/>
        </w:rPr>
        <w:t>（七）投资程序</w:t>
      </w:r>
    </w:p>
    <w:p>
      <w:pPr>
        <w:pStyle w:val="BodyText"/>
        <w:spacing w:before="184"/>
        <w:ind w:left="1260"/>
      </w:pPr>
      <w:r>
        <w:rPr/>
        <w:t>1、投资决策程序</w:t>
      </w:r>
    </w:p>
    <w:p>
      <w:pPr>
        <w:pStyle w:val="ListParagraph"/>
        <w:numPr>
          <w:ilvl w:val="0"/>
          <w:numId w:val="14"/>
        </w:numPr>
        <w:tabs>
          <w:tab w:pos="1786" w:val="left" w:leader="none"/>
        </w:tabs>
        <w:spacing w:line="240" w:lineRule="auto" w:before="140" w:after="0"/>
        <w:ind w:left="1786" w:right="0" w:hanging="526"/>
        <w:jc w:val="left"/>
        <w:rPr>
          <w:sz w:val="21"/>
        </w:rPr>
      </w:pPr>
      <w:r>
        <w:rPr>
          <w:sz w:val="21"/>
        </w:rPr>
        <w:t>投资决策依据</w:t>
      </w:r>
    </w:p>
    <w:p>
      <w:pPr>
        <w:pStyle w:val="ListParagraph"/>
        <w:numPr>
          <w:ilvl w:val="0"/>
          <w:numId w:val="15"/>
        </w:numPr>
        <w:tabs>
          <w:tab w:pos="1576" w:val="left" w:leader="none"/>
        </w:tabs>
        <w:spacing w:line="240" w:lineRule="auto" w:before="139" w:after="0"/>
        <w:ind w:left="1576" w:right="0" w:hanging="316"/>
        <w:jc w:val="left"/>
        <w:rPr>
          <w:sz w:val="21"/>
        </w:rPr>
      </w:pPr>
      <w:r>
        <w:rPr>
          <w:sz w:val="21"/>
        </w:rPr>
        <w:t>国家有关法律、法规和《基金合同》的规定。</w:t>
      </w:r>
    </w:p>
    <w:p>
      <w:pPr>
        <w:pStyle w:val="ListParagraph"/>
        <w:numPr>
          <w:ilvl w:val="0"/>
          <w:numId w:val="15"/>
        </w:numPr>
        <w:tabs>
          <w:tab w:pos="1576" w:val="left" w:leader="none"/>
        </w:tabs>
        <w:spacing w:line="240" w:lineRule="auto" w:before="140" w:after="0"/>
        <w:ind w:left="1576" w:right="0" w:hanging="316"/>
        <w:jc w:val="left"/>
        <w:rPr>
          <w:sz w:val="21"/>
        </w:rPr>
      </w:pPr>
      <w:r>
        <w:rPr>
          <w:sz w:val="21"/>
        </w:rPr>
        <w:t>政治形势、政策趋势和宏观经济形势。</w:t>
      </w:r>
    </w:p>
    <w:p>
      <w:pPr>
        <w:pStyle w:val="BodyText"/>
        <w:spacing w:before="139"/>
        <w:ind w:left="1260"/>
      </w:pPr>
      <w:r>
        <w:rPr/>
        <w:t>3)行业和上市公司基本面。</w:t>
      </w:r>
    </w:p>
    <w:p>
      <w:pPr>
        <w:pStyle w:val="BodyText"/>
        <w:spacing w:before="140"/>
        <w:ind w:left="1260"/>
      </w:pPr>
      <w:r>
        <w:rPr/>
        <w:t>4）证券市场发展趋势。</w:t>
      </w:r>
    </w:p>
    <w:p>
      <w:pPr>
        <w:pStyle w:val="ListParagraph"/>
        <w:numPr>
          <w:ilvl w:val="0"/>
          <w:numId w:val="14"/>
        </w:numPr>
        <w:tabs>
          <w:tab w:pos="1786" w:val="left" w:leader="none"/>
        </w:tabs>
        <w:spacing w:line="240" w:lineRule="auto" w:before="139" w:after="0"/>
        <w:ind w:left="1786" w:right="0" w:hanging="526"/>
        <w:jc w:val="left"/>
        <w:rPr>
          <w:sz w:val="21"/>
        </w:rPr>
      </w:pPr>
      <w:r>
        <w:rPr>
          <w:sz w:val="21"/>
        </w:rPr>
        <w:t>投资决策流程</w:t>
      </w:r>
    </w:p>
    <w:p>
      <w:pPr>
        <w:pStyle w:val="BodyText"/>
        <w:spacing w:before="139"/>
        <w:ind w:left="1260"/>
      </w:pPr>
      <w:r>
        <w:rPr/>
        <w:t>1）基金经理制定资产配置计划，按制度提交审议并实施；</w:t>
      </w:r>
    </w:p>
    <w:p>
      <w:pPr>
        <w:pStyle w:val="BodyText"/>
        <w:spacing w:before="140"/>
        <w:ind w:left="1260"/>
      </w:pPr>
      <w:r>
        <w:rPr/>
        <w:t>2)研究员为投资运作提供研究支持。</w:t>
      </w:r>
    </w:p>
    <w:p>
      <w:pPr>
        <w:pStyle w:val="BodyText"/>
        <w:spacing w:before="139"/>
        <w:ind w:left="1260"/>
      </w:pPr>
      <w:r>
        <w:rPr/>
        <w:t>2、投资交易程序</w:t>
      </w:r>
    </w:p>
    <w:p>
      <w:pPr>
        <w:pStyle w:val="BodyText"/>
        <w:spacing w:line="364" w:lineRule="auto" w:before="140"/>
        <w:ind w:left="840" w:right="818" w:firstLine="420"/>
        <w:jc w:val="both"/>
      </w:pPr>
      <w:r>
        <w:rPr>
          <w:spacing w:val="-6"/>
        </w:rPr>
        <w:t>基金管理人设置独立的集中交易室，基金经理下达的投资指令通过集中交易室实施。集中交易室接到基金经理的投资指令后，根据有关规定对投资指令的合规性、合理性和有效性</w:t>
      </w:r>
      <w:r>
        <w:rPr/>
        <w:t>进行检查，确保投资指令在合法、合规的前提下得到高效的执行。</w:t>
      </w:r>
    </w:p>
    <w:p>
      <w:pPr>
        <w:pStyle w:val="BodyText"/>
        <w:spacing w:line="268" w:lineRule="exact"/>
        <w:ind w:left="1260"/>
      </w:pPr>
      <w:r>
        <w:rPr/>
        <w:t>3、投资风险的监控和管理</w:t>
      </w:r>
    </w:p>
    <w:p>
      <w:pPr>
        <w:pStyle w:val="ListParagraph"/>
        <w:numPr>
          <w:ilvl w:val="0"/>
          <w:numId w:val="16"/>
        </w:numPr>
        <w:tabs>
          <w:tab w:pos="1787" w:val="left" w:leader="none"/>
        </w:tabs>
        <w:spacing w:line="364" w:lineRule="auto" w:before="139" w:after="0"/>
        <w:ind w:left="840" w:right="818" w:firstLine="420"/>
        <w:jc w:val="left"/>
        <w:rPr>
          <w:sz w:val="21"/>
        </w:rPr>
      </w:pPr>
      <w:r>
        <w:rPr>
          <w:sz w:val="21"/>
        </w:rPr>
        <w:t>监察合规管理部门对基金的日常投资和交易是否遵守法律法规、基金合同进行独立监督检查。</w:t>
      </w:r>
    </w:p>
    <w:p>
      <w:pPr>
        <w:pStyle w:val="ListParagraph"/>
        <w:numPr>
          <w:ilvl w:val="0"/>
          <w:numId w:val="16"/>
        </w:numPr>
        <w:tabs>
          <w:tab w:pos="1787" w:val="left" w:leader="none"/>
        </w:tabs>
        <w:spacing w:line="364" w:lineRule="auto" w:before="0" w:after="0"/>
        <w:ind w:left="840" w:right="818" w:firstLine="420"/>
        <w:jc w:val="left"/>
        <w:rPr>
          <w:sz w:val="21"/>
        </w:rPr>
      </w:pPr>
      <w:r>
        <w:rPr>
          <w:sz w:val="21"/>
        </w:rPr>
        <w:t>投资风险管理部定期出具基金绩效评估和风险管理报告，供基金经理调整投资组合时参考。</w:t>
      </w:r>
    </w:p>
    <w:p>
      <w:pPr>
        <w:spacing w:before="0"/>
        <w:ind w:left="840" w:right="0" w:firstLine="0"/>
        <w:jc w:val="left"/>
        <w:rPr>
          <w:sz w:val="28"/>
        </w:rPr>
      </w:pPr>
      <w:bookmarkStart w:name="_bookmark50" w:id="51"/>
      <w:bookmarkEnd w:id="51"/>
      <w:r>
        <w:rPr/>
      </w:r>
      <w:r>
        <w:rPr>
          <w:sz w:val="28"/>
        </w:rPr>
        <w:t>（八）投资禁止行为与限制</w:t>
      </w:r>
    </w:p>
    <w:p>
      <w:pPr>
        <w:pStyle w:val="BodyText"/>
        <w:spacing w:before="184"/>
        <w:ind w:left="1260"/>
      </w:pPr>
      <w:r>
        <w:rPr/>
        <w:t>1、禁止用本基金财产从事以下行为</w:t>
      </w:r>
    </w:p>
    <w:p>
      <w:pPr>
        <w:pStyle w:val="ListParagraph"/>
        <w:numPr>
          <w:ilvl w:val="0"/>
          <w:numId w:val="17"/>
        </w:numPr>
        <w:tabs>
          <w:tab w:pos="1786" w:val="left" w:leader="none"/>
        </w:tabs>
        <w:spacing w:line="240" w:lineRule="auto" w:before="140" w:after="0"/>
        <w:ind w:left="1786" w:right="0" w:hanging="526"/>
        <w:jc w:val="left"/>
        <w:rPr>
          <w:sz w:val="21"/>
        </w:rPr>
      </w:pPr>
      <w:r>
        <w:rPr>
          <w:sz w:val="21"/>
        </w:rPr>
        <w:t>承销证券；</w:t>
      </w:r>
    </w:p>
    <w:p>
      <w:pPr>
        <w:spacing w:after="0" w:line="240" w:lineRule="auto"/>
        <w:jc w:val="left"/>
        <w:rPr>
          <w:sz w:val="21"/>
        </w:rPr>
        <w:sectPr>
          <w:pgSz w:w="11910" w:h="16840"/>
          <w:pgMar w:header="0" w:footer="638" w:top="1380" w:bottom="900" w:left="960" w:right="980"/>
        </w:sectPr>
      </w:pPr>
    </w:p>
    <w:p>
      <w:pPr>
        <w:pStyle w:val="ListParagraph"/>
        <w:numPr>
          <w:ilvl w:val="0"/>
          <w:numId w:val="17"/>
        </w:numPr>
        <w:tabs>
          <w:tab w:pos="1786" w:val="left" w:leader="none"/>
        </w:tabs>
        <w:spacing w:line="240" w:lineRule="auto" w:before="45" w:after="0"/>
        <w:ind w:left="1786" w:right="0" w:hanging="526"/>
        <w:jc w:val="left"/>
        <w:rPr>
          <w:sz w:val="21"/>
        </w:rPr>
      </w:pPr>
      <w:r>
        <w:rPr>
          <w:sz w:val="21"/>
        </w:rPr>
        <w:t>向他人贷款或者提供担保；</w:t>
      </w:r>
    </w:p>
    <w:p>
      <w:pPr>
        <w:pStyle w:val="ListParagraph"/>
        <w:numPr>
          <w:ilvl w:val="0"/>
          <w:numId w:val="17"/>
        </w:numPr>
        <w:tabs>
          <w:tab w:pos="1786" w:val="left" w:leader="none"/>
        </w:tabs>
        <w:spacing w:line="240" w:lineRule="auto" w:before="139" w:after="0"/>
        <w:ind w:left="1786" w:right="0" w:hanging="526"/>
        <w:jc w:val="left"/>
        <w:rPr>
          <w:sz w:val="21"/>
        </w:rPr>
      </w:pPr>
      <w:r>
        <w:rPr>
          <w:sz w:val="21"/>
        </w:rPr>
        <w:t>从事承担无限责任的投资；</w:t>
      </w:r>
    </w:p>
    <w:p>
      <w:pPr>
        <w:pStyle w:val="ListParagraph"/>
        <w:numPr>
          <w:ilvl w:val="0"/>
          <w:numId w:val="17"/>
        </w:numPr>
        <w:tabs>
          <w:tab w:pos="1786" w:val="left" w:leader="none"/>
        </w:tabs>
        <w:spacing w:line="240" w:lineRule="auto" w:before="140" w:after="0"/>
        <w:ind w:left="1786" w:right="0" w:hanging="526"/>
        <w:jc w:val="left"/>
        <w:rPr>
          <w:sz w:val="21"/>
        </w:rPr>
      </w:pPr>
      <w:r>
        <w:rPr>
          <w:sz w:val="21"/>
        </w:rPr>
        <w:t>买卖其他基金份额，但是国务院另有规定的除外；</w:t>
      </w:r>
    </w:p>
    <w:p>
      <w:pPr>
        <w:pStyle w:val="ListParagraph"/>
        <w:numPr>
          <w:ilvl w:val="0"/>
          <w:numId w:val="17"/>
        </w:numPr>
        <w:tabs>
          <w:tab w:pos="1787" w:val="left" w:leader="none"/>
        </w:tabs>
        <w:spacing w:line="364" w:lineRule="auto" w:before="139" w:after="0"/>
        <w:ind w:left="840" w:right="818" w:firstLine="420"/>
        <w:jc w:val="left"/>
        <w:rPr>
          <w:sz w:val="21"/>
        </w:rPr>
      </w:pPr>
      <w:r>
        <w:rPr>
          <w:sz w:val="21"/>
        </w:rPr>
        <w:t>向基金管理人、基金托管人出资或者买卖基金管理人、基金托管人发行的股票或者债券；</w:t>
      </w:r>
    </w:p>
    <w:p>
      <w:pPr>
        <w:pStyle w:val="ListParagraph"/>
        <w:numPr>
          <w:ilvl w:val="0"/>
          <w:numId w:val="17"/>
        </w:numPr>
        <w:tabs>
          <w:tab w:pos="1787" w:val="left" w:leader="none"/>
        </w:tabs>
        <w:spacing w:line="364" w:lineRule="auto" w:before="0" w:after="0"/>
        <w:ind w:left="840" w:right="818" w:firstLine="420"/>
        <w:jc w:val="left"/>
        <w:rPr>
          <w:sz w:val="21"/>
        </w:rPr>
      </w:pPr>
      <w:r>
        <w:rPr>
          <w:sz w:val="21"/>
        </w:rPr>
        <w:t>买卖与基金管理人、基金托管人有控股关系的股东或者与基金管理人、基金托管人有其他重大利害关系的公司发行的证券或者承销期内承销的证券；</w:t>
      </w:r>
    </w:p>
    <w:p>
      <w:pPr>
        <w:pStyle w:val="ListParagraph"/>
        <w:numPr>
          <w:ilvl w:val="0"/>
          <w:numId w:val="17"/>
        </w:numPr>
        <w:tabs>
          <w:tab w:pos="1786" w:val="left" w:leader="none"/>
        </w:tabs>
        <w:spacing w:line="268" w:lineRule="exact" w:before="0" w:after="0"/>
        <w:ind w:left="1786" w:right="0" w:hanging="526"/>
        <w:jc w:val="left"/>
        <w:rPr>
          <w:sz w:val="21"/>
        </w:rPr>
      </w:pPr>
      <w:r>
        <w:rPr>
          <w:sz w:val="21"/>
        </w:rPr>
        <w:t>从事内幕交易、操纵证券交易价格及其他不正当的证券交易活动；</w:t>
      </w:r>
    </w:p>
    <w:p>
      <w:pPr>
        <w:pStyle w:val="ListParagraph"/>
        <w:numPr>
          <w:ilvl w:val="0"/>
          <w:numId w:val="17"/>
        </w:numPr>
        <w:tabs>
          <w:tab w:pos="1787" w:val="left" w:leader="none"/>
        </w:tabs>
        <w:spacing w:line="364" w:lineRule="auto" w:before="139" w:after="0"/>
        <w:ind w:left="840" w:right="818" w:firstLine="420"/>
        <w:jc w:val="left"/>
        <w:rPr>
          <w:sz w:val="21"/>
        </w:rPr>
      </w:pPr>
      <w:r>
        <w:rPr>
          <w:sz w:val="21"/>
        </w:rPr>
        <w:t>依照法律、行政法规有关法律法规规定，由国务院证券监督管理机构规定禁止的其他活动。</w:t>
      </w:r>
    </w:p>
    <w:p>
      <w:pPr>
        <w:pStyle w:val="BodyText"/>
        <w:spacing w:line="268" w:lineRule="exact"/>
        <w:ind w:left="1260"/>
      </w:pPr>
      <w:r>
        <w:rPr/>
        <w:t>2、基金投资组合比例限制</w:t>
      </w:r>
    </w:p>
    <w:p>
      <w:pPr>
        <w:pStyle w:val="ListParagraph"/>
        <w:numPr>
          <w:ilvl w:val="0"/>
          <w:numId w:val="18"/>
        </w:numPr>
        <w:tabs>
          <w:tab w:pos="1786" w:val="left" w:leader="none"/>
        </w:tabs>
        <w:spacing w:line="240" w:lineRule="auto" w:before="139" w:after="0"/>
        <w:ind w:left="1786" w:right="0" w:hanging="526"/>
        <w:jc w:val="left"/>
        <w:rPr>
          <w:sz w:val="21"/>
        </w:rPr>
      </w:pPr>
      <w:r>
        <w:rPr>
          <w:spacing w:val="-3"/>
          <w:sz w:val="21"/>
        </w:rPr>
        <w:t>持有一家上市公司的股票，其市值不超过基金资产净值的 </w:t>
      </w:r>
      <w:r>
        <w:rPr>
          <w:sz w:val="21"/>
        </w:rPr>
        <w:t>10%；</w:t>
      </w:r>
    </w:p>
    <w:p>
      <w:pPr>
        <w:pStyle w:val="ListParagraph"/>
        <w:numPr>
          <w:ilvl w:val="0"/>
          <w:numId w:val="18"/>
        </w:numPr>
        <w:tabs>
          <w:tab w:pos="1787" w:val="left" w:leader="none"/>
        </w:tabs>
        <w:spacing w:line="364" w:lineRule="auto" w:before="140" w:after="0"/>
        <w:ind w:left="840" w:right="818" w:firstLine="420"/>
        <w:jc w:val="left"/>
        <w:rPr>
          <w:sz w:val="21"/>
        </w:rPr>
      </w:pPr>
      <w:r>
        <w:rPr>
          <w:sz w:val="21"/>
        </w:rPr>
        <w:t>本基金与基金管理人管理的其他基金持有一家公司发行的证券总和，不超过该证</w:t>
      </w:r>
      <w:r>
        <w:rPr>
          <w:spacing w:val="-18"/>
          <w:sz w:val="21"/>
        </w:rPr>
        <w:t>券的 </w:t>
      </w:r>
      <w:r>
        <w:rPr>
          <w:sz w:val="21"/>
        </w:rPr>
        <w:t>10%；</w:t>
      </w:r>
    </w:p>
    <w:p>
      <w:pPr>
        <w:pStyle w:val="ListParagraph"/>
        <w:numPr>
          <w:ilvl w:val="0"/>
          <w:numId w:val="18"/>
        </w:numPr>
        <w:tabs>
          <w:tab w:pos="1787" w:val="left" w:leader="none"/>
        </w:tabs>
        <w:spacing w:line="364" w:lineRule="auto" w:before="0" w:after="0"/>
        <w:ind w:left="840" w:right="818" w:firstLine="420"/>
        <w:jc w:val="left"/>
        <w:rPr>
          <w:sz w:val="21"/>
        </w:rPr>
      </w:pPr>
      <w:r>
        <w:rPr>
          <w:sz w:val="21"/>
        </w:rPr>
        <w:t>基金财产参与股票发行申购，本基金所申报的金额不超过基金总资产，本基金所申报的股票数量不超过拟发行股票公司本次发行股票的总量；</w:t>
      </w:r>
    </w:p>
    <w:p>
      <w:pPr>
        <w:pStyle w:val="ListParagraph"/>
        <w:numPr>
          <w:ilvl w:val="0"/>
          <w:numId w:val="18"/>
        </w:numPr>
        <w:tabs>
          <w:tab w:pos="1787" w:val="left" w:leader="none"/>
        </w:tabs>
        <w:spacing w:line="364" w:lineRule="auto" w:before="0" w:after="0"/>
        <w:ind w:left="840" w:right="818" w:firstLine="420"/>
        <w:jc w:val="both"/>
        <w:rPr>
          <w:sz w:val="21"/>
        </w:rPr>
      </w:pPr>
      <w:r>
        <w:rPr>
          <w:sz w:val="21"/>
        </w:rPr>
        <w:t>本基金管理人管理的全部开放式基金持有一家上市公司发行的可流通股票，不得</w:t>
      </w:r>
      <w:r>
        <w:rPr>
          <w:spacing w:val="-4"/>
          <w:sz w:val="21"/>
        </w:rPr>
        <w:t>超过该上市公司可流通股票的 </w:t>
      </w:r>
      <w:r>
        <w:rPr>
          <w:spacing w:val="-11"/>
          <w:sz w:val="21"/>
        </w:rPr>
        <w:t>15%</w:t>
      </w:r>
      <w:r>
        <w:rPr>
          <w:spacing w:val="-4"/>
          <w:sz w:val="21"/>
        </w:rPr>
        <w:t>；本基金管理人管理的全部投资组合持有一家上市公司发</w:t>
      </w:r>
      <w:r>
        <w:rPr>
          <w:spacing w:val="-3"/>
          <w:sz w:val="21"/>
        </w:rPr>
        <w:t>行的可流通股票，不得超过该上市公司可流通股票的 </w:t>
      </w:r>
      <w:r>
        <w:rPr>
          <w:sz w:val="21"/>
        </w:rPr>
        <w:t>30%；</w:t>
      </w:r>
    </w:p>
    <w:p>
      <w:pPr>
        <w:pStyle w:val="ListParagraph"/>
        <w:numPr>
          <w:ilvl w:val="0"/>
          <w:numId w:val="18"/>
        </w:numPr>
        <w:tabs>
          <w:tab w:pos="1786" w:val="left" w:leader="none"/>
        </w:tabs>
        <w:spacing w:line="364" w:lineRule="auto" w:before="0" w:after="0"/>
        <w:ind w:left="1260" w:right="818" w:firstLine="0"/>
        <w:jc w:val="both"/>
        <w:rPr>
          <w:sz w:val="21"/>
        </w:rPr>
      </w:pPr>
      <w:r>
        <w:rPr>
          <w:spacing w:val="-2"/>
          <w:sz w:val="21"/>
        </w:rPr>
        <w:t>本基金主动投资于流动性受限资产的市值合计不得超过该基金资产净值的 </w:t>
      </w:r>
      <w:r>
        <w:rPr>
          <w:sz w:val="21"/>
        </w:rPr>
        <w:t>15%。</w:t>
      </w:r>
      <w:r>
        <w:rPr>
          <w:spacing w:val="-10"/>
          <w:sz w:val="21"/>
        </w:rPr>
        <w:t>因证券市场波动、上市公司股票停牌、基金规模变动等基金管理人之外的因素致使基金</w:t>
      </w:r>
    </w:p>
    <w:p>
      <w:pPr>
        <w:pStyle w:val="BodyText"/>
        <w:spacing w:line="268" w:lineRule="exact"/>
        <w:ind w:left="840"/>
      </w:pPr>
      <w:r>
        <w:rPr/>
        <w:t>不符合前款所规定比例限制的，基金管理人不得主动新增流动性受限资产的投资；</w:t>
      </w:r>
    </w:p>
    <w:p>
      <w:pPr>
        <w:pStyle w:val="ListParagraph"/>
        <w:numPr>
          <w:ilvl w:val="0"/>
          <w:numId w:val="18"/>
        </w:numPr>
        <w:tabs>
          <w:tab w:pos="1787" w:val="left" w:leader="none"/>
        </w:tabs>
        <w:spacing w:line="364" w:lineRule="auto" w:before="136" w:after="0"/>
        <w:ind w:left="840" w:right="818"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18"/>
        </w:numPr>
        <w:tabs>
          <w:tab w:pos="1787" w:val="left" w:leader="none"/>
        </w:tabs>
        <w:spacing w:line="364" w:lineRule="auto" w:before="0" w:after="0"/>
        <w:ind w:left="840" w:right="818" w:firstLine="420"/>
        <w:jc w:val="left"/>
        <w:rPr>
          <w:sz w:val="21"/>
        </w:rPr>
      </w:pPr>
      <w:r>
        <w:rPr>
          <w:sz w:val="21"/>
        </w:rPr>
        <w:t>本基金投资存托凭证的比例限制依照境内上市交易的股票执行，与境内上市交易的股票合并计算；</w:t>
      </w:r>
    </w:p>
    <w:p>
      <w:pPr>
        <w:pStyle w:val="ListParagraph"/>
        <w:numPr>
          <w:ilvl w:val="0"/>
          <w:numId w:val="18"/>
        </w:numPr>
        <w:tabs>
          <w:tab w:pos="1786" w:val="left" w:leader="none"/>
        </w:tabs>
        <w:spacing w:line="268" w:lineRule="exact" w:before="0" w:after="0"/>
        <w:ind w:left="1786" w:right="0" w:hanging="526"/>
        <w:jc w:val="left"/>
        <w:rPr>
          <w:sz w:val="21"/>
        </w:rPr>
      </w:pPr>
      <w:r>
        <w:rPr>
          <w:sz w:val="21"/>
        </w:rPr>
        <w:t>法律法规和基金合同规定的其他限制。</w:t>
      </w:r>
    </w:p>
    <w:p>
      <w:pPr>
        <w:pStyle w:val="BodyText"/>
        <w:spacing w:line="364" w:lineRule="auto" w:before="138"/>
        <w:ind w:left="840" w:right="818" w:firstLine="420"/>
        <w:jc w:val="both"/>
      </w:pPr>
      <w:r>
        <w:rPr/>
        <w:t>3、若将来法律法规或中国证监会的相关规定发生修改或变更，致使本款前述约定的投</w:t>
      </w:r>
      <w:r>
        <w:rPr>
          <w:spacing w:val="-6"/>
        </w:rPr>
        <w:t>资禁止行为和投资组合比例限制被修改或取消，基金管理人在履行适当程序后，本基金可相</w:t>
      </w:r>
      <w:r>
        <w:rPr/>
        <w:t>应调整禁止行为和投资限制规定。</w:t>
      </w:r>
    </w:p>
    <w:p>
      <w:pPr>
        <w:spacing w:line="358" w:lineRule="exact" w:before="0"/>
        <w:ind w:left="840" w:right="0" w:firstLine="0"/>
        <w:jc w:val="left"/>
        <w:rPr>
          <w:sz w:val="28"/>
        </w:rPr>
      </w:pPr>
      <w:bookmarkStart w:name="_bookmark51" w:id="52"/>
      <w:bookmarkEnd w:id="52"/>
      <w:r>
        <w:rPr/>
      </w:r>
      <w:r>
        <w:rPr>
          <w:sz w:val="28"/>
        </w:rPr>
        <w:t>（九）投资组合比例调整</w:t>
      </w:r>
    </w:p>
    <w:p>
      <w:pPr>
        <w:pStyle w:val="BodyText"/>
        <w:spacing w:line="364" w:lineRule="auto" w:before="185"/>
        <w:ind w:left="840" w:right="818" w:firstLine="420"/>
        <w:jc w:val="both"/>
      </w:pPr>
      <w:r>
        <w:rPr>
          <w:spacing w:val="2"/>
        </w:rPr>
        <w:t>基金管理人应当自基金合同生效之日起六个月内使基金的投资组合比例符合基金合同</w:t>
      </w:r>
      <w:r>
        <w:rPr/>
        <w:t>的约定。除上述（3）、（5）、（6）以外，因证券市场波动、上市公司合并、基金规模变</w:t>
      </w:r>
      <w:r>
        <w:rPr>
          <w:spacing w:val="-4"/>
        </w:rPr>
        <w:t>动等基金管理人之外的因素致使基金投资不符合基金合同约定的投资比例规定的，基金管理</w:t>
      </w:r>
    </w:p>
    <w:p>
      <w:pPr>
        <w:spacing w:after="0" w:line="364" w:lineRule="auto"/>
        <w:jc w:val="both"/>
        <w:sectPr>
          <w:pgSz w:w="11910" w:h="16840"/>
          <w:pgMar w:header="0" w:footer="638" w:top="1380" w:bottom="900" w:left="960" w:right="980"/>
        </w:sectPr>
      </w:pPr>
    </w:p>
    <w:p>
      <w:pPr>
        <w:pStyle w:val="BodyText"/>
        <w:spacing w:before="45"/>
        <w:ind w:left="840"/>
      </w:pPr>
      <w:r>
        <w:rPr/>
        <w:t>人应当在 10 个交易日内进行调整。法律法规另有规定时，从其规定。</w:t>
      </w:r>
    </w:p>
    <w:p>
      <w:pPr>
        <w:spacing w:before="141"/>
        <w:ind w:left="840" w:right="0" w:firstLine="0"/>
        <w:jc w:val="left"/>
        <w:rPr>
          <w:sz w:val="28"/>
        </w:rPr>
      </w:pPr>
      <w:bookmarkStart w:name="_bookmark52" w:id="53"/>
      <w:bookmarkEnd w:id="53"/>
      <w:r>
        <w:rPr/>
      </w:r>
      <w:r>
        <w:rPr>
          <w:sz w:val="28"/>
        </w:rPr>
        <w:t>（十）基金的融资、融券</w:t>
      </w:r>
    </w:p>
    <w:p>
      <w:pPr>
        <w:pStyle w:val="BodyText"/>
        <w:spacing w:before="184"/>
        <w:ind w:left="1260"/>
      </w:pPr>
      <w:r>
        <w:rPr/>
        <w:t>本基金可以按照国家的有关法律法规规定进行融资、融券。</w:t>
      </w:r>
    </w:p>
    <w:p>
      <w:pPr>
        <w:pStyle w:val="Heading2"/>
        <w:spacing w:line="364" w:lineRule="auto" w:before="141"/>
        <w:ind w:right="818"/>
      </w:pPr>
      <w:bookmarkStart w:name="_bookmark53" w:id="54"/>
      <w:bookmarkEnd w:id="54"/>
      <w:r>
        <w:rPr/>
      </w:r>
      <w:r>
        <w:rPr/>
        <w:t>（十一</w:t>
      </w:r>
      <w:r>
        <w:rPr>
          <w:spacing w:val="-95"/>
        </w:rPr>
        <w:t>）</w:t>
      </w:r>
      <w:r>
        <w:rPr>
          <w:spacing w:val="-1"/>
        </w:rPr>
        <w:t>基金管理人代表基金行使所投资证券产生权利的处理原则及</w:t>
      </w:r>
      <w:r>
        <w:rPr/>
        <w:t>方法</w:t>
      </w:r>
    </w:p>
    <w:p>
      <w:pPr>
        <w:pStyle w:val="BodyText"/>
        <w:spacing w:line="267" w:lineRule="exact"/>
        <w:ind w:left="1260"/>
      </w:pPr>
      <w:r>
        <w:rPr/>
        <w:t>1、不谋求对上市公司的控股，不参与所投资上市公司的经营管理；</w:t>
      </w:r>
    </w:p>
    <w:p>
      <w:pPr>
        <w:pStyle w:val="BodyText"/>
        <w:spacing w:before="139"/>
        <w:ind w:left="1260"/>
      </w:pPr>
      <w:r>
        <w:rPr/>
        <w:t>2、有利于基金资产的安全与增值；</w:t>
      </w:r>
    </w:p>
    <w:p>
      <w:pPr>
        <w:pStyle w:val="BodyText"/>
        <w:spacing w:before="140"/>
        <w:ind w:left="1260"/>
      </w:pPr>
      <w:r>
        <w:rPr/>
        <w:t>3、基金管理人按照国家有关规定代表基金独立行使股东权利，保护基金投资者的利益；</w:t>
      </w:r>
    </w:p>
    <w:p>
      <w:pPr>
        <w:pStyle w:val="BodyText"/>
        <w:spacing w:line="364" w:lineRule="auto" w:before="139"/>
        <w:ind w:left="840" w:right="818" w:firstLine="420"/>
      </w:pPr>
      <w:r>
        <w:rPr/>
        <w:t>4、基金管理人按照国家有关规定代表基金独立行使债权人权利，保护基金投资者的利益。</w:t>
      </w:r>
    </w:p>
    <w:p>
      <w:pPr>
        <w:spacing w:before="0"/>
        <w:ind w:left="840" w:right="0" w:firstLine="0"/>
        <w:jc w:val="left"/>
        <w:rPr>
          <w:sz w:val="28"/>
        </w:rPr>
      </w:pPr>
      <w:bookmarkStart w:name="_bookmark54" w:id="55"/>
      <w:bookmarkEnd w:id="55"/>
      <w:r>
        <w:rPr/>
      </w:r>
      <w:r>
        <w:rPr>
          <w:sz w:val="28"/>
        </w:rPr>
        <w:t>（十二）基金投资组合报告(未经审计)</w:t>
      </w:r>
    </w:p>
    <w:p>
      <w:pPr>
        <w:pStyle w:val="BodyText"/>
        <w:spacing w:line="364" w:lineRule="auto" w:before="185"/>
        <w:ind w:left="840" w:right="818" w:firstLine="48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840" w:right="818" w:firstLine="480"/>
      </w:pPr>
      <w:r>
        <w:rPr/>
        <w:t>本基金的托管人中国银行股份有限公司根据本基金合同的规定，复核了本投资组合报告的内容。</w:t>
      </w:r>
    </w:p>
    <w:p>
      <w:pPr>
        <w:pStyle w:val="BodyText"/>
        <w:spacing w:line="364" w:lineRule="auto"/>
        <w:ind w:left="1260" w:right="188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709" w:hRule="atLeast"/>
        </w:trPr>
        <w:tc>
          <w:tcPr>
            <w:tcW w:w="665" w:type="dxa"/>
          </w:tcPr>
          <w:p>
            <w:pPr>
              <w:pStyle w:val="TableParagraph"/>
              <w:spacing w:before="4"/>
              <w:rPr>
                <w:sz w:val="15"/>
              </w:rPr>
            </w:pPr>
          </w:p>
          <w:p>
            <w:pPr>
              <w:pStyle w:val="TableParagraph"/>
              <w:spacing w:before="0"/>
              <w:ind w:left="111" w:right="84"/>
              <w:jc w:val="center"/>
              <w:rPr>
                <w:sz w:val="21"/>
              </w:rPr>
            </w:pPr>
            <w:r>
              <w:rPr>
                <w:sz w:val="21"/>
              </w:rPr>
              <w:t>序号</w:t>
            </w:r>
          </w:p>
        </w:tc>
        <w:tc>
          <w:tcPr>
            <w:tcW w:w="3003" w:type="dxa"/>
          </w:tcPr>
          <w:p>
            <w:pPr>
              <w:pStyle w:val="TableParagraph"/>
              <w:spacing w:before="4"/>
              <w:rPr>
                <w:sz w:val="15"/>
              </w:rPr>
            </w:pPr>
          </w:p>
          <w:p>
            <w:pPr>
              <w:pStyle w:val="TableParagraph"/>
              <w:spacing w:before="0"/>
              <w:ind w:left="1280" w:right="1253"/>
              <w:jc w:val="center"/>
              <w:rPr>
                <w:sz w:val="21"/>
              </w:rPr>
            </w:pPr>
            <w:r>
              <w:rPr>
                <w:sz w:val="21"/>
              </w:rPr>
              <w:t>项目</w:t>
            </w:r>
          </w:p>
        </w:tc>
        <w:tc>
          <w:tcPr>
            <w:tcW w:w="2666" w:type="dxa"/>
          </w:tcPr>
          <w:p>
            <w:pPr>
              <w:pStyle w:val="TableParagraph"/>
              <w:spacing w:before="4"/>
              <w:rPr>
                <w:sz w:val="15"/>
              </w:rPr>
            </w:pPr>
          </w:p>
          <w:p>
            <w:pPr>
              <w:pStyle w:val="TableParagraph"/>
              <w:spacing w:before="0"/>
              <w:ind w:left="816"/>
              <w:rPr>
                <w:sz w:val="21"/>
              </w:rPr>
            </w:pPr>
            <w:r>
              <w:rPr>
                <w:sz w:val="21"/>
              </w:rPr>
              <w:t>金额（元）</w:t>
            </w:r>
          </w:p>
        </w:tc>
        <w:tc>
          <w:tcPr>
            <w:tcW w:w="1661" w:type="dxa"/>
          </w:tcPr>
          <w:p>
            <w:pPr>
              <w:pStyle w:val="TableParagraph"/>
              <w:spacing w:before="26"/>
              <w:ind w:left="209"/>
              <w:rPr>
                <w:sz w:val="21"/>
              </w:rPr>
            </w:pPr>
            <w:r>
              <w:rPr>
                <w:sz w:val="21"/>
              </w:rPr>
              <w:t>占基金总资产</w:t>
            </w:r>
          </w:p>
          <w:p>
            <w:pPr>
              <w:pStyle w:val="TableParagraph"/>
              <w:spacing w:before="72"/>
              <w:ind w:left="261"/>
              <w:rPr>
                <w:sz w:val="21"/>
              </w:rPr>
            </w:pPr>
            <w:r>
              <w:rPr>
                <w:sz w:val="21"/>
              </w:rPr>
              <w:t>的比例（%）</w:t>
            </w:r>
          </w:p>
        </w:tc>
      </w:tr>
      <w:tr>
        <w:trPr>
          <w:trHeight w:val="369" w:hRule="atLeast"/>
        </w:trPr>
        <w:tc>
          <w:tcPr>
            <w:tcW w:w="665" w:type="dxa"/>
          </w:tcPr>
          <w:p>
            <w:pPr>
              <w:pStyle w:val="TableParagraph"/>
              <w:spacing w:before="26"/>
              <w:ind w:left="27"/>
              <w:jc w:val="center"/>
              <w:rPr>
                <w:sz w:val="21"/>
              </w:rPr>
            </w:pPr>
            <w:r>
              <w:rPr>
                <w:sz w:val="21"/>
              </w:rPr>
              <w:t>1</w:t>
            </w:r>
          </w:p>
        </w:tc>
        <w:tc>
          <w:tcPr>
            <w:tcW w:w="3003" w:type="dxa"/>
          </w:tcPr>
          <w:p>
            <w:pPr>
              <w:pStyle w:val="TableParagraph"/>
              <w:spacing w:before="26"/>
              <w:ind w:left="125"/>
              <w:rPr>
                <w:sz w:val="21"/>
              </w:rPr>
            </w:pPr>
            <w:r>
              <w:rPr>
                <w:sz w:val="21"/>
              </w:rPr>
              <w:t>权益投资</w:t>
            </w:r>
          </w:p>
        </w:tc>
        <w:tc>
          <w:tcPr>
            <w:tcW w:w="2666" w:type="dxa"/>
          </w:tcPr>
          <w:p>
            <w:pPr>
              <w:pStyle w:val="TableParagraph"/>
              <w:spacing w:before="26"/>
              <w:ind w:right="96"/>
              <w:jc w:val="right"/>
              <w:rPr>
                <w:sz w:val="21"/>
              </w:rPr>
            </w:pPr>
            <w:r>
              <w:rPr>
                <w:sz w:val="21"/>
              </w:rPr>
              <w:t>13,887,424,191.78</w:t>
            </w:r>
          </w:p>
        </w:tc>
        <w:tc>
          <w:tcPr>
            <w:tcW w:w="1661" w:type="dxa"/>
          </w:tcPr>
          <w:p>
            <w:pPr>
              <w:pStyle w:val="TableParagraph"/>
              <w:spacing w:before="26"/>
              <w:ind w:right="97"/>
              <w:jc w:val="right"/>
              <w:rPr>
                <w:sz w:val="21"/>
              </w:rPr>
            </w:pPr>
            <w:r>
              <w:rPr>
                <w:sz w:val="21"/>
              </w:rPr>
              <w:t>93.35</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26"/>
              <w:ind w:left="125"/>
              <w:rPr>
                <w:sz w:val="21"/>
              </w:rPr>
            </w:pPr>
            <w:r>
              <w:rPr>
                <w:sz w:val="21"/>
              </w:rPr>
              <w:t>其中：股票</w:t>
            </w:r>
          </w:p>
        </w:tc>
        <w:tc>
          <w:tcPr>
            <w:tcW w:w="2666" w:type="dxa"/>
          </w:tcPr>
          <w:p>
            <w:pPr>
              <w:pStyle w:val="TableParagraph"/>
              <w:spacing w:before="26"/>
              <w:ind w:right="96"/>
              <w:jc w:val="right"/>
              <w:rPr>
                <w:sz w:val="21"/>
              </w:rPr>
            </w:pPr>
            <w:r>
              <w:rPr>
                <w:sz w:val="21"/>
              </w:rPr>
              <w:t>13,887,424,191.78</w:t>
            </w:r>
          </w:p>
        </w:tc>
        <w:tc>
          <w:tcPr>
            <w:tcW w:w="1661" w:type="dxa"/>
          </w:tcPr>
          <w:p>
            <w:pPr>
              <w:pStyle w:val="TableParagraph"/>
              <w:spacing w:before="26"/>
              <w:ind w:right="97"/>
              <w:jc w:val="right"/>
              <w:rPr>
                <w:sz w:val="21"/>
              </w:rPr>
            </w:pPr>
            <w:r>
              <w:rPr>
                <w:sz w:val="21"/>
              </w:rPr>
              <w:t>93.35</w:t>
            </w:r>
          </w:p>
        </w:tc>
      </w:tr>
      <w:tr>
        <w:trPr>
          <w:trHeight w:val="369" w:hRule="atLeast"/>
        </w:trPr>
        <w:tc>
          <w:tcPr>
            <w:tcW w:w="665" w:type="dxa"/>
          </w:tcPr>
          <w:p>
            <w:pPr>
              <w:pStyle w:val="TableParagraph"/>
              <w:spacing w:before="26"/>
              <w:ind w:left="27"/>
              <w:jc w:val="center"/>
              <w:rPr>
                <w:sz w:val="21"/>
              </w:rPr>
            </w:pPr>
            <w:r>
              <w:rPr>
                <w:sz w:val="21"/>
              </w:rPr>
              <w:t>2</w:t>
            </w:r>
          </w:p>
        </w:tc>
        <w:tc>
          <w:tcPr>
            <w:tcW w:w="3003" w:type="dxa"/>
          </w:tcPr>
          <w:p>
            <w:pPr>
              <w:pStyle w:val="TableParagraph"/>
              <w:spacing w:before="26"/>
              <w:ind w:left="125"/>
              <w:rPr>
                <w:sz w:val="21"/>
              </w:rPr>
            </w:pPr>
            <w:r>
              <w:rPr>
                <w:sz w:val="21"/>
              </w:rPr>
              <w:t>固定收益投资</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26"/>
              <w:ind w:left="125"/>
              <w:rPr>
                <w:sz w:val="21"/>
              </w:rPr>
            </w:pPr>
            <w:r>
              <w:rPr>
                <w:sz w:val="21"/>
              </w:rPr>
              <w:t>其中：债券</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369" w:hRule="atLeast"/>
        </w:trPr>
        <w:tc>
          <w:tcPr>
            <w:tcW w:w="665" w:type="dxa"/>
          </w:tcPr>
          <w:p>
            <w:pPr>
              <w:pStyle w:val="TableParagraph"/>
              <w:spacing w:before="0"/>
              <w:rPr>
                <w:rFonts w:ascii="Times New Roman"/>
                <w:sz w:val="20"/>
              </w:rPr>
            </w:pPr>
          </w:p>
        </w:tc>
        <w:tc>
          <w:tcPr>
            <w:tcW w:w="3003" w:type="dxa"/>
          </w:tcPr>
          <w:p>
            <w:pPr>
              <w:pStyle w:val="TableParagraph"/>
              <w:spacing w:before="26"/>
              <w:ind w:left="125"/>
              <w:rPr>
                <w:sz w:val="21"/>
              </w:rPr>
            </w:pPr>
            <w:r>
              <w:rPr>
                <w:sz w:val="21"/>
              </w:rPr>
              <w:t>资产支持证券</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3</w:t>
            </w:r>
          </w:p>
        </w:tc>
        <w:tc>
          <w:tcPr>
            <w:tcW w:w="3003" w:type="dxa"/>
          </w:tcPr>
          <w:p>
            <w:pPr>
              <w:pStyle w:val="TableParagraph"/>
              <w:spacing w:before="26"/>
              <w:ind w:left="212"/>
              <w:rPr>
                <w:sz w:val="21"/>
              </w:rPr>
            </w:pPr>
            <w:r>
              <w:rPr>
                <w:sz w:val="21"/>
              </w:rPr>
              <w:t>贵金属投资</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4</w:t>
            </w:r>
          </w:p>
        </w:tc>
        <w:tc>
          <w:tcPr>
            <w:tcW w:w="3003" w:type="dxa"/>
          </w:tcPr>
          <w:p>
            <w:pPr>
              <w:pStyle w:val="TableParagraph"/>
              <w:spacing w:before="26"/>
              <w:ind w:left="125"/>
              <w:rPr>
                <w:sz w:val="21"/>
              </w:rPr>
            </w:pPr>
            <w:r>
              <w:rPr>
                <w:sz w:val="21"/>
              </w:rPr>
              <w:t>金融衍生品投资</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5</w:t>
            </w:r>
          </w:p>
        </w:tc>
        <w:tc>
          <w:tcPr>
            <w:tcW w:w="3003" w:type="dxa"/>
          </w:tcPr>
          <w:p>
            <w:pPr>
              <w:pStyle w:val="TableParagraph"/>
              <w:spacing w:before="26"/>
              <w:ind w:left="125"/>
              <w:rPr>
                <w:sz w:val="21"/>
              </w:rPr>
            </w:pPr>
            <w:r>
              <w:rPr>
                <w:sz w:val="21"/>
              </w:rPr>
              <w:t>买入返售金融资产</w:t>
            </w:r>
          </w:p>
        </w:tc>
        <w:tc>
          <w:tcPr>
            <w:tcW w:w="2666" w:type="dxa"/>
          </w:tcPr>
          <w:p>
            <w:pPr>
              <w:pStyle w:val="TableParagraph"/>
              <w:spacing w:before="26"/>
              <w:ind w:right="96"/>
              <w:jc w:val="right"/>
              <w:rPr>
                <w:sz w:val="21"/>
              </w:rPr>
            </w:pPr>
            <w:r>
              <w:rPr>
                <w:sz w:val="21"/>
              </w:rPr>
              <w:t>-</w:t>
            </w:r>
          </w:p>
        </w:tc>
        <w:tc>
          <w:tcPr>
            <w:tcW w:w="1661" w:type="dxa"/>
          </w:tcPr>
          <w:p>
            <w:pPr>
              <w:pStyle w:val="TableParagraph"/>
              <w:spacing w:before="26"/>
              <w:ind w:right="97"/>
              <w:jc w:val="right"/>
              <w:rPr>
                <w:sz w:val="21"/>
              </w:rPr>
            </w:pPr>
            <w:r>
              <w:rPr>
                <w:sz w:val="21"/>
              </w:rPr>
              <w:t>-</w:t>
            </w:r>
          </w:p>
        </w:tc>
      </w:tr>
      <w:tr>
        <w:trPr>
          <w:trHeight w:val="709" w:hRule="atLeast"/>
        </w:trPr>
        <w:tc>
          <w:tcPr>
            <w:tcW w:w="665" w:type="dxa"/>
          </w:tcPr>
          <w:p>
            <w:pPr>
              <w:pStyle w:val="TableParagraph"/>
              <w:spacing w:before="0"/>
              <w:rPr>
                <w:rFonts w:ascii="Times New Roman"/>
                <w:sz w:val="20"/>
              </w:rPr>
            </w:pPr>
          </w:p>
        </w:tc>
        <w:tc>
          <w:tcPr>
            <w:tcW w:w="3003" w:type="dxa"/>
          </w:tcPr>
          <w:p>
            <w:pPr>
              <w:pStyle w:val="TableParagraph"/>
              <w:spacing w:before="26"/>
              <w:ind w:left="125"/>
              <w:rPr>
                <w:sz w:val="21"/>
              </w:rPr>
            </w:pPr>
            <w:r>
              <w:rPr>
                <w:sz w:val="21"/>
              </w:rPr>
              <w:t>其中：买断式回购的买入返售</w:t>
            </w:r>
          </w:p>
          <w:p>
            <w:pPr>
              <w:pStyle w:val="TableParagraph"/>
              <w:spacing w:before="72"/>
              <w:ind w:left="125"/>
              <w:rPr>
                <w:sz w:val="21"/>
              </w:rPr>
            </w:pPr>
            <w:r>
              <w:rPr>
                <w:sz w:val="21"/>
              </w:rPr>
              <w:t>金融资产</w:t>
            </w:r>
          </w:p>
        </w:tc>
        <w:tc>
          <w:tcPr>
            <w:tcW w:w="2666" w:type="dxa"/>
          </w:tcPr>
          <w:p>
            <w:pPr>
              <w:pStyle w:val="TableParagraph"/>
              <w:spacing w:before="4"/>
              <w:rPr>
                <w:sz w:val="15"/>
              </w:rPr>
            </w:pPr>
          </w:p>
          <w:p>
            <w:pPr>
              <w:pStyle w:val="TableParagraph"/>
              <w:spacing w:before="0"/>
              <w:ind w:right="96"/>
              <w:jc w:val="right"/>
              <w:rPr>
                <w:sz w:val="21"/>
              </w:rPr>
            </w:pPr>
            <w:r>
              <w:rPr>
                <w:sz w:val="21"/>
              </w:rPr>
              <w:t>-</w:t>
            </w:r>
          </w:p>
        </w:tc>
        <w:tc>
          <w:tcPr>
            <w:tcW w:w="1661" w:type="dxa"/>
          </w:tcPr>
          <w:p>
            <w:pPr>
              <w:pStyle w:val="TableParagraph"/>
              <w:spacing w:before="4"/>
              <w:rPr>
                <w:sz w:val="15"/>
              </w:rPr>
            </w:pPr>
          </w:p>
          <w:p>
            <w:pPr>
              <w:pStyle w:val="TableParagraph"/>
              <w:spacing w:before="0"/>
              <w:ind w:right="97"/>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6</w:t>
            </w:r>
          </w:p>
        </w:tc>
        <w:tc>
          <w:tcPr>
            <w:tcW w:w="3003" w:type="dxa"/>
          </w:tcPr>
          <w:p>
            <w:pPr>
              <w:pStyle w:val="TableParagraph"/>
              <w:spacing w:before="26"/>
              <w:ind w:left="125"/>
              <w:rPr>
                <w:sz w:val="21"/>
              </w:rPr>
            </w:pPr>
            <w:r>
              <w:rPr>
                <w:sz w:val="21"/>
              </w:rPr>
              <w:t>银行存款和结算备付金合计</w:t>
            </w:r>
          </w:p>
        </w:tc>
        <w:tc>
          <w:tcPr>
            <w:tcW w:w="2666" w:type="dxa"/>
          </w:tcPr>
          <w:p>
            <w:pPr>
              <w:pStyle w:val="TableParagraph"/>
              <w:spacing w:before="26"/>
              <w:ind w:right="96"/>
              <w:jc w:val="right"/>
              <w:rPr>
                <w:sz w:val="21"/>
              </w:rPr>
            </w:pPr>
            <w:r>
              <w:rPr>
                <w:sz w:val="21"/>
              </w:rPr>
              <w:t>900,216,932.32</w:t>
            </w:r>
          </w:p>
        </w:tc>
        <w:tc>
          <w:tcPr>
            <w:tcW w:w="1661" w:type="dxa"/>
          </w:tcPr>
          <w:p>
            <w:pPr>
              <w:pStyle w:val="TableParagraph"/>
              <w:spacing w:before="26"/>
              <w:ind w:right="97"/>
              <w:jc w:val="right"/>
              <w:rPr>
                <w:sz w:val="21"/>
              </w:rPr>
            </w:pPr>
            <w:r>
              <w:rPr>
                <w:sz w:val="21"/>
              </w:rPr>
              <w:t>6.05</w:t>
            </w:r>
          </w:p>
        </w:tc>
      </w:tr>
      <w:tr>
        <w:trPr>
          <w:trHeight w:val="369" w:hRule="atLeast"/>
        </w:trPr>
        <w:tc>
          <w:tcPr>
            <w:tcW w:w="665" w:type="dxa"/>
          </w:tcPr>
          <w:p>
            <w:pPr>
              <w:pStyle w:val="TableParagraph"/>
              <w:spacing w:before="26"/>
              <w:ind w:left="27"/>
              <w:jc w:val="center"/>
              <w:rPr>
                <w:sz w:val="21"/>
              </w:rPr>
            </w:pPr>
            <w:r>
              <w:rPr>
                <w:sz w:val="21"/>
              </w:rPr>
              <w:t>7</w:t>
            </w:r>
          </w:p>
        </w:tc>
        <w:tc>
          <w:tcPr>
            <w:tcW w:w="3003" w:type="dxa"/>
          </w:tcPr>
          <w:p>
            <w:pPr>
              <w:pStyle w:val="TableParagraph"/>
              <w:spacing w:before="12"/>
              <w:ind w:left="108"/>
              <w:rPr>
                <w:sz w:val="21"/>
              </w:rPr>
            </w:pPr>
            <w:r>
              <w:rPr>
                <w:sz w:val="21"/>
              </w:rPr>
              <w:t>其他资产</w:t>
            </w:r>
          </w:p>
        </w:tc>
        <w:tc>
          <w:tcPr>
            <w:tcW w:w="2666" w:type="dxa"/>
          </w:tcPr>
          <w:p>
            <w:pPr>
              <w:pStyle w:val="TableParagraph"/>
              <w:spacing w:before="12"/>
              <w:ind w:right="96"/>
              <w:jc w:val="right"/>
              <w:rPr>
                <w:sz w:val="21"/>
              </w:rPr>
            </w:pPr>
            <w:r>
              <w:rPr>
                <w:sz w:val="21"/>
              </w:rPr>
              <w:t>89,646,114.76</w:t>
            </w:r>
          </w:p>
        </w:tc>
        <w:tc>
          <w:tcPr>
            <w:tcW w:w="1661" w:type="dxa"/>
          </w:tcPr>
          <w:p>
            <w:pPr>
              <w:pStyle w:val="TableParagraph"/>
              <w:spacing w:before="12"/>
              <w:ind w:right="97"/>
              <w:jc w:val="right"/>
              <w:rPr>
                <w:sz w:val="21"/>
              </w:rPr>
            </w:pPr>
            <w:r>
              <w:rPr>
                <w:sz w:val="21"/>
              </w:rPr>
              <w:t>0.60</w:t>
            </w:r>
          </w:p>
        </w:tc>
      </w:tr>
      <w:tr>
        <w:trPr>
          <w:trHeight w:val="369" w:hRule="atLeast"/>
        </w:trPr>
        <w:tc>
          <w:tcPr>
            <w:tcW w:w="665" w:type="dxa"/>
          </w:tcPr>
          <w:p>
            <w:pPr>
              <w:pStyle w:val="TableParagraph"/>
              <w:spacing w:before="26"/>
              <w:ind w:left="27"/>
              <w:jc w:val="center"/>
              <w:rPr>
                <w:sz w:val="21"/>
              </w:rPr>
            </w:pPr>
            <w:r>
              <w:rPr>
                <w:sz w:val="21"/>
              </w:rPr>
              <w:t>8</w:t>
            </w:r>
          </w:p>
        </w:tc>
        <w:tc>
          <w:tcPr>
            <w:tcW w:w="3003" w:type="dxa"/>
          </w:tcPr>
          <w:p>
            <w:pPr>
              <w:pStyle w:val="TableParagraph"/>
              <w:spacing w:before="12"/>
              <w:ind w:left="108"/>
              <w:rPr>
                <w:sz w:val="21"/>
              </w:rPr>
            </w:pPr>
            <w:r>
              <w:rPr>
                <w:sz w:val="21"/>
              </w:rPr>
              <w:t>合计</w:t>
            </w:r>
          </w:p>
        </w:tc>
        <w:tc>
          <w:tcPr>
            <w:tcW w:w="2666" w:type="dxa"/>
          </w:tcPr>
          <w:p>
            <w:pPr>
              <w:pStyle w:val="TableParagraph"/>
              <w:spacing w:before="12"/>
              <w:ind w:right="96"/>
              <w:jc w:val="right"/>
              <w:rPr>
                <w:sz w:val="21"/>
              </w:rPr>
            </w:pPr>
            <w:r>
              <w:rPr>
                <w:sz w:val="21"/>
              </w:rPr>
              <w:t>14,877,287,238.86</w:t>
            </w:r>
          </w:p>
        </w:tc>
        <w:tc>
          <w:tcPr>
            <w:tcW w:w="1661" w:type="dxa"/>
          </w:tcPr>
          <w:p>
            <w:pPr>
              <w:pStyle w:val="TableParagraph"/>
              <w:spacing w:before="12"/>
              <w:ind w:right="97"/>
              <w:jc w:val="right"/>
              <w:rPr>
                <w:sz w:val="21"/>
              </w:rPr>
            </w:pPr>
            <w:r>
              <w:rPr>
                <w:sz w:val="21"/>
              </w:rPr>
              <w:t>100.00</w:t>
            </w:r>
          </w:p>
        </w:tc>
      </w:tr>
    </w:tbl>
    <w:p>
      <w:pPr>
        <w:pStyle w:val="BodyText"/>
        <w:ind w:left="1260"/>
      </w:pPr>
      <w:r>
        <w:rPr/>
        <w:t>2、报告期末按行业分类的股票投资组合</w:t>
      </w:r>
    </w:p>
    <w:p>
      <w:pPr>
        <w:pStyle w:val="BodyText"/>
        <w:spacing w:before="139"/>
        <w:ind w:left="1260"/>
      </w:pPr>
      <w:r>
        <w:rPr/>
        <w:t>（1）报告期末按行业分类的境内股票投资组合</w:t>
      </w:r>
    </w:p>
    <w:p>
      <w:pPr>
        <w:spacing w:after="0"/>
        <w:sectPr>
          <w:pgSz w:w="11910" w:h="16840"/>
          <w:pgMar w:header="0" w:footer="638" w:top="1380" w:bottom="900" w:left="960" w:right="980"/>
        </w:sect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spacing w:before="0"/>
              <w:ind w:left="94" w:right="84"/>
              <w:jc w:val="center"/>
              <w:rPr>
                <w:sz w:val="21"/>
              </w:rPr>
            </w:pPr>
            <w:r>
              <w:rPr>
                <w:sz w:val="21"/>
              </w:rPr>
              <w:t>代码</w:t>
            </w:r>
          </w:p>
        </w:tc>
        <w:tc>
          <w:tcPr>
            <w:tcW w:w="3222" w:type="dxa"/>
          </w:tcPr>
          <w:p>
            <w:pPr>
              <w:pStyle w:val="TableParagraph"/>
              <w:spacing w:before="9"/>
              <w:rPr>
                <w:sz w:val="14"/>
              </w:rPr>
            </w:pPr>
          </w:p>
          <w:p>
            <w:pPr>
              <w:pStyle w:val="TableParagraph"/>
              <w:spacing w:before="0"/>
              <w:ind w:left="1171" w:right="1161"/>
              <w:jc w:val="center"/>
              <w:rPr>
                <w:sz w:val="21"/>
              </w:rPr>
            </w:pPr>
            <w:r>
              <w:rPr>
                <w:sz w:val="21"/>
              </w:rPr>
              <w:t>行业类别</w:t>
            </w:r>
          </w:p>
        </w:tc>
        <w:tc>
          <w:tcPr>
            <w:tcW w:w="2705" w:type="dxa"/>
          </w:tcPr>
          <w:p>
            <w:pPr>
              <w:pStyle w:val="TableParagraph"/>
              <w:spacing w:before="9"/>
              <w:rPr>
                <w:sz w:val="14"/>
              </w:rPr>
            </w:pPr>
          </w:p>
          <w:p>
            <w:pPr>
              <w:pStyle w:val="TableParagraph"/>
              <w:spacing w:before="0"/>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384" w:hRule="atLeast"/>
        </w:trPr>
        <w:tc>
          <w:tcPr>
            <w:tcW w:w="648" w:type="dxa"/>
          </w:tcPr>
          <w:p>
            <w:pPr>
              <w:pStyle w:val="TableParagraph"/>
              <w:spacing w:before="32"/>
              <w:ind w:left="10"/>
              <w:jc w:val="center"/>
              <w:rPr>
                <w:sz w:val="21"/>
              </w:rPr>
            </w:pPr>
            <w:r>
              <w:rPr>
                <w:sz w:val="21"/>
              </w:rPr>
              <w:t>A</w:t>
            </w:r>
          </w:p>
        </w:tc>
        <w:tc>
          <w:tcPr>
            <w:tcW w:w="3222" w:type="dxa"/>
          </w:tcPr>
          <w:p>
            <w:pPr>
              <w:pStyle w:val="TableParagraph"/>
              <w:spacing w:before="32"/>
              <w:ind w:left="15"/>
              <w:rPr>
                <w:sz w:val="21"/>
              </w:rPr>
            </w:pPr>
            <w:r>
              <w:rPr>
                <w:sz w:val="21"/>
              </w:rPr>
              <w:t>农、林、牧、渔业</w:t>
            </w:r>
          </w:p>
        </w:tc>
        <w:tc>
          <w:tcPr>
            <w:tcW w:w="2705" w:type="dxa"/>
          </w:tcPr>
          <w:p>
            <w:pPr>
              <w:pStyle w:val="TableParagraph"/>
              <w:spacing w:before="47"/>
              <w:ind w:right="-15"/>
              <w:jc w:val="right"/>
              <w:rPr>
                <w:sz w:val="21"/>
              </w:rPr>
            </w:pPr>
            <w:r>
              <w:rPr>
                <w:sz w:val="21"/>
              </w:rPr>
              <w:t>-</w:t>
            </w:r>
          </w:p>
        </w:tc>
        <w:tc>
          <w:tcPr>
            <w:tcW w:w="1420" w:type="dxa"/>
          </w:tcPr>
          <w:p>
            <w:pPr>
              <w:pStyle w:val="TableParagraph"/>
              <w:spacing w:before="47"/>
              <w:ind w:right="4"/>
              <w:jc w:val="right"/>
              <w:rPr>
                <w:sz w:val="21"/>
              </w:rPr>
            </w:pPr>
            <w:r>
              <w:rPr>
                <w:sz w:val="21"/>
              </w:rPr>
              <w:t>-</w:t>
            </w:r>
          </w:p>
        </w:tc>
      </w:tr>
      <w:tr>
        <w:trPr>
          <w:trHeight w:val="695" w:hRule="atLeast"/>
        </w:trPr>
        <w:tc>
          <w:tcPr>
            <w:tcW w:w="648" w:type="dxa"/>
          </w:tcPr>
          <w:p>
            <w:pPr>
              <w:pStyle w:val="TableParagraph"/>
              <w:spacing w:before="9"/>
              <w:rPr>
                <w:sz w:val="14"/>
              </w:rPr>
            </w:pPr>
          </w:p>
          <w:p>
            <w:pPr>
              <w:pStyle w:val="TableParagraph"/>
              <w:spacing w:before="0"/>
              <w:ind w:left="10"/>
              <w:jc w:val="center"/>
              <w:rPr>
                <w:sz w:val="21"/>
              </w:rPr>
            </w:pPr>
            <w:r>
              <w:rPr>
                <w:sz w:val="21"/>
              </w:rPr>
              <w:t>B</w:t>
            </w:r>
          </w:p>
        </w:tc>
        <w:tc>
          <w:tcPr>
            <w:tcW w:w="3222" w:type="dxa"/>
          </w:tcPr>
          <w:p>
            <w:pPr>
              <w:pStyle w:val="TableParagraph"/>
              <w:spacing w:before="9"/>
              <w:rPr>
                <w:sz w:val="14"/>
              </w:rPr>
            </w:pPr>
          </w:p>
          <w:p>
            <w:pPr>
              <w:pStyle w:val="TableParagraph"/>
              <w:spacing w:before="0"/>
              <w:ind w:left="15"/>
              <w:rPr>
                <w:sz w:val="21"/>
              </w:rPr>
            </w:pPr>
            <w:r>
              <w:rPr>
                <w:sz w:val="21"/>
              </w:rPr>
              <w:t>采矿业</w:t>
            </w:r>
          </w:p>
        </w:tc>
        <w:tc>
          <w:tcPr>
            <w:tcW w:w="2705" w:type="dxa"/>
          </w:tcPr>
          <w:p>
            <w:pPr>
              <w:pStyle w:val="TableParagraph"/>
              <w:spacing w:before="18"/>
              <w:ind w:right="-15"/>
              <w:jc w:val="right"/>
              <w:rPr>
                <w:sz w:val="21"/>
              </w:rPr>
            </w:pPr>
            <w:r>
              <w:rPr>
                <w:sz w:val="21"/>
              </w:rPr>
              <w:t>-</w:t>
            </w:r>
          </w:p>
        </w:tc>
        <w:tc>
          <w:tcPr>
            <w:tcW w:w="1420" w:type="dxa"/>
          </w:tcPr>
          <w:p>
            <w:pPr>
              <w:pStyle w:val="TableParagraph"/>
              <w:spacing w:before="18"/>
              <w:ind w:right="4"/>
              <w:jc w:val="right"/>
              <w:rPr>
                <w:sz w:val="21"/>
              </w:rPr>
            </w:pPr>
            <w:r>
              <w:rPr>
                <w:sz w:val="21"/>
              </w:rPr>
              <w:t>-</w:t>
            </w:r>
          </w:p>
        </w:tc>
      </w:tr>
      <w:tr>
        <w:trPr>
          <w:trHeight w:val="355" w:hRule="atLeast"/>
        </w:trPr>
        <w:tc>
          <w:tcPr>
            <w:tcW w:w="648" w:type="dxa"/>
          </w:tcPr>
          <w:p>
            <w:pPr>
              <w:pStyle w:val="TableParagraph"/>
              <w:spacing w:before="18"/>
              <w:ind w:left="10"/>
              <w:jc w:val="center"/>
              <w:rPr>
                <w:sz w:val="21"/>
              </w:rPr>
            </w:pPr>
            <w:r>
              <w:rPr>
                <w:sz w:val="21"/>
              </w:rPr>
              <w:t>C</w:t>
            </w:r>
          </w:p>
        </w:tc>
        <w:tc>
          <w:tcPr>
            <w:tcW w:w="3222" w:type="dxa"/>
          </w:tcPr>
          <w:p>
            <w:pPr>
              <w:pStyle w:val="TableParagraph"/>
              <w:spacing w:before="18"/>
              <w:ind w:left="15"/>
              <w:rPr>
                <w:sz w:val="21"/>
              </w:rPr>
            </w:pPr>
            <w:r>
              <w:rPr>
                <w:sz w:val="21"/>
              </w:rPr>
              <w:t>制造业</w:t>
            </w:r>
          </w:p>
        </w:tc>
        <w:tc>
          <w:tcPr>
            <w:tcW w:w="2705" w:type="dxa"/>
          </w:tcPr>
          <w:p>
            <w:pPr>
              <w:pStyle w:val="TableParagraph"/>
              <w:spacing w:before="18"/>
              <w:ind w:right="-15"/>
              <w:jc w:val="right"/>
              <w:rPr>
                <w:sz w:val="21"/>
              </w:rPr>
            </w:pPr>
            <w:r>
              <w:rPr>
                <w:sz w:val="21"/>
              </w:rPr>
              <w:t>11,342,053,447.38</w:t>
            </w:r>
          </w:p>
        </w:tc>
        <w:tc>
          <w:tcPr>
            <w:tcW w:w="1420" w:type="dxa"/>
          </w:tcPr>
          <w:p>
            <w:pPr>
              <w:pStyle w:val="TableParagraph"/>
              <w:spacing w:before="18"/>
              <w:ind w:right="4"/>
              <w:jc w:val="right"/>
              <w:rPr>
                <w:sz w:val="21"/>
              </w:rPr>
            </w:pPr>
            <w:r>
              <w:rPr>
                <w:sz w:val="21"/>
              </w:rPr>
              <w:t>77.08</w:t>
            </w:r>
          </w:p>
        </w:tc>
      </w:tr>
      <w:tr>
        <w:trPr>
          <w:trHeight w:val="695" w:hRule="atLeast"/>
        </w:trPr>
        <w:tc>
          <w:tcPr>
            <w:tcW w:w="648" w:type="dxa"/>
          </w:tcPr>
          <w:p>
            <w:pPr>
              <w:pStyle w:val="TableParagraph"/>
              <w:spacing w:before="9"/>
              <w:rPr>
                <w:sz w:val="14"/>
              </w:rPr>
            </w:pPr>
          </w:p>
          <w:p>
            <w:pPr>
              <w:pStyle w:val="TableParagraph"/>
              <w:spacing w:before="0"/>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9"/>
              <w:rPr>
                <w:sz w:val="14"/>
              </w:rPr>
            </w:pPr>
          </w:p>
          <w:p>
            <w:pPr>
              <w:pStyle w:val="TableParagraph"/>
              <w:spacing w:before="0"/>
              <w:ind w:right="-15"/>
              <w:jc w:val="right"/>
              <w:rPr>
                <w:sz w:val="21"/>
              </w:rPr>
            </w:pPr>
            <w:r>
              <w:rPr>
                <w:sz w:val="21"/>
              </w:rPr>
              <w:t>-</w:t>
            </w:r>
          </w:p>
        </w:tc>
        <w:tc>
          <w:tcPr>
            <w:tcW w:w="1420" w:type="dxa"/>
          </w:tcPr>
          <w:p>
            <w:pPr>
              <w:pStyle w:val="TableParagraph"/>
              <w:spacing w:before="9"/>
              <w:rPr>
                <w:sz w:val="14"/>
              </w:rPr>
            </w:pPr>
          </w:p>
          <w:p>
            <w:pPr>
              <w:pStyle w:val="TableParagraph"/>
              <w:spacing w:before="0"/>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E</w:t>
            </w:r>
          </w:p>
        </w:tc>
        <w:tc>
          <w:tcPr>
            <w:tcW w:w="3222" w:type="dxa"/>
            <w:tcBorders>
              <w:left w:val="dashed" w:sz="4" w:space="0" w:color="000000"/>
              <w:right w:val="dashed" w:sz="4" w:space="0" w:color="000000"/>
            </w:tcBorders>
          </w:tcPr>
          <w:p>
            <w:pPr>
              <w:pStyle w:val="TableParagraph"/>
              <w:spacing w:before="18"/>
              <w:ind w:left="15"/>
              <w:rPr>
                <w:sz w:val="21"/>
              </w:rPr>
            </w:pPr>
            <w:r>
              <w:rPr>
                <w:sz w:val="21"/>
              </w:rPr>
              <w:t>建筑业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F</w:t>
            </w:r>
          </w:p>
        </w:tc>
        <w:tc>
          <w:tcPr>
            <w:tcW w:w="3222" w:type="dxa"/>
            <w:tcBorders>
              <w:left w:val="dashed" w:sz="4" w:space="0" w:color="000000"/>
              <w:right w:val="dashed" w:sz="4" w:space="0" w:color="000000"/>
            </w:tcBorders>
          </w:tcPr>
          <w:p>
            <w:pPr>
              <w:pStyle w:val="TableParagraph"/>
              <w:spacing w:before="18"/>
              <w:ind w:left="15"/>
              <w:rPr>
                <w:sz w:val="21"/>
              </w:rPr>
            </w:pPr>
            <w:r>
              <w:rPr>
                <w:sz w:val="21"/>
              </w:rPr>
              <w:t>批发和零售业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19,147.31</w:t>
            </w:r>
          </w:p>
        </w:tc>
        <w:tc>
          <w:tcPr>
            <w:tcW w:w="1420" w:type="dxa"/>
            <w:tcBorders>
              <w:left w:val="dashed" w:sz="4" w:space="0" w:color="000000"/>
            </w:tcBorders>
          </w:tcPr>
          <w:p>
            <w:pPr>
              <w:pStyle w:val="TableParagraph"/>
              <w:spacing w:before="18"/>
              <w:ind w:right="4"/>
              <w:jc w:val="right"/>
              <w:rPr>
                <w:sz w:val="21"/>
              </w:rPr>
            </w:pPr>
            <w:r>
              <w:rPr>
                <w:sz w:val="21"/>
              </w:rPr>
              <w:t>0.00</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G</w:t>
            </w:r>
          </w:p>
        </w:tc>
        <w:tc>
          <w:tcPr>
            <w:tcW w:w="3222" w:type="dxa"/>
            <w:tcBorders>
              <w:left w:val="dashed" w:sz="4" w:space="0" w:color="000000"/>
              <w:right w:val="dashed" w:sz="4" w:space="0" w:color="000000"/>
            </w:tcBorders>
          </w:tcPr>
          <w:p>
            <w:pPr>
              <w:pStyle w:val="TableParagraph"/>
              <w:spacing w:before="18"/>
              <w:ind w:left="15"/>
              <w:rPr>
                <w:sz w:val="21"/>
              </w:rPr>
            </w:pPr>
            <w:r>
              <w:rPr>
                <w:sz w:val="21"/>
              </w:rPr>
              <w:t>交通运输、仓储和邮政业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1,356,637,654.50</w:t>
            </w:r>
          </w:p>
        </w:tc>
        <w:tc>
          <w:tcPr>
            <w:tcW w:w="1420" w:type="dxa"/>
            <w:tcBorders>
              <w:left w:val="dashed" w:sz="4" w:space="0" w:color="000000"/>
            </w:tcBorders>
          </w:tcPr>
          <w:p>
            <w:pPr>
              <w:pStyle w:val="TableParagraph"/>
              <w:spacing w:before="18"/>
              <w:ind w:right="4"/>
              <w:jc w:val="right"/>
              <w:rPr>
                <w:sz w:val="21"/>
              </w:rPr>
            </w:pPr>
            <w:r>
              <w:rPr>
                <w:sz w:val="21"/>
              </w:rPr>
              <w:t>9.22</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H</w:t>
            </w:r>
          </w:p>
        </w:tc>
        <w:tc>
          <w:tcPr>
            <w:tcW w:w="3222" w:type="dxa"/>
            <w:tcBorders>
              <w:left w:val="dashed" w:sz="4" w:space="0" w:color="000000"/>
              <w:right w:val="dashed" w:sz="4" w:space="0" w:color="000000"/>
            </w:tcBorders>
          </w:tcPr>
          <w:p>
            <w:pPr>
              <w:pStyle w:val="TableParagraph"/>
              <w:spacing w:before="18"/>
              <w:ind w:left="15"/>
              <w:rPr>
                <w:sz w:val="21"/>
              </w:rPr>
            </w:pPr>
            <w:r>
              <w:rPr>
                <w:sz w:val="21"/>
              </w:rPr>
              <w:t>住宿和餐饮业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I</w:t>
            </w:r>
          </w:p>
        </w:tc>
        <w:tc>
          <w:tcPr>
            <w:tcW w:w="3222" w:type="dxa"/>
            <w:tcBorders>
              <w:left w:val="dashed" w:sz="4" w:space="0" w:color="000000"/>
              <w:right w:val="dashed" w:sz="4" w:space="0" w:color="000000"/>
            </w:tcBorders>
          </w:tcPr>
          <w:p>
            <w:pPr>
              <w:pStyle w:val="TableParagraph"/>
              <w:spacing w:before="18"/>
              <w:ind w:left="15"/>
              <w:rPr>
                <w:sz w:val="21"/>
              </w:rPr>
            </w:pPr>
            <w:r>
              <w:rPr>
                <w:sz w:val="21"/>
              </w:rPr>
              <w:t>信息传输、软件和信息技术服务业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967,142.75</w:t>
            </w:r>
          </w:p>
        </w:tc>
        <w:tc>
          <w:tcPr>
            <w:tcW w:w="1420" w:type="dxa"/>
            <w:tcBorders>
              <w:left w:val="dashed" w:sz="4" w:space="0" w:color="000000"/>
            </w:tcBorders>
          </w:tcPr>
          <w:p>
            <w:pPr>
              <w:pStyle w:val="TableParagraph"/>
              <w:spacing w:before="18"/>
              <w:ind w:right="4"/>
              <w:jc w:val="right"/>
              <w:rPr>
                <w:sz w:val="21"/>
              </w:rPr>
            </w:pPr>
            <w:r>
              <w:rPr>
                <w:sz w:val="21"/>
              </w:rPr>
              <w:t>0.01</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J</w:t>
            </w:r>
          </w:p>
        </w:tc>
        <w:tc>
          <w:tcPr>
            <w:tcW w:w="3222" w:type="dxa"/>
            <w:tcBorders>
              <w:left w:val="dashed" w:sz="4" w:space="0" w:color="000000"/>
              <w:right w:val="dashed" w:sz="4" w:space="0" w:color="000000"/>
            </w:tcBorders>
          </w:tcPr>
          <w:p>
            <w:pPr>
              <w:pStyle w:val="TableParagraph"/>
              <w:spacing w:before="18"/>
              <w:ind w:left="15"/>
              <w:rPr>
                <w:sz w:val="21"/>
              </w:rPr>
            </w:pPr>
            <w:r>
              <w:rPr>
                <w:sz w:val="21"/>
              </w:rPr>
              <w:t>金融业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K</w:t>
            </w:r>
          </w:p>
        </w:tc>
        <w:tc>
          <w:tcPr>
            <w:tcW w:w="3222" w:type="dxa"/>
            <w:tcBorders>
              <w:left w:val="dashed" w:sz="4" w:space="0" w:color="000000"/>
              <w:right w:val="dashed" w:sz="4" w:space="0" w:color="000000"/>
            </w:tcBorders>
          </w:tcPr>
          <w:p>
            <w:pPr>
              <w:pStyle w:val="TableParagraph"/>
              <w:spacing w:before="18"/>
              <w:ind w:left="15"/>
              <w:rPr>
                <w:sz w:val="21"/>
              </w:rPr>
            </w:pPr>
            <w:r>
              <w:rPr>
                <w:sz w:val="21"/>
              </w:rPr>
              <w:t>房地产业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208,900.00</w:t>
            </w:r>
          </w:p>
        </w:tc>
        <w:tc>
          <w:tcPr>
            <w:tcW w:w="1420" w:type="dxa"/>
            <w:tcBorders>
              <w:left w:val="dashed" w:sz="4" w:space="0" w:color="000000"/>
            </w:tcBorders>
          </w:tcPr>
          <w:p>
            <w:pPr>
              <w:pStyle w:val="TableParagraph"/>
              <w:spacing w:before="18"/>
              <w:ind w:right="4"/>
              <w:jc w:val="right"/>
              <w:rPr>
                <w:sz w:val="21"/>
              </w:rPr>
            </w:pPr>
            <w:r>
              <w:rPr>
                <w:sz w:val="21"/>
              </w:rPr>
              <w:t>0.00</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L</w:t>
            </w:r>
          </w:p>
        </w:tc>
        <w:tc>
          <w:tcPr>
            <w:tcW w:w="3222" w:type="dxa"/>
            <w:tcBorders>
              <w:left w:val="dashed" w:sz="4" w:space="0" w:color="000000"/>
              <w:right w:val="dashed" w:sz="4" w:space="0" w:color="000000"/>
            </w:tcBorders>
          </w:tcPr>
          <w:p>
            <w:pPr>
              <w:pStyle w:val="TableParagraph"/>
              <w:spacing w:before="18"/>
              <w:ind w:left="15"/>
              <w:rPr>
                <w:sz w:val="21"/>
              </w:rPr>
            </w:pPr>
            <w:r>
              <w:rPr>
                <w:sz w:val="21"/>
              </w:rPr>
              <w:t>租赁和商务服务业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M</w:t>
            </w:r>
          </w:p>
        </w:tc>
        <w:tc>
          <w:tcPr>
            <w:tcW w:w="3222" w:type="dxa"/>
            <w:tcBorders>
              <w:left w:val="dashed" w:sz="4" w:space="0" w:color="000000"/>
              <w:right w:val="dashed" w:sz="4" w:space="0" w:color="000000"/>
            </w:tcBorders>
          </w:tcPr>
          <w:p>
            <w:pPr>
              <w:pStyle w:val="TableParagraph"/>
              <w:spacing w:before="18"/>
              <w:ind w:left="15"/>
              <w:rPr>
                <w:sz w:val="21"/>
              </w:rPr>
            </w:pPr>
            <w:r>
              <w:rPr>
                <w:sz w:val="21"/>
              </w:rPr>
              <w:t>科学研究和技术服务业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199,104,782.96</w:t>
            </w:r>
          </w:p>
        </w:tc>
        <w:tc>
          <w:tcPr>
            <w:tcW w:w="1420" w:type="dxa"/>
            <w:tcBorders>
              <w:left w:val="dashed" w:sz="4" w:space="0" w:color="000000"/>
            </w:tcBorders>
          </w:tcPr>
          <w:p>
            <w:pPr>
              <w:pStyle w:val="TableParagraph"/>
              <w:spacing w:before="18"/>
              <w:ind w:right="4"/>
              <w:jc w:val="right"/>
              <w:rPr>
                <w:sz w:val="21"/>
              </w:rPr>
            </w:pPr>
            <w:r>
              <w:rPr>
                <w:sz w:val="21"/>
              </w:rPr>
              <w:t>1.35</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N</w:t>
            </w:r>
          </w:p>
        </w:tc>
        <w:tc>
          <w:tcPr>
            <w:tcW w:w="3222" w:type="dxa"/>
            <w:tcBorders>
              <w:left w:val="dashed" w:sz="4" w:space="0" w:color="000000"/>
              <w:right w:val="dashed" w:sz="4" w:space="0" w:color="000000"/>
            </w:tcBorders>
          </w:tcPr>
          <w:p>
            <w:pPr>
              <w:pStyle w:val="TableParagraph"/>
              <w:spacing w:before="18"/>
              <w:ind w:left="15"/>
              <w:rPr>
                <w:sz w:val="21"/>
              </w:rPr>
            </w:pPr>
            <w:r>
              <w:rPr>
                <w:sz w:val="21"/>
              </w:rPr>
              <w:t>水利、环境和公共设施管理业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O</w:t>
            </w:r>
          </w:p>
        </w:tc>
        <w:tc>
          <w:tcPr>
            <w:tcW w:w="3222" w:type="dxa"/>
            <w:tcBorders>
              <w:left w:val="dashed" w:sz="4" w:space="0" w:color="000000"/>
              <w:right w:val="dashed" w:sz="4" w:space="0" w:color="000000"/>
            </w:tcBorders>
          </w:tcPr>
          <w:p>
            <w:pPr>
              <w:pStyle w:val="TableParagraph"/>
              <w:spacing w:before="18"/>
              <w:ind w:left="15"/>
              <w:rPr>
                <w:sz w:val="21"/>
              </w:rPr>
            </w:pPr>
            <w:r>
              <w:rPr>
                <w:sz w:val="21"/>
              </w:rPr>
              <w:t>居民服务、修理和其他服务业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P</w:t>
            </w:r>
          </w:p>
        </w:tc>
        <w:tc>
          <w:tcPr>
            <w:tcW w:w="3222" w:type="dxa"/>
            <w:tcBorders>
              <w:left w:val="dashed" w:sz="4" w:space="0" w:color="000000"/>
              <w:right w:val="dashed" w:sz="4" w:space="0" w:color="000000"/>
            </w:tcBorders>
          </w:tcPr>
          <w:p>
            <w:pPr>
              <w:pStyle w:val="TableParagraph"/>
              <w:spacing w:before="18"/>
              <w:ind w:left="15"/>
              <w:rPr>
                <w:sz w:val="21"/>
              </w:rPr>
            </w:pPr>
            <w:r>
              <w:rPr>
                <w:sz w:val="21"/>
              </w:rPr>
              <w:t>教育</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Q</w:t>
            </w:r>
          </w:p>
        </w:tc>
        <w:tc>
          <w:tcPr>
            <w:tcW w:w="3222" w:type="dxa"/>
            <w:tcBorders>
              <w:left w:val="dashed" w:sz="4" w:space="0" w:color="000000"/>
              <w:right w:val="dashed" w:sz="4" w:space="0" w:color="000000"/>
            </w:tcBorders>
          </w:tcPr>
          <w:p>
            <w:pPr>
              <w:pStyle w:val="TableParagraph"/>
              <w:spacing w:before="18"/>
              <w:ind w:left="15"/>
              <w:rPr>
                <w:sz w:val="21"/>
              </w:rPr>
            </w:pPr>
            <w:r>
              <w:rPr>
                <w:sz w:val="21"/>
              </w:rPr>
              <w:t>卫生和社会工作</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988,433,116.88</w:t>
            </w:r>
          </w:p>
        </w:tc>
        <w:tc>
          <w:tcPr>
            <w:tcW w:w="1420" w:type="dxa"/>
            <w:tcBorders>
              <w:left w:val="dashed" w:sz="4" w:space="0" w:color="000000"/>
            </w:tcBorders>
          </w:tcPr>
          <w:p>
            <w:pPr>
              <w:pStyle w:val="TableParagraph"/>
              <w:spacing w:before="18"/>
              <w:ind w:right="4"/>
              <w:jc w:val="right"/>
              <w:rPr>
                <w:sz w:val="21"/>
              </w:rPr>
            </w:pPr>
            <w:r>
              <w:rPr>
                <w:sz w:val="21"/>
              </w:rPr>
              <w:t>6.72</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R</w:t>
            </w:r>
          </w:p>
        </w:tc>
        <w:tc>
          <w:tcPr>
            <w:tcW w:w="3222" w:type="dxa"/>
            <w:tcBorders>
              <w:left w:val="dashed" w:sz="4" w:space="0" w:color="000000"/>
              <w:right w:val="dashed" w:sz="4" w:space="0" w:color="000000"/>
            </w:tcBorders>
          </w:tcPr>
          <w:p>
            <w:pPr>
              <w:pStyle w:val="TableParagraph"/>
              <w:spacing w:before="18"/>
              <w:ind w:left="15"/>
              <w:rPr>
                <w:sz w:val="21"/>
              </w:rPr>
            </w:pPr>
            <w:r>
              <w:rPr>
                <w:sz w:val="21"/>
              </w:rPr>
              <w:t>文化、体育和娱乐业</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18"/>
              <w:ind w:left="10"/>
              <w:jc w:val="center"/>
              <w:rPr>
                <w:sz w:val="21"/>
              </w:rPr>
            </w:pPr>
            <w:r>
              <w:rPr>
                <w:sz w:val="21"/>
              </w:rPr>
              <w:t>S</w:t>
            </w:r>
          </w:p>
        </w:tc>
        <w:tc>
          <w:tcPr>
            <w:tcW w:w="3222" w:type="dxa"/>
            <w:tcBorders>
              <w:left w:val="dashed" w:sz="4" w:space="0" w:color="000000"/>
              <w:right w:val="dashed" w:sz="4" w:space="0" w:color="000000"/>
            </w:tcBorders>
          </w:tcPr>
          <w:p>
            <w:pPr>
              <w:pStyle w:val="TableParagraph"/>
              <w:spacing w:before="18"/>
              <w:ind w:left="15"/>
              <w:rPr>
                <w:sz w:val="21"/>
              </w:rPr>
            </w:pPr>
            <w:r>
              <w:rPr>
                <w:sz w:val="21"/>
              </w:rPr>
              <w:t>综合</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0" w:type="dxa"/>
            <w:tcBorders>
              <w:left w:val="dashed" w:sz="4" w:space="0" w:color="000000"/>
            </w:tcBorders>
          </w:tcPr>
          <w:p>
            <w:pPr>
              <w:pStyle w:val="TableParagraph"/>
              <w:spacing w:before="18"/>
              <w:ind w:right="4"/>
              <w:jc w:val="right"/>
              <w:rPr>
                <w:sz w:val="21"/>
              </w:rPr>
            </w:pPr>
            <w:r>
              <w:rPr>
                <w:sz w:val="21"/>
              </w:rPr>
              <w:t>-</w:t>
            </w:r>
          </w:p>
        </w:tc>
      </w:tr>
      <w:tr>
        <w:trPr>
          <w:trHeight w:val="355" w:hRule="atLeast"/>
        </w:trPr>
        <w:tc>
          <w:tcPr>
            <w:tcW w:w="648" w:type="dxa"/>
            <w:tcBorders>
              <w:right w:val="dashed" w:sz="4" w:space="0" w:color="000000"/>
            </w:tcBorders>
          </w:tcPr>
          <w:p>
            <w:pPr>
              <w:pStyle w:val="TableParagraph"/>
              <w:spacing w:before="0"/>
              <w:rPr>
                <w:rFonts w:ascii="Times New Roman"/>
                <w:sz w:val="20"/>
              </w:rPr>
            </w:pPr>
          </w:p>
        </w:tc>
        <w:tc>
          <w:tcPr>
            <w:tcW w:w="3222" w:type="dxa"/>
            <w:tcBorders>
              <w:left w:val="dashed" w:sz="4" w:space="0" w:color="000000"/>
              <w:right w:val="dashed" w:sz="4" w:space="0" w:color="000000"/>
            </w:tcBorders>
          </w:tcPr>
          <w:p>
            <w:pPr>
              <w:pStyle w:val="TableParagraph"/>
              <w:spacing w:before="18"/>
              <w:ind w:left="15"/>
              <w:rPr>
                <w:sz w:val="21"/>
              </w:rPr>
            </w:pPr>
            <w:r>
              <w:rPr>
                <w:sz w:val="21"/>
              </w:rPr>
              <w:t>合计</w:t>
            </w:r>
          </w:p>
        </w:tc>
        <w:tc>
          <w:tcPr>
            <w:tcW w:w="2705" w:type="dxa"/>
            <w:tcBorders>
              <w:left w:val="dashed" w:sz="4" w:space="0" w:color="000000"/>
              <w:right w:val="dashed" w:sz="4" w:space="0" w:color="000000"/>
            </w:tcBorders>
          </w:tcPr>
          <w:p>
            <w:pPr>
              <w:pStyle w:val="TableParagraph"/>
              <w:spacing w:before="18"/>
              <w:ind w:right="-15"/>
              <w:jc w:val="right"/>
              <w:rPr>
                <w:sz w:val="21"/>
              </w:rPr>
            </w:pPr>
            <w:r>
              <w:rPr>
                <w:sz w:val="21"/>
              </w:rPr>
              <w:t>13,887,424,191.78</w:t>
            </w:r>
          </w:p>
        </w:tc>
        <w:tc>
          <w:tcPr>
            <w:tcW w:w="1420" w:type="dxa"/>
            <w:tcBorders>
              <w:left w:val="dashed" w:sz="4" w:space="0" w:color="000000"/>
            </w:tcBorders>
          </w:tcPr>
          <w:p>
            <w:pPr>
              <w:pStyle w:val="TableParagraph"/>
              <w:spacing w:before="18"/>
              <w:ind w:right="4"/>
              <w:jc w:val="right"/>
              <w:rPr>
                <w:sz w:val="21"/>
              </w:rPr>
            </w:pPr>
            <w:r>
              <w:rPr>
                <w:sz w:val="21"/>
              </w:rPr>
              <w:t>94.38</w:t>
            </w:r>
          </w:p>
        </w:tc>
      </w:tr>
    </w:tbl>
    <w:p>
      <w:pPr>
        <w:pStyle w:val="BodyText"/>
        <w:spacing w:before="3"/>
        <w:ind w:left="1242" w:right="1652"/>
        <w:jc w:val="center"/>
      </w:pPr>
      <w:r>
        <w:rPr/>
        <w:t>3、报告期末按公允价值占基金资产净值比例大小排序的前十名股票投资明细</w:t>
      </w:r>
    </w:p>
    <w:p>
      <w:pPr>
        <w:pStyle w:val="BodyText"/>
        <w:spacing w:before="8"/>
        <w:ind w:left="0"/>
        <w:rPr>
          <w:sz w:val="10"/>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1050" w:hRule="atLeast"/>
        </w:trPr>
        <w:tc>
          <w:tcPr>
            <w:tcW w:w="784" w:type="dxa"/>
          </w:tcPr>
          <w:p>
            <w:pPr>
              <w:pStyle w:val="TableParagraph"/>
              <w:spacing w:before="1"/>
              <w:rPr>
                <w:sz w:val="29"/>
              </w:rPr>
            </w:pPr>
          </w:p>
          <w:p>
            <w:pPr>
              <w:pStyle w:val="TableParagraph"/>
              <w:spacing w:before="0"/>
              <w:ind w:left="170" w:right="143"/>
              <w:jc w:val="center"/>
              <w:rPr>
                <w:sz w:val="21"/>
              </w:rPr>
            </w:pPr>
            <w:r>
              <w:rPr>
                <w:sz w:val="21"/>
              </w:rPr>
              <w:t>序号</w:t>
            </w:r>
          </w:p>
        </w:tc>
        <w:tc>
          <w:tcPr>
            <w:tcW w:w="1164" w:type="dxa"/>
          </w:tcPr>
          <w:p>
            <w:pPr>
              <w:pStyle w:val="TableParagraph"/>
              <w:spacing w:before="1"/>
              <w:rPr>
                <w:sz w:val="29"/>
              </w:rPr>
            </w:pPr>
          </w:p>
          <w:p>
            <w:pPr>
              <w:pStyle w:val="TableParagraph"/>
              <w:spacing w:before="0"/>
              <w:ind w:left="150" w:right="123"/>
              <w:jc w:val="center"/>
              <w:rPr>
                <w:sz w:val="21"/>
              </w:rPr>
            </w:pPr>
            <w:r>
              <w:rPr>
                <w:sz w:val="21"/>
              </w:rPr>
              <w:t>股票代码</w:t>
            </w:r>
          </w:p>
        </w:tc>
        <w:tc>
          <w:tcPr>
            <w:tcW w:w="1291" w:type="dxa"/>
          </w:tcPr>
          <w:p>
            <w:pPr>
              <w:pStyle w:val="TableParagraph"/>
              <w:spacing w:before="1"/>
              <w:rPr>
                <w:sz w:val="29"/>
              </w:rPr>
            </w:pPr>
          </w:p>
          <w:p>
            <w:pPr>
              <w:pStyle w:val="TableParagraph"/>
              <w:spacing w:before="0"/>
              <w:ind w:left="205" w:right="178"/>
              <w:jc w:val="center"/>
              <w:rPr>
                <w:sz w:val="21"/>
              </w:rPr>
            </w:pPr>
            <w:r>
              <w:rPr>
                <w:sz w:val="21"/>
              </w:rPr>
              <w:t>股票名称</w:t>
            </w:r>
          </w:p>
        </w:tc>
        <w:tc>
          <w:tcPr>
            <w:tcW w:w="1543" w:type="dxa"/>
          </w:tcPr>
          <w:p>
            <w:pPr>
              <w:pStyle w:val="TableParagraph"/>
              <w:spacing w:before="1"/>
              <w:rPr>
                <w:sz w:val="29"/>
              </w:rPr>
            </w:pPr>
          </w:p>
          <w:p>
            <w:pPr>
              <w:pStyle w:val="TableParagraph"/>
              <w:spacing w:before="0"/>
              <w:ind w:left="254"/>
              <w:rPr>
                <w:sz w:val="21"/>
              </w:rPr>
            </w:pPr>
            <w:r>
              <w:rPr>
                <w:sz w:val="21"/>
              </w:rPr>
              <w:t>数量（股）</w:t>
            </w:r>
          </w:p>
        </w:tc>
        <w:tc>
          <w:tcPr>
            <w:tcW w:w="1796" w:type="dxa"/>
          </w:tcPr>
          <w:p>
            <w:pPr>
              <w:pStyle w:val="TableParagraph"/>
              <w:spacing w:before="1"/>
              <w:rPr>
                <w:sz w:val="29"/>
              </w:rPr>
            </w:pPr>
          </w:p>
          <w:p>
            <w:pPr>
              <w:pStyle w:val="TableParagraph"/>
              <w:spacing w:before="0"/>
              <w:ind w:left="171"/>
              <w:rPr>
                <w:sz w:val="21"/>
              </w:rPr>
            </w:pPr>
            <w:r>
              <w:rPr>
                <w:sz w:val="21"/>
              </w:rPr>
              <w:t>公允价值（元）</w:t>
            </w:r>
          </w:p>
        </w:tc>
        <w:tc>
          <w:tcPr>
            <w:tcW w:w="1417" w:type="dxa"/>
          </w:tcPr>
          <w:p>
            <w:pPr>
              <w:pStyle w:val="TableParagraph"/>
              <w:spacing w:line="304" w:lineRule="auto" w:before="32"/>
              <w:ind w:left="191" w:right="163"/>
              <w:jc w:val="center"/>
              <w:rPr>
                <w:sz w:val="21"/>
              </w:rPr>
            </w:pPr>
            <w:r>
              <w:rPr>
                <w:sz w:val="21"/>
              </w:rPr>
              <w:t>占基金资产净值比例</w:t>
            </w:r>
          </w:p>
          <w:p>
            <w:pPr>
              <w:pStyle w:val="TableParagraph"/>
              <w:spacing w:line="266" w:lineRule="exact" w:before="0"/>
              <w:ind w:left="189" w:right="163"/>
              <w:jc w:val="center"/>
              <w:rPr>
                <w:sz w:val="21"/>
              </w:rPr>
            </w:pPr>
            <w:r>
              <w:rPr>
                <w:sz w:val="21"/>
              </w:rPr>
              <w:t>（％）</w:t>
            </w:r>
          </w:p>
        </w:tc>
      </w:tr>
      <w:tr>
        <w:trPr>
          <w:trHeight w:val="680" w:hRule="atLeast"/>
        </w:trPr>
        <w:tc>
          <w:tcPr>
            <w:tcW w:w="784" w:type="dxa"/>
          </w:tcPr>
          <w:p>
            <w:pPr>
              <w:pStyle w:val="TableParagraph"/>
              <w:spacing w:before="173"/>
              <w:ind w:left="10"/>
              <w:jc w:val="center"/>
              <w:rPr>
                <w:sz w:val="21"/>
              </w:rPr>
            </w:pPr>
            <w:r>
              <w:rPr>
                <w:sz w:val="21"/>
              </w:rPr>
              <w:t>1</w:t>
            </w:r>
          </w:p>
        </w:tc>
        <w:tc>
          <w:tcPr>
            <w:tcW w:w="1164" w:type="dxa"/>
          </w:tcPr>
          <w:p>
            <w:pPr>
              <w:pStyle w:val="TableParagraph"/>
              <w:spacing w:before="173"/>
              <w:ind w:left="133" w:right="123"/>
              <w:jc w:val="center"/>
              <w:rPr>
                <w:sz w:val="21"/>
              </w:rPr>
            </w:pPr>
            <w:r>
              <w:rPr>
                <w:sz w:val="21"/>
              </w:rPr>
              <w:t>002007</w:t>
            </w:r>
          </w:p>
        </w:tc>
        <w:tc>
          <w:tcPr>
            <w:tcW w:w="1291" w:type="dxa"/>
          </w:tcPr>
          <w:p>
            <w:pPr>
              <w:pStyle w:val="TableParagraph"/>
              <w:spacing w:before="173"/>
              <w:ind w:left="197" w:right="187"/>
              <w:jc w:val="center"/>
              <w:rPr>
                <w:sz w:val="21"/>
              </w:rPr>
            </w:pPr>
            <w:r>
              <w:rPr>
                <w:sz w:val="21"/>
              </w:rPr>
              <w:t>华兰生物</w:t>
            </w:r>
          </w:p>
        </w:tc>
        <w:tc>
          <w:tcPr>
            <w:tcW w:w="1543" w:type="dxa"/>
          </w:tcPr>
          <w:p>
            <w:pPr>
              <w:pStyle w:val="TableParagraph"/>
              <w:spacing w:before="173"/>
              <w:ind w:right="96"/>
              <w:jc w:val="right"/>
              <w:rPr>
                <w:sz w:val="21"/>
              </w:rPr>
            </w:pPr>
            <w:r>
              <w:rPr>
                <w:sz w:val="21"/>
              </w:rPr>
              <w:t>30,829,189</w:t>
            </w:r>
          </w:p>
        </w:tc>
        <w:tc>
          <w:tcPr>
            <w:tcW w:w="1796" w:type="dxa"/>
          </w:tcPr>
          <w:p>
            <w:pPr>
              <w:pStyle w:val="TableParagraph"/>
              <w:ind w:right="97"/>
              <w:jc w:val="right"/>
              <w:rPr>
                <w:sz w:val="21"/>
              </w:rPr>
            </w:pPr>
            <w:r>
              <w:rPr>
                <w:sz w:val="21"/>
              </w:rPr>
              <w:t>1,477,334,736.8</w:t>
            </w:r>
          </w:p>
          <w:p>
            <w:pPr>
              <w:pStyle w:val="TableParagraph"/>
              <w:spacing w:before="71"/>
              <w:ind w:right="97"/>
              <w:jc w:val="right"/>
              <w:rPr>
                <w:sz w:val="21"/>
              </w:rPr>
            </w:pPr>
            <w:r>
              <w:rPr>
                <w:sz w:val="21"/>
              </w:rPr>
              <w:t>8</w:t>
            </w:r>
          </w:p>
        </w:tc>
        <w:tc>
          <w:tcPr>
            <w:tcW w:w="1417" w:type="dxa"/>
          </w:tcPr>
          <w:p>
            <w:pPr>
              <w:pStyle w:val="TableParagraph"/>
              <w:spacing w:before="173"/>
              <w:ind w:right="96"/>
              <w:jc w:val="right"/>
              <w:rPr>
                <w:sz w:val="21"/>
              </w:rPr>
            </w:pPr>
            <w:r>
              <w:rPr>
                <w:sz w:val="21"/>
              </w:rPr>
              <w:t>10.04</w:t>
            </w:r>
          </w:p>
        </w:tc>
      </w:tr>
      <w:tr>
        <w:trPr>
          <w:trHeight w:val="680" w:hRule="atLeast"/>
        </w:trPr>
        <w:tc>
          <w:tcPr>
            <w:tcW w:w="784" w:type="dxa"/>
          </w:tcPr>
          <w:p>
            <w:pPr>
              <w:pStyle w:val="TableParagraph"/>
              <w:spacing w:before="173"/>
              <w:ind w:left="10"/>
              <w:jc w:val="center"/>
              <w:rPr>
                <w:sz w:val="21"/>
              </w:rPr>
            </w:pPr>
            <w:r>
              <w:rPr>
                <w:sz w:val="21"/>
              </w:rPr>
              <w:t>2</w:t>
            </w:r>
          </w:p>
        </w:tc>
        <w:tc>
          <w:tcPr>
            <w:tcW w:w="1164" w:type="dxa"/>
          </w:tcPr>
          <w:p>
            <w:pPr>
              <w:pStyle w:val="TableParagraph"/>
              <w:spacing w:before="173"/>
              <w:ind w:left="133" w:right="123"/>
              <w:jc w:val="center"/>
              <w:rPr>
                <w:sz w:val="21"/>
              </w:rPr>
            </w:pPr>
            <w:r>
              <w:rPr>
                <w:sz w:val="21"/>
              </w:rPr>
              <w:t>600519</w:t>
            </w:r>
          </w:p>
        </w:tc>
        <w:tc>
          <w:tcPr>
            <w:tcW w:w="1291" w:type="dxa"/>
          </w:tcPr>
          <w:p>
            <w:pPr>
              <w:pStyle w:val="TableParagraph"/>
              <w:spacing w:before="173"/>
              <w:ind w:left="197" w:right="187"/>
              <w:jc w:val="center"/>
              <w:rPr>
                <w:sz w:val="21"/>
              </w:rPr>
            </w:pPr>
            <w:r>
              <w:rPr>
                <w:sz w:val="21"/>
              </w:rPr>
              <w:t>贵州茅台</w:t>
            </w:r>
          </w:p>
        </w:tc>
        <w:tc>
          <w:tcPr>
            <w:tcW w:w="1543" w:type="dxa"/>
          </w:tcPr>
          <w:p>
            <w:pPr>
              <w:pStyle w:val="TableParagraph"/>
              <w:spacing w:before="173"/>
              <w:ind w:right="96"/>
              <w:jc w:val="right"/>
              <w:rPr>
                <w:sz w:val="21"/>
              </w:rPr>
            </w:pPr>
            <w:r>
              <w:rPr>
                <w:sz w:val="21"/>
              </w:rPr>
              <w:t>1,290,000</w:t>
            </w:r>
          </w:p>
        </w:tc>
        <w:tc>
          <w:tcPr>
            <w:tcW w:w="1796" w:type="dxa"/>
          </w:tcPr>
          <w:p>
            <w:pPr>
              <w:pStyle w:val="TableParagraph"/>
              <w:ind w:right="97"/>
              <w:jc w:val="right"/>
              <w:rPr>
                <w:sz w:val="21"/>
              </w:rPr>
            </w:pPr>
            <w:r>
              <w:rPr>
                <w:sz w:val="21"/>
              </w:rPr>
              <w:t>1,433,190,000.0</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9.74</w:t>
            </w:r>
          </w:p>
        </w:tc>
      </w:tr>
      <w:tr>
        <w:trPr>
          <w:trHeight w:val="680" w:hRule="atLeast"/>
        </w:trPr>
        <w:tc>
          <w:tcPr>
            <w:tcW w:w="784" w:type="dxa"/>
          </w:tcPr>
          <w:p>
            <w:pPr>
              <w:pStyle w:val="TableParagraph"/>
              <w:spacing w:before="173"/>
              <w:ind w:left="10"/>
              <w:jc w:val="center"/>
              <w:rPr>
                <w:sz w:val="21"/>
              </w:rPr>
            </w:pPr>
            <w:r>
              <w:rPr>
                <w:sz w:val="21"/>
              </w:rPr>
              <w:t>3</w:t>
            </w:r>
          </w:p>
        </w:tc>
        <w:tc>
          <w:tcPr>
            <w:tcW w:w="1164" w:type="dxa"/>
          </w:tcPr>
          <w:p>
            <w:pPr>
              <w:pStyle w:val="TableParagraph"/>
              <w:spacing w:before="173"/>
              <w:ind w:left="133" w:right="123"/>
              <w:jc w:val="center"/>
              <w:rPr>
                <w:sz w:val="21"/>
              </w:rPr>
            </w:pPr>
            <w:r>
              <w:rPr>
                <w:sz w:val="21"/>
              </w:rPr>
              <w:t>000858</w:t>
            </w:r>
          </w:p>
        </w:tc>
        <w:tc>
          <w:tcPr>
            <w:tcW w:w="1291" w:type="dxa"/>
          </w:tcPr>
          <w:p>
            <w:pPr>
              <w:pStyle w:val="TableParagraph"/>
              <w:spacing w:before="173"/>
              <w:ind w:left="197" w:right="187"/>
              <w:jc w:val="center"/>
              <w:rPr>
                <w:sz w:val="21"/>
              </w:rPr>
            </w:pPr>
            <w:r>
              <w:rPr>
                <w:sz w:val="21"/>
              </w:rPr>
              <w:t>五粮液</w:t>
            </w:r>
          </w:p>
        </w:tc>
        <w:tc>
          <w:tcPr>
            <w:tcW w:w="1543" w:type="dxa"/>
          </w:tcPr>
          <w:p>
            <w:pPr>
              <w:pStyle w:val="TableParagraph"/>
              <w:spacing w:before="173"/>
              <w:ind w:right="96"/>
              <w:jc w:val="right"/>
              <w:rPr>
                <w:sz w:val="21"/>
              </w:rPr>
            </w:pPr>
            <w:r>
              <w:rPr>
                <w:sz w:val="21"/>
              </w:rPr>
              <w:t>12,359,980</w:t>
            </w:r>
          </w:p>
        </w:tc>
        <w:tc>
          <w:tcPr>
            <w:tcW w:w="1796" w:type="dxa"/>
          </w:tcPr>
          <w:p>
            <w:pPr>
              <w:pStyle w:val="TableParagraph"/>
              <w:ind w:right="97"/>
              <w:jc w:val="right"/>
              <w:rPr>
                <w:sz w:val="21"/>
              </w:rPr>
            </w:pPr>
            <w:r>
              <w:rPr>
                <w:sz w:val="21"/>
              </w:rPr>
              <w:t>1,423,869,696.0</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9.68</w:t>
            </w:r>
          </w:p>
        </w:tc>
      </w:tr>
      <w:tr>
        <w:trPr>
          <w:trHeight w:val="680" w:hRule="atLeast"/>
        </w:trPr>
        <w:tc>
          <w:tcPr>
            <w:tcW w:w="784" w:type="dxa"/>
          </w:tcPr>
          <w:p>
            <w:pPr>
              <w:pStyle w:val="TableParagraph"/>
              <w:spacing w:before="173"/>
              <w:ind w:left="10"/>
              <w:jc w:val="center"/>
              <w:rPr>
                <w:sz w:val="21"/>
              </w:rPr>
            </w:pPr>
            <w:r>
              <w:rPr>
                <w:sz w:val="21"/>
              </w:rPr>
              <w:t>4</w:t>
            </w:r>
          </w:p>
        </w:tc>
        <w:tc>
          <w:tcPr>
            <w:tcW w:w="1164" w:type="dxa"/>
          </w:tcPr>
          <w:p>
            <w:pPr>
              <w:pStyle w:val="TableParagraph"/>
              <w:spacing w:before="173"/>
              <w:ind w:left="133" w:right="123"/>
              <w:jc w:val="center"/>
              <w:rPr>
                <w:sz w:val="21"/>
              </w:rPr>
            </w:pPr>
            <w:r>
              <w:rPr>
                <w:sz w:val="21"/>
              </w:rPr>
              <w:t>000568</w:t>
            </w:r>
          </w:p>
        </w:tc>
        <w:tc>
          <w:tcPr>
            <w:tcW w:w="1291" w:type="dxa"/>
          </w:tcPr>
          <w:p>
            <w:pPr>
              <w:pStyle w:val="TableParagraph"/>
              <w:spacing w:before="173"/>
              <w:ind w:left="197" w:right="187"/>
              <w:jc w:val="center"/>
              <w:rPr>
                <w:sz w:val="21"/>
              </w:rPr>
            </w:pPr>
            <w:r>
              <w:rPr>
                <w:sz w:val="21"/>
              </w:rPr>
              <w:t>泸州老窖</w:t>
            </w:r>
          </w:p>
        </w:tc>
        <w:tc>
          <w:tcPr>
            <w:tcW w:w="1543" w:type="dxa"/>
          </w:tcPr>
          <w:p>
            <w:pPr>
              <w:pStyle w:val="TableParagraph"/>
              <w:spacing w:before="173"/>
              <w:ind w:right="96"/>
              <w:jc w:val="right"/>
              <w:rPr>
                <w:sz w:val="21"/>
              </w:rPr>
            </w:pPr>
            <w:r>
              <w:rPr>
                <w:sz w:val="21"/>
              </w:rPr>
              <w:t>19,060,000</w:t>
            </w:r>
          </w:p>
        </w:tc>
        <w:tc>
          <w:tcPr>
            <w:tcW w:w="1796" w:type="dxa"/>
          </w:tcPr>
          <w:p>
            <w:pPr>
              <w:pStyle w:val="TableParagraph"/>
              <w:ind w:right="97"/>
              <w:jc w:val="right"/>
              <w:rPr>
                <w:sz w:val="21"/>
              </w:rPr>
            </w:pPr>
            <w:r>
              <w:rPr>
                <w:sz w:val="21"/>
              </w:rPr>
              <w:t>1,403,769,000.0</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9.54</w:t>
            </w:r>
          </w:p>
        </w:tc>
      </w:tr>
      <w:tr>
        <w:trPr>
          <w:trHeight w:val="680" w:hRule="atLeast"/>
        </w:trPr>
        <w:tc>
          <w:tcPr>
            <w:tcW w:w="784" w:type="dxa"/>
          </w:tcPr>
          <w:p>
            <w:pPr>
              <w:pStyle w:val="TableParagraph"/>
              <w:spacing w:before="173"/>
              <w:ind w:left="10"/>
              <w:jc w:val="center"/>
              <w:rPr>
                <w:sz w:val="21"/>
              </w:rPr>
            </w:pPr>
            <w:r>
              <w:rPr>
                <w:sz w:val="21"/>
              </w:rPr>
              <w:t>5</w:t>
            </w:r>
          </w:p>
        </w:tc>
        <w:tc>
          <w:tcPr>
            <w:tcW w:w="1164" w:type="dxa"/>
          </w:tcPr>
          <w:p>
            <w:pPr>
              <w:pStyle w:val="TableParagraph"/>
              <w:spacing w:before="173"/>
              <w:ind w:left="133" w:right="123"/>
              <w:jc w:val="center"/>
              <w:rPr>
                <w:sz w:val="21"/>
              </w:rPr>
            </w:pPr>
            <w:r>
              <w:rPr>
                <w:sz w:val="21"/>
              </w:rPr>
              <w:t>600009</w:t>
            </w:r>
          </w:p>
        </w:tc>
        <w:tc>
          <w:tcPr>
            <w:tcW w:w="1291" w:type="dxa"/>
          </w:tcPr>
          <w:p>
            <w:pPr>
              <w:pStyle w:val="TableParagraph"/>
              <w:spacing w:before="173"/>
              <w:ind w:left="197" w:right="187"/>
              <w:jc w:val="center"/>
              <w:rPr>
                <w:sz w:val="21"/>
              </w:rPr>
            </w:pPr>
            <w:r>
              <w:rPr>
                <w:sz w:val="21"/>
              </w:rPr>
              <w:t>上海机场</w:t>
            </w:r>
          </w:p>
        </w:tc>
        <w:tc>
          <w:tcPr>
            <w:tcW w:w="1543" w:type="dxa"/>
          </w:tcPr>
          <w:p>
            <w:pPr>
              <w:pStyle w:val="TableParagraph"/>
              <w:spacing w:before="173"/>
              <w:ind w:right="96"/>
              <w:jc w:val="right"/>
              <w:rPr>
                <w:sz w:val="21"/>
              </w:rPr>
            </w:pPr>
            <w:r>
              <w:rPr>
                <w:sz w:val="21"/>
              </w:rPr>
              <w:t>22,309,450</w:t>
            </w:r>
          </w:p>
        </w:tc>
        <w:tc>
          <w:tcPr>
            <w:tcW w:w="1796" w:type="dxa"/>
          </w:tcPr>
          <w:p>
            <w:pPr>
              <w:pStyle w:val="TableParagraph"/>
              <w:ind w:right="97"/>
              <w:jc w:val="right"/>
              <w:rPr>
                <w:sz w:val="21"/>
              </w:rPr>
            </w:pPr>
            <w:r>
              <w:rPr>
                <w:sz w:val="21"/>
              </w:rPr>
              <w:t>1,356,637,654.5</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9.22</w:t>
            </w:r>
          </w:p>
        </w:tc>
      </w:tr>
    </w:tbl>
    <w:p>
      <w:pPr>
        <w:spacing w:after="0"/>
        <w:jc w:val="right"/>
        <w:rPr>
          <w:sz w:val="21"/>
        </w:rPr>
        <w:sectPr>
          <w:pgSz w:w="11910" w:h="16840"/>
          <w:pgMar w:header="0" w:footer="638" w:top="1420" w:bottom="900" w:left="960" w:right="980"/>
        </w:sect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1796"/>
        <w:gridCol w:w="1417"/>
      </w:tblGrid>
      <w:tr>
        <w:trPr>
          <w:trHeight w:val="680" w:hRule="atLeast"/>
        </w:trPr>
        <w:tc>
          <w:tcPr>
            <w:tcW w:w="784" w:type="dxa"/>
          </w:tcPr>
          <w:p>
            <w:pPr>
              <w:pStyle w:val="TableParagraph"/>
              <w:spacing w:before="173"/>
              <w:ind w:left="10"/>
              <w:jc w:val="center"/>
              <w:rPr>
                <w:sz w:val="21"/>
              </w:rPr>
            </w:pPr>
            <w:r>
              <w:rPr>
                <w:sz w:val="21"/>
              </w:rPr>
              <w:t>6</w:t>
            </w:r>
          </w:p>
        </w:tc>
        <w:tc>
          <w:tcPr>
            <w:tcW w:w="1164" w:type="dxa"/>
          </w:tcPr>
          <w:p>
            <w:pPr>
              <w:pStyle w:val="TableParagraph"/>
              <w:spacing w:before="173"/>
              <w:ind w:left="133" w:right="123"/>
              <w:jc w:val="center"/>
              <w:rPr>
                <w:sz w:val="21"/>
              </w:rPr>
            </w:pPr>
            <w:r>
              <w:rPr>
                <w:sz w:val="21"/>
              </w:rPr>
              <w:t>600161</w:t>
            </w:r>
          </w:p>
        </w:tc>
        <w:tc>
          <w:tcPr>
            <w:tcW w:w="1291" w:type="dxa"/>
          </w:tcPr>
          <w:p>
            <w:pPr>
              <w:pStyle w:val="TableParagraph"/>
              <w:spacing w:before="173"/>
              <w:ind w:left="197" w:right="187"/>
              <w:jc w:val="center"/>
              <w:rPr>
                <w:sz w:val="21"/>
              </w:rPr>
            </w:pPr>
            <w:r>
              <w:rPr>
                <w:sz w:val="21"/>
              </w:rPr>
              <w:t>天坛生物</w:t>
            </w:r>
          </w:p>
        </w:tc>
        <w:tc>
          <w:tcPr>
            <w:tcW w:w="1543" w:type="dxa"/>
          </w:tcPr>
          <w:p>
            <w:pPr>
              <w:pStyle w:val="TableParagraph"/>
              <w:spacing w:before="173"/>
              <w:ind w:right="96"/>
              <w:jc w:val="right"/>
              <w:rPr>
                <w:sz w:val="21"/>
              </w:rPr>
            </w:pPr>
            <w:r>
              <w:rPr>
                <w:sz w:val="21"/>
              </w:rPr>
              <w:t>29,000,000</w:t>
            </w:r>
          </w:p>
        </w:tc>
        <w:tc>
          <w:tcPr>
            <w:tcW w:w="1796" w:type="dxa"/>
          </w:tcPr>
          <w:p>
            <w:pPr>
              <w:pStyle w:val="TableParagraph"/>
              <w:ind w:right="97"/>
              <w:jc w:val="right"/>
              <w:rPr>
                <w:sz w:val="21"/>
              </w:rPr>
            </w:pPr>
            <w:r>
              <w:rPr>
                <w:sz w:val="21"/>
              </w:rPr>
              <w:t>1,055,020,000.0</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7.17</w:t>
            </w:r>
          </w:p>
        </w:tc>
      </w:tr>
      <w:tr>
        <w:trPr>
          <w:trHeight w:val="680" w:hRule="atLeast"/>
        </w:trPr>
        <w:tc>
          <w:tcPr>
            <w:tcW w:w="784" w:type="dxa"/>
          </w:tcPr>
          <w:p>
            <w:pPr>
              <w:pStyle w:val="TableParagraph"/>
              <w:spacing w:before="173"/>
              <w:ind w:left="10"/>
              <w:jc w:val="center"/>
              <w:rPr>
                <w:sz w:val="21"/>
              </w:rPr>
            </w:pPr>
            <w:r>
              <w:rPr>
                <w:sz w:val="21"/>
              </w:rPr>
              <w:t>7</w:t>
            </w:r>
          </w:p>
        </w:tc>
        <w:tc>
          <w:tcPr>
            <w:tcW w:w="1164" w:type="dxa"/>
          </w:tcPr>
          <w:p>
            <w:pPr>
              <w:pStyle w:val="TableParagraph"/>
              <w:spacing w:before="173"/>
              <w:ind w:left="133" w:right="123"/>
              <w:jc w:val="center"/>
              <w:rPr>
                <w:sz w:val="21"/>
              </w:rPr>
            </w:pPr>
            <w:r>
              <w:rPr>
                <w:sz w:val="21"/>
              </w:rPr>
              <w:t>600690</w:t>
            </w:r>
          </w:p>
        </w:tc>
        <w:tc>
          <w:tcPr>
            <w:tcW w:w="1291" w:type="dxa"/>
          </w:tcPr>
          <w:p>
            <w:pPr>
              <w:pStyle w:val="TableParagraph"/>
              <w:spacing w:before="173"/>
              <w:ind w:left="197" w:right="187"/>
              <w:jc w:val="center"/>
              <w:rPr>
                <w:sz w:val="21"/>
              </w:rPr>
            </w:pPr>
            <w:r>
              <w:rPr>
                <w:sz w:val="21"/>
              </w:rPr>
              <w:t>海尔智家</w:t>
            </w:r>
          </w:p>
        </w:tc>
        <w:tc>
          <w:tcPr>
            <w:tcW w:w="1543" w:type="dxa"/>
          </w:tcPr>
          <w:p>
            <w:pPr>
              <w:pStyle w:val="TableParagraph"/>
              <w:spacing w:before="173"/>
              <w:ind w:right="96"/>
              <w:jc w:val="right"/>
              <w:rPr>
                <w:sz w:val="21"/>
              </w:rPr>
            </w:pPr>
            <w:r>
              <w:rPr>
                <w:sz w:val="21"/>
              </w:rPr>
              <w:t>70,000,000</w:t>
            </w:r>
          </w:p>
        </w:tc>
        <w:tc>
          <w:tcPr>
            <w:tcW w:w="1796" w:type="dxa"/>
          </w:tcPr>
          <w:p>
            <w:pPr>
              <w:pStyle w:val="TableParagraph"/>
              <w:ind w:right="97"/>
              <w:jc w:val="right"/>
              <w:rPr>
                <w:sz w:val="21"/>
              </w:rPr>
            </w:pPr>
            <w:r>
              <w:rPr>
                <w:sz w:val="21"/>
              </w:rPr>
              <w:t>1,008,000,000.0</w:t>
            </w:r>
          </w:p>
          <w:p>
            <w:pPr>
              <w:pStyle w:val="TableParagraph"/>
              <w:spacing w:before="71"/>
              <w:ind w:right="97"/>
              <w:jc w:val="right"/>
              <w:rPr>
                <w:sz w:val="21"/>
              </w:rPr>
            </w:pPr>
            <w:r>
              <w:rPr>
                <w:sz w:val="21"/>
              </w:rPr>
              <w:t>0</w:t>
            </w:r>
          </w:p>
        </w:tc>
        <w:tc>
          <w:tcPr>
            <w:tcW w:w="1417" w:type="dxa"/>
          </w:tcPr>
          <w:p>
            <w:pPr>
              <w:pStyle w:val="TableParagraph"/>
              <w:spacing w:before="173"/>
              <w:ind w:right="96"/>
              <w:jc w:val="right"/>
              <w:rPr>
                <w:sz w:val="21"/>
              </w:rPr>
            </w:pPr>
            <w:r>
              <w:rPr>
                <w:sz w:val="21"/>
              </w:rPr>
              <w:t>6.85</w:t>
            </w:r>
          </w:p>
        </w:tc>
      </w:tr>
      <w:tr>
        <w:trPr>
          <w:trHeight w:val="340" w:hRule="atLeast"/>
        </w:trPr>
        <w:tc>
          <w:tcPr>
            <w:tcW w:w="784" w:type="dxa"/>
          </w:tcPr>
          <w:p>
            <w:pPr>
              <w:pStyle w:val="TableParagraph"/>
              <w:ind w:left="10"/>
              <w:jc w:val="center"/>
              <w:rPr>
                <w:sz w:val="21"/>
              </w:rPr>
            </w:pPr>
            <w:r>
              <w:rPr>
                <w:sz w:val="21"/>
              </w:rPr>
              <w:t>8</w:t>
            </w:r>
          </w:p>
        </w:tc>
        <w:tc>
          <w:tcPr>
            <w:tcW w:w="1164" w:type="dxa"/>
          </w:tcPr>
          <w:p>
            <w:pPr>
              <w:pStyle w:val="TableParagraph"/>
              <w:ind w:left="133" w:right="123"/>
              <w:jc w:val="center"/>
              <w:rPr>
                <w:sz w:val="21"/>
              </w:rPr>
            </w:pPr>
            <w:r>
              <w:rPr>
                <w:sz w:val="21"/>
              </w:rPr>
              <w:t>300015</w:t>
            </w:r>
          </w:p>
        </w:tc>
        <w:tc>
          <w:tcPr>
            <w:tcW w:w="1291" w:type="dxa"/>
          </w:tcPr>
          <w:p>
            <w:pPr>
              <w:pStyle w:val="TableParagraph"/>
              <w:ind w:left="197" w:right="187"/>
              <w:jc w:val="center"/>
              <w:rPr>
                <w:sz w:val="21"/>
              </w:rPr>
            </w:pPr>
            <w:r>
              <w:rPr>
                <w:sz w:val="21"/>
              </w:rPr>
              <w:t>爱尔眼科</w:t>
            </w:r>
          </w:p>
        </w:tc>
        <w:tc>
          <w:tcPr>
            <w:tcW w:w="1543" w:type="dxa"/>
          </w:tcPr>
          <w:p>
            <w:pPr>
              <w:pStyle w:val="TableParagraph"/>
              <w:ind w:right="96"/>
              <w:jc w:val="right"/>
              <w:rPr>
                <w:sz w:val="21"/>
              </w:rPr>
            </w:pPr>
            <w:r>
              <w:rPr>
                <w:sz w:val="21"/>
              </w:rPr>
              <w:t>25,099,876</w:t>
            </w:r>
          </w:p>
        </w:tc>
        <w:tc>
          <w:tcPr>
            <w:tcW w:w="1796" w:type="dxa"/>
          </w:tcPr>
          <w:p>
            <w:pPr>
              <w:pStyle w:val="TableParagraph"/>
              <w:ind w:right="97"/>
              <w:jc w:val="right"/>
              <w:rPr>
                <w:sz w:val="21"/>
              </w:rPr>
            </w:pPr>
            <w:r>
              <w:rPr>
                <w:sz w:val="21"/>
              </w:rPr>
              <w:t>988,433,116.88</w:t>
            </w:r>
          </w:p>
        </w:tc>
        <w:tc>
          <w:tcPr>
            <w:tcW w:w="1417" w:type="dxa"/>
          </w:tcPr>
          <w:p>
            <w:pPr>
              <w:pStyle w:val="TableParagraph"/>
              <w:ind w:right="96"/>
              <w:jc w:val="right"/>
              <w:rPr>
                <w:sz w:val="21"/>
              </w:rPr>
            </w:pPr>
            <w:r>
              <w:rPr>
                <w:sz w:val="21"/>
              </w:rPr>
              <w:t>6.72</w:t>
            </w:r>
          </w:p>
        </w:tc>
      </w:tr>
      <w:tr>
        <w:trPr>
          <w:trHeight w:val="340" w:hRule="atLeast"/>
        </w:trPr>
        <w:tc>
          <w:tcPr>
            <w:tcW w:w="784" w:type="dxa"/>
          </w:tcPr>
          <w:p>
            <w:pPr>
              <w:pStyle w:val="TableParagraph"/>
              <w:ind w:left="10"/>
              <w:jc w:val="center"/>
              <w:rPr>
                <w:sz w:val="21"/>
              </w:rPr>
            </w:pPr>
            <w:r>
              <w:rPr>
                <w:sz w:val="21"/>
              </w:rPr>
              <w:t>9</w:t>
            </w:r>
          </w:p>
        </w:tc>
        <w:tc>
          <w:tcPr>
            <w:tcW w:w="1164" w:type="dxa"/>
          </w:tcPr>
          <w:p>
            <w:pPr>
              <w:pStyle w:val="TableParagraph"/>
              <w:ind w:left="133" w:right="123"/>
              <w:jc w:val="center"/>
              <w:rPr>
                <w:sz w:val="21"/>
              </w:rPr>
            </w:pPr>
            <w:r>
              <w:rPr>
                <w:sz w:val="21"/>
              </w:rPr>
              <w:t>600066</w:t>
            </w:r>
          </w:p>
        </w:tc>
        <w:tc>
          <w:tcPr>
            <w:tcW w:w="1291" w:type="dxa"/>
          </w:tcPr>
          <w:p>
            <w:pPr>
              <w:pStyle w:val="TableParagraph"/>
              <w:ind w:left="197" w:right="187"/>
              <w:jc w:val="center"/>
              <w:rPr>
                <w:sz w:val="21"/>
              </w:rPr>
            </w:pPr>
            <w:r>
              <w:rPr>
                <w:sz w:val="21"/>
              </w:rPr>
              <w:t>宇通客车</w:t>
            </w:r>
          </w:p>
        </w:tc>
        <w:tc>
          <w:tcPr>
            <w:tcW w:w="1543" w:type="dxa"/>
          </w:tcPr>
          <w:p>
            <w:pPr>
              <w:pStyle w:val="TableParagraph"/>
              <w:ind w:right="96"/>
              <w:jc w:val="right"/>
              <w:rPr>
                <w:sz w:val="21"/>
              </w:rPr>
            </w:pPr>
            <w:r>
              <w:rPr>
                <w:sz w:val="21"/>
              </w:rPr>
              <w:t>62,009,792</w:t>
            </w:r>
          </w:p>
        </w:tc>
        <w:tc>
          <w:tcPr>
            <w:tcW w:w="1796" w:type="dxa"/>
          </w:tcPr>
          <w:p>
            <w:pPr>
              <w:pStyle w:val="TableParagraph"/>
              <w:ind w:right="97"/>
              <w:jc w:val="right"/>
              <w:rPr>
                <w:sz w:val="21"/>
              </w:rPr>
            </w:pPr>
            <w:r>
              <w:rPr>
                <w:sz w:val="21"/>
              </w:rPr>
              <w:t>848,914,052.48</w:t>
            </w:r>
          </w:p>
        </w:tc>
        <w:tc>
          <w:tcPr>
            <w:tcW w:w="1417" w:type="dxa"/>
          </w:tcPr>
          <w:p>
            <w:pPr>
              <w:pStyle w:val="TableParagraph"/>
              <w:ind w:right="96"/>
              <w:jc w:val="right"/>
              <w:rPr>
                <w:sz w:val="21"/>
              </w:rPr>
            </w:pPr>
            <w:r>
              <w:rPr>
                <w:sz w:val="21"/>
              </w:rPr>
              <w:t>5.77</w:t>
            </w:r>
          </w:p>
        </w:tc>
      </w:tr>
      <w:tr>
        <w:trPr>
          <w:trHeight w:val="340" w:hRule="atLeast"/>
        </w:trPr>
        <w:tc>
          <w:tcPr>
            <w:tcW w:w="784" w:type="dxa"/>
          </w:tcPr>
          <w:p>
            <w:pPr>
              <w:pStyle w:val="TableParagraph"/>
              <w:ind w:left="153" w:right="143"/>
              <w:jc w:val="center"/>
              <w:rPr>
                <w:sz w:val="21"/>
              </w:rPr>
            </w:pPr>
            <w:r>
              <w:rPr>
                <w:sz w:val="21"/>
              </w:rPr>
              <w:t>10</w:t>
            </w:r>
          </w:p>
        </w:tc>
        <w:tc>
          <w:tcPr>
            <w:tcW w:w="1164" w:type="dxa"/>
          </w:tcPr>
          <w:p>
            <w:pPr>
              <w:pStyle w:val="TableParagraph"/>
              <w:ind w:left="133" w:right="123"/>
              <w:jc w:val="center"/>
              <w:rPr>
                <w:sz w:val="21"/>
              </w:rPr>
            </w:pPr>
            <w:r>
              <w:rPr>
                <w:sz w:val="21"/>
              </w:rPr>
              <w:t>002032</w:t>
            </w:r>
          </w:p>
        </w:tc>
        <w:tc>
          <w:tcPr>
            <w:tcW w:w="1291" w:type="dxa"/>
          </w:tcPr>
          <w:p>
            <w:pPr>
              <w:pStyle w:val="TableParagraph"/>
              <w:ind w:left="197" w:right="187"/>
              <w:jc w:val="center"/>
              <w:rPr>
                <w:sz w:val="21"/>
              </w:rPr>
            </w:pPr>
            <w:r>
              <w:rPr>
                <w:sz w:val="21"/>
              </w:rPr>
              <w:t>苏泊尔</w:t>
            </w:r>
          </w:p>
        </w:tc>
        <w:tc>
          <w:tcPr>
            <w:tcW w:w="1543" w:type="dxa"/>
          </w:tcPr>
          <w:p>
            <w:pPr>
              <w:pStyle w:val="TableParagraph"/>
              <w:ind w:right="96"/>
              <w:jc w:val="right"/>
              <w:rPr>
                <w:sz w:val="21"/>
              </w:rPr>
            </w:pPr>
            <w:r>
              <w:rPr>
                <w:sz w:val="21"/>
              </w:rPr>
              <w:t>11,709,923</w:t>
            </w:r>
          </w:p>
        </w:tc>
        <w:tc>
          <w:tcPr>
            <w:tcW w:w="1796" w:type="dxa"/>
          </w:tcPr>
          <w:p>
            <w:pPr>
              <w:pStyle w:val="TableParagraph"/>
              <w:ind w:right="97"/>
              <w:jc w:val="right"/>
              <w:rPr>
                <w:sz w:val="21"/>
              </w:rPr>
            </w:pPr>
            <w:r>
              <w:rPr>
                <w:sz w:val="21"/>
              </w:rPr>
              <w:t>809,506,976.99</w:t>
            </w:r>
          </w:p>
        </w:tc>
        <w:tc>
          <w:tcPr>
            <w:tcW w:w="1417" w:type="dxa"/>
          </w:tcPr>
          <w:p>
            <w:pPr>
              <w:pStyle w:val="TableParagraph"/>
              <w:ind w:right="96"/>
              <w:jc w:val="right"/>
              <w:rPr>
                <w:sz w:val="21"/>
              </w:rPr>
            </w:pPr>
            <w:r>
              <w:rPr>
                <w:sz w:val="21"/>
              </w:rPr>
              <w:t>5.50</w:t>
            </w:r>
          </w:p>
        </w:tc>
      </w:tr>
    </w:tbl>
    <w:p>
      <w:pPr>
        <w:pStyle w:val="BodyText"/>
        <w:spacing w:line="364" w:lineRule="auto" w:before="3"/>
        <w:ind w:left="1260" w:right="926"/>
      </w:pPr>
      <w:r>
        <w:rPr/>
        <w:t>注：本报告期末本基金投资华兰生物占基金资产净值比例超过 10%，属于被动超标。4、报告期末按债券品种分类的债券投资组合</w:t>
      </w:r>
    </w:p>
    <w:p>
      <w:pPr>
        <w:pStyle w:val="BodyText"/>
        <w:spacing w:line="268" w:lineRule="exact"/>
        <w:ind w:left="1260"/>
      </w:pPr>
      <w:r>
        <w:rPr/>
        <w:t>本基金本报告期末未持有债券。</w:t>
      </w:r>
    </w:p>
    <w:p>
      <w:pPr>
        <w:pStyle w:val="BodyText"/>
        <w:spacing w:line="364" w:lineRule="auto" w:before="139"/>
        <w:ind w:left="1260" w:right="1670"/>
      </w:pPr>
      <w:r>
        <w:rPr/>
        <w:t>5</w:t>
      </w:r>
      <w:r>
        <w:rPr>
          <w:spacing w:val="-1"/>
        </w:rPr>
        <w:t>、报告期末按公允价值占基金资产净值比例大小排序的前五名债券投资明细</w:t>
      </w:r>
      <w:r>
        <w:rPr/>
        <w:t>本基金本报告期末未持有债券。</w:t>
      </w:r>
    </w:p>
    <w:p>
      <w:pPr>
        <w:pStyle w:val="BodyText"/>
        <w:spacing w:line="364" w:lineRule="auto"/>
        <w:ind w:left="1260" w:right="830"/>
      </w:pPr>
      <w:r>
        <w:rPr/>
        <w:t>6、报告期末按公允价值占基金资产净值比例大小排序的前十名资产支持证券投资明细本基金本报告期末未持有资产支持证券。</w:t>
      </w:r>
    </w:p>
    <w:p>
      <w:pPr>
        <w:pStyle w:val="BodyText"/>
        <w:spacing w:line="364" w:lineRule="auto"/>
        <w:ind w:left="1260" w:right="1460"/>
      </w:pPr>
      <w:r>
        <w:rPr/>
        <w:t>7、报告期末按公允价值占基金资产净值比例大小排序的前五名贵金属投资明细本基金本报告期末未持有贵金属。</w:t>
      </w:r>
    </w:p>
    <w:p>
      <w:pPr>
        <w:pStyle w:val="BodyText"/>
        <w:spacing w:line="364" w:lineRule="auto"/>
        <w:ind w:left="1260" w:right="1670"/>
      </w:pPr>
      <w:r>
        <w:rPr/>
        <w:t>8、报告期末按公允价值占基金资产净值比例大小排序的前五名权证投资明细本基金本报告期末未持有权证。</w:t>
      </w:r>
    </w:p>
    <w:p>
      <w:pPr>
        <w:pStyle w:val="BodyText"/>
        <w:spacing w:line="364" w:lineRule="auto"/>
        <w:ind w:left="1260" w:right="4190"/>
      </w:pPr>
      <w:r>
        <w:rPr/>
        <w:t>9</w:t>
      </w:r>
      <w:r>
        <w:rPr>
          <w:spacing w:val="-1"/>
        </w:rPr>
        <w:t>、报告期末本基金投资的股指期货交易情况说明</w:t>
      </w:r>
      <w:r>
        <w:rPr/>
        <w:t>本基金本报告期末未投资股指期货。</w:t>
      </w:r>
    </w:p>
    <w:p>
      <w:pPr>
        <w:pStyle w:val="BodyText"/>
        <w:spacing w:line="364" w:lineRule="auto"/>
        <w:ind w:left="1260" w:right="4085"/>
      </w:pPr>
      <w:r>
        <w:rPr/>
        <w:t>10</w:t>
      </w:r>
      <w:r>
        <w:rPr>
          <w:spacing w:val="-1"/>
        </w:rPr>
        <w:t>、报告期末本基金投资的国债期货交易情况说明</w:t>
      </w:r>
      <w:r>
        <w:rPr/>
        <w:t>本基金本报告期末未投资国债期货。</w:t>
      </w:r>
    </w:p>
    <w:p>
      <w:pPr>
        <w:pStyle w:val="BodyText"/>
        <w:spacing w:line="268" w:lineRule="exact"/>
        <w:ind w:left="1260"/>
      </w:pPr>
      <w:r>
        <w:rPr/>
        <w:t>11、投资组合报告附注</w:t>
      </w:r>
    </w:p>
    <w:p>
      <w:pPr>
        <w:pStyle w:val="ListParagraph"/>
        <w:numPr>
          <w:ilvl w:val="0"/>
          <w:numId w:val="19"/>
        </w:numPr>
        <w:tabs>
          <w:tab w:pos="1787" w:val="left" w:leader="none"/>
        </w:tabs>
        <w:spacing w:line="364" w:lineRule="auto" w:before="135" w:after="0"/>
        <w:ind w:left="840" w:right="818" w:firstLine="420"/>
        <w:jc w:val="left"/>
        <w:rPr>
          <w:sz w:val="21"/>
        </w:rPr>
      </w:pPr>
      <w:r>
        <w:rPr>
          <w:sz w:val="21"/>
        </w:rPr>
        <w:t>本基金投资的前十名证券的发行主体本期没有出现被监管部门立案调查，或在报告编制日前一年内受到公开谴责、处罚的情形。</w:t>
      </w:r>
    </w:p>
    <w:p>
      <w:pPr>
        <w:pStyle w:val="ListParagraph"/>
        <w:numPr>
          <w:ilvl w:val="0"/>
          <w:numId w:val="19"/>
        </w:numPr>
        <w:tabs>
          <w:tab w:pos="1786" w:val="left" w:leader="none"/>
        </w:tabs>
        <w:spacing w:line="268" w:lineRule="exact" w:before="0" w:after="0"/>
        <w:ind w:left="1786" w:right="0" w:hanging="526"/>
        <w:jc w:val="left"/>
        <w:rPr>
          <w:sz w:val="21"/>
        </w:rPr>
      </w:pPr>
      <w:r>
        <w:rPr>
          <w:sz w:val="21"/>
        </w:rPr>
        <w:t>本基金投资的前十名股票没有超出基金合同规定的备选股票库。</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其他各项资产构成</w:t>
      </w:r>
    </w:p>
    <w:p>
      <w:pPr>
        <w:pStyle w:val="BodyText"/>
        <w:spacing w:before="7" w:after="1"/>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2298"/>
        <w:gridCol w:w="4535"/>
      </w:tblGrid>
      <w:tr>
        <w:trPr>
          <w:trHeight w:val="369" w:hRule="atLeast"/>
        </w:trPr>
        <w:tc>
          <w:tcPr>
            <w:tcW w:w="1167" w:type="dxa"/>
          </w:tcPr>
          <w:p>
            <w:pPr>
              <w:pStyle w:val="TableParagraph"/>
              <w:spacing w:before="32"/>
              <w:ind w:left="362" w:right="335"/>
              <w:jc w:val="center"/>
              <w:rPr>
                <w:sz w:val="21"/>
              </w:rPr>
            </w:pPr>
            <w:r>
              <w:rPr>
                <w:sz w:val="21"/>
              </w:rPr>
              <w:t>序号</w:t>
            </w:r>
          </w:p>
        </w:tc>
        <w:tc>
          <w:tcPr>
            <w:tcW w:w="2298" w:type="dxa"/>
          </w:tcPr>
          <w:p>
            <w:pPr>
              <w:pStyle w:val="TableParagraph"/>
              <w:spacing w:before="32"/>
              <w:ind w:left="927" w:right="901"/>
              <w:jc w:val="center"/>
              <w:rPr>
                <w:sz w:val="21"/>
              </w:rPr>
            </w:pPr>
            <w:r>
              <w:rPr>
                <w:sz w:val="21"/>
              </w:rPr>
              <w:t>名称</w:t>
            </w:r>
          </w:p>
        </w:tc>
        <w:tc>
          <w:tcPr>
            <w:tcW w:w="4535" w:type="dxa"/>
          </w:tcPr>
          <w:p>
            <w:pPr>
              <w:pStyle w:val="TableParagraph"/>
              <w:spacing w:before="32"/>
              <w:ind w:left="1731" w:right="1704"/>
              <w:jc w:val="center"/>
              <w:rPr>
                <w:sz w:val="21"/>
              </w:rPr>
            </w:pPr>
            <w:r>
              <w:rPr>
                <w:sz w:val="21"/>
              </w:rPr>
              <w:t>金额（元）</w:t>
            </w:r>
          </w:p>
        </w:tc>
      </w:tr>
      <w:tr>
        <w:trPr>
          <w:trHeight w:val="369" w:hRule="atLeast"/>
        </w:trPr>
        <w:tc>
          <w:tcPr>
            <w:tcW w:w="1167" w:type="dxa"/>
          </w:tcPr>
          <w:p>
            <w:pPr>
              <w:pStyle w:val="TableParagraph"/>
              <w:spacing w:before="32"/>
              <w:ind w:left="24"/>
              <w:jc w:val="center"/>
              <w:rPr>
                <w:sz w:val="21"/>
              </w:rPr>
            </w:pPr>
            <w:r>
              <w:rPr>
                <w:sz w:val="21"/>
              </w:rPr>
              <w:t>1</w:t>
            </w:r>
          </w:p>
        </w:tc>
        <w:tc>
          <w:tcPr>
            <w:tcW w:w="2298" w:type="dxa"/>
          </w:tcPr>
          <w:p>
            <w:pPr>
              <w:pStyle w:val="TableParagraph"/>
              <w:spacing w:before="32"/>
              <w:ind w:left="122"/>
              <w:rPr>
                <w:sz w:val="21"/>
              </w:rPr>
            </w:pPr>
            <w:r>
              <w:rPr>
                <w:sz w:val="21"/>
              </w:rPr>
              <w:t>存出保证金</w:t>
            </w:r>
          </w:p>
        </w:tc>
        <w:tc>
          <w:tcPr>
            <w:tcW w:w="4535" w:type="dxa"/>
          </w:tcPr>
          <w:p>
            <w:pPr>
              <w:pStyle w:val="TableParagraph"/>
              <w:spacing w:before="32"/>
              <w:ind w:right="97"/>
              <w:jc w:val="right"/>
              <w:rPr>
                <w:sz w:val="21"/>
              </w:rPr>
            </w:pPr>
            <w:r>
              <w:rPr>
                <w:sz w:val="21"/>
              </w:rPr>
              <w:t>2,495,728.59</w:t>
            </w:r>
          </w:p>
        </w:tc>
      </w:tr>
      <w:tr>
        <w:trPr>
          <w:trHeight w:val="369" w:hRule="atLeast"/>
        </w:trPr>
        <w:tc>
          <w:tcPr>
            <w:tcW w:w="1167" w:type="dxa"/>
          </w:tcPr>
          <w:p>
            <w:pPr>
              <w:pStyle w:val="TableParagraph"/>
              <w:spacing w:before="32"/>
              <w:ind w:left="24"/>
              <w:jc w:val="center"/>
              <w:rPr>
                <w:sz w:val="21"/>
              </w:rPr>
            </w:pPr>
            <w:r>
              <w:rPr>
                <w:sz w:val="21"/>
              </w:rPr>
              <w:t>2</w:t>
            </w:r>
          </w:p>
        </w:tc>
        <w:tc>
          <w:tcPr>
            <w:tcW w:w="2298" w:type="dxa"/>
          </w:tcPr>
          <w:p>
            <w:pPr>
              <w:pStyle w:val="TableParagraph"/>
              <w:spacing w:before="32"/>
              <w:ind w:left="122"/>
              <w:rPr>
                <w:sz w:val="21"/>
              </w:rPr>
            </w:pPr>
            <w:r>
              <w:rPr>
                <w:sz w:val="21"/>
              </w:rPr>
              <w:t>应收证券清算款</w:t>
            </w:r>
          </w:p>
        </w:tc>
        <w:tc>
          <w:tcPr>
            <w:tcW w:w="4535" w:type="dxa"/>
          </w:tcPr>
          <w:p>
            <w:pPr>
              <w:pStyle w:val="TableParagraph"/>
              <w:spacing w:before="32"/>
              <w:ind w:right="96"/>
              <w:jc w:val="right"/>
              <w:rPr>
                <w:sz w:val="21"/>
              </w:rPr>
            </w:pPr>
            <w:r>
              <w:rPr>
                <w:sz w:val="21"/>
              </w:rPr>
              <w:t>-</w:t>
            </w:r>
          </w:p>
        </w:tc>
      </w:tr>
      <w:tr>
        <w:trPr>
          <w:trHeight w:val="369" w:hRule="atLeast"/>
        </w:trPr>
        <w:tc>
          <w:tcPr>
            <w:tcW w:w="1167" w:type="dxa"/>
          </w:tcPr>
          <w:p>
            <w:pPr>
              <w:pStyle w:val="TableParagraph"/>
              <w:spacing w:before="32"/>
              <w:ind w:left="24"/>
              <w:jc w:val="center"/>
              <w:rPr>
                <w:sz w:val="21"/>
              </w:rPr>
            </w:pPr>
            <w:r>
              <w:rPr>
                <w:sz w:val="21"/>
              </w:rPr>
              <w:t>3</w:t>
            </w:r>
          </w:p>
        </w:tc>
        <w:tc>
          <w:tcPr>
            <w:tcW w:w="2298" w:type="dxa"/>
          </w:tcPr>
          <w:p>
            <w:pPr>
              <w:pStyle w:val="TableParagraph"/>
              <w:spacing w:before="32"/>
              <w:ind w:left="122"/>
              <w:rPr>
                <w:sz w:val="21"/>
              </w:rPr>
            </w:pPr>
            <w:r>
              <w:rPr>
                <w:sz w:val="21"/>
              </w:rPr>
              <w:t>应收股利</w:t>
            </w:r>
          </w:p>
        </w:tc>
        <w:tc>
          <w:tcPr>
            <w:tcW w:w="4535" w:type="dxa"/>
          </w:tcPr>
          <w:p>
            <w:pPr>
              <w:pStyle w:val="TableParagraph"/>
              <w:spacing w:before="32"/>
              <w:ind w:right="96"/>
              <w:jc w:val="right"/>
              <w:rPr>
                <w:sz w:val="21"/>
              </w:rPr>
            </w:pPr>
            <w:r>
              <w:rPr>
                <w:sz w:val="21"/>
              </w:rPr>
              <w:t>-</w:t>
            </w:r>
          </w:p>
        </w:tc>
      </w:tr>
      <w:tr>
        <w:trPr>
          <w:trHeight w:val="369" w:hRule="atLeast"/>
        </w:trPr>
        <w:tc>
          <w:tcPr>
            <w:tcW w:w="1167" w:type="dxa"/>
          </w:tcPr>
          <w:p>
            <w:pPr>
              <w:pStyle w:val="TableParagraph"/>
              <w:spacing w:before="32"/>
              <w:ind w:left="24"/>
              <w:jc w:val="center"/>
              <w:rPr>
                <w:sz w:val="21"/>
              </w:rPr>
            </w:pPr>
            <w:r>
              <w:rPr>
                <w:sz w:val="21"/>
              </w:rPr>
              <w:t>4</w:t>
            </w:r>
          </w:p>
        </w:tc>
        <w:tc>
          <w:tcPr>
            <w:tcW w:w="2298" w:type="dxa"/>
          </w:tcPr>
          <w:p>
            <w:pPr>
              <w:pStyle w:val="TableParagraph"/>
              <w:spacing w:before="32"/>
              <w:ind w:left="122"/>
              <w:rPr>
                <w:sz w:val="21"/>
              </w:rPr>
            </w:pPr>
            <w:r>
              <w:rPr>
                <w:sz w:val="21"/>
              </w:rPr>
              <w:t>应收利息</w:t>
            </w:r>
          </w:p>
        </w:tc>
        <w:tc>
          <w:tcPr>
            <w:tcW w:w="4535" w:type="dxa"/>
          </w:tcPr>
          <w:p>
            <w:pPr>
              <w:pStyle w:val="TableParagraph"/>
              <w:spacing w:before="32"/>
              <w:ind w:right="96"/>
              <w:jc w:val="right"/>
              <w:rPr>
                <w:sz w:val="21"/>
              </w:rPr>
            </w:pPr>
            <w:r>
              <w:rPr>
                <w:sz w:val="21"/>
              </w:rPr>
              <w:t>206,141.44</w:t>
            </w:r>
          </w:p>
        </w:tc>
      </w:tr>
      <w:tr>
        <w:trPr>
          <w:trHeight w:val="369" w:hRule="atLeast"/>
        </w:trPr>
        <w:tc>
          <w:tcPr>
            <w:tcW w:w="1167" w:type="dxa"/>
          </w:tcPr>
          <w:p>
            <w:pPr>
              <w:pStyle w:val="TableParagraph"/>
              <w:spacing w:before="32"/>
              <w:ind w:left="24"/>
              <w:jc w:val="center"/>
              <w:rPr>
                <w:sz w:val="21"/>
              </w:rPr>
            </w:pPr>
            <w:r>
              <w:rPr>
                <w:sz w:val="21"/>
              </w:rPr>
              <w:t>5</w:t>
            </w:r>
          </w:p>
        </w:tc>
        <w:tc>
          <w:tcPr>
            <w:tcW w:w="2298" w:type="dxa"/>
          </w:tcPr>
          <w:p>
            <w:pPr>
              <w:pStyle w:val="TableParagraph"/>
              <w:spacing w:before="32"/>
              <w:ind w:left="122"/>
              <w:rPr>
                <w:sz w:val="21"/>
              </w:rPr>
            </w:pPr>
            <w:r>
              <w:rPr>
                <w:sz w:val="21"/>
              </w:rPr>
              <w:t>应收申购款</w:t>
            </w:r>
          </w:p>
        </w:tc>
        <w:tc>
          <w:tcPr>
            <w:tcW w:w="4535" w:type="dxa"/>
          </w:tcPr>
          <w:p>
            <w:pPr>
              <w:pStyle w:val="TableParagraph"/>
              <w:spacing w:before="32"/>
              <w:ind w:right="97"/>
              <w:jc w:val="right"/>
              <w:rPr>
                <w:sz w:val="21"/>
              </w:rPr>
            </w:pPr>
            <w:r>
              <w:rPr>
                <w:sz w:val="21"/>
              </w:rPr>
              <w:t>86,944,244.73</w:t>
            </w:r>
          </w:p>
        </w:tc>
      </w:tr>
      <w:tr>
        <w:trPr>
          <w:trHeight w:val="369" w:hRule="atLeast"/>
        </w:trPr>
        <w:tc>
          <w:tcPr>
            <w:tcW w:w="1167" w:type="dxa"/>
          </w:tcPr>
          <w:p>
            <w:pPr>
              <w:pStyle w:val="TableParagraph"/>
              <w:spacing w:before="32"/>
              <w:ind w:left="24"/>
              <w:jc w:val="center"/>
              <w:rPr>
                <w:sz w:val="21"/>
              </w:rPr>
            </w:pPr>
            <w:r>
              <w:rPr>
                <w:sz w:val="21"/>
              </w:rPr>
              <w:t>6</w:t>
            </w:r>
          </w:p>
        </w:tc>
        <w:tc>
          <w:tcPr>
            <w:tcW w:w="2298" w:type="dxa"/>
          </w:tcPr>
          <w:p>
            <w:pPr>
              <w:pStyle w:val="TableParagraph"/>
              <w:spacing w:before="32"/>
              <w:ind w:left="122"/>
              <w:rPr>
                <w:sz w:val="21"/>
              </w:rPr>
            </w:pPr>
            <w:r>
              <w:rPr>
                <w:sz w:val="21"/>
              </w:rPr>
              <w:t>其他应收款</w:t>
            </w:r>
          </w:p>
        </w:tc>
        <w:tc>
          <w:tcPr>
            <w:tcW w:w="4535" w:type="dxa"/>
          </w:tcPr>
          <w:p>
            <w:pPr>
              <w:pStyle w:val="TableParagraph"/>
              <w:spacing w:before="32"/>
              <w:ind w:right="96"/>
              <w:jc w:val="right"/>
              <w:rPr>
                <w:sz w:val="21"/>
              </w:rPr>
            </w:pPr>
            <w:r>
              <w:rPr>
                <w:sz w:val="21"/>
              </w:rPr>
              <w:t>-</w:t>
            </w:r>
          </w:p>
        </w:tc>
      </w:tr>
      <w:tr>
        <w:trPr>
          <w:trHeight w:val="369" w:hRule="atLeast"/>
        </w:trPr>
        <w:tc>
          <w:tcPr>
            <w:tcW w:w="1167" w:type="dxa"/>
          </w:tcPr>
          <w:p>
            <w:pPr>
              <w:pStyle w:val="TableParagraph"/>
              <w:spacing w:before="32"/>
              <w:ind w:left="24"/>
              <w:jc w:val="center"/>
              <w:rPr>
                <w:sz w:val="21"/>
              </w:rPr>
            </w:pPr>
            <w:r>
              <w:rPr>
                <w:sz w:val="21"/>
              </w:rPr>
              <w:t>7</w:t>
            </w:r>
          </w:p>
        </w:tc>
        <w:tc>
          <w:tcPr>
            <w:tcW w:w="2298" w:type="dxa"/>
          </w:tcPr>
          <w:p>
            <w:pPr>
              <w:pStyle w:val="TableParagraph"/>
              <w:spacing w:before="32"/>
              <w:ind w:left="122"/>
              <w:rPr>
                <w:sz w:val="21"/>
              </w:rPr>
            </w:pPr>
            <w:r>
              <w:rPr>
                <w:sz w:val="21"/>
              </w:rPr>
              <w:t>待摊费用</w:t>
            </w:r>
          </w:p>
        </w:tc>
        <w:tc>
          <w:tcPr>
            <w:tcW w:w="4535" w:type="dxa"/>
          </w:tcPr>
          <w:p>
            <w:pPr>
              <w:pStyle w:val="TableParagraph"/>
              <w:spacing w:before="32"/>
              <w:ind w:right="96"/>
              <w:jc w:val="right"/>
              <w:rPr>
                <w:sz w:val="21"/>
              </w:rPr>
            </w:pPr>
            <w:r>
              <w:rPr>
                <w:sz w:val="21"/>
              </w:rPr>
              <w:t>-</w:t>
            </w:r>
          </w:p>
        </w:tc>
      </w:tr>
    </w:tbl>
    <w:p>
      <w:pPr>
        <w:spacing w:after="0"/>
        <w:jc w:val="right"/>
        <w:rPr>
          <w:sz w:val="21"/>
        </w:rPr>
        <w:sectPr>
          <w:pgSz w:w="11910" w:h="16840"/>
          <w:pgMar w:header="0" w:footer="638" w:top="1420" w:bottom="900" w:left="960" w:right="980"/>
        </w:sect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2298"/>
        <w:gridCol w:w="4535"/>
      </w:tblGrid>
      <w:tr>
        <w:trPr>
          <w:trHeight w:val="369" w:hRule="atLeast"/>
        </w:trPr>
        <w:tc>
          <w:tcPr>
            <w:tcW w:w="1167" w:type="dxa"/>
          </w:tcPr>
          <w:p>
            <w:pPr>
              <w:pStyle w:val="TableParagraph"/>
              <w:spacing w:before="32"/>
              <w:ind w:left="24"/>
              <w:jc w:val="center"/>
              <w:rPr>
                <w:sz w:val="21"/>
              </w:rPr>
            </w:pPr>
            <w:r>
              <w:rPr>
                <w:sz w:val="21"/>
              </w:rPr>
              <w:t>8</w:t>
            </w:r>
          </w:p>
        </w:tc>
        <w:tc>
          <w:tcPr>
            <w:tcW w:w="2298" w:type="dxa"/>
          </w:tcPr>
          <w:p>
            <w:pPr>
              <w:pStyle w:val="TableParagraph"/>
              <w:spacing w:before="32"/>
              <w:ind w:left="122"/>
              <w:rPr>
                <w:sz w:val="21"/>
              </w:rPr>
            </w:pPr>
            <w:r>
              <w:rPr>
                <w:sz w:val="21"/>
              </w:rPr>
              <w:t>其他</w:t>
            </w:r>
          </w:p>
        </w:tc>
        <w:tc>
          <w:tcPr>
            <w:tcW w:w="4535" w:type="dxa"/>
          </w:tcPr>
          <w:p>
            <w:pPr>
              <w:pStyle w:val="TableParagraph"/>
              <w:spacing w:before="32"/>
              <w:ind w:right="96"/>
              <w:jc w:val="right"/>
              <w:rPr>
                <w:sz w:val="21"/>
              </w:rPr>
            </w:pPr>
            <w:r>
              <w:rPr>
                <w:sz w:val="21"/>
              </w:rPr>
              <w:t>-</w:t>
            </w:r>
          </w:p>
        </w:tc>
      </w:tr>
      <w:tr>
        <w:trPr>
          <w:trHeight w:val="369" w:hRule="atLeast"/>
        </w:trPr>
        <w:tc>
          <w:tcPr>
            <w:tcW w:w="1167" w:type="dxa"/>
          </w:tcPr>
          <w:p>
            <w:pPr>
              <w:pStyle w:val="TableParagraph"/>
              <w:spacing w:before="32"/>
              <w:ind w:left="24"/>
              <w:jc w:val="center"/>
              <w:rPr>
                <w:sz w:val="21"/>
              </w:rPr>
            </w:pPr>
            <w:r>
              <w:rPr>
                <w:sz w:val="21"/>
              </w:rPr>
              <w:t>9</w:t>
            </w:r>
          </w:p>
        </w:tc>
        <w:tc>
          <w:tcPr>
            <w:tcW w:w="2298" w:type="dxa"/>
          </w:tcPr>
          <w:p>
            <w:pPr>
              <w:pStyle w:val="TableParagraph"/>
              <w:spacing w:before="32"/>
              <w:ind w:left="122"/>
              <w:rPr>
                <w:sz w:val="21"/>
              </w:rPr>
            </w:pPr>
            <w:r>
              <w:rPr>
                <w:sz w:val="21"/>
              </w:rPr>
              <w:t>合计</w:t>
            </w:r>
          </w:p>
        </w:tc>
        <w:tc>
          <w:tcPr>
            <w:tcW w:w="4535" w:type="dxa"/>
          </w:tcPr>
          <w:p>
            <w:pPr>
              <w:pStyle w:val="TableParagraph"/>
              <w:spacing w:before="32"/>
              <w:ind w:right="97"/>
              <w:jc w:val="right"/>
              <w:rPr>
                <w:sz w:val="21"/>
              </w:rPr>
            </w:pPr>
            <w:r>
              <w:rPr>
                <w:sz w:val="21"/>
              </w:rPr>
              <w:t>89,646,114.76</w:t>
            </w:r>
          </w:p>
        </w:tc>
      </w:tr>
    </w:tbl>
    <w:p>
      <w:pPr>
        <w:pStyle w:val="ListParagraph"/>
        <w:numPr>
          <w:ilvl w:val="0"/>
          <w:numId w:val="19"/>
        </w:numPr>
        <w:tabs>
          <w:tab w:pos="1786" w:val="left" w:leader="none"/>
        </w:tabs>
        <w:spacing w:line="364" w:lineRule="auto" w:before="3" w:after="0"/>
        <w:ind w:left="1260" w:right="3875"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19"/>
        </w:numPr>
        <w:tabs>
          <w:tab w:pos="1786" w:val="left" w:leader="none"/>
        </w:tabs>
        <w:spacing w:line="364" w:lineRule="auto" w:before="0" w:after="0"/>
        <w:ind w:left="1260" w:right="366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638" w:top="1420" w:bottom="900" w:left="960" w:right="980"/>
        </w:sectPr>
      </w:pPr>
    </w:p>
    <w:p>
      <w:pPr>
        <w:pStyle w:val="BodyText"/>
        <w:spacing w:before="12"/>
        <w:ind w:left="0"/>
        <w:rPr>
          <w:sz w:val="13"/>
        </w:rPr>
      </w:pPr>
    </w:p>
    <w:p>
      <w:pPr>
        <w:pStyle w:val="Heading1"/>
        <w:spacing w:before="58"/>
        <w:ind w:right="622"/>
        <w:jc w:val="center"/>
      </w:pPr>
      <w:bookmarkStart w:name="_bookmark55" w:id="56"/>
      <w:bookmarkEnd w:id="56"/>
      <w:r>
        <w:rPr/>
      </w:r>
      <w:r>
        <w:rPr/>
        <w:t>十二、基金的业绩</w:t>
      </w:r>
    </w:p>
    <w:p>
      <w:pPr>
        <w:pStyle w:val="BodyText"/>
        <w:spacing w:line="364" w:lineRule="auto" w:before="198"/>
        <w:ind w:left="840" w:right="8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840" w:right="818" w:firstLine="420"/>
      </w:pPr>
      <w:r>
        <w:rPr/>
        <w:t>本基金合同生效日为2008年6月19</w:t>
      </w:r>
      <w:r>
        <w:rPr>
          <w:spacing w:val="-16"/>
        </w:rPr>
        <w:t>日，本基金最近</w:t>
      </w:r>
      <w:r>
        <w:rPr/>
        <w:t>10</w:t>
      </w:r>
      <w:r>
        <w:rPr>
          <w:spacing w:val="-15"/>
        </w:rPr>
        <w:t>个完整会计年度</w:t>
      </w:r>
      <w:r>
        <w:rPr/>
        <w:t>（截至2019年12月</w:t>
      </w:r>
      <w:r>
        <w:rPr>
          <w:spacing w:val="-9"/>
        </w:rPr>
        <w:t>31 </w:t>
      </w:r>
      <w:r>
        <w:rPr/>
        <w:t>日）的投资业绩及与同期基准的比较如下表所示：</w:t>
      </w: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102"/>
        <w:gridCol w:w="1260"/>
        <w:gridCol w:w="1440"/>
        <w:gridCol w:w="1440"/>
        <w:gridCol w:w="1080"/>
        <w:gridCol w:w="1080"/>
      </w:tblGrid>
      <w:tr>
        <w:trPr>
          <w:trHeight w:val="1225" w:hRule="atLeast"/>
        </w:trPr>
        <w:tc>
          <w:tcPr>
            <w:tcW w:w="1985" w:type="dxa"/>
          </w:tcPr>
          <w:p>
            <w:pPr>
              <w:pStyle w:val="TableParagraph"/>
              <w:spacing w:before="0"/>
              <w:rPr>
                <w:sz w:val="20"/>
              </w:rPr>
            </w:pPr>
          </w:p>
          <w:p>
            <w:pPr>
              <w:pStyle w:val="TableParagraph"/>
              <w:spacing w:before="149"/>
              <w:ind w:left="762" w:right="753"/>
              <w:jc w:val="center"/>
              <w:rPr>
                <w:sz w:val="21"/>
              </w:rPr>
            </w:pPr>
            <w:r>
              <w:rPr>
                <w:sz w:val="21"/>
              </w:rPr>
              <w:t>阶段</w:t>
            </w:r>
          </w:p>
        </w:tc>
        <w:tc>
          <w:tcPr>
            <w:tcW w:w="1102" w:type="dxa"/>
          </w:tcPr>
          <w:p>
            <w:pPr>
              <w:pStyle w:val="TableParagraph"/>
              <w:spacing w:before="9"/>
              <w:rPr>
                <w:sz w:val="15"/>
              </w:rPr>
            </w:pPr>
          </w:p>
          <w:p>
            <w:pPr>
              <w:pStyle w:val="TableParagraph"/>
              <w:spacing w:line="364" w:lineRule="auto" w:before="0"/>
              <w:ind w:left="340" w:right="120" w:hanging="210"/>
              <w:rPr>
                <w:sz w:val="21"/>
              </w:rPr>
            </w:pPr>
            <w:r>
              <w:rPr>
                <w:sz w:val="21"/>
              </w:rPr>
              <w:t>净值增长率①</w:t>
            </w:r>
          </w:p>
        </w:tc>
        <w:tc>
          <w:tcPr>
            <w:tcW w:w="1260" w:type="dxa"/>
          </w:tcPr>
          <w:p>
            <w:pPr>
              <w:pStyle w:val="TableParagraph"/>
              <w:spacing w:line="364" w:lineRule="auto" w:before="0"/>
              <w:ind w:left="210" w:right="199"/>
              <w:jc w:val="center"/>
              <w:rPr>
                <w:sz w:val="21"/>
              </w:rPr>
            </w:pPr>
            <w:r>
              <w:rPr>
                <w:sz w:val="21"/>
              </w:rPr>
              <w:t>净值增长率标准差</w:t>
            </w:r>
          </w:p>
          <w:p>
            <w:pPr>
              <w:pStyle w:val="TableParagraph"/>
              <w:spacing w:line="268" w:lineRule="exact" w:before="0"/>
              <w:ind w:left="10"/>
              <w:jc w:val="center"/>
              <w:rPr>
                <w:sz w:val="21"/>
              </w:rPr>
            </w:pPr>
            <w:r>
              <w:rPr>
                <w:sz w:val="21"/>
              </w:rPr>
              <w:t>②</w:t>
            </w:r>
          </w:p>
        </w:tc>
        <w:tc>
          <w:tcPr>
            <w:tcW w:w="1440" w:type="dxa"/>
          </w:tcPr>
          <w:p>
            <w:pPr>
              <w:pStyle w:val="TableParagraph"/>
              <w:spacing w:before="9"/>
              <w:rPr>
                <w:sz w:val="15"/>
              </w:rPr>
            </w:pPr>
          </w:p>
          <w:p>
            <w:pPr>
              <w:pStyle w:val="TableParagraph"/>
              <w:spacing w:line="364" w:lineRule="auto" w:before="0"/>
              <w:ind w:left="246" w:right="131" w:hanging="210"/>
              <w:rPr>
                <w:sz w:val="21"/>
              </w:rPr>
            </w:pPr>
            <w:r>
              <w:rPr>
                <w:sz w:val="21"/>
              </w:rPr>
              <w:t>业绩比较基准收益率③</w:t>
            </w:r>
          </w:p>
        </w:tc>
        <w:tc>
          <w:tcPr>
            <w:tcW w:w="1440" w:type="dxa"/>
          </w:tcPr>
          <w:p>
            <w:pPr>
              <w:pStyle w:val="TableParagraph"/>
              <w:spacing w:line="364" w:lineRule="auto" w:before="0"/>
              <w:ind w:left="36" w:right="131"/>
              <w:jc w:val="center"/>
              <w:rPr>
                <w:sz w:val="21"/>
              </w:rPr>
            </w:pPr>
            <w:r>
              <w:rPr>
                <w:sz w:val="21"/>
              </w:rPr>
              <w:t>业绩比较基准收益率标准差</w:t>
            </w:r>
          </w:p>
          <w:p>
            <w:pPr>
              <w:pStyle w:val="TableParagraph"/>
              <w:spacing w:line="268" w:lineRule="exact" w:before="0"/>
              <w:ind w:right="96"/>
              <w:jc w:val="center"/>
              <w:rPr>
                <w:sz w:val="21"/>
              </w:rPr>
            </w:pPr>
            <w:r>
              <w:rPr>
                <w:sz w:val="21"/>
              </w:rPr>
              <w:t>④</w:t>
            </w:r>
          </w:p>
        </w:tc>
        <w:tc>
          <w:tcPr>
            <w:tcW w:w="1080" w:type="dxa"/>
          </w:tcPr>
          <w:p>
            <w:pPr>
              <w:pStyle w:val="TableParagraph"/>
              <w:spacing w:before="0"/>
              <w:rPr>
                <w:sz w:val="20"/>
              </w:rPr>
            </w:pPr>
          </w:p>
          <w:p>
            <w:pPr>
              <w:pStyle w:val="TableParagraph"/>
              <w:spacing w:before="149"/>
              <w:ind w:left="224"/>
              <w:rPr>
                <w:sz w:val="21"/>
              </w:rPr>
            </w:pPr>
            <w:r>
              <w:rPr>
                <w:sz w:val="21"/>
              </w:rPr>
              <w:t>①-③</w:t>
            </w:r>
          </w:p>
        </w:tc>
        <w:tc>
          <w:tcPr>
            <w:tcW w:w="1080" w:type="dxa"/>
          </w:tcPr>
          <w:p>
            <w:pPr>
              <w:pStyle w:val="TableParagraph"/>
              <w:spacing w:before="0"/>
              <w:rPr>
                <w:sz w:val="20"/>
              </w:rPr>
            </w:pPr>
          </w:p>
          <w:p>
            <w:pPr>
              <w:pStyle w:val="TableParagraph"/>
              <w:spacing w:before="149"/>
              <w:ind w:left="224"/>
              <w:rPr>
                <w:sz w:val="21"/>
              </w:rPr>
            </w:pPr>
            <w:r>
              <w:rPr>
                <w:sz w:val="21"/>
              </w:rPr>
              <w:t>②-④</w:t>
            </w:r>
          </w:p>
        </w:tc>
      </w:tr>
      <w:tr>
        <w:trPr>
          <w:trHeight w:val="816" w:hRule="atLeast"/>
        </w:trPr>
        <w:tc>
          <w:tcPr>
            <w:tcW w:w="1985" w:type="dxa"/>
          </w:tcPr>
          <w:p>
            <w:pPr>
              <w:pStyle w:val="TableParagraph"/>
              <w:spacing w:line="267" w:lineRule="exact" w:before="0"/>
              <w:ind w:left="108"/>
              <w:rPr>
                <w:sz w:val="21"/>
              </w:rPr>
            </w:pPr>
            <w:r>
              <w:rPr>
                <w:sz w:val="21"/>
              </w:rPr>
              <w:t>2010</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2010</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14.57%</w:t>
            </w:r>
          </w:p>
        </w:tc>
        <w:tc>
          <w:tcPr>
            <w:tcW w:w="1260" w:type="dxa"/>
          </w:tcPr>
          <w:p>
            <w:pPr>
              <w:pStyle w:val="TableParagraph"/>
              <w:spacing w:before="9"/>
              <w:rPr>
                <w:sz w:val="15"/>
              </w:rPr>
            </w:pPr>
          </w:p>
          <w:p>
            <w:pPr>
              <w:pStyle w:val="TableParagraph"/>
              <w:spacing w:before="0"/>
              <w:ind w:right="97"/>
              <w:jc w:val="right"/>
              <w:rPr>
                <w:sz w:val="21"/>
              </w:rPr>
            </w:pPr>
            <w:r>
              <w:rPr>
                <w:sz w:val="21"/>
              </w:rPr>
              <w:t>1.60%</w:t>
            </w:r>
          </w:p>
        </w:tc>
        <w:tc>
          <w:tcPr>
            <w:tcW w:w="1440" w:type="dxa"/>
          </w:tcPr>
          <w:p>
            <w:pPr>
              <w:pStyle w:val="TableParagraph"/>
              <w:spacing w:before="9"/>
              <w:rPr>
                <w:sz w:val="15"/>
              </w:rPr>
            </w:pPr>
          </w:p>
          <w:p>
            <w:pPr>
              <w:pStyle w:val="TableParagraph"/>
              <w:spacing w:before="0"/>
              <w:ind w:right="97"/>
              <w:jc w:val="right"/>
              <w:rPr>
                <w:sz w:val="21"/>
              </w:rPr>
            </w:pPr>
            <w:r>
              <w:rPr>
                <w:sz w:val="21"/>
              </w:rPr>
              <w:t>0.39%</w:t>
            </w:r>
          </w:p>
        </w:tc>
        <w:tc>
          <w:tcPr>
            <w:tcW w:w="1440" w:type="dxa"/>
          </w:tcPr>
          <w:p>
            <w:pPr>
              <w:pStyle w:val="TableParagraph"/>
              <w:spacing w:before="9"/>
              <w:rPr>
                <w:sz w:val="15"/>
              </w:rPr>
            </w:pPr>
          </w:p>
          <w:p>
            <w:pPr>
              <w:pStyle w:val="TableParagraph"/>
              <w:spacing w:before="0"/>
              <w:ind w:right="97"/>
              <w:jc w:val="right"/>
              <w:rPr>
                <w:sz w:val="21"/>
              </w:rPr>
            </w:pPr>
            <w:r>
              <w:rPr>
                <w:sz w:val="21"/>
              </w:rPr>
              <w:t>1.33%</w:t>
            </w:r>
          </w:p>
        </w:tc>
        <w:tc>
          <w:tcPr>
            <w:tcW w:w="1080" w:type="dxa"/>
          </w:tcPr>
          <w:p>
            <w:pPr>
              <w:pStyle w:val="TableParagraph"/>
              <w:spacing w:before="9"/>
              <w:rPr>
                <w:sz w:val="15"/>
              </w:rPr>
            </w:pPr>
          </w:p>
          <w:p>
            <w:pPr>
              <w:pStyle w:val="TableParagraph"/>
              <w:spacing w:before="0"/>
              <w:ind w:right="97"/>
              <w:jc w:val="right"/>
              <w:rPr>
                <w:sz w:val="21"/>
              </w:rPr>
            </w:pPr>
            <w:r>
              <w:rPr>
                <w:sz w:val="21"/>
              </w:rPr>
              <w:t>14.18%</w:t>
            </w:r>
          </w:p>
        </w:tc>
        <w:tc>
          <w:tcPr>
            <w:tcW w:w="1080" w:type="dxa"/>
          </w:tcPr>
          <w:p>
            <w:pPr>
              <w:pStyle w:val="TableParagraph"/>
              <w:spacing w:before="9"/>
              <w:rPr>
                <w:sz w:val="15"/>
              </w:rPr>
            </w:pPr>
          </w:p>
          <w:p>
            <w:pPr>
              <w:pStyle w:val="TableParagraph"/>
              <w:spacing w:before="0"/>
              <w:ind w:right="97"/>
              <w:jc w:val="right"/>
              <w:rPr>
                <w:sz w:val="21"/>
              </w:rPr>
            </w:pPr>
            <w:r>
              <w:rPr>
                <w:sz w:val="21"/>
              </w:rPr>
              <w:t>0.27%</w:t>
            </w:r>
          </w:p>
        </w:tc>
      </w:tr>
      <w:tr>
        <w:trPr>
          <w:trHeight w:val="817" w:hRule="atLeast"/>
        </w:trPr>
        <w:tc>
          <w:tcPr>
            <w:tcW w:w="1985" w:type="dxa"/>
          </w:tcPr>
          <w:p>
            <w:pPr>
              <w:pStyle w:val="TableParagraph"/>
              <w:spacing w:line="267" w:lineRule="exact" w:before="0"/>
              <w:ind w:left="108"/>
              <w:rPr>
                <w:sz w:val="21"/>
              </w:rPr>
            </w:pPr>
            <w:r>
              <w:rPr>
                <w:sz w:val="21"/>
              </w:rPr>
              <w:t>2011</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2011</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-27.27%</w:t>
            </w:r>
          </w:p>
        </w:tc>
        <w:tc>
          <w:tcPr>
            <w:tcW w:w="1260" w:type="dxa"/>
          </w:tcPr>
          <w:p>
            <w:pPr>
              <w:pStyle w:val="TableParagraph"/>
              <w:spacing w:before="9"/>
              <w:rPr>
                <w:sz w:val="15"/>
              </w:rPr>
            </w:pPr>
          </w:p>
          <w:p>
            <w:pPr>
              <w:pStyle w:val="TableParagraph"/>
              <w:spacing w:before="0"/>
              <w:ind w:right="97"/>
              <w:jc w:val="right"/>
              <w:rPr>
                <w:sz w:val="21"/>
              </w:rPr>
            </w:pPr>
            <w:r>
              <w:rPr>
                <w:sz w:val="21"/>
              </w:rPr>
              <w:t>1.28%</w:t>
            </w:r>
          </w:p>
        </w:tc>
        <w:tc>
          <w:tcPr>
            <w:tcW w:w="1440" w:type="dxa"/>
          </w:tcPr>
          <w:p>
            <w:pPr>
              <w:pStyle w:val="TableParagraph"/>
              <w:spacing w:before="9"/>
              <w:rPr>
                <w:sz w:val="15"/>
              </w:rPr>
            </w:pPr>
          </w:p>
          <w:p>
            <w:pPr>
              <w:pStyle w:val="TableParagraph"/>
              <w:spacing w:before="0"/>
              <w:ind w:right="97"/>
              <w:jc w:val="right"/>
              <w:rPr>
                <w:sz w:val="21"/>
              </w:rPr>
            </w:pPr>
            <w:r>
              <w:rPr>
                <w:sz w:val="21"/>
              </w:rPr>
              <w:t>-23.34%</w:t>
            </w:r>
          </w:p>
        </w:tc>
        <w:tc>
          <w:tcPr>
            <w:tcW w:w="1440" w:type="dxa"/>
          </w:tcPr>
          <w:p>
            <w:pPr>
              <w:pStyle w:val="TableParagraph"/>
              <w:spacing w:before="9"/>
              <w:rPr>
                <w:sz w:val="15"/>
              </w:rPr>
            </w:pPr>
          </w:p>
          <w:p>
            <w:pPr>
              <w:pStyle w:val="TableParagraph"/>
              <w:spacing w:before="0"/>
              <w:ind w:right="97"/>
              <w:jc w:val="right"/>
              <w:rPr>
                <w:sz w:val="21"/>
              </w:rPr>
            </w:pPr>
            <w:r>
              <w:rPr>
                <w:sz w:val="21"/>
              </w:rPr>
              <w:t>1.12%</w:t>
            </w:r>
          </w:p>
        </w:tc>
        <w:tc>
          <w:tcPr>
            <w:tcW w:w="1080" w:type="dxa"/>
          </w:tcPr>
          <w:p>
            <w:pPr>
              <w:pStyle w:val="TableParagraph"/>
              <w:spacing w:before="9"/>
              <w:rPr>
                <w:sz w:val="15"/>
              </w:rPr>
            </w:pPr>
          </w:p>
          <w:p>
            <w:pPr>
              <w:pStyle w:val="TableParagraph"/>
              <w:spacing w:before="0"/>
              <w:ind w:right="97"/>
              <w:jc w:val="right"/>
              <w:rPr>
                <w:sz w:val="21"/>
              </w:rPr>
            </w:pPr>
            <w:r>
              <w:rPr>
                <w:sz w:val="21"/>
              </w:rPr>
              <w:t>-3.93%</w:t>
            </w:r>
          </w:p>
        </w:tc>
        <w:tc>
          <w:tcPr>
            <w:tcW w:w="1080" w:type="dxa"/>
          </w:tcPr>
          <w:p>
            <w:pPr>
              <w:pStyle w:val="TableParagraph"/>
              <w:spacing w:before="9"/>
              <w:rPr>
                <w:sz w:val="15"/>
              </w:rPr>
            </w:pPr>
          </w:p>
          <w:p>
            <w:pPr>
              <w:pStyle w:val="TableParagraph"/>
              <w:spacing w:before="0"/>
              <w:ind w:right="97"/>
              <w:jc w:val="right"/>
              <w:rPr>
                <w:sz w:val="21"/>
              </w:rPr>
            </w:pPr>
            <w:r>
              <w:rPr>
                <w:sz w:val="21"/>
              </w:rPr>
              <w:t>0.16%</w:t>
            </w:r>
          </w:p>
        </w:tc>
      </w:tr>
      <w:tr>
        <w:trPr>
          <w:trHeight w:val="817" w:hRule="atLeast"/>
        </w:trPr>
        <w:tc>
          <w:tcPr>
            <w:tcW w:w="1985" w:type="dxa"/>
          </w:tcPr>
          <w:p>
            <w:pPr>
              <w:pStyle w:val="TableParagraph"/>
              <w:spacing w:line="267" w:lineRule="exact" w:before="0"/>
              <w:ind w:left="108"/>
              <w:rPr>
                <w:sz w:val="21"/>
              </w:rPr>
            </w:pPr>
            <w:r>
              <w:rPr>
                <w:sz w:val="21"/>
              </w:rPr>
              <w:t>2012</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2012</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5.25%</w:t>
            </w:r>
          </w:p>
        </w:tc>
        <w:tc>
          <w:tcPr>
            <w:tcW w:w="1260" w:type="dxa"/>
          </w:tcPr>
          <w:p>
            <w:pPr>
              <w:pStyle w:val="TableParagraph"/>
              <w:spacing w:before="9"/>
              <w:rPr>
                <w:sz w:val="15"/>
              </w:rPr>
            </w:pPr>
          </w:p>
          <w:p>
            <w:pPr>
              <w:pStyle w:val="TableParagraph"/>
              <w:spacing w:before="0"/>
              <w:ind w:right="97"/>
              <w:jc w:val="right"/>
              <w:rPr>
                <w:sz w:val="21"/>
              </w:rPr>
            </w:pPr>
            <w:r>
              <w:rPr>
                <w:sz w:val="21"/>
              </w:rPr>
              <w:t>1.23%</w:t>
            </w:r>
          </w:p>
        </w:tc>
        <w:tc>
          <w:tcPr>
            <w:tcW w:w="1440" w:type="dxa"/>
          </w:tcPr>
          <w:p>
            <w:pPr>
              <w:pStyle w:val="TableParagraph"/>
              <w:spacing w:before="9"/>
              <w:rPr>
                <w:sz w:val="15"/>
              </w:rPr>
            </w:pPr>
          </w:p>
          <w:p>
            <w:pPr>
              <w:pStyle w:val="TableParagraph"/>
              <w:spacing w:before="0"/>
              <w:ind w:right="97"/>
              <w:jc w:val="right"/>
              <w:rPr>
                <w:sz w:val="21"/>
              </w:rPr>
            </w:pPr>
            <w:r>
              <w:rPr>
                <w:sz w:val="21"/>
              </w:rPr>
              <w:t>3.60%</w:t>
            </w:r>
          </w:p>
        </w:tc>
        <w:tc>
          <w:tcPr>
            <w:tcW w:w="1440" w:type="dxa"/>
          </w:tcPr>
          <w:p>
            <w:pPr>
              <w:pStyle w:val="TableParagraph"/>
              <w:spacing w:before="9"/>
              <w:rPr>
                <w:sz w:val="15"/>
              </w:rPr>
            </w:pPr>
          </w:p>
          <w:p>
            <w:pPr>
              <w:pStyle w:val="TableParagraph"/>
              <w:spacing w:before="0"/>
              <w:ind w:right="97"/>
              <w:jc w:val="right"/>
              <w:rPr>
                <w:sz w:val="21"/>
              </w:rPr>
            </w:pPr>
            <w:r>
              <w:rPr>
                <w:sz w:val="21"/>
              </w:rPr>
              <w:t>1.11%</w:t>
            </w:r>
          </w:p>
        </w:tc>
        <w:tc>
          <w:tcPr>
            <w:tcW w:w="1080" w:type="dxa"/>
          </w:tcPr>
          <w:p>
            <w:pPr>
              <w:pStyle w:val="TableParagraph"/>
              <w:spacing w:before="9"/>
              <w:rPr>
                <w:sz w:val="15"/>
              </w:rPr>
            </w:pPr>
          </w:p>
          <w:p>
            <w:pPr>
              <w:pStyle w:val="TableParagraph"/>
              <w:spacing w:before="0"/>
              <w:ind w:right="97"/>
              <w:jc w:val="right"/>
              <w:rPr>
                <w:sz w:val="21"/>
              </w:rPr>
            </w:pPr>
            <w:r>
              <w:rPr>
                <w:sz w:val="21"/>
              </w:rPr>
              <w:t>1.65%</w:t>
            </w:r>
          </w:p>
        </w:tc>
        <w:tc>
          <w:tcPr>
            <w:tcW w:w="1080" w:type="dxa"/>
          </w:tcPr>
          <w:p>
            <w:pPr>
              <w:pStyle w:val="TableParagraph"/>
              <w:spacing w:before="9"/>
              <w:rPr>
                <w:sz w:val="15"/>
              </w:rPr>
            </w:pPr>
          </w:p>
          <w:p>
            <w:pPr>
              <w:pStyle w:val="TableParagraph"/>
              <w:spacing w:before="0"/>
              <w:ind w:right="97"/>
              <w:jc w:val="right"/>
              <w:rPr>
                <w:sz w:val="21"/>
              </w:rPr>
            </w:pPr>
            <w:r>
              <w:rPr>
                <w:sz w:val="21"/>
              </w:rPr>
              <w:t>0.12%</w:t>
            </w:r>
          </w:p>
        </w:tc>
      </w:tr>
      <w:tr>
        <w:trPr>
          <w:trHeight w:val="817" w:hRule="atLeast"/>
        </w:trPr>
        <w:tc>
          <w:tcPr>
            <w:tcW w:w="1985" w:type="dxa"/>
          </w:tcPr>
          <w:p>
            <w:pPr>
              <w:pStyle w:val="TableParagraph"/>
              <w:spacing w:line="267" w:lineRule="exact" w:before="0"/>
              <w:ind w:left="108"/>
              <w:rPr>
                <w:sz w:val="21"/>
              </w:rPr>
            </w:pPr>
            <w:r>
              <w:rPr>
                <w:sz w:val="21"/>
              </w:rPr>
              <w:t>2013</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2013</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9.61%</w:t>
            </w:r>
          </w:p>
        </w:tc>
        <w:tc>
          <w:tcPr>
            <w:tcW w:w="1260" w:type="dxa"/>
          </w:tcPr>
          <w:p>
            <w:pPr>
              <w:pStyle w:val="TableParagraph"/>
              <w:spacing w:before="9"/>
              <w:rPr>
                <w:sz w:val="15"/>
              </w:rPr>
            </w:pPr>
          </w:p>
          <w:p>
            <w:pPr>
              <w:pStyle w:val="TableParagraph"/>
              <w:spacing w:before="0"/>
              <w:ind w:right="97"/>
              <w:jc w:val="right"/>
              <w:rPr>
                <w:sz w:val="21"/>
              </w:rPr>
            </w:pPr>
            <w:r>
              <w:rPr>
                <w:sz w:val="21"/>
              </w:rPr>
              <w:t>1.12%</w:t>
            </w:r>
          </w:p>
        </w:tc>
        <w:tc>
          <w:tcPr>
            <w:tcW w:w="1440" w:type="dxa"/>
          </w:tcPr>
          <w:p>
            <w:pPr>
              <w:pStyle w:val="TableParagraph"/>
              <w:spacing w:before="9"/>
              <w:rPr>
                <w:sz w:val="15"/>
              </w:rPr>
            </w:pPr>
          </w:p>
          <w:p>
            <w:pPr>
              <w:pStyle w:val="TableParagraph"/>
              <w:spacing w:before="0"/>
              <w:ind w:right="97"/>
              <w:jc w:val="right"/>
              <w:rPr>
                <w:sz w:val="21"/>
              </w:rPr>
            </w:pPr>
            <w:r>
              <w:rPr>
                <w:sz w:val="21"/>
              </w:rPr>
              <w:t>4.77%</w:t>
            </w:r>
          </w:p>
        </w:tc>
        <w:tc>
          <w:tcPr>
            <w:tcW w:w="1440" w:type="dxa"/>
          </w:tcPr>
          <w:p>
            <w:pPr>
              <w:pStyle w:val="TableParagraph"/>
              <w:spacing w:before="9"/>
              <w:rPr>
                <w:sz w:val="15"/>
              </w:rPr>
            </w:pPr>
          </w:p>
          <w:p>
            <w:pPr>
              <w:pStyle w:val="TableParagraph"/>
              <w:spacing w:before="0"/>
              <w:ind w:right="97"/>
              <w:jc w:val="right"/>
              <w:rPr>
                <w:sz w:val="21"/>
              </w:rPr>
            </w:pPr>
            <w:r>
              <w:rPr>
                <w:sz w:val="21"/>
              </w:rPr>
              <w:t>1.09%</w:t>
            </w:r>
          </w:p>
        </w:tc>
        <w:tc>
          <w:tcPr>
            <w:tcW w:w="1080" w:type="dxa"/>
          </w:tcPr>
          <w:p>
            <w:pPr>
              <w:pStyle w:val="TableParagraph"/>
              <w:spacing w:before="9"/>
              <w:rPr>
                <w:sz w:val="15"/>
              </w:rPr>
            </w:pPr>
          </w:p>
          <w:p>
            <w:pPr>
              <w:pStyle w:val="TableParagraph"/>
              <w:spacing w:before="0"/>
              <w:ind w:right="97"/>
              <w:jc w:val="right"/>
              <w:rPr>
                <w:sz w:val="21"/>
              </w:rPr>
            </w:pPr>
            <w:r>
              <w:rPr>
                <w:sz w:val="21"/>
              </w:rPr>
              <w:t>4.84%</w:t>
            </w:r>
          </w:p>
        </w:tc>
        <w:tc>
          <w:tcPr>
            <w:tcW w:w="1080" w:type="dxa"/>
          </w:tcPr>
          <w:p>
            <w:pPr>
              <w:pStyle w:val="TableParagraph"/>
              <w:spacing w:before="9"/>
              <w:rPr>
                <w:sz w:val="15"/>
              </w:rPr>
            </w:pPr>
          </w:p>
          <w:p>
            <w:pPr>
              <w:pStyle w:val="TableParagraph"/>
              <w:spacing w:before="0"/>
              <w:ind w:right="97"/>
              <w:jc w:val="right"/>
              <w:rPr>
                <w:sz w:val="21"/>
              </w:rPr>
            </w:pPr>
            <w:r>
              <w:rPr>
                <w:sz w:val="21"/>
              </w:rPr>
              <w:t>0.03%</w:t>
            </w:r>
          </w:p>
        </w:tc>
      </w:tr>
      <w:tr>
        <w:trPr>
          <w:trHeight w:val="817" w:hRule="atLeast"/>
        </w:trPr>
        <w:tc>
          <w:tcPr>
            <w:tcW w:w="1985" w:type="dxa"/>
          </w:tcPr>
          <w:p>
            <w:pPr>
              <w:pStyle w:val="TableParagraph"/>
              <w:spacing w:line="267" w:lineRule="exact" w:before="0"/>
              <w:ind w:left="108"/>
              <w:rPr>
                <w:sz w:val="21"/>
              </w:rPr>
            </w:pPr>
            <w:r>
              <w:rPr>
                <w:sz w:val="21"/>
              </w:rPr>
              <w:t>2014</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2014</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31.43%</w:t>
            </w:r>
          </w:p>
        </w:tc>
        <w:tc>
          <w:tcPr>
            <w:tcW w:w="1260" w:type="dxa"/>
          </w:tcPr>
          <w:p>
            <w:pPr>
              <w:pStyle w:val="TableParagraph"/>
              <w:spacing w:before="9"/>
              <w:rPr>
                <w:sz w:val="15"/>
              </w:rPr>
            </w:pPr>
          </w:p>
          <w:p>
            <w:pPr>
              <w:pStyle w:val="TableParagraph"/>
              <w:spacing w:before="0"/>
              <w:ind w:right="97"/>
              <w:jc w:val="right"/>
              <w:rPr>
                <w:sz w:val="21"/>
              </w:rPr>
            </w:pPr>
            <w:r>
              <w:rPr>
                <w:sz w:val="21"/>
              </w:rPr>
              <w:t>1.13%</w:t>
            </w:r>
          </w:p>
        </w:tc>
        <w:tc>
          <w:tcPr>
            <w:tcW w:w="1440" w:type="dxa"/>
          </w:tcPr>
          <w:p>
            <w:pPr>
              <w:pStyle w:val="TableParagraph"/>
              <w:spacing w:before="9"/>
              <w:rPr>
                <w:sz w:val="15"/>
              </w:rPr>
            </w:pPr>
          </w:p>
          <w:p>
            <w:pPr>
              <w:pStyle w:val="TableParagraph"/>
              <w:spacing w:before="0"/>
              <w:ind w:right="97"/>
              <w:jc w:val="right"/>
              <w:rPr>
                <w:sz w:val="21"/>
              </w:rPr>
            </w:pPr>
            <w:r>
              <w:rPr>
                <w:sz w:val="21"/>
              </w:rPr>
              <w:t>36.52%</w:t>
            </w:r>
          </w:p>
        </w:tc>
        <w:tc>
          <w:tcPr>
            <w:tcW w:w="1440" w:type="dxa"/>
          </w:tcPr>
          <w:p>
            <w:pPr>
              <w:pStyle w:val="TableParagraph"/>
              <w:spacing w:before="9"/>
              <w:rPr>
                <w:sz w:val="15"/>
              </w:rPr>
            </w:pPr>
          </w:p>
          <w:p>
            <w:pPr>
              <w:pStyle w:val="TableParagraph"/>
              <w:spacing w:before="0"/>
              <w:ind w:right="97"/>
              <w:jc w:val="right"/>
              <w:rPr>
                <w:sz w:val="21"/>
              </w:rPr>
            </w:pPr>
            <w:r>
              <w:rPr>
                <w:sz w:val="21"/>
              </w:rPr>
              <w:t>0.90%</w:t>
            </w:r>
          </w:p>
        </w:tc>
        <w:tc>
          <w:tcPr>
            <w:tcW w:w="1080" w:type="dxa"/>
          </w:tcPr>
          <w:p>
            <w:pPr>
              <w:pStyle w:val="TableParagraph"/>
              <w:spacing w:before="9"/>
              <w:rPr>
                <w:sz w:val="15"/>
              </w:rPr>
            </w:pPr>
          </w:p>
          <w:p>
            <w:pPr>
              <w:pStyle w:val="TableParagraph"/>
              <w:spacing w:before="0"/>
              <w:ind w:right="97"/>
              <w:jc w:val="right"/>
              <w:rPr>
                <w:sz w:val="21"/>
              </w:rPr>
            </w:pPr>
            <w:r>
              <w:rPr>
                <w:sz w:val="21"/>
              </w:rPr>
              <w:t>-5.09%</w:t>
            </w:r>
          </w:p>
        </w:tc>
        <w:tc>
          <w:tcPr>
            <w:tcW w:w="1080" w:type="dxa"/>
          </w:tcPr>
          <w:p>
            <w:pPr>
              <w:pStyle w:val="TableParagraph"/>
              <w:spacing w:before="9"/>
              <w:rPr>
                <w:sz w:val="15"/>
              </w:rPr>
            </w:pPr>
          </w:p>
          <w:p>
            <w:pPr>
              <w:pStyle w:val="TableParagraph"/>
              <w:spacing w:before="0"/>
              <w:ind w:right="97"/>
              <w:jc w:val="right"/>
              <w:rPr>
                <w:sz w:val="21"/>
              </w:rPr>
            </w:pPr>
            <w:r>
              <w:rPr>
                <w:sz w:val="21"/>
              </w:rPr>
              <w:t>0.23%</w:t>
            </w:r>
          </w:p>
        </w:tc>
      </w:tr>
      <w:tr>
        <w:trPr>
          <w:trHeight w:val="817" w:hRule="atLeast"/>
        </w:trPr>
        <w:tc>
          <w:tcPr>
            <w:tcW w:w="1985" w:type="dxa"/>
          </w:tcPr>
          <w:p>
            <w:pPr>
              <w:pStyle w:val="TableParagraph"/>
              <w:spacing w:line="267" w:lineRule="exact" w:before="0"/>
              <w:ind w:left="108"/>
              <w:rPr>
                <w:sz w:val="21"/>
              </w:rPr>
            </w:pPr>
            <w:r>
              <w:rPr>
                <w:sz w:val="21"/>
              </w:rPr>
              <w:t>2015</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2015</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25.79%</w:t>
            </w:r>
          </w:p>
        </w:tc>
        <w:tc>
          <w:tcPr>
            <w:tcW w:w="1260" w:type="dxa"/>
          </w:tcPr>
          <w:p>
            <w:pPr>
              <w:pStyle w:val="TableParagraph"/>
              <w:spacing w:before="9"/>
              <w:rPr>
                <w:sz w:val="15"/>
              </w:rPr>
            </w:pPr>
          </w:p>
          <w:p>
            <w:pPr>
              <w:pStyle w:val="TableParagraph"/>
              <w:spacing w:before="0"/>
              <w:ind w:right="97"/>
              <w:jc w:val="right"/>
              <w:rPr>
                <w:sz w:val="21"/>
              </w:rPr>
            </w:pPr>
            <w:r>
              <w:rPr>
                <w:sz w:val="21"/>
              </w:rPr>
              <w:t>2.11%</w:t>
            </w:r>
          </w:p>
        </w:tc>
        <w:tc>
          <w:tcPr>
            <w:tcW w:w="1440" w:type="dxa"/>
          </w:tcPr>
          <w:p>
            <w:pPr>
              <w:pStyle w:val="TableParagraph"/>
              <w:spacing w:before="9"/>
              <w:rPr>
                <w:sz w:val="15"/>
              </w:rPr>
            </w:pPr>
          </w:p>
          <w:p>
            <w:pPr>
              <w:pStyle w:val="TableParagraph"/>
              <w:spacing w:before="0"/>
              <w:ind w:right="97"/>
              <w:jc w:val="right"/>
              <w:rPr>
                <w:sz w:val="21"/>
              </w:rPr>
            </w:pPr>
            <w:r>
              <w:rPr>
                <w:sz w:val="21"/>
              </w:rPr>
              <w:t>28.76%</w:t>
            </w:r>
          </w:p>
        </w:tc>
        <w:tc>
          <w:tcPr>
            <w:tcW w:w="1440" w:type="dxa"/>
          </w:tcPr>
          <w:p>
            <w:pPr>
              <w:pStyle w:val="TableParagraph"/>
              <w:spacing w:before="9"/>
              <w:rPr>
                <w:sz w:val="15"/>
              </w:rPr>
            </w:pPr>
          </w:p>
          <w:p>
            <w:pPr>
              <w:pStyle w:val="TableParagraph"/>
              <w:spacing w:before="0"/>
              <w:ind w:right="97"/>
              <w:jc w:val="right"/>
              <w:rPr>
                <w:sz w:val="21"/>
              </w:rPr>
            </w:pPr>
            <w:r>
              <w:rPr>
                <w:sz w:val="21"/>
              </w:rPr>
              <w:t>2.11%</w:t>
            </w:r>
          </w:p>
        </w:tc>
        <w:tc>
          <w:tcPr>
            <w:tcW w:w="1080" w:type="dxa"/>
          </w:tcPr>
          <w:p>
            <w:pPr>
              <w:pStyle w:val="TableParagraph"/>
              <w:spacing w:before="9"/>
              <w:rPr>
                <w:sz w:val="15"/>
              </w:rPr>
            </w:pPr>
          </w:p>
          <w:p>
            <w:pPr>
              <w:pStyle w:val="TableParagraph"/>
              <w:spacing w:before="0"/>
              <w:ind w:right="97"/>
              <w:jc w:val="right"/>
              <w:rPr>
                <w:sz w:val="21"/>
              </w:rPr>
            </w:pPr>
            <w:r>
              <w:rPr>
                <w:sz w:val="21"/>
              </w:rPr>
              <w:t>-2.97%</w:t>
            </w:r>
          </w:p>
        </w:tc>
        <w:tc>
          <w:tcPr>
            <w:tcW w:w="1080" w:type="dxa"/>
          </w:tcPr>
          <w:p>
            <w:pPr>
              <w:pStyle w:val="TableParagraph"/>
              <w:spacing w:before="9"/>
              <w:rPr>
                <w:sz w:val="15"/>
              </w:rPr>
            </w:pPr>
          </w:p>
          <w:p>
            <w:pPr>
              <w:pStyle w:val="TableParagraph"/>
              <w:spacing w:before="0"/>
              <w:ind w:right="97"/>
              <w:jc w:val="right"/>
              <w:rPr>
                <w:sz w:val="21"/>
              </w:rPr>
            </w:pPr>
            <w:r>
              <w:rPr>
                <w:sz w:val="21"/>
              </w:rPr>
              <w:t>0.00%</w:t>
            </w:r>
          </w:p>
        </w:tc>
      </w:tr>
      <w:tr>
        <w:trPr>
          <w:trHeight w:val="817" w:hRule="atLeast"/>
        </w:trPr>
        <w:tc>
          <w:tcPr>
            <w:tcW w:w="1985" w:type="dxa"/>
          </w:tcPr>
          <w:p>
            <w:pPr>
              <w:pStyle w:val="TableParagraph"/>
              <w:spacing w:line="267" w:lineRule="exact" w:before="0"/>
              <w:ind w:left="108"/>
              <w:rPr>
                <w:sz w:val="21"/>
              </w:rPr>
            </w:pPr>
            <w:r>
              <w:rPr>
                <w:sz w:val="21"/>
              </w:rPr>
              <w:t>2016</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2016</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8.30%</w:t>
            </w:r>
          </w:p>
        </w:tc>
        <w:tc>
          <w:tcPr>
            <w:tcW w:w="1260" w:type="dxa"/>
          </w:tcPr>
          <w:p>
            <w:pPr>
              <w:pStyle w:val="TableParagraph"/>
              <w:spacing w:before="9"/>
              <w:rPr>
                <w:sz w:val="15"/>
              </w:rPr>
            </w:pPr>
          </w:p>
          <w:p>
            <w:pPr>
              <w:pStyle w:val="TableParagraph"/>
              <w:spacing w:before="0"/>
              <w:ind w:right="97"/>
              <w:jc w:val="right"/>
              <w:rPr>
                <w:sz w:val="21"/>
              </w:rPr>
            </w:pPr>
            <w:r>
              <w:rPr>
                <w:sz w:val="21"/>
              </w:rPr>
              <w:t>1.32%</w:t>
            </w:r>
          </w:p>
        </w:tc>
        <w:tc>
          <w:tcPr>
            <w:tcW w:w="1440" w:type="dxa"/>
          </w:tcPr>
          <w:p>
            <w:pPr>
              <w:pStyle w:val="TableParagraph"/>
              <w:spacing w:before="9"/>
              <w:rPr>
                <w:sz w:val="15"/>
              </w:rPr>
            </w:pPr>
          </w:p>
          <w:p>
            <w:pPr>
              <w:pStyle w:val="TableParagraph"/>
              <w:spacing w:before="0"/>
              <w:ind w:right="97"/>
              <w:jc w:val="right"/>
              <w:rPr>
                <w:sz w:val="21"/>
              </w:rPr>
            </w:pPr>
            <w:r>
              <w:rPr>
                <w:sz w:val="21"/>
              </w:rPr>
              <w:t>-12.48%</w:t>
            </w:r>
          </w:p>
        </w:tc>
        <w:tc>
          <w:tcPr>
            <w:tcW w:w="1440" w:type="dxa"/>
          </w:tcPr>
          <w:p>
            <w:pPr>
              <w:pStyle w:val="TableParagraph"/>
              <w:spacing w:before="9"/>
              <w:rPr>
                <w:sz w:val="15"/>
              </w:rPr>
            </w:pPr>
          </w:p>
          <w:p>
            <w:pPr>
              <w:pStyle w:val="TableParagraph"/>
              <w:spacing w:before="0"/>
              <w:ind w:right="97"/>
              <w:jc w:val="right"/>
              <w:rPr>
                <w:sz w:val="21"/>
              </w:rPr>
            </w:pPr>
            <w:r>
              <w:rPr>
                <w:sz w:val="21"/>
              </w:rPr>
              <w:t>1.40%</w:t>
            </w:r>
          </w:p>
        </w:tc>
        <w:tc>
          <w:tcPr>
            <w:tcW w:w="1080" w:type="dxa"/>
          </w:tcPr>
          <w:p>
            <w:pPr>
              <w:pStyle w:val="TableParagraph"/>
              <w:spacing w:before="9"/>
              <w:rPr>
                <w:sz w:val="15"/>
              </w:rPr>
            </w:pPr>
          </w:p>
          <w:p>
            <w:pPr>
              <w:pStyle w:val="TableParagraph"/>
              <w:spacing w:before="0"/>
              <w:ind w:right="97"/>
              <w:jc w:val="right"/>
              <w:rPr>
                <w:sz w:val="21"/>
              </w:rPr>
            </w:pPr>
            <w:r>
              <w:rPr>
                <w:sz w:val="21"/>
              </w:rPr>
              <w:t>20.78%</w:t>
            </w:r>
          </w:p>
        </w:tc>
        <w:tc>
          <w:tcPr>
            <w:tcW w:w="1080" w:type="dxa"/>
          </w:tcPr>
          <w:p>
            <w:pPr>
              <w:pStyle w:val="TableParagraph"/>
              <w:spacing w:before="9"/>
              <w:rPr>
                <w:sz w:val="15"/>
              </w:rPr>
            </w:pPr>
          </w:p>
          <w:p>
            <w:pPr>
              <w:pStyle w:val="TableParagraph"/>
              <w:spacing w:before="0"/>
              <w:ind w:right="97"/>
              <w:jc w:val="right"/>
              <w:rPr>
                <w:sz w:val="21"/>
              </w:rPr>
            </w:pPr>
            <w:r>
              <w:rPr>
                <w:sz w:val="21"/>
              </w:rPr>
              <w:t>-0.08%</w:t>
            </w:r>
          </w:p>
        </w:tc>
      </w:tr>
      <w:tr>
        <w:trPr>
          <w:trHeight w:val="817" w:hRule="atLeast"/>
        </w:trPr>
        <w:tc>
          <w:tcPr>
            <w:tcW w:w="1985" w:type="dxa"/>
          </w:tcPr>
          <w:p>
            <w:pPr>
              <w:pStyle w:val="TableParagraph"/>
              <w:spacing w:line="267" w:lineRule="exact" w:before="0"/>
              <w:ind w:left="108"/>
              <w:rPr>
                <w:sz w:val="21"/>
              </w:rPr>
            </w:pPr>
            <w:r>
              <w:rPr>
                <w:sz w:val="21"/>
              </w:rPr>
              <w:t>2017</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2017</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46.82%</w:t>
            </w:r>
          </w:p>
        </w:tc>
        <w:tc>
          <w:tcPr>
            <w:tcW w:w="1260" w:type="dxa"/>
          </w:tcPr>
          <w:p>
            <w:pPr>
              <w:pStyle w:val="TableParagraph"/>
              <w:spacing w:before="9"/>
              <w:rPr>
                <w:sz w:val="15"/>
              </w:rPr>
            </w:pPr>
          </w:p>
          <w:p>
            <w:pPr>
              <w:pStyle w:val="TableParagraph"/>
              <w:spacing w:before="0"/>
              <w:ind w:right="97"/>
              <w:jc w:val="right"/>
              <w:rPr>
                <w:sz w:val="21"/>
              </w:rPr>
            </w:pPr>
            <w:r>
              <w:rPr>
                <w:sz w:val="21"/>
              </w:rPr>
              <w:t>0.85%</w:t>
            </w:r>
          </w:p>
        </w:tc>
        <w:tc>
          <w:tcPr>
            <w:tcW w:w="1440" w:type="dxa"/>
          </w:tcPr>
          <w:p>
            <w:pPr>
              <w:pStyle w:val="TableParagraph"/>
              <w:spacing w:before="9"/>
              <w:rPr>
                <w:sz w:val="15"/>
              </w:rPr>
            </w:pPr>
          </w:p>
          <w:p>
            <w:pPr>
              <w:pStyle w:val="TableParagraph"/>
              <w:spacing w:before="0"/>
              <w:ind w:right="97"/>
              <w:jc w:val="right"/>
              <w:rPr>
                <w:sz w:val="21"/>
              </w:rPr>
            </w:pPr>
            <w:r>
              <w:rPr>
                <w:sz w:val="21"/>
              </w:rPr>
              <w:t>0.53%</w:t>
            </w:r>
          </w:p>
        </w:tc>
        <w:tc>
          <w:tcPr>
            <w:tcW w:w="1440" w:type="dxa"/>
          </w:tcPr>
          <w:p>
            <w:pPr>
              <w:pStyle w:val="TableParagraph"/>
              <w:spacing w:before="9"/>
              <w:rPr>
                <w:sz w:val="15"/>
              </w:rPr>
            </w:pPr>
          </w:p>
          <w:p>
            <w:pPr>
              <w:pStyle w:val="TableParagraph"/>
              <w:spacing w:before="0"/>
              <w:ind w:right="97"/>
              <w:jc w:val="right"/>
              <w:rPr>
                <w:sz w:val="21"/>
              </w:rPr>
            </w:pPr>
            <w:r>
              <w:rPr>
                <w:sz w:val="21"/>
              </w:rPr>
              <w:t>0.64%</w:t>
            </w:r>
          </w:p>
        </w:tc>
        <w:tc>
          <w:tcPr>
            <w:tcW w:w="1080" w:type="dxa"/>
          </w:tcPr>
          <w:p>
            <w:pPr>
              <w:pStyle w:val="TableParagraph"/>
              <w:spacing w:before="9"/>
              <w:rPr>
                <w:sz w:val="15"/>
              </w:rPr>
            </w:pPr>
          </w:p>
          <w:p>
            <w:pPr>
              <w:pStyle w:val="TableParagraph"/>
              <w:spacing w:before="0"/>
              <w:ind w:right="97"/>
              <w:jc w:val="right"/>
              <w:rPr>
                <w:sz w:val="21"/>
              </w:rPr>
            </w:pPr>
            <w:r>
              <w:rPr>
                <w:sz w:val="21"/>
              </w:rPr>
              <w:t>46.29%</w:t>
            </w:r>
          </w:p>
        </w:tc>
        <w:tc>
          <w:tcPr>
            <w:tcW w:w="1080" w:type="dxa"/>
          </w:tcPr>
          <w:p>
            <w:pPr>
              <w:pStyle w:val="TableParagraph"/>
              <w:spacing w:before="9"/>
              <w:rPr>
                <w:sz w:val="15"/>
              </w:rPr>
            </w:pPr>
          </w:p>
          <w:p>
            <w:pPr>
              <w:pStyle w:val="TableParagraph"/>
              <w:spacing w:before="0"/>
              <w:ind w:right="97"/>
              <w:jc w:val="right"/>
              <w:rPr>
                <w:sz w:val="21"/>
              </w:rPr>
            </w:pPr>
            <w:r>
              <w:rPr>
                <w:sz w:val="21"/>
              </w:rPr>
              <w:t>0.21%</w:t>
            </w:r>
          </w:p>
        </w:tc>
      </w:tr>
      <w:tr>
        <w:trPr>
          <w:trHeight w:val="817" w:hRule="atLeast"/>
        </w:trPr>
        <w:tc>
          <w:tcPr>
            <w:tcW w:w="1985" w:type="dxa"/>
          </w:tcPr>
          <w:p>
            <w:pPr>
              <w:pStyle w:val="TableParagraph"/>
              <w:spacing w:line="267" w:lineRule="exact" w:before="0"/>
              <w:ind w:left="108"/>
              <w:rPr>
                <w:sz w:val="21"/>
              </w:rPr>
            </w:pPr>
            <w:r>
              <w:rPr>
                <w:sz w:val="21"/>
              </w:rPr>
              <w:t>2018</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2018</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-14.30%</w:t>
            </w:r>
          </w:p>
        </w:tc>
        <w:tc>
          <w:tcPr>
            <w:tcW w:w="1260" w:type="dxa"/>
          </w:tcPr>
          <w:p>
            <w:pPr>
              <w:pStyle w:val="TableParagraph"/>
              <w:spacing w:before="9"/>
              <w:rPr>
                <w:sz w:val="15"/>
              </w:rPr>
            </w:pPr>
          </w:p>
          <w:p>
            <w:pPr>
              <w:pStyle w:val="TableParagraph"/>
              <w:spacing w:before="0"/>
              <w:ind w:right="97"/>
              <w:jc w:val="right"/>
              <w:rPr>
                <w:sz w:val="21"/>
              </w:rPr>
            </w:pPr>
            <w:r>
              <w:rPr>
                <w:sz w:val="21"/>
              </w:rPr>
              <w:t>1.69%</w:t>
            </w:r>
          </w:p>
        </w:tc>
        <w:tc>
          <w:tcPr>
            <w:tcW w:w="1440" w:type="dxa"/>
          </w:tcPr>
          <w:p>
            <w:pPr>
              <w:pStyle w:val="TableParagraph"/>
              <w:spacing w:before="9"/>
              <w:rPr>
                <w:sz w:val="15"/>
              </w:rPr>
            </w:pPr>
          </w:p>
          <w:p>
            <w:pPr>
              <w:pStyle w:val="TableParagraph"/>
              <w:spacing w:before="0"/>
              <w:ind w:right="97"/>
              <w:jc w:val="right"/>
              <w:rPr>
                <w:sz w:val="21"/>
              </w:rPr>
            </w:pPr>
            <w:r>
              <w:rPr>
                <w:sz w:val="21"/>
              </w:rPr>
              <w:t>-23.75%</w:t>
            </w:r>
          </w:p>
        </w:tc>
        <w:tc>
          <w:tcPr>
            <w:tcW w:w="1440" w:type="dxa"/>
          </w:tcPr>
          <w:p>
            <w:pPr>
              <w:pStyle w:val="TableParagraph"/>
              <w:spacing w:before="9"/>
              <w:rPr>
                <w:sz w:val="15"/>
              </w:rPr>
            </w:pPr>
          </w:p>
          <w:p>
            <w:pPr>
              <w:pStyle w:val="TableParagraph"/>
              <w:spacing w:before="0"/>
              <w:ind w:right="97"/>
              <w:jc w:val="right"/>
              <w:rPr>
                <w:sz w:val="21"/>
              </w:rPr>
            </w:pPr>
            <w:r>
              <w:rPr>
                <w:sz w:val="21"/>
              </w:rPr>
              <w:t>1.12%</w:t>
            </w:r>
          </w:p>
        </w:tc>
        <w:tc>
          <w:tcPr>
            <w:tcW w:w="1080" w:type="dxa"/>
          </w:tcPr>
          <w:p>
            <w:pPr>
              <w:pStyle w:val="TableParagraph"/>
              <w:spacing w:before="9"/>
              <w:rPr>
                <w:sz w:val="15"/>
              </w:rPr>
            </w:pPr>
          </w:p>
          <w:p>
            <w:pPr>
              <w:pStyle w:val="TableParagraph"/>
              <w:spacing w:before="0"/>
              <w:ind w:right="97"/>
              <w:jc w:val="right"/>
              <w:rPr>
                <w:sz w:val="21"/>
              </w:rPr>
            </w:pPr>
            <w:r>
              <w:rPr>
                <w:sz w:val="21"/>
              </w:rPr>
              <w:t>9.45%</w:t>
            </w:r>
          </w:p>
        </w:tc>
        <w:tc>
          <w:tcPr>
            <w:tcW w:w="1080" w:type="dxa"/>
          </w:tcPr>
          <w:p>
            <w:pPr>
              <w:pStyle w:val="TableParagraph"/>
              <w:spacing w:before="9"/>
              <w:rPr>
                <w:sz w:val="15"/>
              </w:rPr>
            </w:pPr>
          </w:p>
          <w:p>
            <w:pPr>
              <w:pStyle w:val="TableParagraph"/>
              <w:spacing w:before="0"/>
              <w:ind w:right="97"/>
              <w:jc w:val="right"/>
              <w:rPr>
                <w:sz w:val="21"/>
              </w:rPr>
            </w:pPr>
            <w:r>
              <w:rPr>
                <w:sz w:val="21"/>
              </w:rPr>
              <w:t>0.57%</w:t>
            </w:r>
          </w:p>
        </w:tc>
      </w:tr>
      <w:tr>
        <w:trPr>
          <w:trHeight w:val="817" w:hRule="atLeast"/>
        </w:trPr>
        <w:tc>
          <w:tcPr>
            <w:tcW w:w="1985" w:type="dxa"/>
          </w:tcPr>
          <w:p>
            <w:pPr>
              <w:pStyle w:val="TableParagraph"/>
              <w:spacing w:line="267" w:lineRule="exact" w:before="0"/>
              <w:ind w:left="108"/>
              <w:rPr>
                <w:sz w:val="21"/>
              </w:rPr>
            </w:pPr>
            <w:r>
              <w:rPr>
                <w:sz w:val="21"/>
              </w:rPr>
              <w:t>2019</w:t>
            </w:r>
            <w:r>
              <w:rPr>
                <w:spacing w:val="-36"/>
                <w:sz w:val="21"/>
              </w:rPr>
              <w:t> 年 </w:t>
            </w:r>
            <w:r>
              <w:rPr>
                <w:sz w:val="21"/>
              </w:rPr>
              <w:t>1</w:t>
            </w:r>
            <w:r>
              <w:rPr>
                <w:spacing w:val="-36"/>
                <w:sz w:val="21"/>
              </w:rPr>
              <w:t> 月 </w:t>
            </w:r>
            <w:r>
              <w:rPr>
                <w:sz w:val="21"/>
              </w:rPr>
              <w:t>1</w:t>
            </w:r>
            <w:r>
              <w:rPr>
                <w:spacing w:val="-18"/>
                <w:sz w:val="21"/>
              </w:rPr>
              <w:t> 日至</w:t>
            </w:r>
          </w:p>
          <w:p>
            <w:pPr>
              <w:pStyle w:val="TableParagraph"/>
              <w:spacing w:before="139"/>
              <w:ind w:left="108"/>
              <w:rPr>
                <w:sz w:val="21"/>
              </w:rPr>
            </w:pPr>
            <w:r>
              <w:rPr>
                <w:sz w:val="21"/>
              </w:rPr>
              <w:t>2019</w:t>
            </w:r>
            <w:r>
              <w:rPr>
                <w:spacing w:val="-36"/>
                <w:sz w:val="21"/>
              </w:rPr>
              <w:t> 年 </w:t>
            </w:r>
            <w:r>
              <w:rPr>
                <w:sz w:val="21"/>
              </w:rPr>
              <w:t>12</w:t>
            </w:r>
            <w:r>
              <w:rPr>
                <w:spacing w:val="-36"/>
                <w:sz w:val="21"/>
              </w:rPr>
              <w:t> 月 </w:t>
            </w:r>
            <w:r>
              <w:rPr>
                <w:sz w:val="21"/>
              </w:rPr>
              <w:t>31</w:t>
            </w:r>
            <w:r>
              <w:rPr>
                <w:spacing w:val="-27"/>
                <w:sz w:val="21"/>
              </w:rPr>
              <w:t> 日</w:t>
            </w:r>
          </w:p>
        </w:tc>
        <w:tc>
          <w:tcPr>
            <w:tcW w:w="1102" w:type="dxa"/>
          </w:tcPr>
          <w:p>
            <w:pPr>
              <w:pStyle w:val="TableParagraph"/>
              <w:spacing w:before="9"/>
              <w:rPr>
                <w:sz w:val="15"/>
              </w:rPr>
            </w:pPr>
          </w:p>
          <w:p>
            <w:pPr>
              <w:pStyle w:val="TableParagraph"/>
              <w:spacing w:before="0"/>
              <w:ind w:right="97"/>
              <w:jc w:val="right"/>
              <w:rPr>
                <w:sz w:val="21"/>
              </w:rPr>
            </w:pPr>
            <w:r>
              <w:rPr>
                <w:sz w:val="21"/>
              </w:rPr>
              <w:t>65.34%</w:t>
            </w:r>
          </w:p>
        </w:tc>
        <w:tc>
          <w:tcPr>
            <w:tcW w:w="1260" w:type="dxa"/>
          </w:tcPr>
          <w:p>
            <w:pPr>
              <w:pStyle w:val="TableParagraph"/>
              <w:spacing w:before="9"/>
              <w:rPr>
                <w:sz w:val="15"/>
              </w:rPr>
            </w:pPr>
          </w:p>
          <w:p>
            <w:pPr>
              <w:pStyle w:val="TableParagraph"/>
              <w:spacing w:before="0"/>
              <w:ind w:right="97"/>
              <w:jc w:val="right"/>
              <w:rPr>
                <w:sz w:val="21"/>
              </w:rPr>
            </w:pPr>
            <w:r>
              <w:rPr>
                <w:sz w:val="21"/>
              </w:rPr>
              <w:t>1.44%</w:t>
            </w:r>
          </w:p>
        </w:tc>
        <w:tc>
          <w:tcPr>
            <w:tcW w:w="1440" w:type="dxa"/>
          </w:tcPr>
          <w:p>
            <w:pPr>
              <w:pStyle w:val="TableParagraph"/>
              <w:spacing w:before="9"/>
              <w:rPr>
                <w:sz w:val="15"/>
              </w:rPr>
            </w:pPr>
          </w:p>
          <w:p>
            <w:pPr>
              <w:pStyle w:val="TableParagraph"/>
              <w:spacing w:before="0"/>
              <w:ind w:right="97"/>
              <w:jc w:val="right"/>
              <w:rPr>
                <w:sz w:val="21"/>
              </w:rPr>
            </w:pPr>
            <w:r>
              <w:rPr>
                <w:sz w:val="21"/>
              </w:rPr>
              <w:t>23.33%</w:t>
            </w:r>
          </w:p>
        </w:tc>
        <w:tc>
          <w:tcPr>
            <w:tcW w:w="1440" w:type="dxa"/>
          </w:tcPr>
          <w:p>
            <w:pPr>
              <w:pStyle w:val="TableParagraph"/>
              <w:spacing w:before="9"/>
              <w:rPr>
                <w:sz w:val="15"/>
              </w:rPr>
            </w:pPr>
          </w:p>
          <w:p>
            <w:pPr>
              <w:pStyle w:val="TableParagraph"/>
              <w:spacing w:before="0"/>
              <w:ind w:right="97"/>
              <w:jc w:val="right"/>
              <w:rPr>
                <w:sz w:val="21"/>
              </w:rPr>
            </w:pPr>
            <w:r>
              <w:rPr>
                <w:sz w:val="21"/>
              </w:rPr>
              <w:t>1.09%</w:t>
            </w:r>
          </w:p>
        </w:tc>
        <w:tc>
          <w:tcPr>
            <w:tcW w:w="1080" w:type="dxa"/>
          </w:tcPr>
          <w:p>
            <w:pPr>
              <w:pStyle w:val="TableParagraph"/>
              <w:spacing w:before="9"/>
              <w:rPr>
                <w:sz w:val="15"/>
              </w:rPr>
            </w:pPr>
          </w:p>
          <w:p>
            <w:pPr>
              <w:pStyle w:val="TableParagraph"/>
              <w:spacing w:before="0"/>
              <w:ind w:right="97"/>
              <w:jc w:val="right"/>
              <w:rPr>
                <w:sz w:val="21"/>
              </w:rPr>
            </w:pPr>
            <w:r>
              <w:rPr>
                <w:sz w:val="21"/>
              </w:rPr>
              <w:t>42.01%</w:t>
            </w:r>
          </w:p>
        </w:tc>
        <w:tc>
          <w:tcPr>
            <w:tcW w:w="1080" w:type="dxa"/>
          </w:tcPr>
          <w:p>
            <w:pPr>
              <w:pStyle w:val="TableParagraph"/>
              <w:spacing w:before="9"/>
              <w:rPr>
                <w:sz w:val="15"/>
              </w:rPr>
            </w:pPr>
          </w:p>
          <w:p>
            <w:pPr>
              <w:pStyle w:val="TableParagraph"/>
              <w:spacing w:before="0"/>
              <w:ind w:right="97"/>
              <w:jc w:val="right"/>
              <w:rPr>
                <w:sz w:val="21"/>
              </w:rPr>
            </w:pPr>
            <w:r>
              <w:rPr>
                <w:sz w:val="21"/>
              </w:rPr>
              <w:t>0.35%</w:t>
            </w:r>
          </w:p>
        </w:tc>
      </w:tr>
    </w:tbl>
    <w:p>
      <w:pPr>
        <w:spacing w:after="0"/>
        <w:jc w:val="right"/>
        <w:rPr>
          <w:sz w:val="21"/>
        </w:rPr>
        <w:sectPr>
          <w:pgSz w:w="11910" w:h="16840"/>
          <w:pgMar w:header="0" w:footer="638" w:top="1580" w:bottom="900" w:left="960" w:right="980"/>
        </w:sectPr>
      </w:pPr>
    </w:p>
    <w:p>
      <w:pPr>
        <w:pStyle w:val="Heading1"/>
        <w:ind w:right="622"/>
        <w:jc w:val="center"/>
      </w:pPr>
      <w:bookmarkStart w:name="_bookmark56" w:id="57"/>
      <w:bookmarkEnd w:id="57"/>
      <w:r>
        <w:rPr/>
      </w:r>
      <w:r>
        <w:rPr/>
        <w:t>十三、基金的财产</w:t>
      </w:r>
    </w:p>
    <w:p>
      <w:pPr>
        <w:pStyle w:val="BodyText"/>
        <w:spacing w:before="10"/>
        <w:ind w:left="0"/>
        <w:rPr>
          <w:sz w:val="10"/>
        </w:rPr>
      </w:pPr>
    </w:p>
    <w:p>
      <w:pPr>
        <w:spacing w:before="61"/>
        <w:ind w:left="840" w:right="0" w:firstLine="0"/>
        <w:jc w:val="left"/>
        <w:rPr>
          <w:sz w:val="28"/>
        </w:rPr>
      </w:pPr>
      <w:bookmarkStart w:name="_bookmark57" w:id="58"/>
      <w:bookmarkEnd w:id="58"/>
      <w:r>
        <w:rPr/>
      </w:r>
      <w:r>
        <w:rPr>
          <w:sz w:val="28"/>
        </w:rPr>
        <w:t>（一）基金资产总值</w:t>
      </w:r>
    </w:p>
    <w:p>
      <w:pPr>
        <w:pStyle w:val="BodyText"/>
        <w:spacing w:line="364" w:lineRule="auto" w:before="185"/>
        <w:ind w:left="840" w:right="818" w:firstLine="420"/>
      </w:pPr>
      <w:r>
        <w:rPr>
          <w:spacing w:val="-5"/>
        </w:rPr>
        <w:t>本基金基金资产总值包括基金所持有的各类有价证券、银行存款本息、基金的应收款项</w:t>
      </w:r>
      <w:r>
        <w:rPr/>
        <w:t>和其他投资所形成的价值总和。</w:t>
      </w:r>
    </w:p>
    <w:p>
      <w:pPr>
        <w:spacing w:before="0"/>
        <w:ind w:left="840" w:right="0" w:firstLine="0"/>
        <w:jc w:val="left"/>
        <w:rPr>
          <w:sz w:val="28"/>
        </w:rPr>
      </w:pPr>
      <w:bookmarkStart w:name="_bookmark58" w:id="59"/>
      <w:bookmarkEnd w:id="59"/>
      <w:r>
        <w:rPr/>
      </w:r>
      <w:r>
        <w:rPr>
          <w:sz w:val="28"/>
        </w:rPr>
        <w:t>（二）基金资产净值</w:t>
      </w:r>
    </w:p>
    <w:p>
      <w:pPr>
        <w:pStyle w:val="BodyText"/>
        <w:spacing w:before="185"/>
        <w:ind w:left="1260"/>
      </w:pPr>
      <w:r>
        <w:rPr/>
        <w:t>本基金基金资产净值是指基金资产总值减去负债后的价值。</w:t>
      </w:r>
    </w:p>
    <w:p>
      <w:pPr>
        <w:spacing w:before="141"/>
        <w:ind w:left="840" w:right="0" w:firstLine="0"/>
        <w:jc w:val="left"/>
        <w:rPr>
          <w:sz w:val="28"/>
        </w:rPr>
      </w:pPr>
      <w:bookmarkStart w:name="_bookmark59" w:id="60"/>
      <w:bookmarkEnd w:id="60"/>
      <w:r>
        <w:rPr/>
      </w:r>
      <w:r>
        <w:rPr>
          <w:sz w:val="28"/>
        </w:rPr>
        <w:t>（三）基金财产的账户</w:t>
      </w:r>
    </w:p>
    <w:p>
      <w:pPr>
        <w:pStyle w:val="BodyText"/>
        <w:spacing w:line="364" w:lineRule="auto" w:before="184"/>
        <w:ind w:left="840" w:right="818" w:firstLine="420"/>
      </w:pPr>
      <w:r>
        <w:rPr>
          <w:spacing w:val="-7"/>
        </w:rPr>
        <w:t>本基金根据相关法律法规、规范性文件开立基金资金账户以及证券账户，与基金管理人</w:t>
      </w:r>
      <w:r>
        <w:rPr/>
        <w:t>和基金托管人自有的财产账户以及其他基金财产账户独立。</w:t>
      </w:r>
    </w:p>
    <w:p>
      <w:pPr>
        <w:spacing w:before="0"/>
        <w:ind w:left="840" w:right="0" w:firstLine="0"/>
        <w:jc w:val="left"/>
        <w:rPr>
          <w:sz w:val="28"/>
        </w:rPr>
      </w:pPr>
      <w:bookmarkStart w:name="_bookmark60" w:id="61"/>
      <w:bookmarkEnd w:id="61"/>
      <w:r>
        <w:rPr/>
      </w:r>
      <w:r>
        <w:rPr>
          <w:sz w:val="28"/>
        </w:rPr>
        <w:t>（四）基金财产的保管与处分</w:t>
      </w:r>
    </w:p>
    <w:p>
      <w:pPr>
        <w:pStyle w:val="BodyText"/>
        <w:spacing w:before="185"/>
        <w:ind w:left="1260"/>
      </w:pPr>
      <w:r>
        <w:rPr/>
        <w:t>1、本基金财产独立于基金管理人及基金托管人的固有财产，并由基金托管人保管。</w:t>
      </w:r>
    </w:p>
    <w:p>
      <w:pPr>
        <w:pStyle w:val="BodyText"/>
        <w:spacing w:line="364" w:lineRule="auto" w:before="140"/>
        <w:ind w:left="840" w:right="818" w:firstLine="420"/>
      </w:pPr>
      <w:r>
        <w:rPr/>
        <w:t>2、基金管理人、基金托管人因基金财产的管理、运用或者其他情形而取得的财产和收益，归基金财产。</w:t>
      </w:r>
    </w:p>
    <w:p>
      <w:pPr>
        <w:pStyle w:val="BodyText"/>
        <w:spacing w:line="364" w:lineRule="auto"/>
        <w:ind w:left="840" w:right="818" w:firstLine="420"/>
      </w:pPr>
      <w:r>
        <w:rPr/>
        <w:t>3、基金管理人、基金托管人因依法解散、被依法撤销或者被依法宣告破产等原因进行清算的，基金财产不属于其清算范围。</w:t>
      </w:r>
    </w:p>
    <w:p>
      <w:pPr>
        <w:pStyle w:val="BodyText"/>
        <w:spacing w:line="364" w:lineRule="auto"/>
        <w:ind w:left="840" w:right="712" w:firstLine="420"/>
      </w:pPr>
      <w:r>
        <w:rPr/>
        <w:t>4、基金财产的债权不得与基金管理人、基金托管人固有财产的债务相抵销；不同基金</w:t>
      </w:r>
      <w:r>
        <w:rPr>
          <w:spacing w:val="-15"/>
        </w:rPr>
        <w:t>财产的债权债务，不得相互抵销。非因基金财产本身承担的债务，不得对基金财产强制执行。</w:t>
      </w:r>
    </w:p>
    <w:p>
      <w:pPr>
        <w:spacing w:after="0" w:line="364" w:lineRule="auto"/>
        <w:sectPr>
          <w:pgSz w:w="11910" w:h="16840"/>
          <w:pgMar w:header="0" w:footer="638" w:top="1380" w:bottom="900" w:left="960" w:right="980"/>
        </w:sectPr>
      </w:pPr>
    </w:p>
    <w:p>
      <w:pPr>
        <w:pStyle w:val="Heading1"/>
        <w:ind w:left="3793"/>
      </w:pPr>
      <w:bookmarkStart w:name="_bookmark61" w:id="62"/>
      <w:bookmarkEnd w:id="62"/>
      <w:r>
        <w:rPr/>
      </w:r>
      <w:r>
        <w:rPr/>
        <w:t>十四、基金资产的估值</w:t>
      </w:r>
    </w:p>
    <w:p>
      <w:pPr>
        <w:pStyle w:val="BodyText"/>
        <w:spacing w:before="10"/>
        <w:ind w:left="0"/>
        <w:rPr>
          <w:sz w:val="10"/>
        </w:rPr>
      </w:pPr>
    </w:p>
    <w:p>
      <w:pPr>
        <w:spacing w:before="61"/>
        <w:ind w:left="840" w:right="0" w:firstLine="0"/>
        <w:jc w:val="left"/>
        <w:rPr>
          <w:sz w:val="28"/>
        </w:rPr>
      </w:pPr>
      <w:bookmarkStart w:name="_bookmark62" w:id="63"/>
      <w:bookmarkEnd w:id="63"/>
      <w:r>
        <w:rPr/>
      </w:r>
      <w:r>
        <w:rPr>
          <w:sz w:val="28"/>
        </w:rPr>
        <w:t>（一）估值目的</w:t>
      </w:r>
    </w:p>
    <w:p>
      <w:pPr>
        <w:pStyle w:val="BodyText"/>
        <w:spacing w:line="364" w:lineRule="auto" w:before="185"/>
        <w:ind w:left="840" w:right="8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spacing w:before="0"/>
        <w:ind w:left="840" w:right="0" w:firstLine="0"/>
        <w:jc w:val="left"/>
        <w:rPr>
          <w:sz w:val="28"/>
        </w:rPr>
      </w:pPr>
      <w:bookmarkStart w:name="_bookmark63" w:id="64"/>
      <w:bookmarkEnd w:id="64"/>
      <w:r>
        <w:rPr/>
      </w:r>
      <w:r>
        <w:rPr>
          <w:sz w:val="28"/>
        </w:rPr>
        <w:t>（二）估值日</w:t>
      </w:r>
    </w:p>
    <w:p>
      <w:pPr>
        <w:pStyle w:val="BodyText"/>
        <w:spacing w:line="364" w:lineRule="auto" w:before="185"/>
        <w:ind w:left="840" w:right="818" w:firstLine="420"/>
      </w:pPr>
      <w:r>
        <w:rPr/>
        <w:t>本基金的估值日为相关的证券交易场所的正常营业日以及国家法律法规规定需要对外披露基金净值的非营业日。</w:t>
      </w:r>
    </w:p>
    <w:p>
      <w:pPr>
        <w:spacing w:before="0"/>
        <w:ind w:left="840" w:right="0" w:firstLine="0"/>
        <w:jc w:val="left"/>
        <w:rPr>
          <w:sz w:val="28"/>
        </w:rPr>
      </w:pPr>
      <w:bookmarkStart w:name="_bookmark64" w:id="65"/>
      <w:bookmarkEnd w:id="65"/>
      <w:r>
        <w:rPr/>
      </w:r>
      <w:r>
        <w:rPr>
          <w:sz w:val="28"/>
        </w:rPr>
        <w:t>（三）估值对象</w:t>
      </w:r>
    </w:p>
    <w:p>
      <w:pPr>
        <w:pStyle w:val="BodyText"/>
        <w:spacing w:before="185"/>
        <w:ind w:left="1260"/>
      </w:pPr>
      <w:r>
        <w:rPr/>
        <w:t>基金所持有的金融资产和金融负债。</w:t>
      </w:r>
    </w:p>
    <w:p>
      <w:pPr>
        <w:spacing w:before="140"/>
        <w:ind w:left="840" w:right="0" w:firstLine="0"/>
        <w:jc w:val="left"/>
        <w:rPr>
          <w:sz w:val="28"/>
        </w:rPr>
      </w:pPr>
      <w:bookmarkStart w:name="_bookmark65" w:id="66"/>
      <w:bookmarkEnd w:id="66"/>
      <w:r>
        <w:rPr/>
      </w:r>
      <w:r>
        <w:rPr>
          <w:sz w:val="28"/>
        </w:rPr>
        <w:t>（四）估值方法</w:t>
      </w:r>
    </w:p>
    <w:p>
      <w:pPr>
        <w:pStyle w:val="BodyText"/>
        <w:spacing w:before="185"/>
        <w:ind w:left="1260"/>
      </w:pPr>
      <w:r>
        <w:rPr/>
        <w:t>1、股票估值方法</w:t>
      </w:r>
    </w:p>
    <w:p>
      <w:pPr>
        <w:pStyle w:val="ListParagraph"/>
        <w:numPr>
          <w:ilvl w:val="0"/>
          <w:numId w:val="20"/>
        </w:numPr>
        <w:tabs>
          <w:tab w:pos="1786" w:val="left" w:leader="none"/>
        </w:tabs>
        <w:spacing w:line="240" w:lineRule="auto" w:before="140" w:after="0"/>
        <w:ind w:left="1786" w:right="0" w:hanging="526"/>
        <w:jc w:val="left"/>
        <w:rPr>
          <w:sz w:val="21"/>
        </w:rPr>
      </w:pPr>
      <w:r>
        <w:rPr>
          <w:sz w:val="21"/>
        </w:rPr>
        <w:t>上市流通股票的估值</w:t>
      </w:r>
    </w:p>
    <w:p>
      <w:pPr>
        <w:pStyle w:val="BodyText"/>
        <w:spacing w:line="364" w:lineRule="auto" w:before="139"/>
        <w:ind w:left="840" w:right="818" w:firstLine="420"/>
      </w:pPr>
      <w:r>
        <w:rPr>
          <w:spacing w:val="-5"/>
        </w:rPr>
        <w:t>上市流通股票按估值日其所在证券交易所的收盘价估值；估值日无交易的，以最近交易</w:t>
      </w:r>
      <w:r>
        <w:rPr/>
        <w:t>日的收盘价估值。</w:t>
      </w:r>
    </w:p>
    <w:p>
      <w:pPr>
        <w:pStyle w:val="ListParagraph"/>
        <w:numPr>
          <w:ilvl w:val="0"/>
          <w:numId w:val="20"/>
        </w:numPr>
        <w:tabs>
          <w:tab w:pos="1786" w:val="left" w:leader="none"/>
        </w:tabs>
        <w:spacing w:line="268" w:lineRule="exact" w:before="0" w:after="0"/>
        <w:ind w:left="1786" w:right="0" w:hanging="526"/>
        <w:jc w:val="left"/>
        <w:rPr>
          <w:sz w:val="21"/>
        </w:rPr>
      </w:pPr>
      <w:r>
        <w:rPr>
          <w:sz w:val="21"/>
        </w:rPr>
        <w:t>未上市股票的估值</w:t>
      </w:r>
    </w:p>
    <w:p>
      <w:pPr>
        <w:pStyle w:val="BodyText"/>
        <w:spacing w:line="364" w:lineRule="auto" w:before="140"/>
        <w:ind w:left="840" w:right="8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840" w:right="818" w:firstLine="420"/>
      </w:pPr>
      <w:r>
        <w:rPr>
          <w:spacing w:val="-8"/>
        </w:rPr>
        <w:t>首次发行未上市的股票，采用估值技术确定公允价值，在估值技术难以可靠计量的情况</w:t>
      </w:r>
      <w:r>
        <w:rPr/>
        <w:t>下，按成本估值。</w:t>
      </w:r>
    </w:p>
    <w:p>
      <w:pPr>
        <w:pStyle w:val="ListParagraph"/>
        <w:numPr>
          <w:ilvl w:val="0"/>
          <w:numId w:val="20"/>
        </w:numPr>
        <w:tabs>
          <w:tab w:pos="1786" w:val="left" w:leader="none"/>
        </w:tabs>
        <w:spacing w:line="268" w:lineRule="exact" w:before="0" w:after="0"/>
        <w:ind w:left="1786" w:right="0" w:hanging="526"/>
        <w:jc w:val="left"/>
        <w:rPr>
          <w:sz w:val="21"/>
        </w:rPr>
      </w:pPr>
      <w:r>
        <w:rPr>
          <w:sz w:val="21"/>
        </w:rPr>
        <w:t>有明确锁定期股票的估值</w:t>
      </w:r>
    </w:p>
    <w:p>
      <w:pPr>
        <w:pStyle w:val="BodyText"/>
        <w:spacing w:line="364" w:lineRule="auto" w:before="138"/>
        <w:ind w:left="840" w:right="818" w:firstLine="420"/>
        <w:jc w:val="both"/>
      </w:pPr>
      <w:r>
        <w:rPr>
          <w:spacing w:val="-6"/>
        </w:rPr>
        <w:t>首次公开发行有明确锁定期的股票，同一股票在交易所上市后，按交易所上市的同一股</w:t>
      </w:r>
      <w:r>
        <w:rPr>
          <w:spacing w:val="-11"/>
        </w:rPr>
        <w:t>票的收盘价估值；非公开发行有明确锁定期的流通受限股票，按监管机构或行业协会的有关</w:t>
      </w:r>
      <w:r>
        <w:rPr/>
        <w:t>规定确定公允价值。</w:t>
      </w:r>
    </w:p>
    <w:p>
      <w:pPr>
        <w:pStyle w:val="BodyText"/>
        <w:spacing w:line="268" w:lineRule="exact"/>
        <w:ind w:left="1260"/>
      </w:pPr>
      <w:r>
        <w:rPr/>
        <w:t>2、固定收益证券的估值办法</w:t>
      </w:r>
    </w:p>
    <w:p>
      <w:pPr>
        <w:pStyle w:val="ListParagraph"/>
        <w:numPr>
          <w:ilvl w:val="0"/>
          <w:numId w:val="21"/>
        </w:numPr>
        <w:tabs>
          <w:tab w:pos="1787" w:val="left" w:leader="none"/>
        </w:tabs>
        <w:spacing w:line="364" w:lineRule="auto" w:before="140" w:after="0"/>
        <w:ind w:left="840" w:right="818" w:firstLine="420"/>
        <w:jc w:val="left"/>
        <w:rPr>
          <w:sz w:val="21"/>
        </w:rPr>
      </w:pPr>
      <w:r>
        <w:rPr>
          <w:sz w:val="21"/>
        </w:rPr>
        <w:t>证券交易所市场实行净价交易的债券按估值日收盘价估值，估值日没有交易的， 按最近交易日的收盘价估值。</w:t>
      </w:r>
    </w:p>
    <w:p>
      <w:pPr>
        <w:pStyle w:val="ListParagraph"/>
        <w:numPr>
          <w:ilvl w:val="0"/>
          <w:numId w:val="21"/>
        </w:numPr>
        <w:tabs>
          <w:tab w:pos="1787" w:val="left" w:leader="none"/>
        </w:tabs>
        <w:spacing w:line="364" w:lineRule="auto" w:before="0" w:after="0"/>
        <w:ind w:left="840" w:right="713" w:firstLine="420"/>
        <w:jc w:val="left"/>
        <w:rPr>
          <w:sz w:val="21"/>
        </w:rPr>
      </w:pPr>
      <w:r>
        <w:rPr>
          <w:sz w:val="21"/>
        </w:rPr>
        <w:t>证券交易所市场未实行净价交易的债券按估值日收盘价减去债券收盘价中所含的</w:t>
      </w:r>
      <w:r>
        <w:rPr>
          <w:spacing w:val="-12"/>
          <w:sz w:val="21"/>
        </w:rPr>
        <w:t>债券应收利息得到的净价进行估值，估值日没有交易的，按最近交易日计算得到的净价估值。</w:t>
      </w:r>
    </w:p>
    <w:p>
      <w:pPr>
        <w:pStyle w:val="ListParagraph"/>
        <w:numPr>
          <w:ilvl w:val="0"/>
          <w:numId w:val="21"/>
        </w:numPr>
        <w:tabs>
          <w:tab w:pos="1787" w:val="left" w:leader="none"/>
        </w:tabs>
        <w:spacing w:line="364" w:lineRule="auto" w:before="0" w:after="0"/>
        <w:ind w:left="840" w:right="818" w:firstLine="420"/>
        <w:jc w:val="left"/>
        <w:rPr>
          <w:sz w:val="21"/>
        </w:rPr>
      </w:pPr>
      <w:r>
        <w:rPr>
          <w:sz w:val="21"/>
        </w:rPr>
        <w:t>未上市债券采用估值技术确定公允价值，在估值技术难以可靠计量的情况下，按成本估值。</w:t>
      </w:r>
    </w:p>
    <w:p>
      <w:pPr>
        <w:pStyle w:val="ListParagraph"/>
        <w:numPr>
          <w:ilvl w:val="0"/>
          <w:numId w:val="21"/>
        </w:numPr>
        <w:tabs>
          <w:tab w:pos="1787" w:val="left" w:leader="none"/>
        </w:tabs>
        <w:spacing w:line="364" w:lineRule="auto" w:before="0" w:after="0"/>
        <w:ind w:left="840" w:right="818" w:firstLine="420"/>
        <w:jc w:val="left"/>
        <w:rPr>
          <w:sz w:val="21"/>
        </w:rPr>
      </w:pPr>
      <w:r>
        <w:rPr>
          <w:sz w:val="21"/>
        </w:rPr>
        <w:t>在银行间债券市场交易的债券、资产支持证券等固定收益品种，采用估值技术确定公允价值。</w:t>
      </w:r>
    </w:p>
    <w:p>
      <w:pPr>
        <w:spacing w:after="0" w:line="364" w:lineRule="auto"/>
        <w:jc w:val="left"/>
        <w:rPr>
          <w:sz w:val="21"/>
        </w:rPr>
        <w:sectPr>
          <w:pgSz w:w="11910" w:h="16840"/>
          <w:pgMar w:header="0" w:footer="638" w:top="1380" w:bottom="900" w:left="960" w:right="980"/>
        </w:sectPr>
      </w:pPr>
    </w:p>
    <w:p>
      <w:pPr>
        <w:pStyle w:val="ListParagraph"/>
        <w:numPr>
          <w:ilvl w:val="0"/>
          <w:numId w:val="21"/>
        </w:numPr>
        <w:tabs>
          <w:tab w:pos="1787" w:val="left" w:leader="none"/>
        </w:tabs>
        <w:spacing w:line="364" w:lineRule="auto" w:before="45" w:after="0"/>
        <w:ind w:left="840" w:right="81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1"/>
        </w:numPr>
        <w:tabs>
          <w:tab w:pos="1786" w:val="left" w:leader="none"/>
        </w:tabs>
        <w:spacing w:line="268" w:lineRule="exact" w:before="0" w:after="0"/>
        <w:ind w:left="1786" w:right="0" w:hanging="526"/>
        <w:jc w:val="left"/>
        <w:rPr>
          <w:sz w:val="21"/>
        </w:rPr>
      </w:pPr>
      <w:r>
        <w:rPr>
          <w:spacing w:val="-3"/>
          <w:sz w:val="21"/>
        </w:rPr>
        <w:t>同一债券同时在两个或两个以上市场交易的，原则上按债券所处的市场分别估值。</w:t>
      </w:r>
    </w:p>
    <w:p>
      <w:pPr>
        <w:pStyle w:val="BodyText"/>
        <w:spacing w:before="139"/>
        <w:ind w:left="1260"/>
      </w:pPr>
      <w:r>
        <w:rPr/>
        <w:t>3、权证估值：</w:t>
      </w:r>
    </w:p>
    <w:p>
      <w:pPr>
        <w:pStyle w:val="ListParagraph"/>
        <w:numPr>
          <w:ilvl w:val="0"/>
          <w:numId w:val="22"/>
        </w:numPr>
        <w:tabs>
          <w:tab w:pos="1786" w:val="left" w:leader="none"/>
        </w:tabs>
        <w:spacing w:line="240" w:lineRule="auto" w:before="140" w:after="0"/>
        <w:ind w:left="1786" w:right="0" w:hanging="526"/>
        <w:jc w:val="left"/>
        <w:rPr>
          <w:sz w:val="21"/>
        </w:rPr>
      </w:pPr>
      <w:r>
        <w:rPr>
          <w:sz w:val="21"/>
        </w:rPr>
        <w:t>配股权证的估值：</w:t>
      </w:r>
    </w:p>
    <w:p>
      <w:pPr>
        <w:pStyle w:val="BodyText"/>
        <w:spacing w:line="364" w:lineRule="auto" w:before="139"/>
        <w:ind w:left="840" w:right="818" w:firstLine="420"/>
      </w:pPr>
      <w:r>
        <w:rPr>
          <w:spacing w:val="-7"/>
        </w:rPr>
        <w:t>从配股除权日起到配股确认日止，若收盘价高于配股价，则按收盘价和配股价的差额进</w:t>
      </w:r>
      <w:r>
        <w:rPr/>
        <w:t>行估值；若收盘价等于或低于配股价，则估值为零。</w:t>
      </w:r>
    </w:p>
    <w:p>
      <w:pPr>
        <w:pStyle w:val="ListParagraph"/>
        <w:numPr>
          <w:ilvl w:val="0"/>
          <w:numId w:val="22"/>
        </w:numPr>
        <w:tabs>
          <w:tab w:pos="1786" w:val="left" w:leader="none"/>
        </w:tabs>
        <w:spacing w:line="268" w:lineRule="exact" w:before="0" w:after="0"/>
        <w:ind w:left="1786" w:right="0" w:hanging="526"/>
        <w:jc w:val="left"/>
        <w:rPr>
          <w:sz w:val="21"/>
        </w:rPr>
      </w:pPr>
      <w:r>
        <w:rPr>
          <w:sz w:val="21"/>
        </w:rPr>
        <w:t>认沽/认购权证的估值：</w:t>
      </w:r>
    </w:p>
    <w:p>
      <w:pPr>
        <w:pStyle w:val="BodyText"/>
        <w:spacing w:line="364" w:lineRule="auto" w:before="140"/>
        <w:ind w:left="840" w:right="81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line="267" w:lineRule="exact"/>
        <w:ind w:left="1260"/>
      </w:pPr>
      <w:r>
        <w:rPr/>
        <w:t>4、本基金投资存托凭证的估值核算，依照境内上市交易的股票执行。</w:t>
      </w:r>
    </w:p>
    <w:p>
      <w:pPr>
        <w:pStyle w:val="BodyText"/>
        <w:spacing w:line="364" w:lineRule="auto" w:before="139"/>
        <w:ind w:left="840" w:right="818" w:firstLine="420"/>
        <w:jc w:val="both"/>
      </w:pPr>
      <w:r>
        <w:rPr/>
        <w:t>5</w:t>
      </w:r>
      <w:r>
        <w:rPr>
          <w:spacing w:val="-3"/>
        </w:rPr>
        <w:t>、在任何情况下，基金管理人采用上述 </w:t>
      </w:r>
      <w:r>
        <w:rPr/>
        <w:t>1-4</w:t>
      </w:r>
      <w:r>
        <w:rPr>
          <w:spacing w:val="-8"/>
        </w:rPr>
        <w:t> 项规定的方法对基金财产进行估值，均应</w:t>
      </w:r>
      <w:r>
        <w:rPr>
          <w:spacing w:val="-15"/>
        </w:rPr>
        <w:t>被认为采用了适当的估值方法。但是，如果由于最近交易日后经济环境发生了重大变化等原</w:t>
      </w:r>
      <w:r>
        <w:rPr>
          <w:spacing w:val="-12"/>
        </w:rPr>
        <w:t>因，导致基金管理人有充足的理由认为按上述方法对基金财产进行估值不能客观反映其公允</w:t>
      </w:r>
      <w:r>
        <w:rPr>
          <w:spacing w:val="-9"/>
        </w:rPr>
        <w:t>价值的，基金管理人可在综合考虑市场成交价、市场报价、流动性、收益率曲线等多种因素</w:t>
      </w:r>
      <w:r>
        <w:rPr/>
        <w:t>的基础上与基金托管人商定后，按最能反映公允价值的价格估值。</w:t>
      </w:r>
    </w:p>
    <w:p>
      <w:pPr>
        <w:pStyle w:val="BodyText"/>
        <w:spacing w:line="267" w:lineRule="exact"/>
        <w:ind w:left="1260"/>
      </w:pPr>
      <w:r>
        <w:rPr/>
        <w:t>6、国家有最新规定的，按其规定进行估值。</w:t>
      </w:r>
    </w:p>
    <w:p>
      <w:pPr>
        <w:spacing w:before="141"/>
        <w:ind w:left="840" w:right="0" w:firstLine="0"/>
        <w:jc w:val="left"/>
        <w:rPr>
          <w:sz w:val="28"/>
        </w:rPr>
      </w:pPr>
      <w:bookmarkStart w:name="_bookmark66" w:id="67"/>
      <w:bookmarkEnd w:id="67"/>
      <w:r>
        <w:rPr/>
      </w:r>
      <w:r>
        <w:rPr>
          <w:sz w:val="28"/>
        </w:rPr>
        <w:t>（五）估值程序</w:t>
      </w:r>
    </w:p>
    <w:p>
      <w:pPr>
        <w:pStyle w:val="BodyText"/>
        <w:spacing w:line="364" w:lineRule="auto" w:before="185"/>
        <w:ind w:left="840" w:right="712" w:firstLine="420"/>
      </w:pPr>
      <w:r>
        <w:rPr>
          <w:spacing w:val="-5"/>
        </w:rPr>
        <w:t>基金日常估值由基金管理人同基金托管人一同进行。基金份额净值由基金管理人完成估</w:t>
      </w:r>
      <w:r>
        <w:rPr>
          <w:spacing w:val="-15"/>
        </w:rPr>
        <w:t>值后，将估值结果以书面形式报给基金托管人，基金托管人按《基金合同》规定的估值方法、</w:t>
      </w:r>
      <w:r>
        <w:rPr>
          <w:spacing w:val="-10"/>
        </w:rPr>
        <w:t>时间、程序进行复核，基金托管人复核无误后签章返回给基金管理人，由基金管理人对外公布。月末、年中和年末估值复核与基金会计账目的核对同时进行。</w:t>
      </w:r>
    </w:p>
    <w:p>
      <w:pPr>
        <w:spacing w:line="358" w:lineRule="exact" w:before="0"/>
        <w:ind w:left="840" w:right="0" w:firstLine="0"/>
        <w:jc w:val="left"/>
        <w:rPr>
          <w:sz w:val="28"/>
        </w:rPr>
      </w:pPr>
      <w:bookmarkStart w:name="_bookmark67" w:id="68"/>
      <w:bookmarkEnd w:id="68"/>
      <w:r>
        <w:rPr/>
      </w:r>
      <w:r>
        <w:rPr>
          <w:sz w:val="28"/>
        </w:rPr>
        <w:t>（六）暂停估值的情形</w:t>
      </w:r>
    </w:p>
    <w:p>
      <w:pPr>
        <w:pStyle w:val="BodyText"/>
        <w:spacing w:before="184"/>
        <w:ind w:left="1260"/>
      </w:pPr>
      <w:r>
        <w:rPr/>
        <w:t>1、基金投资所涉及的证券交易所遇法定节假日或因其他原因暂停营业时；</w:t>
      </w:r>
    </w:p>
    <w:p>
      <w:pPr>
        <w:pStyle w:val="BodyText"/>
        <w:spacing w:before="140"/>
        <w:ind w:left="1260"/>
      </w:pPr>
      <w:r>
        <w:rPr/>
        <w:t>2、因不可抗力或其他情形致使基金管理人、基金托管人无法准确评估基金财产价值时；</w:t>
      </w:r>
    </w:p>
    <w:p>
      <w:pPr>
        <w:pStyle w:val="BodyText"/>
        <w:spacing w:line="364" w:lineRule="auto" w:before="139"/>
        <w:ind w:left="840" w:right="8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1260"/>
      </w:pPr>
      <w:r>
        <w:rPr/>
        <w:t>4、中国证监会认定的其他情形。</w:t>
      </w:r>
    </w:p>
    <w:p>
      <w:pPr>
        <w:spacing w:before="141"/>
        <w:ind w:left="840" w:right="0" w:firstLine="0"/>
        <w:jc w:val="left"/>
        <w:rPr>
          <w:sz w:val="28"/>
        </w:rPr>
      </w:pPr>
      <w:bookmarkStart w:name="_bookmark68" w:id="69"/>
      <w:bookmarkEnd w:id="69"/>
      <w:r>
        <w:rPr/>
      </w:r>
      <w:r>
        <w:rPr>
          <w:sz w:val="28"/>
        </w:rPr>
        <w:t>（七）基金份额净值的确认</w:t>
      </w:r>
    </w:p>
    <w:p>
      <w:pPr>
        <w:pStyle w:val="BodyText"/>
        <w:spacing w:line="364" w:lineRule="auto" w:before="185"/>
        <w:ind w:left="840" w:right="818" w:firstLine="420"/>
      </w:pPr>
      <w:r>
        <w:rPr>
          <w:spacing w:val="-5"/>
        </w:rPr>
        <w:t>用于基金信息披露的基金份额净值由基金管理人负责计算，基金托管人进行复核。基金</w:t>
      </w:r>
      <w:r>
        <w:rPr>
          <w:spacing w:val="-4"/>
        </w:rPr>
        <w:t>管理人应于每个工作日交易结束后计算当日的基金份额净值并发送给基金托管人。基金托管</w:t>
      </w:r>
    </w:p>
    <w:p>
      <w:pPr>
        <w:spacing w:after="0" w:line="364" w:lineRule="auto"/>
        <w:sectPr>
          <w:pgSz w:w="11910" w:h="16840"/>
          <w:pgMar w:header="0" w:footer="638" w:top="1380" w:bottom="900" w:left="960" w:right="980"/>
        </w:sectPr>
      </w:pPr>
    </w:p>
    <w:p>
      <w:pPr>
        <w:pStyle w:val="BodyText"/>
        <w:spacing w:line="364" w:lineRule="auto" w:before="45"/>
        <w:ind w:left="1260" w:right="725" w:hanging="420"/>
      </w:pPr>
      <w:r>
        <w:rPr/>
        <w:t>人对净值计算结果复核确认后发送给基金管理人，由基金管理人对基金份额净值予以公布。基金份额净值的计算精确到 0.0001 元，小数点后第五位四舍五入。国家另有规定的，</w:t>
      </w:r>
    </w:p>
    <w:p>
      <w:pPr>
        <w:pStyle w:val="BodyText"/>
        <w:spacing w:line="268" w:lineRule="exact"/>
        <w:ind w:left="840"/>
      </w:pPr>
      <w:r>
        <w:rPr/>
        <w:t>从其规定。</w:t>
      </w:r>
    </w:p>
    <w:p>
      <w:pPr>
        <w:spacing w:before="141"/>
        <w:ind w:left="840" w:right="0" w:firstLine="0"/>
        <w:jc w:val="left"/>
        <w:rPr>
          <w:sz w:val="28"/>
        </w:rPr>
      </w:pPr>
      <w:bookmarkStart w:name="_bookmark69" w:id="70"/>
      <w:bookmarkEnd w:id="70"/>
      <w:r>
        <w:rPr/>
      </w:r>
      <w:r>
        <w:rPr>
          <w:sz w:val="28"/>
        </w:rPr>
        <w:t>（八）估值错误的处理</w:t>
      </w:r>
    </w:p>
    <w:p>
      <w:pPr>
        <w:pStyle w:val="BodyText"/>
        <w:spacing w:line="364" w:lineRule="auto" w:before="184"/>
        <w:ind w:left="840" w:right="818" w:firstLine="420"/>
      </w:pPr>
      <w:r>
        <w:rPr/>
        <w:t>1、当基金资产的估值导致基金份额净值小数点后四位（含第四位）内发生差错时，视为基金份额净值估值错误。</w:t>
      </w:r>
    </w:p>
    <w:p>
      <w:pPr>
        <w:pStyle w:val="BodyText"/>
        <w:spacing w:line="364" w:lineRule="auto"/>
        <w:ind w:left="840" w:right="608" w:firstLine="420"/>
      </w:pPr>
      <w:r>
        <w:rPr/>
        <w:t>2、基金管理人和基金托管人将采取必要、适当合理的措施确保基金资产估值的准确性、</w:t>
      </w:r>
      <w:r>
        <w:rPr>
          <w:spacing w:val="-9"/>
        </w:rPr>
        <w:t>及时性。当基金份额净值出现错误时，基金管理人应当立即予以纠正，并采取合理的措施防 </w:t>
      </w:r>
      <w:r>
        <w:rPr>
          <w:spacing w:val="-13"/>
        </w:rPr>
        <w:t>止损失进一步扩大；当计价错误达到基金份额净值的 </w:t>
      </w:r>
      <w:r>
        <w:rPr/>
        <w:t>0.25%时，基金管理人应当通报基金托管</w:t>
      </w:r>
      <w:r>
        <w:rPr>
          <w:spacing w:val="-2"/>
        </w:rPr>
        <w:t>人并向中国证监会报告；当计价错误达到基金份额净值的 </w:t>
      </w:r>
      <w:r>
        <w:rPr/>
        <w:t>0.5%时，基金管理人应当公告， 并报中国证监会备案。</w:t>
      </w:r>
    </w:p>
    <w:p>
      <w:pPr>
        <w:pStyle w:val="BodyText"/>
        <w:spacing w:line="267" w:lineRule="exact"/>
        <w:ind w:left="1260"/>
      </w:pPr>
      <w:r>
        <w:rPr/>
        <w:t>3、前述内容如法律法规或监管机构另有规定的，按其规定处理。</w:t>
      </w:r>
    </w:p>
    <w:p>
      <w:pPr>
        <w:spacing w:before="140"/>
        <w:ind w:left="840" w:right="0" w:firstLine="0"/>
        <w:jc w:val="left"/>
        <w:rPr>
          <w:sz w:val="28"/>
        </w:rPr>
      </w:pPr>
      <w:bookmarkStart w:name="_bookmark70" w:id="71"/>
      <w:bookmarkEnd w:id="71"/>
      <w:r>
        <w:rPr/>
      </w:r>
      <w:r>
        <w:rPr>
          <w:sz w:val="28"/>
        </w:rPr>
        <w:t>（九）特殊情形的处理</w:t>
      </w:r>
    </w:p>
    <w:p>
      <w:pPr>
        <w:pStyle w:val="BodyText"/>
        <w:spacing w:line="364" w:lineRule="auto" w:before="185"/>
        <w:ind w:left="840" w:right="818" w:firstLine="420"/>
        <w:jc w:val="both"/>
      </w:pPr>
      <w:r>
        <w:rPr/>
        <w:t>1、基金管理人按本条第（四）</w:t>
      </w:r>
      <w:r>
        <w:rPr>
          <w:spacing w:val="-5"/>
        </w:rPr>
        <w:t>款有关估值方法规定的第 </w:t>
      </w:r>
      <w:r>
        <w:rPr/>
        <w:t>5</w:t>
      </w:r>
      <w:r>
        <w:rPr>
          <w:spacing w:val="-8"/>
        </w:rPr>
        <w:t> 项条款进行估值时，所造成的误差不作为基金份额净值错误处理。</w:t>
      </w:r>
    </w:p>
    <w:p>
      <w:pPr>
        <w:pStyle w:val="BodyText"/>
        <w:spacing w:line="364" w:lineRule="auto"/>
        <w:ind w:left="840" w:right="81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r>
        <w:rPr/>
        <w:t>积极采取必要的措施消除由此造成的影响。</w:t>
      </w:r>
    </w:p>
    <w:p>
      <w:pPr>
        <w:spacing w:after="0" w:line="364" w:lineRule="auto"/>
        <w:jc w:val="both"/>
        <w:sectPr>
          <w:pgSz w:w="11910" w:h="16840"/>
          <w:pgMar w:header="0" w:footer="638" w:top="1380" w:bottom="900" w:left="960" w:right="980"/>
        </w:sectPr>
      </w:pPr>
    </w:p>
    <w:p>
      <w:pPr>
        <w:pStyle w:val="Heading1"/>
        <w:ind w:left="3793"/>
      </w:pPr>
      <w:bookmarkStart w:name="_bookmark71" w:id="72"/>
      <w:bookmarkEnd w:id="72"/>
      <w:r>
        <w:rPr/>
      </w:r>
      <w:r>
        <w:rPr/>
        <w:t>十五、基金的收益分配</w:t>
      </w:r>
    </w:p>
    <w:p>
      <w:pPr>
        <w:pStyle w:val="BodyText"/>
        <w:spacing w:before="10"/>
        <w:ind w:left="0"/>
        <w:rPr>
          <w:sz w:val="10"/>
        </w:rPr>
      </w:pPr>
    </w:p>
    <w:p>
      <w:pPr>
        <w:spacing w:before="61"/>
        <w:ind w:left="840" w:right="0" w:firstLine="0"/>
        <w:jc w:val="left"/>
        <w:rPr>
          <w:sz w:val="28"/>
        </w:rPr>
      </w:pPr>
      <w:bookmarkStart w:name="_bookmark72" w:id="73"/>
      <w:bookmarkEnd w:id="73"/>
      <w:r>
        <w:rPr/>
      </w:r>
      <w:r>
        <w:rPr>
          <w:sz w:val="28"/>
        </w:rPr>
        <w:t>（一）收益的构成</w:t>
      </w:r>
    </w:p>
    <w:p>
      <w:pPr>
        <w:pStyle w:val="BodyText"/>
        <w:spacing w:line="364" w:lineRule="auto" w:before="185"/>
        <w:ind w:left="840" w:right="818" w:firstLine="420"/>
      </w:pPr>
      <w:r>
        <w:rPr/>
        <w:t>1、基金收益包括：基金投资所得红利、股息、债券利息、买卖证券差价、银行存款利息以及其他收入。</w:t>
      </w:r>
    </w:p>
    <w:p>
      <w:pPr>
        <w:pStyle w:val="BodyText"/>
        <w:spacing w:line="268" w:lineRule="exact"/>
        <w:ind w:left="1260"/>
      </w:pPr>
      <w:r>
        <w:rPr/>
        <w:t>2、因运用基金财产带来的成本或费用的节约应计入收益。</w:t>
      </w:r>
    </w:p>
    <w:p>
      <w:pPr>
        <w:pStyle w:val="BodyText"/>
        <w:spacing w:line="364" w:lineRule="auto" w:before="139"/>
        <w:ind w:left="840" w:right="818" w:firstLine="420"/>
      </w:pPr>
      <w:r>
        <w:rPr/>
        <w:t>3、基金净收益为基金收益扣除按照有关法律法规规定可以在基金收益中扣除的费用等项目后的余额。</w:t>
      </w:r>
    </w:p>
    <w:p>
      <w:pPr>
        <w:spacing w:before="1"/>
        <w:ind w:left="840" w:right="0" w:firstLine="0"/>
        <w:jc w:val="left"/>
        <w:rPr>
          <w:sz w:val="28"/>
        </w:rPr>
      </w:pPr>
      <w:bookmarkStart w:name="_bookmark73" w:id="74"/>
      <w:bookmarkEnd w:id="74"/>
      <w:r>
        <w:rPr/>
      </w:r>
      <w:r>
        <w:rPr>
          <w:sz w:val="28"/>
        </w:rPr>
        <w:t>（二）收益分配原则</w:t>
      </w:r>
    </w:p>
    <w:p>
      <w:pPr>
        <w:pStyle w:val="BodyText"/>
        <w:spacing w:line="364" w:lineRule="auto" w:before="184"/>
        <w:ind w:left="840" w:right="818" w:firstLine="420"/>
        <w:jc w:val="both"/>
      </w:pPr>
      <w:r>
        <w:rPr/>
        <w:t>1、基金收益分配采用现金方式，投资者可选择获取现金红利或者将获取的现金红利按红利发放日前一工作日的基金份额净值自动转为基金份额进行再投资（下称“再投资方式”）；若投资者不选择，本基金默认的收益分配方式是现金分红；</w:t>
      </w:r>
    </w:p>
    <w:p>
      <w:pPr>
        <w:pStyle w:val="BodyText"/>
        <w:spacing w:line="268" w:lineRule="exact"/>
        <w:ind w:left="1260"/>
      </w:pPr>
      <w:r>
        <w:rPr/>
        <w:t>2、每一基金份额享有同等分配权；</w:t>
      </w:r>
    </w:p>
    <w:p>
      <w:pPr>
        <w:pStyle w:val="BodyText"/>
        <w:spacing w:before="140"/>
        <w:ind w:left="1260"/>
      </w:pPr>
      <w:r>
        <w:rPr/>
        <w:t>3、基金当期收益先弥补上期亏损后，方可进行当期收益分配；</w:t>
      </w:r>
    </w:p>
    <w:p>
      <w:pPr>
        <w:pStyle w:val="BodyText"/>
        <w:spacing w:before="139"/>
        <w:ind w:left="1260"/>
      </w:pPr>
      <w:r>
        <w:rPr/>
        <w:t>4、基金收益分配后每份基金份额的净值不能低于面值；</w:t>
      </w:r>
    </w:p>
    <w:p>
      <w:pPr>
        <w:pStyle w:val="BodyText"/>
        <w:spacing w:before="140"/>
        <w:ind w:left="1260"/>
      </w:pPr>
      <w:r>
        <w:rPr/>
        <w:t>5、如果基金当期出现亏损，则不进行收益分配；</w:t>
      </w:r>
    </w:p>
    <w:p>
      <w:pPr>
        <w:pStyle w:val="BodyText"/>
        <w:spacing w:before="139"/>
        <w:ind w:left="1260"/>
      </w:pPr>
      <w:r>
        <w:rPr/>
        <w:t>6、在符合有关基金分红条件的前提下，基金收益分配每年至多十二次；</w:t>
      </w:r>
    </w:p>
    <w:p>
      <w:pPr>
        <w:pStyle w:val="BodyText"/>
        <w:spacing w:line="364" w:lineRule="auto" w:before="140"/>
        <w:ind w:left="840" w:right="818" w:firstLine="420"/>
      </w:pPr>
      <w:r>
        <w:rPr/>
        <w:t>7、每次基金收益分配比例不低于可分配收益的 10%。基金合同生效不满三个月，收益可不分配；</w:t>
      </w:r>
    </w:p>
    <w:p>
      <w:pPr>
        <w:pStyle w:val="BodyText"/>
        <w:spacing w:line="268" w:lineRule="exact"/>
        <w:ind w:left="1260"/>
      </w:pPr>
      <w:r>
        <w:rPr/>
        <w:t>8、法律法规或监管机构另有规定的，从其规定。</w:t>
      </w:r>
    </w:p>
    <w:p>
      <w:pPr>
        <w:spacing w:before="140"/>
        <w:ind w:left="840" w:right="0" w:firstLine="0"/>
        <w:jc w:val="left"/>
        <w:rPr>
          <w:sz w:val="28"/>
        </w:rPr>
      </w:pPr>
      <w:bookmarkStart w:name="_bookmark74" w:id="75"/>
      <w:bookmarkEnd w:id="75"/>
      <w:r>
        <w:rPr/>
      </w:r>
      <w:r>
        <w:rPr>
          <w:sz w:val="28"/>
        </w:rPr>
        <w:t>（三）收益分配方案</w:t>
      </w:r>
    </w:p>
    <w:p>
      <w:pPr>
        <w:pStyle w:val="BodyText"/>
        <w:spacing w:line="364" w:lineRule="auto" w:before="185"/>
        <w:ind w:left="840" w:right="817" w:firstLine="420"/>
      </w:pPr>
      <w:r>
        <w:rPr>
          <w:spacing w:val="-6"/>
        </w:rPr>
        <w:t>基金收益分配方案中载明基金收益分配对象、分配时间、分配数额、分配方式及有关手</w:t>
      </w:r>
      <w:r>
        <w:rPr/>
        <w:t>续费等内容。</w:t>
      </w:r>
    </w:p>
    <w:p>
      <w:pPr>
        <w:spacing w:before="0"/>
        <w:ind w:left="840" w:right="0" w:firstLine="0"/>
        <w:jc w:val="left"/>
        <w:rPr>
          <w:sz w:val="28"/>
        </w:rPr>
      </w:pPr>
      <w:bookmarkStart w:name="_bookmark75" w:id="76"/>
      <w:bookmarkEnd w:id="76"/>
      <w:r>
        <w:rPr/>
      </w:r>
      <w:r>
        <w:rPr>
          <w:sz w:val="28"/>
        </w:rPr>
        <w:t>（四）收益分配方案的确定与公告</w:t>
      </w:r>
    </w:p>
    <w:p>
      <w:pPr>
        <w:pStyle w:val="BodyText"/>
        <w:spacing w:line="364" w:lineRule="auto" w:before="185"/>
        <w:ind w:left="840" w:right="818" w:firstLine="420"/>
      </w:pPr>
      <w:r>
        <w:rPr/>
        <w:t>基金收益分配方案由基金管理人拟定，并由基金托管人核实后确定，在2日内在指定媒介公告。</w:t>
      </w:r>
    </w:p>
    <w:p>
      <w:pPr>
        <w:spacing w:before="0"/>
        <w:ind w:left="840" w:right="0" w:firstLine="0"/>
        <w:jc w:val="left"/>
        <w:rPr>
          <w:sz w:val="28"/>
        </w:rPr>
      </w:pPr>
      <w:bookmarkStart w:name="_bookmark76" w:id="77"/>
      <w:bookmarkEnd w:id="77"/>
      <w:r>
        <w:rPr/>
      </w:r>
      <w:r>
        <w:rPr>
          <w:sz w:val="28"/>
        </w:rPr>
        <w:t>（五）收益分配中发生的费用</w:t>
      </w:r>
    </w:p>
    <w:p>
      <w:pPr>
        <w:pStyle w:val="BodyText"/>
        <w:spacing w:before="185"/>
        <w:ind w:left="1260"/>
      </w:pPr>
      <w:r>
        <w:rPr/>
        <w:t>1、收益分配采用红利再投资方式免收再投资的费用。</w:t>
      </w:r>
    </w:p>
    <w:p>
      <w:pPr>
        <w:pStyle w:val="BodyText"/>
        <w:spacing w:line="364" w:lineRule="auto" w:before="139"/>
        <w:ind w:left="840" w:right="818" w:firstLine="420"/>
        <w:jc w:val="both"/>
      </w:pPr>
      <w:r>
        <w:rPr/>
        <w:t>2、收益分配时发生的银行转账等手续费用由基金份额持有人自行承担；如果基金份额</w:t>
      </w:r>
      <w:r>
        <w:rPr>
          <w:spacing w:val="-5"/>
        </w:rPr>
        <w:t>持有人所获现金红利不足支付前述银行转账等手续费用，注册登记机构自动将该基金份额持</w:t>
      </w:r>
      <w:r>
        <w:rPr/>
        <w:t>有人的现金红利按红利发放日前一工作日的基金份额净值转为基金份额。</w:t>
      </w:r>
    </w:p>
    <w:p>
      <w:pPr>
        <w:spacing w:after="0" w:line="364" w:lineRule="auto"/>
        <w:jc w:val="both"/>
        <w:sectPr>
          <w:pgSz w:w="11910" w:h="16840"/>
          <w:pgMar w:header="0" w:footer="638" w:top="1380" w:bottom="900" w:left="960" w:right="980"/>
        </w:sectPr>
      </w:pPr>
    </w:p>
    <w:p>
      <w:pPr>
        <w:pStyle w:val="Heading1"/>
        <w:ind w:left="3643"/>
      </w:pPr>
      <w:bookmarkStart w:name="_bookmark77" w:id="78"/>
      <w:bookmarkEnd w:id="78"/>
      <w:r>
        <w:rPr/>
      </w:r>
      <w:r>
        <w:rPr/>
        <w:t>十六、基金的费用与税收</w:t>
      </w:r>
    </w:p>
    <w:p>
      <w:pPr>
        <w:spacing w:before="199"/>
        <w:ind w:left="840" w:right="0" w:firstLine="0"/>
        <w:jc w:val="left"/>
        <w:rPr>
          <w:sz w:val="28"/>
        </w:rPr>
      </w:pPr>
      <w:bookmarkStart w:name="_bookmark78" w:id="79"/>
      <w:bookmarkEnd w:id="79"/>
      <w:r>
        <w:rPr/>
      </w:r>
      <w:r>
        <w:rPr>
          <w:sz w:val="28"/>
        </w:rPr>
        <w:t>（一）与基金运作相关的费用</w:t>
      </w:r>
    </w:p>
    <w:p>
      <w:pPr>
        <w:pStyle w:val="BodyText"/>
        <w:spacing w:before="185"/>
        <w:ind w:left="1260"/>
      </w:pPr>
      <w:r>
        <w:rPr/>
        <w:t>1、基金费用的种类</w:t>
      </w:r>
    </w:p>
    <w:p>
      <w:pPr>
        <w:pStyle w:val="ListParagraph"/>
        <w:numPr>
          <w:ilvl w:val="0"/>
          <w:numId w:val="23"/>
        </w:numPr>
        <w:tabs>
          <w:tab w:pos="1786" w:val="left" w:leader="none"/>
        </w:tabs>
        <w:spacing w:line="240" w:lineRule="auto" w:before="140" w:after="0"/>
        <w:ind w:left="1786" w:right="0" w:hanging="526"/>
        <w:jc w:val="left"/>
        <w:rPr>
          <w:sz w:val="21"/>
        </w:rPr>
      </w:pPr>
      <w:r>
        <w:rPr>
          <w:sz w:val="21"/>
        </w:rPr>
        <w:t>基金管理人的管理费；</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基金托管人的托管费；</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因基金的证券交易或结算而产生的费用；</w:t>
      </w:r>
    </w:p>
    <w:p>
      <w:pPr>
        <w:pStyle w:val="ListParagraph"/>
        <w:numPr>
          <w:ilvl w:val="0"/>
          <w:numId w:val="23"/>
        </w:numPr>
        <w:tabs>
          <w:tab w:pos="1786" w:val="left" w:leader="none"/>
        </w:tabs>
        <w:spacing w:line="240" w:lineRule="auto" w:before="140" w:after="0"/>
        <w:ind w:left="1786" w:right="0" w:hanging="526"/>
        <w:jc w:val="left"/>
        <w:rPr>
          <w:sz w:val="21"/>
        </w:rPr>
      </w:pPr>
      <w:r>
        <w:rPr>
          <w:sz w:val="21"/>
        </w:rPr>
        <w:t>基金合同生效以后的信息披露费用；</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基金份额持有人大会费用；</w:t>
      </w:r>
    </w:p>
    <w:p>
      <w:pPr>
        <w:pStyle w:val="ListParagraph"/>
        <w:numPr>
          <w:ilvl w:val="0"/>
          <w:numId w:val="23"/>
        </w:numPr>
        <w:tabs>
          <w:tab w:pos="1786" w:val="left" w:leader="none"/>
        </w:tabs>
        <w:spacing w:line="240" w:lineRule="auto" w:before="140" w:after="0"/>
        <w:ind w:left="1786" w:right="0" w:hanging="526"/>
        <w:jc w:val="left"/>
        <w:rPr>
          <w:sz w:val="21"/>
        </w:rPr>
      </w:pPr>
      <w:r>
        <w:rPr>
          <w:sz w:val="21"/>
        </w:rPr>
        <w:t>基金合同生效以后的会计师费和律师费；</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基金的资金汇划费用；</w:t>
      </w:r>
    </w:p>
    <w:p>
      <w:pPr>
        <w:pStyle w:val="ListParagraph"/>
        <w:numPr>
          <w:ilvl w:val="0"/>
          <w:numId w:val="23"/>
        </w:numPr>
        <w:tabs>
          <w:tab w:pos="1786" w:val="left" w:leader="none"/>
        </w:tabs>
        <w:spacing w:line="240" w:lineRule="auto" w:before="140" w:after="0"/>
        <w:ind w:left="1786" w:right="0" w:hanging="526"/>
        <w:jc w:val="left"/>
        <w:rPr>
          <w:sz w:val="21"/>
        </w:rPr>
      </w:pPr>
      <w:r>
        <w:rPr>
          <w:sz w:val="21"/>
        </w:rPr>
        <w:t>按照国家有关法律法规规定可以列入的其他费用。</w:t>
      </w:r>
    </w:p>
    <w:p>
      <w:pPr>
        <w:pStyle w:val="BodyText"/>
        <w:spacing w:before="139"/>
        <w:ind w:left="1260"/>
      </w:pPr>
      <w:r>
        <w:rPr/>
        <w:t>2、基金费用计提方法、计提标准和支付方式</w:t>
      </w:r>
    </w:p>
    <w:p>
      <w:pPr>
        <w:pStyle w:val="ListParagraph"/>
        <w:numPr>
          <w:ilvl w:val="0"/>
          <w:numId w:val="24"/>
        </w:numPr>
        <w:tabs>
          <w:tab w:pos="1981" w:val="left" w:leader="none"/>
        </w:tabs>
        <w:spacing w:line="240" w:lineRule="auto" w:before="139" w:after="0"/>
        <w:ind w:left="1980" w:right="0" w:hanging="721"/>
        <w:jc w:val="left"/>
        <w:rPr>
          <w:sz w:val="21"/>
        </w:rPr>
      </w:pPr>
      <w:r>
        <w:rPr>
          <w:sz w:val="21"/>
        </w:rPr>
        <w:t>基金管理人的管理费</w:t>
      </w:r>
    </w:p>
    <w:p>
      <w:pPr>
        <w:pStyle w:val="BodyText"/>
        <w:spacing w:before="140"/>
        <w:ind w:left="1260"/>
      </w:pPr>
      <w:r>
        <w:rPr/>
        <w:t>基金管理人的基金管理费按基金资产净值的 1.5%年费率计提。</w:t>
      </w:r>
    </w:p>
    <w:p>
      <w:pPr>
        <w:pStyle w:val="BodyText"/>
        <w:spacing w:line="364" w:lineRule="auto" w:before="139"/>
        <w:ind w:left="1260" w:right="713"/>
      </w:pPr>
      <w:r>
        <w:rPr>
          <w:spacing w:val="-3"/>
        </w:rPr>
        <w:t>在通常情况下，基金管理费按前一日基金资产净值的 </w:t>
      </w:r>
      <w:r>
        <w:rPr/>
        <w:t>1.5%</w:t>
      </w:r>
      <w:r>
        <w:rPr>
          <w:spacing w:val="-5"/>
        </w:rPr>
        <w:t>年费率计提。计算方法如下： </w:t>
      </w:r>
      <w:r>
        <w:rPr/>
        <w:t>H＝E×1.5%÷当年天数</w:t>
      </w:r>
    </w:p>
    <w:p>
      <w:pPr>
        <w:pStyle w:val="BodyText"/>
        <w:spacing w:line="364" w:lineRule="auto"/>
        <w:ind w:left="1260" w:right="6026"/>
      </w:pPr>
      <w:r>
        <w:rPr/>
        <w:t>H</w:t>
      </w:r>
      <w:r>
        <w:rPr>
          <w:spacing w:val="-9"/>
        </w:rPr>
        <w:t> 为每日应计提的基金管理费</w:t>
      </w:r>
      <w:r>
        <w:rPr/>
        <w:t>E</w:t>
      </w:r>
      <w:r>
        <w:rPr>
          <w:spacing w:val="-8"/>
        </w:rPr>
        <w:t> 为前一日基金资产净值</w:t>
      </w:r>
    </w:p>
    <w:p>
      <w:pPr>
        <w:pStyle w:val="BodyText"/>
        <w:spacing w:line="364" w:lineRule="auto"/>
        <w:ind w:left="840" w:right="713" w:firstLine="420"/>
      </w:pPr>
      <w:r>
        <w:rPr>
          <w:spacing w:val="-16"/>
        </w:rPr>
        <w:t>基金管理费每日计提，按月支付。由基金管理人向基金托管人发送基金管理费划付指令， </w:t>
      </w:r>
      <w:r>
        <w:rPr/>
        <w:t>基金托管人复核后于次月首日起十个工作日内从基金财产中一次性支付给基金管理人。</w:t>
      </w:r>
    </w:p>
    <w:p>
      <w:pPr>
        <w:pStyle w:val="ListParagraph"/>
        <w:numPr>
          <w:ilvl w:val="0"/>
          <w:numId w:val="24"/>
        </w:numPr>
        <w:tabs>
          <w:tab w:pos="1981" w:val="left" w:leader="none"/>
        </w:tabs>
        <w:spacing w:line="268" w:lineRule="exact" w:before="0" w:after="0"/>
        <w:ind w:left="1980" w:right="0" w:hanging="721"/>
        <w:jc w:val="left"/>
        <w:rPr>
          <w:sz w:val="21"/>
        </w:rPr>
      </w:pPr>
      <w:r>
        <w:rPr>
          <w:sz w:val="21"/>
        </w:rPr>
        <w:t>基金托管人的托管费</w:t>
      </w:r>
    </w:p>
    <w:p>
      <w:pPr>
        <w:pStyle w:val="BodyText"/>
        <w:spacing w:before="138"/>
        <w:ind w:left="1260"/>
      </w:pPr>
      <w:r>
        <w:rPr/>
        <w:t>基金托管人的基金托管费按基金资产净值的 0.25%年费率计提。</w:t>
      </w:r>
    </w:p>
    <w:p>
      <w:pPr>
        <w:pStyle w:val="BodyText"/>
        <w:spacing w:line="364" w:lineRule="auto" w:before="139"/>
        <w:ind w:left="1260" w:right="713"/>
      </w:pPr>
      <w:r>
        <w:rPr>
          <w:spacing w:val="-9"/>
        </w:rPr>
        <w:t>在通常情况下，基金托管费按前一日基金资产净值的 </w:t>
      </w:r>
      <w:r>
        <w:rPr/>
        <w:t>0.25%</w:t>
      </w:r>
      <w:r>
        <w:rPr>
          <w:spacing w:val="-12"/>
        </w:rPr>
        <w:t>年费率计提。计算方法如下： </w:t>
      </w:r>
      <w:r>
        <w:rPr/>
        <w:t>H=E×0.25%÷当年天数</w:t>
      </w:r>
    </w:p>
    <w:p>
      <w:pPr>
        <w:pStyle w:val="BodyText"/>
        <w:spacing w:line="364" w:lineRule="auto"/>
        <w:ind w:left="1260" w:right="6026"/>
      </w:pPr>
      <w:r>
        <w:rPr/>
        <w:t>H</w:t>
      </w:r>
      <w:r>
        <w:rPr>
          <w:spacing w:val="-9"/>
        </w:rPr>
        <w:t> 为每日应计提的基金托管费</w:t>
      </w:r>
      <w:r>
        <w:rPr/>
        <w:t>E</w:t>
      </w:r>
      <w:r>
        <w:rPr>
          <w:spacing w:val="-8"/>
        </w:rPr>
        <w:t> 为前一日的基金资产净值</w:t>
      </w:r>
    </w:p>
    <w:p>
      <w:pPr>
        <w:pStyle w:val="BodyText"/>
        <w:spacing w:line="364" w:lineRule="auto"/>
        <w:ind w:left="840" w:right="713" w:firstLine="420"/>
      </w:pPr>
      <w:r>
        <w:rPr>
          <w:spacing w:val="-16"/>
        </w:rPr>
        <w:t>基金托管费每日计提，按月支付。由基金管理人向基金托管人发送基金托管费划付指令， </w:t>
      </w:r>
      <w:r>
        <w:rPr/>
        <w:t>基金托管人复核后于次月首日起十个工作日内从基金财产中一次性支付给基金托管人。</w:t>
      </w:r>
    </w:p>
    <w:p>
      <w:pPr>
        <w:pStyle w:val="ListParagraph"/>
        <w:numPr>
          <w:ilvl w:val="0"/>
          <w:numId w:val="24"/>
        </w:numPr>
        <w:tabs>
          <w:tab w:pos="1981" w:val="left" w:leader="none"/>
        </w:tabs>
        <w:spacing w:line="364" w:lineRule="auto" w:before="0" w:after="0"/>
        <w:ind w:left="840" w:right="817" w:firstLine="420"/>
        <w:jc w:val="both"/>
        <w:rPr>
          <w:sz w:val="21"/>
        </w:rPr>
      </w:pPr>
      <w:r>
        <w:rPr>
          <w:spacing w:val="-4"/>
          <w:sz w:val="21"/>
        </w:rPr>
        <w:t>本章第</w:t>
      </w:r>
      <w:r>
        <w:rPr>
          <w:sz w:val="21"/>
        </w:rPr>
        <w:t>（一</w:t>
      </w:r>
      <w:r>
        <w:rPr>
          <w:spacing w:val="-10"/>
          <w:sz w:val="21"/>
        </w:rPr>
        <w:t>）</w:t>
      </w:r>
      <w:r>
        <w:rPr>
          <w:spacing w:val="-7"/>
          <w:sz w:val="21"/>
        </w:rPr>
        <w:t>节“与基金运作相关的费用”中“基金费用的种类”的第</w:t>
      </w:r>
      <w:r>
        <w:rPr>
          <w:spacing w:val="-4"/>
          <w:sz w:val="21"/>
        </w:rPr>
        <w:t>（3）</w:t>
      </w:r>
      <w:r>
        <w:rPr>
          <w:spacing w:val="-16"/>
          <w:sz w:val="21"/>
        </w:rPr>
        <w:t>到</w:t>
      </w:r>
      <w:r>
        <w:rPr>
          <w:sz w:val="21"/>
        </w:rPr>
        <w:t>第（7）项费用由基金管理人和基金托管人根据有关法规及相应协议的规定，列入当期基金费用。</w:t>
      </w:r>
    </w:p>
    <w:p>
      <w:pPr>
        <w:pStyle w:val="BodyText"/>
        <w:spacing w:line="268" w:lineRule="exact"/>
        <w:ind w:left="1260"/>
      </w:pPr>
      <w:r>
        <w:rPr/>
        <w:t>3、不列入基金费用的项目</w:t>
      </w:r>
    </w:p>
    <w:p>
      <w:pPr>
        <w:pStyle w:val="BodyText"/>
        <w:spacing w:before="137"/>
        <w:ind w:left="1260"/>
      </w:pPr>
      <w:r>
        <w:rPr/>
        <w:t>本条第（一）款约定以外的其他费用，以及基金管理人和基金托管人因未履行或未完全</w:t>
      </w:r>
    </w:p>
    <w:p>
      <w:pPr>
        <w:spacing w:after="0"/>
        <w:sectPr>
          <w:pgSz w:w="11910" w:h="16840"/>
          <w:pgMar w:header="0" w:footer="638" w:top="1380" w:bottom="900" w:left="960" w:right="980"/>
        </w:sectPr>
      </w:pPr>
    </w:p>
    <w:p>
      <w:pPr>
        <w:pStyle w:val="BodyText"/>
        <w:spacing w:before="45"/>
        <w:ind w:left="840"/>
      </w:pPr>
      <w:r>
        <w:rPr/>
        <w:t>履行义务导致的费用支出或基金财产的损失等不列入基金费用。</w:t>
      </w:r>
    </w:p>
    <w:p>
      <w:pPr>
        <w:pStyle w:val="BodyText"/>
        <w:spacing w:before="139"/>
        <w:ind w:left="1260"/>
      </w:pPr>
      <w:r>
        <w:rPr/>
        <w:t>4、基金管理费和基金托管费的调整</w:t>
      </w:r>
    </w:p>
    <w:p>
      <w:pPr>
        <w:pStyle w:val="BodyText"/>
        <w:spacing w:line="364" w:lineRule="auto" w:before="140"/>
        <w:ind w:left="840" w:right="818" w:firstLine="420"/>
      </w:pPr>
      <w:r>
        <w:rPr>
          <w:spacing w:val="-5"/>
        </w:rPr>
        <w:t>基金管理人和基金托管人可协商酌情调低基金管理费和基金托管费，无须召开基金份额</w:t>
      </w:r>
      <w:r>
        <w:rPr/>
        <w:t>持有人大会。</w:t>
      </w:r>
    </w:p>
    <w:p>
      <w:pPr>
        <w:spacing w:before="0"/>
        <w:ind w:left="840" w:right="0" w:firstLine="0"/>
        <w:jc w:val="left"/>
        <w:rPr>
          <w:sz w:val="28"/>
        </w:rPr>
      </w:pPr>
      <w:bookmarkStart w:name="_bookmark79" w:id="80"/>
      <w:bookmarkEnd w:id="80"/>
      <w:r>
        <w:rPr/>
      </w:r>
      <w:r>
        <w:rPr>
          <w:sz w:val="28"/>
        </w:rPr>
        <w:t>（二）与基金销售有关的费用</w:t>
      </w:r>
    </w:p>
    <w:p>
      <w:pPr>
        <w:pStyle w:val="BodyText"/>
        <w:spacing w:line="364" w:lineRule="auto" w:before="185"/>
        <w:ind w:left="840" w:right="817" w:firstLine="420"/>
        <w:jc w:val="both"/>
      </w:pPr>
      <w:r>
        <w:rPr/>
        <w:t>1、本基金申购费、赎回费的费率水平、收取方式和计算公式详见本招募说明书“八、</w:t>
      </w:r>
      <w:r>
        <w:rPr>
          <w:spacing w:val="-4"/>
        </w:rPr>
        <w:t>基金份额的申购、赎回”中的</w:t>
      </w:r>
      <w:r>
        <w:rPr/>
        <w:t>“（七</w:t>
      </w:r>
      <w:r>
        <w:rPr>
          <w:spacing w:val="-12"/>
        </w:rPr>
        <w:t>）</w:t>
      </w:r>
      <w:r>
        <w:rPr>
          <w:spacing w:val="-3"/>
        </w:rPr>
        <w:t>申购与赎回的费率”和</w:t>
      </w:r>
      <w:r>
        <w:rPr/>
        <w:t>“（八</w:t>
      </w:r>
      <w:r>
        <w:rPr>
          <w:spacing w:val="-12"/>
        </w:rPr>
        <w:t>）</w:t>
      </w:r>
      <w:r>
        <w:rPr>
          <w:spacing w:val="-5"/>
        </w:rPr>
        <w:t>申购份额、赎回金额</w:t>
      </w:r>
      <w:r>
        <w:rPr/>
        <w:t>的计算方式”的相关规定。</w:t>
      </w:r>
    </w:p>
    <w:p>
      <w:pPr>
        <w:pStyle w:val="BodyText"/>
        <w:spacing w:line="268" w:lineRule="exact"/>
        <w:ind w:left="1260"/>
      </w:pPr>
      <w:r>
        <w:rPr/>
        <w:t>2、转换费率</w:t>
      </w:r>
    </w:p>
    <w:p>
      <w:pPr>
        <w:pStyle w:val="BodyText"/>
        <w:spacing w:line="364" w:lineRule="auto" w:before="139"/>
        <w:ind w:left="840" w:right="620" w:firstLine="420"/>
      </w:pPr>
      <w:r>
        <w:rPr>
          <w:spacing w:val="-9"/>
        </w:rPr>
        <w:t>目前，基金管理人已开通了本基金与旗下部分开放式基金之间的转换业务，具体实施办</w:t>
      </w:r>
      <w:r>
        <w:rPr>
          <w:spacing w:val="-15"/>
        </w:rPr>
        <w:t>法和转换费率详见相关公告。基金转换费用由投资者承担，基金转换费用由转出基金赎回费</w:t>
      </w:r>
      <w:r>
        <w:rPr>
          <w:spacing w:val="-16"/>
        </w:rPr>
        <w:t>用及基金申购补差费用构成，其中转出基金赎回费按照各基金的基金合同、更新的招募说明</w:t>
      </w:r>
      <w:r>
        <w:rPr>
          <w:spacing w:val="-21"/>
        </w:rPr>
        <w:t>书及最新的相关公告约定的比例归入基金财产，其余部分用于支付注册登记费等相关手续费， </w:t>
      </w:r>
      <w:r>
        <w:rPr/>
        <w:t>转换费用以人民币元为单位，计算结果按照四舍五入方法，保留小数点后两位。</w:t>
      </w:r>
    </w:p>
    <w:p>
      <w:pPr>
        <w:pStyle w:val="BodyText"/>
        <w:spacing w:line="364" w:lineRule="auto"/>
        <w:ind w:left="840" w:right="818" w:firstLine="420"/>
      </w:pPr>
      <w:r>
        <w:rPr>
          <w:spacing w:val="-1"/>
        </w:rPr>
        <w:t>3</w:t>
      </w:r>
      <w:r>
        <w:rPr>
          <w:spacing w:val="-8"/>
        </w:rPr>
        <w:t>、投资者通过本公司网上交易系统</w:t>
      </w:r>
      <w:hyperlink r:id="rId6">
        <w:r>
          <w:rPr/>
          <w:t>（www.efunds.com.cn</w:t>
        </w:r>
      </w:hyperlink>
      <w:r>
        <w:rPr/>
        <w:t>）</w:t>
      </w:r>
      <w:r>
        <w:rPr>
          <w:spacing w:val="-6"/>
        </w:rPr>
        <w:t>进行申购、赎回和转换的交</w:t>
      </w:r>
      <w:r>
        <w:rPr/>
        <w:t>易费率，请具体参照我公司网站上的相关说明。</w:t>
      </w:r>
    </w:p>
    <w:p>
      <w:pPr>
        <w:pStyle w:val="BodyText"/>
        <w:spacing w:line="364" w:lineRule="auto"/>
        <w:ind w:left="840" w:right="818" w:firstLine="420"/>
      </w:pPr>
      <w:r>
        <w:rPr/>
        <w:t>4、基金管理人可以在基金合同规定的范围内调整上述费率。上述费率如发生变更，基金管理人应最迟于新的费率实施前 2 个工作日在指定媒介公告。</w:t>
      </w:r>
    </w:p>
    <w:p>
      <w:pPr>
        <w:pStyle w:val="BodyText"/>
        <w:spacing w:line="364" w:lineRule="auto"/>
        <w:ind w:left="840" w:right="608" w:firstLine="420"/>
      </w:pPr>
      <w:r>
        <w:rPr/>
        <w:t>5、基金管理人可以在不违反法律法规规定及基金合同约定的情况下根据市场情况制定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spacing w:line="358" w:lineRule="exact" w:before="0"/>
        <w:ind w:left="840" w:right="0" w:firstLine="0"/>
        <w:jc w:val="left"/>
        <w:rPr>
          <w:sz w:val="28"/>
        </w:rPr>
      </w:pPr>
      <w:bookmarkStart w:name="_bookmark80" w:id="81"/>
      <w:bookmarkEnd w:id="81"/>
      <w:r>
        <w:rPr/>
      </w:r>
      <w:r>
        <w:rPr>
          <w:sz w:val="28"/>
        </w:rPr>
        <w:t>（三）基金的税收</w:t>
      </w:r>
    </w:p>
    <w:p>
      <w:pPr>
        <w:pStyle w:val="BodyText"/>
        <w:spacing w:before="181"/>
        <w:ind w:left="1260"/>
      </w:pPr>
      <w:r>
        <w:rPr/>
        <w:t>本基金运作过程中涉及的各纳税主体，其纳税义务按国家税收法律、法规执行。</w:t>
      </w:r>
    </w:p>
    <w:p>
      <w:pPr>
        <w:spacing w:after="0"/>
        <w:sectPr>
          <w:pgSz w:w="11910" w:h="16840"/>
          <w:pgMar w:header="0" w:footer="638" w:top="1380" w:bottom="900" w:left="960" w:right="980"/>
        </w:sectPr>
      </w:pPr>
    </w:p>
    <w:p>
      <w:pPr>
        <w:pStyle w:val="Heading1"/>
        <w:ind w:left="3643"/>
      </w:pPr>
      <w:bookmarkStart w:name="_bookmark81" w:id="82"/>
      <w:bookmarkEnd w:id="82"/>
      <w:r>
        <w:rPr/>
      </w:r>
      <w:r>
        <w:rPr/>
        <w:t>十七、基金的会计与审计</w:t>
      </w:r>
    </w:p>
    <w:p>
      <w:pPr>
        <w:pStyle w:val="BodyText"/>
        <w:spacing w:before="10"/>
        <w:ind w:left="0"/>
        <w:rPr>
          <w:sz w:val="10"/>
        </w:rPr>
      </w:pPr>
    </w:p>
    <w:p>
      <w:pPr>
        <w:spacing w:before="61"/>
        <w:ind w:left="840" w:right="0" w:firstLine="0"/>
        <w:jc w:val="left"/>
        <w:rPr>
          <w:sz w:val="28"/>
        </w:rPr>
      </w:pPr>
      <w:bookmarkStart w:name="_bookmark82" w:id="83"/>
      <w:bookmarkEnd w:id="83"/>
      <w:r>
        <w:rPr/>
      </w:r>
      <w:r>
        <w:rPr>
          <w:sz w:val="28"/>
        </w:rPr>
        <w:t>（一）基金会计政策</w:t>
      </w:r>
    </w:p>
    <w:p>
      <w:pPr>
        <w:pStyle w:val="BodyText"/>
        <w:spacing w:before="185"/>
        <w:ind w:left="1260"/>
      </w:pPr>
      <w:r>
        <w:rPr/>
        <w:t>1、基金的会计年度为公历每年 1 月 1 日至 12 月 31 日。</w:t>
      </w:r>
    </w:p>
    <w:p>
      <w:pPr>
        <w:pStyle w:val="BodyText"/>
        <w:spacing w:before="139"/>
        <w:ind w:left="1260"/>
      </w:pPr>
      <w:r>
        <w:rPr/>
        <w:t>2、基金核算以人民币为记账本位币，以人民币元为记账单位。</w:t>
      </w:r>
    </w:p>
    <w:p>
      <w:pPr>
        <w:pStyle w:val="BodyText"/>
        <w:spacing w:before="140"/>
        <w:ind w:left="1260"/>
      </w:pPr>
      <w:r>
        <w:rPr/>
        <w:t>3、会计核算制度按国家有关的会计核算制度执行。</w:t>
      </w:r>
    </w:p>
    <w:p>
      <w:pPr>
        <w:pStyle w:val="BodyText"/>
        <w:spacing w:before="139"/>
        <w:ind w:left="1260"/>
      </w:pPr>
      <w:r>
        <w:rPr/>
        <w:t>4、本基金独立建账、独立核算。</w:t>
      </w:r>
    </w:p>
    <w:p>
      <w:pPr>
        <w:pStyle w:val="BodyText"/>
        <w:spacing w:before="140"/>
        <w:ind w:left="1260"/>
      </w:pPr>
      <w:r>
        <w:rPr/>
        <w:t>5、本基金会计责任人为基金管理人。</w:t>
      </w:r>
    </w:p>
    <w:p>
      <w:pPr>
        <w:pStyle w:val="BodyText"/>
        <w:spacing w:line="364" w:lineRule="auto" w:before="139"/>
        <w:ind w:left="840" w:right="818" w:firstLine="420"/>
        <w:jc w:val="both"/>
      </w:pPr>
      <w:r>
        <w:rPr/>
        <w:t>6、基金管理人应保留完整的会计账目、凭证并进行日常的会计核算，按照有关法律法</w:t>
      </w:r>
      <w:r>
        <w:rPr>
          <w:spacing w:val="-7"/>
        </w:rPr>
        <w:t>规规定编制基金会计报表，基金托管人定期与基金管理人就基金的会计核算、报表编制等进</w:t>
      </w:r>
      <w:r>
        <w:rPr/>
        <w:t>行核对并以书面方式确认。</w:t>
      </w:r>
    </w:p>
    <w:p>
      <w:pPr>
        <w:spacing w:line="358" w:lineRule="exact" w:before="0"/>
        <w:ind w:left="840" w:right="0" w:firstLine="0"/>
        <w:jc w:val="left"/>
        <w:rPr>
          <w:sz w:val="28"/>
        </w:rPr>
      </w:pPr>
      <w:bookmarkStart w:name="_bookmark83" w:id="84"/>
      <w:bookmarkEnd w:id="84"/>
      <w:r>
        <w:rPr/>
      </w:r>
      <w:r>
        <w:rPr>
          <w:sz w:val="28"/>
        </w:rPr>
        <w:t>（二）基金的审计</w:t>
      </w:r>
    </w:p>
    <w:p>
      <w:pPr>
        <w:pStyle w:val="BodyText"/>
        <w:spacing w:line="364" w:lineRule="auto" w:before="185"/>
        <w:ind w:left="840" w:right="818" w:firstLine="420"/>
      </w:pPr>
      <w:r>
        <w:rPr/>
        <w:t>1、基金管理人聘请与基金管理人、基金托管人相独立的、具有从事证券、期货相关业务资格的会计师事务所及其注册会计师等对基金年度财务报表及其他规定事项进行审计；</w:t>
      </w:r>
    </w:p>
    <w:p>
      <w:pPr>
        <w:pStyle w:val="BodyText"/>
        <w:spacing w:line="268" w:lineRule="exact"/>
        <w:ind w:left="1260"/>
      </w:pPr>
      <w:r>
        <w:rPr/>
        <w:t>2、会计师事务所更换经办注册会计师，应事先征得基金管理人同意；</w:t>
      </w:r>
    </w:p>
    <w:p>
      <w:pPr>
        <w:pStyle w:val="BodyText"/>
        <w:spacing w:line="364" w:lineRule="auto" w:before="139"/>
        <w:ind w:left="840" w:right="818" w:firstLine="420"/>
      </w:pPr>
      <w:r>
        <w:rPr/>
        <w:t>3、基金管理人认为有充足理由更换会计师事务所，须经基金托管人同意。基金管理人应在更换会计师事务所后 2 日内公告。</w:t>
      </w:r>
    </w:p>
    <w:p>
      <w:pPr>
        <w:spacing w:after="0" w:line="364" w:lineRule="auto"/>
        <w:sectPr>
          <w:pgSz w:w="11910" w:h="16840"/>
          <w:pgMar w:header="0" w:footer="638" w:top="1380" w:bottom="900" w:left="960" w:right="980"/>
        </w:sectPr>
      </w:pPr>
    </w:p>
    <w:p>
      <w:pPr>
        <w:pStyle w:val="Heading1"/>
        <w:ind w:left="3793"/>
      </w:pPr>
      <w:bookmarkStart w:name="_bookmark84" w:id="85"/>
      <w:bookmarkEnd w:id="85"/>
      <w:r>
        <w:rPr/>
      </w:r>
      <w:r>
        <w:rPr/>
        <w:t>十八、基金的信息披露</w:t>
      </w:r>
    </w:p>
    <w:p>
      <w:pPr>
        <w:pStyle w:val="BodyText"/>
        <w:spacing w:before="10"/>
        <w:ind w:left="0"/>
        <w:rPr>
          <w:sz w:val="10"/>
        </w:rPr>
      </w:pPr>
    </w:p>
    <w:p>
      <w:pPr>
        <w:spacing w:before="61"/>
        <w:ind w:left="840" w:right="0" w:firstLine="0"/>
        <w:jc w:val="left"/>
        <w:rPr>
          <w:sz w:val="28"/>
        </w:rPr>
      </w:pPr>
      <w:bookmarkStart w:name="_bookmark85" w:id="86"/>
      <w:bookmarkEnd w:id="86"/>
      <w:r>
        <w:rPr/>
      </w:r>
      <w:r>
        <w:rPr>
          <w:sz w:val="28"/>
        </w:rPr>
        <w:t>（一）信息披露的形式</w:t>
      </w:r>
    </w:p>
    <w:p>
      <w:pPr>
        <w:pStyle w:val="BodyText"/>
        <w:spacing w:line="364" w:lineRule="auto" w:before="185"/>
        <w:ind w:left="840" w:right="818" w:firstLine="420"/>
        <w:jc w:val="both"/>
      </w:pPr>
      <w:r>
        <w:rPr>
          <w:spacing w:val="-25"/>
        </w:rPr>
        <w:t>本基金的信息披露严格按照《基金法》、《证券投资基金信息披露管理办法》、《证券投资</w:t>
      </w:r>
      <w:r>
        <w:rPr>
          <w:spacing w:val="-18"/>
        </w:rPr>
        <w:t>基金信息披露内容和格式准则》、《证券投资基金信息披露编报规则》、基金合同及其它有关规定进行。本基金的信息披露事项须在指定媒介上公告。</w:t>
      </w:r>
    </w:p>
    <w:p>
      <w:pPr>
        <w:spacing w:line="358" w:lineRule="exact" w:before="0"/>
        <w:ind w:left="840" w:right="0" w:firstLine="0"/>
        <w:jc w:val="left"/>
        <w:rPr>
          <w:sz w:val="28"/>
        </w:rPr>
      </w:pPr>
      <w:bookmarkStart w:name="_bookmark86" w:id="87"/>
      <w:bookmarkEnd w:id="87"/>
      <w:r>
        <w:rPr/>
      </w:r>
      <w:r>
        <w:rPr>
          <w:sz w:val="28"/>
        </w:rPr>
        <w:t>（二）信息披露的种类、披露时间和披露形式</w:t>
      </w:r>
    </w:p>
    <w:p>
      <w:pPr>
        <w:pStyle w:val="BodyText"/>
        <w:spacing w:before="185"/>
        <w:ind w:left="1260"/>
      </w:pPr>
      <w:r>
        <w:rPr/>
        <w:t>1、基金招募说明书、基金合同、基金托管协议、基金产品资料概要</w:t>
      </w:r>
    </w:p>
    <w:p>
      <w:pPr>
        <w:pStyle w:val="ListParagraph"/>
        <w:numPr>
          <w:ilvl w:val="0"/>
          <w:numId w:val="25"/>
        </w:numPr>
        <w:tabs>
          <w:tab w:pos="1787" w:val="left" w:leader="none"/>
        </w:tabs>
        <w:spacing w:line="364" w:lineRule="auto" w:before="139" w:after="0"/>
        <w:ind w:left="840" w:right="818" w:firstLine="420"/>
        <w:jc w:val="both"/>
        <w:rPr>
          <w:sz w:val="21"/>
        </w:rPr>
      </w:pPr>
      <w:r>
        <w:rPr>
          <w:sz w:val="21"/>
        </w:rPr>
        <w:t>基金募集申请经中国证监会核准后，基金管理人应当在基金份额发售的三日前， </w:t>
      </w:r>
      <w:r>
        <w:rPr>
          <w:spacing w:val="-5"/>
          <w:sz w:val="21"/>
        </w:rPr>
        <w:t>将招募说明书、基金合同摘要登载在指定报刊和网站上；基金管理人、基金托管人应当将基</w:t>
      </w:r>
      <w:r>
        <w:rPr>
          <w:sz w:val="21"/>
        </w:rPr>
        <w:t>金合同、基金托管协议登载在各自公司网站上。</w:t>
      </w:r>
    </w:p>
    <w:p>
      <w:pPr>
        <w:pStyle w:val="ListParagraph"/>
        <w:numPr>
          <w:ilvl w:val="0"/>
          <w:numId w:val="25"/>
        </w:numPr>
        <w:tabs>
          <w:tab w:pos="1787" w:val="left" w:leader="none"/>
        </w:tabs>
        <w:spacing w:line="364" w:lineRule="auto" w:before="0" w:after="0"/>
        <w:ind w:left="840" w:right="712" w:firstLine="420"/>
        <w:jc w:val="both"/>
        <w:rPr>
          <w:sz w:val="21"/>
        </w:rPr>
      </w:pPr>
      <w:r>
        <w:rPr>
          <w:sz w:val="21"/>
        </w:rPr>
        <w:t>基金合同生效后，基金招募说明书的信息发生重大变更的，基金管理人应当在三</w:t>
      </w:r>
      <w:r>
        <w:rPr>
          <w:spacing w:val="-4"/>
          <w:sz w:val="21"/>
        </w:rPr>
        <w:t>个工作日内，更新基金招募说明书并登载在指定网站上；基金招募说明书其他信息发生变更</w:t>
      </w:r>
      <w:r>
        <w:rPr>
          <w:spacing w:val="-16"/>
          <w:sz w:val="21"/>
        </w:rPr>
        <w:t>的，基金管理人至少每年更新一次。基金终止运作的，基金管理人不再更新基金招募说明书。</w:t>
      </w:r>
    </w:p>
    <w:p>
      <w:pPr>
        <w:pStyle w:val="ListParagraph"/>
        <w:numPr>
          <w:ilvl w:val="0"/>
          <w:numId w:val="25"/>
        </w:numPr>
        <w:tabs>
          <w:tab w:pos="1787" w:val="left" w:leader="none"/>
        </w:tabs>
        <w:spacing w:line="364" w:lineRule="auto" w:before="0" w:after="0"/>
        <w:ind w:left="840" w:right="818" w:firstLine="420"/>
        <w:jc w:val="both"/>
        <w:rPr>
          <w:sz w:val="21"/>
        </w:rPr>
      </w:pPr>
      <w:r>
        <w:rPr>
          <w:sz w:val="21"/>
        </w:rPr>
        <w:t>基金产品资料概要是基金招募说明书的摘要文件，用于向投资者提供简明的基金</w:t>
      </w:r>
      <w:r>
        <w:rPr>
          <w:spacing w:val="-11"/>
          <w:sz w:val="21"/>
        </w:rPr>
        <w:t>概要信息。《基金合同》生效后，基金产品资料概要的信息发生重大变更的，基金管理人应</w:t>
      </w:r>
      <w:r>
        <w:rPr>
          <w:spacing w:val="-15"/>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7" w:lineRule="exact"/>
        <w:ind w:left="1260"/>
      </w:pPr>
      <w:r>
        <w:rPr/>
        <w:t>2、基金份额发售公告</w:t>
      </w:r>
    </w:p>
    <w:p>
      <w:pPr>
        <w:pStyle w:val="BodyText"/>
        <w:spacing w:line="364" w:lineRule="auto" w:before="137"/>
        <w:ind w:left="840" w:right="81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ind w:left="1260"/>
      </w:pPr>
      <w:r>
        <w:rPr/>
        <w:t>3、基金合同生效公告</w:t>
      </w:r>
    </w:p>
    <w:p>
      <w:pPr>
        <w:pStyle w:val="BodyText"/>
        <w:spacing w:before="139"/>
        <w:ind w:left="1260"/>
      </w:pPr>
      <w:r>
        <w:rPr/>
        <w:t>基金管理人应当在基金合同生效的次日在指定媒介上登载基金合同生效公告。</w:t>
      </w:r>
    </w:p>
    <w:p>
      <w:pPr>
        <w:pStyle w:val="BodyText"/>
        <w:spacing w:before="140"/>
        <w:ind w:left="1260"/>
      </w:pPr>
      <w:r>
        <w:rPr/>
        <w:t>4、基金净值信息</w:t>
      </w:r>
    </w:p>
    <w:p>
      <w:pPr>
        <w:pStyle w:val="BodyText"/>
        <w:spacing w:line="364" w:lineRule="auto" w:before="139"/>
        <w:ind w:left="840" w:right="81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840" w:right="818"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r>
        <w:rPr/>
        <w:t>值。</w:t>
      </w:r>
    </w:p>
    <w:p>
      <w:pPr>
        <w:pStyle w:val="BodyText"/>
        <w:spacing w:line="364" w:lineRule="auto"/>
        <w:ind w:left="840" w:right="81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ind w:left="1260"/>
      </w:pPr>
      <w:r>
        <w:rPr/>
        <w:t>5、基金定期报告，包括基金年度报告、基金中期报告和基金季度报告</w:t>
      </w:r>
    </w:p>
    <w:p>
      <w:pPr>
        <w:pStyle w:val="BodyText"/>
        <w:spacing w:before="137"/>
        <w:ind w:left="1260"/>
      </w:pPr>
      <w:r>
        <w:rPr/>
        <w:t>基金管理人应当在每年结束之日起三个月内，编制完成基金年度报告，将年度报告登载</w:t>
      </w:r>
    </w:p>
    <w:p>
      <w:pPr>
        <w:spacing w:after="0"/>
        <w:sectPr>
          <w:pgSz w:w="11910" w:h="16840"/>
          <w:pgMar w:header="0" w:footer="638" w:top="1380" w:bottom="900" w:left="960" w:right="980"/>
        </w:sectPr>
      </w:pPr>
    </w:p>
    <w:p>
      <w:pPr>
        <w:pStyle w:val="BodyText"/>
        <w:spacing w:line="364" w:lineRule="auto" w:before="45"/>
        <w:ind w:left="840" w:right="818"/>
      </w:pP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840" w:right="8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840" w:right="81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840" w:right="81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64" w:lineRule="auto"/>
        <w:ind w:left="840" w:right="817" w:firstLine="420"/>
        <w:jc w:val="both"/>
      </w:pPr>
      <w:r>
        <w:rPr>
          <w:spacing w:val="-2"/>
        </w:rPr>
        <w:t>如报告期内出现单一投资者持有基金份额达到或超过基金总份额 </w:t>
      </w:r>
      <w:r>
        <w:rPr/>
        <w:t>20%</w:t>
      </w:r>
      <w:r>
        <w:rPr>
          <w:spacing w:val="-9"/>
        </w:rPr>
        <w:t>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364" w:lineRule="auto"/>
        <w:ind w:left="840" w:right="818" w:firstLine="420"/>
      </w:pPr>
      <w:r>
        <w:rPr/>
        <w:t>基金管理人应当在基金年度报告和中期报告中披露基金组合资产情况及其流动性风险分析等。</w:t>
      </w:r>
    </w:p>
    <w:p>
      <w:pPr>
        <w:pStyle w:val="BodyText"/>
        <w:spacing w:before="160"/>
        <w:ind w:left="1260"/>
      </w:pPr>
      <w:r>
        <w:rPr/>
        <w:t>6、临时报告</w:t>
      </w:r>
    </w:p>
    <w:p>
      <w:pPr>
        <w:pStyle w:val="BodyText"/>
        <w:spacing w:before="11"/>
        <w:ind w:left="0"/>
        <w:rPr>
          <w:sz w:val="14"/>
        </w:rPr>
      </w:pPr>
    </w:p>
    <w:p>
      <w:pPr>
        <w:pStyle w:val="BodyText"/>
        <w:spacing w:line="357" w:lineRule="auto" w:before="1"/>
        <w:ind w:left="840" w:right="818"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57" w:lineRule="auto" w:before="58"/>
        <w:ind w:left="840" w:right="818" w:firstLine="420"/>
      </w:pPr>
      <w:r>
        <w:rPr>
          <w:spacing w:val="-11"/>
        </w:rPr>
        <w:t>前款所称重大事件，是指可能对基金份额持有人权益或者基金份额的价格产生重大影响</w:t>
      </w:r>
      <w:r>
        <w:rPr/>
        <w:t>的下列事件：</w:t>
      </w:r>
    </w:p>
    <w:p>
      <w:pPr>
        <w:pStyle w:val="ListParagraph"/>
        <w:numPr>
          <w:ilvl w:val="0"/>
          <w:numId w:val="26"/>
        </w:numPr>
        <w:tabs>
          <w:tab w:pos="1786" w:val="left" w:leader="none"/>
        </w:tabs>
        <w:spacing w:line="240" w:lineRule="auto" w:before="58" w:after="0"/>
        <w:ind w:left="1786" w:right="0" w:hanging="526"/>
        <w:jc w:val="left"/>
        <w:rPr>
          <w:sz w:val="21"/>
        </w:rPr>
      </w:pPr>
      <w:r>
        <w:rPr>
          <w:sz w:val="21"/>
        </w:rPr>
        <w:t>基金份额持有人大会的召开及决定的事项；</w:t>
      </w:r>
    </w:p>
    <w:p>
      <w:pPr>
        <w:pStyle w:val="BodyText"/>
        <w:spacing w:before="11"/>
        <w:ind w:left="0"/>
        <w:rPr>
          <w:sz w:val="14"/>
        </w:rPr>
      </w:pPr>
    </w:p>
    <w:p>
      <w:pPr>
        <w:pStyle w:val="ListParagraph"/>
        <w:numPr>
          <w:ilvl w:val="0"/>
          <w:numId w:val="26"/>
        </w:numPr>
        <w:tabs>
          <w:tab w:pos="1786" w:val="left" w:leader="none"/>
        </w:tabs>
        <w:spacing w:line="240" w:lineRule="auto" w:before="1" w:after="0"/>
        <w:ind w:left="1786" w:right="0" w:hanging="526"/>
        <w:jc w:val="left"/>
        <w:rPr>
          <w:sz w:val="21"/>
        </w:rPr>
      </w:pPr>
      <w:r>
        <w:rPr>
          <w:sz w:val="21"/>
        </w:rPr>
        <w:t>基金合同终止、基金清算；</w:t>
      </w:r>
    </w:p>
    <w:p>
      <w:pPr>
        <w:pStyle w:val="BodyText"/>
        <w:spacing w:before="11"/>
        <w:ind w:left="0"/>
        <w:rPr>
          <w:sz w:val="14"/>
        </w:rPr>
      </w:pPr>
    </w:p>
    <w:p>
      <w:pPr>
        <w:pStyle w:val="ListParagraph"/>
        <w:numPr>
          <w:ilvl w:val="0"/>
          <w:numId w:val="26"/>
        </w:numPr>
        <w:tabs>
          <w:tab w:pos="1786" w:val="left" w:leader="none"/>
        </w:tabs>
        <w:spacing w:line="240" w:lineRule="auto" w:before="0" w:after="0"/>
        <w:ind w:left="1786" w:right="0" w:hanging="526"/>
        <w:jc w:val="left"/>
        <w:rPr>
          <w:sz w:val="21"/>
        </w:rPr>
      </w:pPr>
      <w:r>
        <w:rPr>
          <w:sz w:val="21"/>
        </w:rPr>
        <w:t>转换基金运作方式、基金合并；</w:t>
      </w:r>
    </w:p>
    <w:p>
      <w:pPr>
        <w:pStyle w:val="BodyText"/>
        <w:spacing w:before="11"/>
        <w:ind w:left="0"/>
        <w:rPr>
          <w:sz w:val="14"/>
        </w:rPr>
      </w:pPr>
    </w:p>
    <w:p>
      <w:pPr>
        <w:pStyle w:val="ListParagraph"/>
        <w:numPr>
          <w:ilvl w:val="0"/>
          <w:numId w:val="26"/>
        </w:numPr>
        <w:tabs>
          <w:tab w:pos="1786" w:val="left" w:leader="none"/>
        </w:tabs>
        <w:spacing w:line="240" w:lineRule="auto" w:before="1" w:after="0"/>
        <w:ind w:left="1786" w:right="0" w:hanging="526"/>
        <w:jc w:val="left"/>
        <w:rPr>
          <w:sz w:val="21"/>
        </w:rPr>
      </w:pPr>
      <w:r>
        <w:rPr>
          <w:sz w:val="21"/>
        </w:rPr>
        <w:t>更换基金管理人、基金托管人、基金份额登记机构，基金改聘会计师事务所；</w:t>
      </w:r>
    </w:p>
    <w:p>
      <w:pPr>
        <w:pStyle w:val="BodyText"/>
        <w:spacing w:before="11"/>
        <w:ind w:left="0"/>
        <w:rPr>
          <w:sz w:val="14"/>
        </w:rPr>
      </w:pPr>
    </w:p>
    <w:p>
      <w:pPr>
        <w:pStyle w:val="ListParagraph"/>
        <w:numPr>
          <w:ilvl w:val="0"/>
          <w:numId w:val="26"/>
        </w:numPr>
        <w:tabs>
          <w:tab w:pos="1787" w:val="left" w:leader="none"/>
        </w:tabs>
        <w:spacing w:line="357" w:lineRule="auto" w:before="0" w:after="0"/>
        <w:ind w:left="840" w:right="818" w:firstLine="420"/>
        <w:jc w:val="left"/>
        <w:rPr>
          <w:sz w:val="21"/>
        </w:rPr>
      </w:pPr>
      <w:r>
        <w:rPr>
          <w:sz w:val="21"/>
        </w:rPr>
        <w:t>基金管理人委托基金服务机构代为办理基金的份额登记、核算、估值等事项，基金托管人委托基金服务机构代为办理基金的核算、估值、复核等事项；</w:t>
      </w:r>
    </w:p>
    <w:p>
      <w:pPr>
        <w:pStyle w:val="ListParagraph"/>
        <w:numPr>
          <w:ilvl w:val="0"/>
          <w:numId w:val="26"/>
        </w:numPr>
        <w:tabs>
          <w:tab w:pos="1786" w:val="left" w:leader="none"/>
        </w:tabs>
        <w:spacing w:line="240" w:lineRule="auto" w:before="58" w:after="0"/>
        <w:ind w:left="1786" w:right="0" w:hanging="526"/>
        <w:jc w:val="left"/>
        <w:rPr>
          <w:sz w:val="21"/>
        </w:rPr>
      </w:pPr>
      <w:r>
        <w:rPr>
          <w:sz w:val="21"/>
        </w:rPr>
        <w:t>基金管理人、基金托管人的法定名称、住所发生变更；</w:t>
      </w:r>
    </w:p>
    <w:p>
      <w:pPr>
        <w:pStyle w:val="BodyText"/>
        <w:spacing w:before="12"/>
        <w:ind w:left="0"/>
        <w:rPr>
          <w:sz w:val="14"/>
        </w:rPr>
      </w:pPr>
    </w:p>
    <w:p>
      <w:pPr>
        <w:pStyle w:val="ListParagraph"/>
        <w:numPr>
          <w:ilvl w:val="0"/>
          <w:numId w:val="26"/>
        </w:numPr>
        <w:tabs>
          <w:tab w:pos="1786" w:val="left" w:leader="none"/>
        </w:tabs>
        <w:spacing w:line="240" w:lineRule="auto" w:before="0" w:after="0"/>
        <w:ind w:left="1786" w:right="0" w:hanging="526"/>
        <w:jc w:val="left"/>
        <w:rPr>
          <w:sz w:val="21"/>
        </w:rPr>
      </w:pPr>
      <w:r>
        <w:rPr>
          <w:spacing w:val="-3"/>
          <w:sz w:val="21"/>
        </w:rPr>
        <w:t>基金管理公司变更持有百分之五以上股权的股东、基金管理人的实际控制人变更；</w:t>
      </w:r>
    </w:p>
    <w:p>
      <w:pPr>
        <w:pStyle w:val="BodyText"/>
        <w:spacing w:before="11"/>
        <w:ind w:left="0"/>
        <w:rPr>
          <w:sz w:val="14"/>
        </w:rPr>
      </w:pPr>
    </w:p>
    <w:p>
      <w:pPr>
        <w:pStyle w:val="ListParagraph"/>
        <w:numPr>
          <w:ilvl w:val="0"/>
          <w:numId w:val="26"/>
        </w:numPr>
        <w:tabs>
          <w:tab w:pos="1786" w:val="left" w:leader="none"/>
        </w:tabs>
        <w:spacing w:line="240" w:lineRule="auto" w:before="1" w:after="0"/>
        <w:ind w:left="1786" w:right="0" w:hanging="526"/>
        <w:jc w:val="left"/>
        <w:rPr>
          <w:sz w:val="21"/>
        </w:rPr>
      </w:pPr>
      <w:r>
        <w:rPr>
          <w:sz w:val="21"/>
        </w:rPr>
        <w:t>基金募集期延长或提前结束募集；</w:t>
      </w:r>
    </w:p>
    <w:p>
      <w:pPr>
        <w:pStyle w:val="BodyText"/>
        <w:spacing w:before="11"/>
        <w:ind w:left="0"/>
        <w:rPr>
          <w:sz w:val="14"/>
        </w:rPr>
      </w:pPr>
    </w:p>
    <w:p>
      <w:pPr>
        <w:pStyle w:val="ListParagraph"/>
        <w:numPr>
          <w:ilvl w:val="0"/>
          <w:numId w:val="26"/>
        </w:numPr>
        <w:tabs>
          <w:tab w:pos="1787" w:val="left" w:leader="none"/>
        </w:tabs>
        <w:spacing w:line="357" w:lineRule="auto" w:before="0" w:after="0"/>
        <w:ind w:left="840" w:right="818" w:firstLine="420"/>
        <w:jc w:val="left"/>
        <w:rPr>
          <w:sz w:val="21"/>
        </w:rPr>
      </w:pPr>
      <w:r>
        <w:rPr>
          <w:sz w:val="21"/>
        </w:rPr>
        <w:t>基金管理人的高级管理人员、基金经理和基金托管人专门基金托管部门负责人发生变动；</w:t>
      </w:r>
    </w:p>
    <w:p>
      <w:pPr>
        <w:pStyle w:val="ListParagraph"/>
        <w:numPr>
          <w:ilvl w:val="0"/>
          <w:numId w:val="26"/>
        </w:numPr>
        <w:tabs>
          <w:tab w:pos="1892" w:val="left" w:leader="none"/>
        </w:tabs>
        <w:spacing w:line="357" w:lineRule="auto" w:before="58" w:after="0"/>
        <w:ind w:left="840" w:right="818" w:firstLine="420"/>
        <w:jc w:val="left"/>
        <w:rPr>
          <w:sz w:val="21"/>
        </w:rPr>
      </w:pPr>
      <w:r>
        <w:rPr>
          <w:spacing w:val="-5"/>
          <w:sz w:val="21"/>
        </w:rPr>
        <w:t>基金管理人的董事在最近 </w:t>
      </w:r>
      <w:r>
        <w:rPr>
          <w:sz w:val="21"/>
        </w:rPr>
        <w:t>12</w:t>
      </w:r>
      <w:r>
        <w:rPr>
          <w:spacing w:val="-8"/>
          <w:sz w:val="21"/>
        </w:rPr>
        <w:t> 个月内变更超过百分之五十，基金管理人、基金托</w:t>
      </w:r>
      <w:r>
        <w:rPr>
          <w:spacing w:val="-11"/>
          <w:sz w:val="21"/>
        </w:rPr>
        <w:t>管人专门基金托管部门的主要业务人员在最近 </w:t>
      </w:r>
      <w:r>
        <w:rPr>
          <w:sz w:val="21"/>
        </w:rPr>
        <w:t>12</w:t>
      </w:r>
      <w:r>
        <w:rPr>
          <w:spacing w:val="-8"/>
          <w:sz w:val="21"/>
        </w:rPr>
        <w:t> 个月内变动超过百分之三十；</w:t>
      </w:r>
    </w:p>
    <w:p>
      <w:pPr>
        <w:spacing w:after="0" w:line="357" w:lineRule="auto"/>
        <w:jc w:val="left"/>
        <w:rPr>
          <w:sz w:val="21"/>
        </w:rPr>
        <w:sectPr>
          <w:pgSz w:w="11910" w:h="16840"/>
          <w:pgMar w:header="0" w:footer="638" w:top="1380" w:bottom="900" w:left="960" w:right="980"/>
        </w:sectPr>
      </w:pPr>
    </w:p>
    <w:p>
      <w:pPr>
        <w:pStyle w:val="ListParagraph"/>
        <w:numPr>
          <w:ilvl w:val="0"/>
          <w:numId w:val="26"/>
        </w:numPr>
        <w:tabs>
          <w:tab w:pos="1891" w:val="left" w:leader="none"/>
        </w:tabs>
        <w:spacing w:line="240" w:lineRule="auto" w:before="52" w:after="0"/>
        <w:ind w:left="1891" w:right="0" w:hanging="631"/>
        <w:jc w:val="left"/>
        <w:rPr>
          <w:sz w:val="21"/>
        </w:rPr>
      </w:pPr>
      <w:r>
        <w:rPr>
          <w:sz w:val="21"/>
        </w:rPr>
        <w:t>涉及基金财产、基金管理业务、基金托管业务的诉讼或仲裁；</w:t>
      </w:r>
    </w:p>
    <w:p>
      <w:pPr>
        <w:pStyle w:val="BodyText"/>
        <w:spacing w:before="11"/>
        <w:ind w:left="0"/>
        <w:rPr>
          <w:sz w:val="14"/>
        </w:rPr>
      </w:pPr>
    </w:p>
    <w:p>
      <w:pPr>
        <w:pStyle w:val="ListParagraph"/>
        <w:numPr>
          <w:ilvl w:val="0"/>
          <w:numId w:val="26"/>
        </w:numPr>
        <w:tabs>
          <w:tab w:pos="1891" w:val="left" w:leader="none"/>
        </w:tabs>
        <w:spacing w:line="357" w:lineRule="auto" w:before="0" w:after="0"/>
        <w:ind w:left="840" w:right="818" w:firstLine="420"/>
        <w:jc w:val="both"/>
        <w:rPr>
          <w:sz w:val="21"/>
        </w:rPr>
      </w:pPr>
      <w:r>
        <w:rPr>
          <w:spacing w:val="-4"/>
          <w:sz w:val="21"/>
        </w:rPr>
        <w:t>基金管理人或其高级管理人员、基金经理因基金管理业务相关行为受到重大行</w:t>
      </w:r>
      <w:r>
        <w:rPr>
          <w:spacing w:val="-12"/>
          <w:sz w:val="21"/>
        </w:rPr>
        <w:t>政处罚、刑事处罚，基金托管人或其专门基金托管部门负责人因基金托管业务相关行为受到</w:t>
      </w:r>
      <w:r>
        <w:rPr>
          <w:spacing w:val="-4"/>
          <w:sz w:val="21"/>
        </w:rPr>
        <w:t>重大行政处罚、刑事处罚；</w:t>
      </w:r>
    </w:p>
    <w:p>
      <w:pPr>
        <w:pStyle w:val="ListParagraph"/>
        <w:numPr>
          <w:ilvl w:val="0"/>
          <w:numId w:val="26"/>
        </w:numPr>
        <w:tabs>
          <w:tab w:pos="1891" w:val="left" w:leader="none"/>
        </w:tabs>
        <w:spacing w:line="357" w:lineRule="auto" w:before="58" w:after="0"/>
        <w:ind w:left="840" w:right="817" w:firstLine="420"/>
        <w:jc w:val="both"/>
        <w:rPr>
          <w:sz w:val="21"/>
        </w:rPr>
      </w:pPr>
      <w:r>
        <w:rPr>
          <w:spacing w:val="-3"/>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26"/>
        </w:numPr>
        <w:tabs>
          <w:tab w:pos="1891" w:val="left" w:leader="none"/>
        </w:tabs>
        <w:spacing w:line="240" w:lineRule="auto" w:before="57" w:after="0"/>
        <w:ind w:left="1891" w:right="0" w:hanging="631"/>
        <w:jc w:val="left"/>
        <w:rPr>
          <w:sz w:val="21"/>
        </w:rPr>
      </w:pPr>
      <w:r>
        <w:rPr>
          <w:sz w:val="21"/>
        </w:rPr>
        <w:t>基金收益分配事项；</w:t>
      </w:r>
    </w:p>
    <w:p>
      <w:pPr>
        <w:pStyle w:val="BodyText"/>
        <w:spacing w:before="11"/>
        <w:ind w:left="0"/>
        <w:rPr>
          <w:sz w:val="14"/>
        </w:rPr>
      </w:pPr>
    </w:p>
    <w:p>
      <w:pPr>
        <w:pStyle w:val="ListParagraph"/>
        <w:numPr>
          <w:ilvl w:val="0"/>
          <w:numId w:val="26"/>
        </w:numPr>
        <w:tabs>
          <w:tab w:pos="1891" w:val="left" w:leader="none"/>
        </w:tabs>
        <w:spacing w:line="240" w:lineRule="auto" w:before="0" w:after="0"/>
        <w:ind w:left="1891" w:right="0" w:hanging="631"/>
        <w:jc w:val="left"/>
        <w:rPr>
          <w:sz w:val="21"/>
        </w:rPr>
      </w:pPr>
      <w:r>
        <w:rPr>
          <w:sz w:val="21"/>
        </w:rPr>
        <w:t>管理费、托管费、申购费、赎回费等费用计提标准、计提方式和费率发生变更；</w:t>
      </w:r>
    </w:p>
    <w:p>
      <w:pPr>
        <w:pStyle w:val="BodyText"/>
        <w:spacing w:before="12"/>
        <w:ind w:left="0"/>
        <w:rPr>
          <w:sz w:val="14"/>
        </w:rPr>
      </w:pPr>
    </w:p>
    <w:p>
      <w:pPr>
        <w:pStyle w:val="ListParagraph"/>
        <w:numPr>
          <w:ilvl w:val="0"/>
          <w:numId w:val="26"/>
        </w:numPr>
        <w:tabs>
          <w:tab w:pos="1891" w:val="left" w:leader="none"/>
        </w:tabs>
        <w:spacing w:line="240" w:lineRule="auto" w:before="0" w:after="0"/>
        <w:ind w:left="1891" w:right="0" w:hanging="631"/>
        <w:jc w:val="left"/>
        <w:rPr>
          <w:sz w:val="21"/>
        </w:rPr>
      </w:pPr>
      <w:r>
        <w:rPr>
          <w:sz w:val="21"/>
        </w:rPr>
        <w:t>基金份额净值计价错误达基金份额净值百分之零点五；</w:t>
      </w:r>
    </w:p>
    <w:p>
      <w:pPr>
        <w:pStyle w:val="BodyText"/>
        <w:spacing w:before="11"/>
        <w:ind w:left="0"/>
        <w:rPr>
          <w:sz w:val="14"/>
        </w:rPr>
      </w:pPr>
    </w:p>
    <w:p>
      <w:pPr>
        <w:pStyle w:val="ListParagraph"/>
        <w:numPr>
          <w:ilvl w:val="0"/>
          <w:numId w:val="26"/>
        </w:numPr>
        <w:tabs>
          <w:tab w:pos="1891" w:val="left" w:leader="none"/>
        </w:tabs>
        <w:spacing w:line="240" w:lineRule="auto" w:before="1" w:after="0"/>
        <w:ind w:left="1891" w:right="0" w:hanging="631"/>
        <w:jc w:val="left"/>
        <w:rPr>
          <w:sz w:val="21"/>
        </w:rPr>
      </w:pPr>
      <w:r>
        <w:rPr>
          <w:sz w:val="21"/>
        </w:rPr>
        <w:t>本基金开始办理申购、赎回；</w:t>
      </w:r>
    </w:p>
    <w:p>
      <w:pPr>
        <w:pStyle w:val="BodyText"/>
        <w:spacing w:before="11"/>
        <w:ind w:left="0"/>
        <w:rPr>
          <w:sz w:val="14"/>
        </w:rPr>
      </w:pPr>
    </w:p>
    <w:p>
      <w:pPr>
        <w:pStyle w:val="ListParagraph"/>
        <w:numPr>
          <w:ilvl w:val="0"/>
          <w:numId w:val="26"/>
        </w:numPr>
        <w:tabs>
          <w:tab w:pos="1891" w:val="left" w:leader="none"/>
        </w:tabs>
        <w:spacing w:line="240" w:lineRule="auto" w:before="0" w:after="0"/>
        <w:ind w:left="1891" w:right="0" w:hanging="631"/>
        <w:jc w:val="left"/>
        <w:rPr>
          <w:sz w:val="21"/>
        </w:rPr>
      </w:pPr>
      <w:r>
        <w:rPr>
          <w:sz w:val="21"/>
        </w:rPr>
        <w:t>本基金暂停接受申购、赎回申请或重新接受申购、赎回申请；</w:t>
      </w:r>
    </w:p>
    <w:p>
      <w:pPr>
        <w:pStyle w:val="BodyText"/>
        <w:spacing w:before="11"/>
        <w:ind w:left="0"/>
        <w:rPr>
          <w:sz w:val="14"/>
        </w:rPr>
      </w:pPr>
    </w:p>
    <w:p>
      <w:pPr>
        <w:pStyle w:val="ListParagraph"/>
        <w:numPr>
          <w:ilvl w:val="0"/>
          <w:numId w:val="26"/>
        </w:numPr>
        <w:tabs>
          <w:tab w:pos="1891" w:val="left" w:leader="none"/>
        </w:tabs>
        <w:spacing w:line="240" w:lineRule="auto" w:before="1" w:after="0"/>
        <w:ind w:left="1891" w:right="0" w:hanging="631"/>
        <w:jc w:val="left"/>
        <w:rPr>
          <w:sz w:val="21"/>
        </w:rPr>
      </w:pPr>
      <w:r>
        <w:rPr>
          <w:sz w:val="21"/>
        </w:rPr>
        <w:t>调整基金份额类别的设置；</w:t>
      </w:r>
    </w:p>
    <w:p>
      <w:pPr>
        <w:pStyle w:val="BodyText"/>
        <w:spacing w:before="11"/>
        <w:ind w:left="0"/>
        <w:rPr>
          <w:sz w:val="14"/>
        </w:rPr>
      </w:pPr>
    </w:p>
    <w:p>
      <w:pPr>
        <w:pStyle w:val="ListParagraph"/>
        <w:numPr>
          <w:ilvl w:val="0"/>
          <w:numId w:val="26"/>
        </w:numPr>
        <w:tabs>
          <w:tab w:pos="1891" w:val="left" w:leader="none"/>
        </w:tabs>
        <w:spacing w:line="240" w:lineRule="auto" w:before="0" w:after="0"/>
        <w:ind w:left="1891" w:right="0" w:hanging="631"/>
        <w:jc w:val="left"/>
        <w:rPr>
          <w:sz w:val="21"/>
        </w:rPr>
      </w:pPr>
      <w:r>
        <w:rPr>
          <w:sz w:val="21"/>
        </w:rPr>
        <w:t>基金推出新业务或服务；</w:t>
      </w:r>
    </w:p>
    <w:p>
      <w:pPr>
        <w:pStyle w:val="ListParagraph"/>
        <w:numPr>
          <w:ilvl w:val="0"/>
          <w:numId w:val="26"/>
        </w:numPr>
        <w:tabs>
          <w:tab w:pos="1891" w:val="left" w:leader="none"/>
        </w:tabs>
        <w:spacing w:line="364" w:lineRule="auto" w:before="84" w:after="0"/>
        <w:ind w:left="840" w:right="818"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before="166"/>
        <w:ind w:left="1260"/>
      </w:pPr>
      <w:r>
        <w:rPr/>
        <w:t>7、澄清公告</w:t>
      </w:r>
    </w:p>
    <w:p>
      <w:pPr>
        <w:pStyle w:val="BodyText"/>
        <w:spacing w:line="364" w:lineRule="auto" w:before="84"/>
        <w:ind w:left="840" w:right="8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8" w:lineRule="exact"/>
        <w:ind w:left="1260"/>
      </w:pPr>
      <w:r>
        <w:rPr/>
        <w:t>8、清算报告</w:t>
      </w:r>
    </w:p>
    <w:p>
      <w:pPr>
        <w:pStyle w:val="BodyText"/>
        <w:spacing w:line="364" w:lineRule="auto" w:before="140"/>
        <w:ind w:left="840" w:right="8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spacing w:line="358" w:lineRule="exact" w:before="0"/>
        <w:ind w:left="840" w:right="0" w:firstLine="0"/>
        <w:jc w:val="left"/>
        <w:rPr>
          <w:sz w:val="28"/>
        </w:rPr>
      </w:pPr>
      <w:bookmarkStart w:name="_bookmark87" w:id="88"/>
      <w:bookmarkEnd w:id="88"/>
      <w:r>
        <w:rPr/>
      </w:r>
      <w:r>
        <w:rPr>
          <w:sz w:val="28"/>
        </w:rPr>
        <w:t>（三）信息披露事务管理</w:t>
      </w:r>
    </w:p>
    <w:p>
      <w:pPr>
        <w:pStyle w:val="BodyText"/>
        <w:spacing w:before="5"/>
        <w:ind w:left="0"/>
        <w:rPr>
          <w:sz w:val="27"/>
        </w:rPr>
      </w:pPr>
    </w:p>
    <w:p>
      <w:pPr>
        <w:pStyle w:val="BodyText"/>
        <w:spacing w:line="357" w:lineRule="auto"/>
        <w:ind w:left="840" w:right="818" w:firstLine="420"/>
      </w:pPr>
      <w:r>
        <w:rPr>
          <w:spacing w:val="-10"/>
        </w:rPr>
        <w:t>基金管理人、基金托管人应当建立健全信息披露管理制度，指定专门部门及高级管理人</w:t>
      </w:r>
      <w:r>
        <w:rPr/>
        <w:t>员负责管理信息披露事务。</w:t>
      </w:r>
    </w:p>
    <w:p>
      <w:pPr>
        <w:pStyle w:val="BodyText"/>
        <w:spacing w:line="357" w:lineRule="auto" w:before="59"/>
        <w:ind w:left="840" w:right="818" w:firstLine="420"/>
      </w:pPr>
      <w:r>
        <w:rPr>
          <w:spacing w:val="-7"/>
        </w:rPr>
        <w:t>基金信息披露义务人公开披露基金信息，应当符合中国证监会相关基金信息披露内容与</w:t>
      </w:r>
      <w:r>
        <w:rPr/>
        <w:t>格式准则等法规的规定。</w:t>
      </w:r>
    </w:p>
    <w:p>
      <w:pPr>
        <w:pStyle w:val="BodyText"/>
        <w:spacing w:line="357" w:lineRule="auto" w:before="58"/>
        <w:ind w:left="840" w:right="81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p>
    <w:p>
      <w:pPr>
        <w:spacing w:after="0" w:line="357" w:lineRule="auto"/>
        <w:jc w:val="both"/>
        <w:sectPr>
          <w:pgSz w:w="11910" w:h="16840"/>
          <w:pgMar w:header="0" w:footer="638" w:top="1480" w:bottom="900" w:left="960" w:right="980"/>
        </w:sectPr>
      </w:pPr>
    </w:p>
    <w:p>
      <w:pPr>
        <w:pStyle w:val="BodyText"/>
        <w:spacing w:before="52"/>
        <w:ind w:left="840"/>
      </w:pPr>
      <w:r>
        <w:rPr/>
        <w:t>查，并向基金管理人进行书面或电子确认。</w:t>
      </w:r>
    </w:p>
    <w:p>
      <w:pPr>
        <w:pStyle w:val="BodyText"/>
        <w:spacing w:before="11"/>
        <w:ind w:left="0"/>
        <w:rPr>
          <w:sz w:val="14"/>
        </w:rPr>
      </w:pPr>
    </w:p>
    <w:p>
      <w:pPr>
        <w:pStyle w:val="BodyText"/>
        <w:spacing w:line="357" w:lineRule="auto"/>
        <w:ind w:left="840" w:right="7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57" w:lineRule="auto" w:before="58"/>
        <w:ind w:left="840" w:right="8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220" w:lineRule="exact"/>
        <w:ind w:left="1260"/>
      </w:pPr>
      <w:r>
        <w:rPr/>
        <w:t>基金管理人、基金托管人除按法律法规要求披露信息外，也可着眼于为投资者决策提供</w:t>
      </w:r>
    </w:p>
    <w:p>
      <w:pPr>
        <w:pStyle w:val="BodyText"/>
        <w:spacing w:line="364" w:lineRule="auto" w:before="139"/>
        <w:ind w:left="840" w:right="608"/>
      </w:pPr>
      <w:r>
        <w:rPr>
          <w:spacing w:val="-7"/>
        </w:rPr>
        <w:t>有用信息的角度，在保证公平对待投资者、不误导投资者、不影响基金正常投资操作的前提 </w:t>
      </w:r>
      <w:r>
        <w:rPr>
          <w:spacing w:val="-6"/>
        </w:rPr>
        <w:t>下，自主提升信息披露服务的质量。具体要求应当符合中国证监会及自律规则的相关规定。前述自主披露如产生信息披露费用，该费用不得从基金财产中列支。</w:t>
      </w:r>
    </w:p>
    <w:p>
      <w:pPr>
        <w:spacing w:line="358" w:lineRule="exact" w:before="0"/>
        <w:ind w:left="840" w:right="0" w:firstLine="0"/>
        <w:jc w:val="left"/>
        <w:rPr>
          <w:sz w:val="28"/>
        </w:rPr>
      </w:pPr>
      <w:bookmarkStart w:name="_bookmark88" w:id="89"/>
      <w:bookmarkEnd w:id="89"/>
      <w:r>
        <w:rPr/>
      </w:r>
      <w:r>
        <w:rPr>
          <w:sz w:val="28"/>
        </w:rPr>
        <w:t>（四）信息披露文件的存放与查阅</w:t>
      </w:r>
    </w:p>
    <w:p>
      <w:pPr>
        <w:pStyle w:val="BodyText"/>
        <w:spacing w:line="364" w:lineRule="auto" w:before="185"/>
        <w:ind w:left="840" w:right="8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638" w:top="1480" w:bottom="900" w:left="960" w:right="980"/>
        </w:sectPr>
      </w:pPr>
    </w:p>
    <w:p>
      <w:pPr>
        <w:pStyle w:val="Heading1"/>
        <w:ind w:right="622"/>
        <w:jc w:val="center"/>
      </w:pPr>
      <w:bookmarkStart w:name="_bookmark89" w:id="90"/>
      <w:bookmarkEnd w:id="90"/>
      <w:r>
        <w:rPr/>
      </w:r>
      <w:r>
        <w:rPr/>
        <w:t>十九、风险揭示</w:t>
      </w:r>
    </w:p>
    <w:p>
      <w:pPr>
        <w:pStyle w:val="BodyText"/>
        <w:spacing w:before="10"/>
        <w:ind w:left="0"/>
        <w:rPr>
          <w:sz w:val="10"/>
        </w:rPr>
      </w:pPr>
    </w:p>
    <w:p>
      <w:pPr>
        <w:spacing w:before="61"/>
        <w:ind w:left="840" w:right="0" w:firstLine="0"/>
        <w:jc w:val="left"/>
        <w:rPr>
          <w:sz w:val="28"/>
        </w:rPr>
      </w:pPr>
      <w:bookmarkStart w:name="_bookmark90" w:id="91"/>
      <w:bookmarkEnd w:id="91"/>
      <w:r>
        <w:rPr/>
      </w:r>
      <w:r>
        <w:rPr>
          <w:sz w:val="28"/>
        </w:rPr>
        <w:t>（一）市场风险</w:t>
      </w:r>
    </w:p>
    <w:p>
      <w:pPr>
        <w:pStyle w:val="BodyText"/>
        <w:spacing w:line="364" w:lineRule="auto" w:before="185"/>
        <w:ind w:left="840" w:right="817" w:firstLine="420"/>
        <w:jc w:val="both"/>
      </w:pPr>
      <w:r>
        <w:rPr>
          <w:spacing w:val="-7"/>
        </w:rPr>
        <w:t>基金主要投资于证券市场，而证券市场价格因受到经济因素、政治因素、投资者心理和</w:t>
      </w:r>
      <w:r>
        <w:rPr>
          <w:spacing w:val="-5"/>
        </w:rPr>
        <w:t>交易制度等各种因素的影响而产生波动，从而导致基金收益水平发生变化，产生风险。主要</w:t>
      </w:r>
      <w:r>
        <w:rPr/>
        <w:t>的风险因素包括：</w:t>
      </w:r>
    </w:p>
    <w:p>
      <w:pPr>
        <w:pStyle w:val="BodyText"/>
        <w:spacing w:line="364" w:lineRule="auto"/>
        <w:ind w:left="840" w:right="818" w:firstLine="420"/>
      </w:pPr>
      <w:r>
        <w:rPr/>
        <w:t>1、政策风险。因财政政策、货币政策、产业政策、地区发展政策等国家宏观政策发生变化，导致市场价格波动，影响基金收益而产生风险。</w:t>
      </w:r>
    </w:p>
    <w:p>
      <w:pPr>
        <w:pStyle w:val="BodyText"/>
        <w:spacing w:line="364" w:lineRule="auto"/>
        <w:ind w:left="840" w:right="608" w:firstLine="420"/>
      </w:pPr>
      <w:r>
        <w:rPr/>
        <w:t>2、经济周期风险。随着经济运行的周期性变化，证券市场的收益水平也呈周期性变化， 基金投资的收益水平也会随之变化，从而产生风险。</w:t>
      </w:r>
    </w:p>
    <w:p>
      <w:pPr>
        <w:pStyle w:val="BodyText"/>
        <w:spacing w:line="364" w:lineRule="auto"/>
        <w:ind w:left="840" w:right="817" w:firstLine="420"/>
        <w:jc w:val="both"/>
      </w:pPr>
      <w:r>
        <w:rPr/>
        <w:t>3、利率风险。金融市场利率的波动会导致证券市场价格和收益率的变动。利率直接影</w:t>
      </w:r>
      <w:r>
        <w:rPr>
          <w:spacing w:val="-7"/>
        </w:rPr>
        <w:t>响着债券的价格和收益率，影响着企业的融资成本和利润。基金投资于债券和股票，其收益</w:t>
      </w:r>
      <w:r>
        <w:rPr/>
        <w:t>水平可能会受到利率变化的影响。</w:t>
      </w:r>
    </w:p>
    <w:p>
      <w:pPr>
        <w:pStyle w:val="BodyText"/>
        <w:spacing w:line="364" w:lineRule="auto"/>
        <w:ind w:left="840" w:right="817" w:firstLine="420"/>
        <w:jc w:val="both"/>
      </w:pPr>
      <w:r>
        <w:rPr/>
        <w:t>4、上市公司经营风险。上市公司的经营状况受多种因素的影响，如管理能力、行业竞</w:t>
      </w:r>
      <w:r>
        <w:rPr>
          <w:spacing w:val="-11"/>
        </w:rPr>
        <w:t>争、市场前景、技术更新、新产品研究开发等都会导致公司盈利发生变化。如果基金所投资</w:t>
      </w:r>
      <w:r>
        <w:rPr>
          <w:spacing w:val="-8"/>
        </w:rPr>
        <w:t>的上市公司经营不善，其股票价格可能下跌，或者能够用于分配的利润减少，使基金投资收</w:t>
      </w:r>
      <w:r>
        <w:rPr/>
        <w:t>益下降。虽然基金可以通过投资多样化来分散这种非系统风险，但不能完全避免。</w:t>
      </w:r>
    </w:p>
    <w:p>
      <w:pPr>
        <w:pStyle w:val="BodyText"/>
        <w:spacing w:line="364" w:lineRule="auto"/>
        <w:ind w:left="840" w:right="818" w:firstLine="420"/>
      </w:pPr>
      <w:r>
        <w:rPr/>
        <w:t>5、购买力风险。基金份额持有人收益将主要通过现金形式来分配，而现金可能因为通货膨胀因素而使其购买力下降,从而使基金的实际收益下降。</w:t>
      </w:r>
    </w:p>
    <w:p>
      <w:pPr>
        <w:spacing w:before="0"/>
        <w:ind w:left="840" w:right="0" w:firstLine="0"/>
        <w:jc w:val="left"/>
        <w:rPr>
          <w:sz w:val="28"/>
        </w:rPr>
      </w:pPr>
      <w:bookmarkStart w:name="_bookmark91" w:id="92"/>
      <w:bookmarkEnd w:id="92"/>
      <w:r>
        <w:rPr/>
      </w:r>
      <w:r>
        <w:rPr>
          <w:sz w:val="28"/>
        </w:rPr>
        <w:t>（二）本基金特有的风险</w:t>
      </w:r>
    </w:p>
    <w:p>
      <w:pPr>
        <w:pStyle w:val="BodyText"/>
        <w:spacing w:line="364" w:lineRule="auto" w:before="178"/>
        <w:ind w:left="840" w:right="608" w:firstLine="420"/>
      </w:pPr>
      <w:r>
        <w:rPr/>
        <w:t>1、本基金主要投资中小盘股票，一般来说，相对大盘股票，中小盘股票价格波动较大， </w:t>
      </w:r>
      <w:r>
        <w:rPr>
          <w:spacing w:val="-7"/>
        </w:rPr>
        <w:t>个股的流动性相对较低。中小盘公司之中，中小企业较多，中小企业经营业绩波动性相对较 </w:t>
      </w:r>
      <w:r>
        <w:rPr>
          <w:spacing w:val="-10"/>
        </w:rPr>
        <w:t>高。另一方面，按照本基金基金合同约定标准所筛选的中小盘股票，可能与人们对中小盘股 </w:t>
      </w:r>
      <w:r>
        <w:rPr>
          <w:spacing w:val="-19"/>
        </w:rPr>
        <w:t>票的直观认识存在一定差异。此外，本基金主要采取自下而上的投资策略，选股是核心策略， </w:t>
      </w:r>
      <w:r>
        <w:rPr>
          <w:spacing w:val="-12"/>
        </w:rPr>
        <w:t>因此，如果对个股的研究不够深入、企业经营业绩的不利变化超出本管理人的预期等，都会 </w:t>
      </w:r>
      <w:r>
        <w:rPr>
          <w:spacing w:val="-15"/>
        </w:rPr>
        <w:t>对基金业绩产生不利影响。本基金投资可转债过程中，当转债的股性较强时，转债价格的波 </w:t>
      </w:r>
      <w:r>
        <w:rPr>
          <w:spacing w:val="-17"/>
        </w:rPr>
        <w:t>动将与股票价格的波动接近，增加了基金净值波动的风险。在市场上涨行情中，转债的强制 赎回条款限制了转债价格的涨幅，有可能部分影响基金的收益水平。</w:t>
      </w:r>
    </w:p>
    <w:p>
      <w:pPr>
        <w:pStyle w:val="BodyText"/>
        <w:spacing w:line="364" w:lineRule="auto"/>
        <w:ind w:left="840" w:right="608" w:firstLine="420"/>
      </w:pPr>
      <w:r>
        <w:rPr/>
        <w:t>2、本基金可投资科创板股票，可能面临退市风险、市场风险、流动性风险等特有风险， </w:t>
      </w:r>
      <w:r>
        <w:rPr>
          <w:spacing w:val="-5"/>
        </w:rPr>
        <w:t>从而可能给基金净值带来不利影响或损失。本基金根据投资策略需要或市场环境变化，可选 </w:t>
      </w:r>
      <w:r>
        <w:rPr>
          <w:spacing w:val="-8"/>
        </w:rPr>
        <w:t>择将部分基金资产投资于科创板股票或选择不将基金资产投资于科创板股票，基金资产并非 必然投资于科创板股票。</w:t>
      </w:r>
    </w:p>
    <w:p>
      <w:pPr>
        <w:pStyle w:val="BodyText"/>
        <w:spacing w:line="364" w:lineRule="auto"/>
        <w:ind w:left="840" w:right="818" w:firstLine="420"/>
      </w:pPr>
      <w:r>
        <w:rPr>
          <w:spacing w:val="-9"/>
        </w:rPr>
        <w:t>科创板股票在发行、上市、交易、退市等方面的规则与其他板块存在差异，基金投资科</w:t>
      </w:r>
      <w:r>
        <w:rPr/>
        <w:t>创板股票的风险包括但不限于：</w:t>
      </w:r>
    </w:p>
    <w:p>
      <w:pPr>
        <w:spacing w:after="0" w:line="364" w:lineRule="auto"/>
        <w:sectPr>
          <w:pgSz w:w="11910" w:h="16840"/>
          <w:pgMar w:header="0" w:footer="638" w:top="1380" w:bottom="900" w:left="960" w:right="980"/>
        </w:sectPr>
      </w:pPr>
    </w:p>
    <w:p>
      <w:pPr>
        <w:pStyle w:val="ListParagraph"/>
        <w:numPr>
          <w:ilvl w:val="0"/>
          <w:numId w:val="27"/>
        </w:numPr>
        <w:tabs>
          <w:tab w:pos="1786" w:val="left" w:leader="none"/>
        </w:tabs>
        <w:spacing w:line="240" w:lineRule="auto" w:before="45" w:after="0"/>
        <w:ind w:left="1786" w:right="0" w:hanging="526"/>
        <w:jc w:val="left"/>
        <w:rPr>
          <w:sz w:val="21"/>
        </w:rPr>
      </w:pPr>
      <w:r>
        <w:rPr>
          <w:sz w:val="21"/>
        </w:rPr>
        <w:t>科创板企业退市风险</w:t>
      </w:r>
    </w:p>
    <w:p>
      <w:pPr>
        <w:pStyle w:val="BodyText"/>
        <w:spacing w:line="364" w:lineRule="auto" w:before="139"/>
        <w:ind w:left="840" w:right="817"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0"/>
          <w:numId w:val="27"/>
        </w:numPr>
        <w:tabs>
          <w:tab w:pos="1786" w:val="left" w:leader="none"/>
        </w:tabs>
        <w:spacing w:line="268" w:lineRule="exact" w:before="0" w:after="0"/>
        <w:ind w:left="1786" w:right="0" w:hanging="526"/>
        <w:jc w:val="left"/>
        <w:rPr>
          <w:sz w:val="21"/>
        </w:rPr>
      </w:pPr>
      <w:r>
        <w:rPr>
          <w:sz w:val="21"/>
        </w:rPr>
        <w:t>市场风险</w:t>
      </w:r>
    </w:p>
    <w:p>
      <w:pPr>
        <w:pStyle w:val="BodyText"/>
        <w:spacing w:line="364" w:lineRule="auto" w:before="140"/>
        <w:ind w:left="840" w:right="713"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5"/>
        </w:rPr>
        <w:t>企业普遍具有前景不确定、业绩波动大、风险高的特征，市场可比公司较少，估值与发行定</w:t>
      </w:r>
      <w:r>
        <w:rPr>
          <w:spacing w:val="-13"/>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8"/>
        </w:rPr>
        <w:t>、科创板股票上市首日即可作为融资融券标的， </w:t>
      </w:r>
      <w:r>
        <w:rPr/>
        <w:t>可能导致较大的股票价格波动。</w:t>
      </w:r>
    </w:p>
    <w:p>
      <w:pPr>
        <w:pStyle w:val="ListParagraph"/>
        <w:numPr>
          <w:ilvl w:val="0"/>
          <w:numId w:val="27"/>
        </w:numPr>
        <w:tabs>
          <w:tab w:pos="1786" w:val="left" w:leader="none"/>
        </w:tabs>
        <w:spacing w:line="266" w:lineRule="exact" w:before="0" w:after="0"/>
        <w:ind w:left="1786" w:right="0" w:hanging="526"/>
        <w:jc w:val="left"/>
        <w:rPr>
          <w:sz w:val="21"/>
        </w:rPr>
      </w:pPr>
      <w:r>
        <w:rPr>
          <w:sz w:val="21"/>
        </w:rPr>
        <w:t>流动性风险</w:t>
      </w:r>
    </w:p>
    <w:p>
      <w:pPr>
        <w:pStyle w:val="BodyText"/>
        <w:spacing w:line="364" w:lineRule="auto" w:before="139"/>
        <w:ind w:left="840" w:right="817" w:firstLine="420"/>
        <w:jc w:val="both"/>
      </w:pPr>
      <w:r>
        <w:rPr>
          <w:spacing w:val="-8"/>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27"/>
        </w:numPr>
        <w:tabs>
          <w:tab w:pos="1786" w:val="left" w:leader="none"/>
        </w:tabs>
        <w:spacing w:line="268" w:lineRule="exact" w:before="0" w:after="0"/>
        <w:ind w:left="1786" w:right="0" w:hanging="526"/>
        <w:jc w:val="left"/>
        <w:rPr>
          <w:sz w:val="21"/>
        </w:rPr>
      </w:pPr>
      <w:r>
        <w:rPr>
          <w:sz w:val="21"/>
        </w:rPr>
        <w:t>监管规则变化的风险</w:t>
      </w:r>
    </w:p>
    <w:p>
      <w:pPr>
        <w:pStyle w:val="BodyText"/>
        <w:spacing w:line="364" w:lineRule="auto" w:before="140"/>
        <w:ind w:left="840" w:right="818"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line="268" w:lineRule="exact"/>
        <w:ind w:left="1260"/>
      </w:pPr>
      <w:r>
        <w:rPr/>
        <w:t>3、投资于存托凭证的风险</w:t>
      </w:r>
    </w:p>
    <w:p>
      <w:pPr>
        <w:pStyle w:val="BodyText"/>
        <w:spacing w:line="364" w:lineRule="auto" w:before="139"/>
        <w:ind w:left="840" w:right="817" w:firstLine="420"/>
        <w:jc w:val="both"/>
      </w:pPr>
      <w:r>
        <w:rPr>
          <w:spacing w:val="-8"/>
        </w:rPr>
        <w:t>本基金的投资范围包括存托凭证，除与其他仅投资于沪深市场股票的基金所面临的共同</w:t>
      </w:r>
      <w:r>
        <w:rPr>
          <w:spacing w:val="-10"/>
        </w:rPr>
        <w:t>风险外，本基金还将面临存托凭证价格大幅波动甚至出现较大亏损的风险，以及与存托凭证</w:t>
      </w:r>
      <w:r>
        <w:rPr>
          <w:spacing w:val="-8"/>
        </w:rPr>
        <w:t>发行机制相关的风险，包括存托凭证持有人与境外基础证券发行人的股东在法律地位、享有</w:t>
      </w:r>
      <w:r>
        <w:rPr>
          <w:spacing w:val="-7"/>
        </w:rPr>
        <w:t>权利等方面存在差异可能引发的风险；存托凭证持有人在分红派息、行使表决权等方面的特</w:t>
      </w:r>
      <w:r>
        <w:rPr>
          <w:spacing w:val="-8"/>
        </w:rPr>
        <w:t>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spacing w:line="356" w:lineRule="exact" w:before="0"/>
        <w:ind w:left="840" w:right="0" w:firstLine="0"/>
        <w:jc w:val="left"/>
        <w:rPr>
          <w:sz w:val="28"/>
        </w:rPr>
      </w:pPr>
      <w:bookmarkStart w:name="_bookmark92" w:id="93"/>
      <w:bookmarkEnd w:id="93"/>
      <w:r>
        <w:rPr/>
      </w:r>
      <w:r>
        <w:rPr>
          <w:sz w:val="28"/>
        </w:rPr>
        <w:t>（三）流动性风险</w:t>
      </w:r>
    </w:p>
    <w:p>
      <w:pPr>
        <w:pStyle w:val="BodyText"/>
        <w:spacing w:before="185"/>
        <w:ind w:left="1260"/>
      </w:pPr>
      <w:r>
        <w:rPr/>
        <w:t>1、流动性风险评估</w:t>
      </w:r>
    </w:p>
    <w:p>
      <w:pPr>
        <w:pStyle w:val="BodyText"/>
        <w:spacing w:line="364" w:lineRule="auto" w:before="139"/>
        <w:ind w:left="840" w:right="817" w:firstLine="420"/>
        <w:jc w:val="both"/>
      </w:pPr>
      <w:r>
        <w:rPr>
          <w:spacing w:val="-7"/>
        </w:rPr>
        <w:t>本基金为混合型基金，主要投资于股票、债券、资产支持证券、货币市场工具，一般情</w:t>
      </w:r>
      <w:r>
        <w:rPr>
          <w:spacing w:val="-10"/>
        </w:rPr>
        <w:t>况下，这些资产市场流动性较好，但不排除在特定阶段、特定市场环境下特定投资标的出现</w:t>
      </w:r>
      <w:r>
        <w:rPr>
          <w:spacing w:val="-5"/>
        </w:rPr>
        <w:t>流动性较差的情况。因此，本基金投资于上述资产时，可能存在以下流动性风险：一是基金</w:t>
      </w:r>
    </w:p>
    <w:p>
      <w:pPr>
        <w:spacing w:after="0" w:line="364" w:lineRule="auto"/>
        <w:jc w:val="both"/>
        <w:sectPr>
          <w:pgSz w:w="11910" w:h="16840"/>
          <w:pgMar w:header="0" w:footer="638" w:top="1380" w:bottom="900" w:left="960" w:right="980"/>
        </w:sectPr>
      </w:pPr>
    </w:p>
    <w:p>
      <w:pPr>
        <w:pStyle w:val="BodyText"/>
        <w:spacing w:line="364" w:lineRule="auto" w:before="45"/>
        <w:ind w:left="840" w:right="818"/>
        <w:jc w:val="both"/>
      </w:pPr>
      <w:r>
        <w:rPr>
          <w:spacing w:val="-8"/>
        </w:rPr>
        <w:t>管理人建仓或进行组合调整时，可能由于特定投资标的流动性相对不足而无法按预期的价格</w:t>
      </w:r>
      <w:r>
        <w:rPr>
          <w:spacing w:val="-12"/>
        </w:rPr>
        <w:t>买进或卖出；二是为应付投资者的赎回，基金被迫以不适当的价格卖出股票、债券或其他资</w:t>
      </w:r>
      <w:r>
        <w:rPr/>
        <w:t>产。两者均可能使基金净值受到不利影响。</w:t>
      </w:r>
    </w:p>
    <w:p>
      <w:pPr>
        <w:pStyle w:val="BodyText"/>
        <w:spacing w:line="268" w:lineRule="exact"/>
        <w:ind w:left="1260"/>
      </w:pPr>
      <w:r>
        <w:rPr/>
        <w:t>2、巨额赎回情形下的流动性风险管理措施</w:t>
      </w:r>
    </w:p>
    <w:p>
      <w:pPr>
        <w:pStyle w:val="BodyText"/>
        <w:spacing w:line="364" w:lineRule="auto" w:before="139"/>
        <w:ind w:left="840" w:right="608" w:firstLine="420"/>
      </w:pPr>
      <w:r>
        <w:rPr>
          <w:spacing w:val="-8"/>
        </w:rPr>
        <w:t>当本基金出现巨额赎回时，基金管理人可以根据基金当时的资产组合状况决定全额赎回 或部分延期赎回；此外，如连续 </w:t>
      </w:r>
      <w:r>
        <w:rPr/>
        <w:t>2</w:t>
      </w:r>
      <w:r>
        <w:rPr>
          <w:spacing w:val="-5"/>
        </w:rPr>
        <w:t> 个开放日以上发生巨额赎回，如基金管理人认为有必要，</w:t>
      </w:r>
    </w:p>
    <w:p>
      <w:pPr>
        <w:pStyle w:val="BodyText"/>
        <w:spacing w:line="364" w:lineRule="auto"/>
        <w:ind w:left="840" w:right="697"/>
      </w:pPr>
      <w:r>
        <w:rPr>
          <w:spacing w:val="-14"/>
        </w:rPr>
        <w:t>可暂停接受赎回申请；已经接受的赎回申请可以延缓支付赎回款项，但延缓期限不得超过 </w:t>
      </w:r>
      <w:r>
        <w:rPr/>
        <w:t>20 </w:t>
      </w:r>
      <w:r>
        <w:rPr>
          <w:spacing w:val="-11"/>
        </w:rPr>
        <w:t>个工作日；当本基金发生巨额赎回且单个基金份额持有人的赎回申请超过上一开放日基金总</w:t>
      </w:r>
      <w:r>
        <w:rPr>
          <w:spacing w:val="7"/>
        </w:rPr>
        <w:t>份额</w:t>
      </w:r>
      <w:r>
        <w:rPr/>
        <w:t>10%</w:t>
      </w:r>
      <w:r>
        <w:rPr>
          <w:spacing w:val="-12"/>
        </w:rPr>
        <w:t>的，基金管理人有权对该单个基金份额持有人超出该比例的赎回申请实施延期办理。</w:t>
      </w:r>
      <w:r>
        <w:rPr>
          <w:spacing w:val="-8"/>
        </w:rPr>
        <w:t>具体情形、程序见招募说明书“八、基金份额的申购、赎回”之</w:t>
      </w:r>
      <w:r>
        <w:rPr/>
        <w:t>“（十</w:t>
      </w:r>
      <w:r>
        <w:rPr>
          <w:spacing w:val="-14"/>
        </w:rPr>
        <w:t>）</w:t>
      </w:r>
      <w:r>
        <w:rPr/>
        <w:t>巨额赎回的认定及处理方式”</w:t>
      </w:r>
    </w:p>
    <w:p>
      <w:pPr>
        <w:pStyle w:val="BodyText"/>
        <w:spacing w:line="364" w:lineRule="auto"/>
        <w:ind w:left="840" w:right="8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364" w:lineRule="auto"/>
        <w:ind w:left="840" w:right="818" w:firstLine="420"/>
      </w:pPr>
      <w:r>
        <w:rPr/>
        <w:t>3、除巨额赎回情形外实施备用的流动性风险管理工具的情形、程序及对投资者的潜在影响</w:t>
      </w:r>
    </w:p>
    <w:p>
      <w:pPr>
        <w:pStyle w:val="BodyText"/>
        <w:spacing w:line="364" w:lineRule="auto"/>
        <w:ind w:left="840" w:right="6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840" w:right="817" w:firstLine="420"/>
        <w:jc w:val="both"/>
      </w:pPr>
      <w:r>
        <w:rPr>
          <w:spacing w:val="-7"/>
        </w:rPr>
        <w:t>暂停接受赎回申请、延缓支付赎回款项等工具的情形、程序见招募说明书“八、基金份</w:t>
      </w:r>
      <w:r>
        <w:rPr>
          <w:spacing w:val="-6"/>
        </w:rPr>
        <w:t>额的申购、赎回”之</w:t>
      </w:r>
      <w:r>
        <w:rPr/>
        <w:t>“（十一</w:t>
      </w:r>
      <w:r>
        <w:rPr>
          <w:spacing w:val="-14"/>
        </w:rPr>
        <w:t>）</w:t>
      </w:r>
      <w:r>
        <w:rPr>
          <w:spacing w:val="-5"/>
        </w:rPr>
        <w:t>拒绝或暂停申购、赎回的情形及处理方式”的相关规定。若</w:t>
      </w: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364" w:lineRule="auto"/>
        <w:ind w:left="840" w:right="8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840" w:right="817" w:firstLine="420"/>
        <w:jc w:val="both"/>
      </w:pPr>
      <w:r>
        <w:rPr>
          <w:spacing w:val="-6"/>
        </w:rPr>
        <w:t>暂停基金估值的情形、程序见招募说明书“十四、基金资产的估值”之</w:t>
      </w:r>
      <w:r>
        <w:rPr/>
        <w:t>“（六</w:t>
      </w:r>
      <w:r>
        <w:rPr>
          <w:spacing w:val="-16"/>
        </w:rPr>
        <w:t>）</w:t>
      </w:r>
      <w:r>
        <w:rPr>
          <w:spacing w:val="-5"/>
        </w:rPr>
        <w:t>暂停估</w:t>
      </w:r>
      <w:r>
        <w:rPr>
          <w:spacing w:val="-12"/>
        </w:rPr>
        <w:t>值的情形”的相关规定。若本基金暂停基金估值，一方面投资者将无法知晓本基金的基金份</w:t>
      </w:r>
      <w:r>
        <w:rPr>
          <w:spacing w:val="-10"/>
        </w:rPr>
        <w:t>额净值，另一方面基金将暂停接受申购赎回申请或延缓支付赎回款项，将导致投资者无法申</w:t>
      </w:r>
      <w:r>
        <w:rPr/>
        <w:t>购或赎回本基金，或赎回款支付时间将后延，可能对投资者的资金安排带来不利影响。</w:t>
      </w:r>
    </w:p>
    <w:p>
      <w:pPr>
        <w:pStyle w:val="Heading2"/>
        <w:spacing w:line="364" w:lineRule="auto"/>
        <w:ind w:right="818"/>
      </w:pPr>
      <w:bookmarkStart w:name="_bookmark93" w:id="94"/>
      <w:bookmarkEnd w:id="94"/>
      <w:r>
        <w:rPr/>
      </w:r>
      <w:r>
        <w:rPr/>
        <w:t>（四</w:t>
      </w:r>
      <w:r>
        <w:rPr>
          <w:spacing w:val="-95"/>
        </w:rPr>
        <w:t>）</w:t>
      </w:r>
      <w:r>
        <w:rPr>
          <w:spacing w:val="-1"/>
        </w:rPr>
        <w:t>本基金法律文件中涉及基金风险特征的表述与销售机构对基金</w:t>
      </w:r>
      <w:r>
        <w:rPr/>
        <w:t>的风险评级可能不一致的风险</w:t>
      </w:r>
    </w:p>
    <w:p>
      <w:pPr>
        <w:pStyle w:val="BodyText"/>
        <w:spacing w:line="364" w:lineRule="auto"/>
        <w:ind w:left="840" w:right="818" w:firstLine="420"/>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p>
    <w:p>
      <w:pPr>
        <w:spacing w:after="0" w:line="364" w:lineRule="auto"/>
        <w:sectPr>
          <w:pgSz w:w="11910" w:h="16840"/>
          <w:pgMar w:header="0" w:footer="638" w:top="1380" w:bottom="900" w:left="960" w:right="980"/>
        </w:sectPr>
      </w:pPr>
    </w:p>
    <w:p>
      <w:pPr>
        <w:pStyle w:val="BodyText"/>
        <w:spacing w:line="364" w:lineRule="auto" w:before="45"/>
        <w:ind w:left="840" w:right="817"/>
        <w:jc w:val="both"/>
      </w:pP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spacing w:line="356" w:lineRule="exact" w:before="0"/>
        <w:ind w:left="840" w:right="0" w:firstLine="0"/>
        <w:jc w:val="left"/>
        <w:rPr>
          <w:sz w:val="28"/>
        </w:rPr>
      </w:pPr>
      <w:bookmarkStart w:name="_bookmark94" w:id="95"/>
      <w:bookmarkEnd w:id="95"/>
      <w:r>
        <w:rPr/>
      </w:r>
      <w:r>
        <w:rPr>
          <w:sz w:val="28"/>
        </w:rPr>
        <w:t>（五）管理风险</w:t>
      </w:r>
    </w:p>
    <w:p>
      <w:pPr>
        <w:pStyle w:val="BodyText"/>
        <w:spacing w:line="364" w:lineRule="auto" w:before="185"/>
        <w:ind w:left="840" w:right="830"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840" w:right="830" w:firstLine="420"/>
      </w:pPr>
      <w:r>
        <w:rPr/>
        <w:t>2、基金管理人和基金托管人的管理手段和管理技术等因素的变化也会影响基金收益水平。</w:t>
      </w:r>
    </w:p>
    <w:p>
      <w:pPr>
        <w:spacing w:before="0"/>
        <w:ind w:left="840" w:right="0" w:firstLine="0"/>
        <w:jc w:val="left"/>
        <w:rPr>
          <w:sz w:val="28"/>
        </w:rPr>
      </w:pPr>
      <w:bookmarkStart w:name="_bookmark95" w:id="96"/>
      <w:bookmarkEnd w:id="96"/>
      <w:r>
        <w:rPr/>
      </w:r>
      <w:r>
        <w:rPr>
          <w:sz w:val="28"/>
        </w:rPr>
        <w:t>（六）其他风险</w:t>
      </w:r>
    </w:p>
    <w:p>
      <w:pPr>
        <w:pStyle w:val="BodyText"/>
        <w:spacing w:before="184"/>
        <w:ind w:left="1260"/>
      </w:pPr>
      <w:r>
        <w:rPr/>
        <w:t>1、因技术因素而产生的风险，如电脑系统不可靠产生的风险；</w:t>
      </w:r>
    </w:p>
    <w:p>
      <w:pPr>
        <w:pStyle w:val="BodyText"/>
        <w:spacing w:line="364" w:lineRule="auto" w:before="139"/>
        <w:ind w:left="840" w:right="830" w:firstLine="420"/>
      </w:pPr>
      <w:r>
        <w:rPr/>
        <w:t>2、因战争、自然灾害等不可抗力导致的基金管理人、基金托管人、基金服务机构等机构无法正常工作，从而影响基金运作的风险；</w:t>
      </w:r>
    </w:p>
    <w:p>
      <w:pPr>
        <w:pStyle w:val="BodyText"/>
        <w:spacing w:line="364" w:lineRule="auto"/>
        <w:ind w:left="840" w:right="830" w:firstLine="420"/>
      </w:pPr>
      <w:r>
        <w:rPr/>
        <w:t>3、因金融市场危机、代理商违约、基金托管人违约等超出基金管理人自身控制能力的因素出现，可能导致基金或者基金份额持有人利益受损的风险。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638" w:top="1380" w:bottom="900" w:left="960" w:right="980"/>
        </w:sectPr>
      </w:pPr>
    </w:p>
    <w:p>
      <w:pPr>
        <w:pStyle w:val="Heading1"/>
        <w:ind w:left="2143"/>
      </w:pPr>
      <w:bookmarkStart w:name="_bookmark96" w:id="97"/>
      <w:bookmarkEnd w:id="97"/>
      <w:r>
        <w:rPr/>
      </w:r>
      <w:r>
        <w:rPr/>
        <w:t>二十、基金合同的变更、终止与基金财产的清算</w:t>
      </w:r>
    </w:p>
    <w:p>
      <w:pPr>
        <w:spacing w:before="199"/>
        <w:ind w:left="840" w:right="0" w:firstLine="0"/>
        <w:jc w:val="left"/>
        <w:rPr>
          <w:sz w:val="28"/>
        </w:rPr>
      </w:pPr>
      <w:bookmarkStart w:name="_bookmark97" w:id="98"/>
      <w:bookmarkEnd w:id="98"/>
      <w:r>
        <w:rPr/>
      </w:r>
      <w:r>
        <w:rPr>
          <w:sz w:val="28"/>
        </w:rPr>
        <w:t>（一）基金合同的变更</w:t>
      </w:r>
    </w:p>
    <w:p>
      <w:pPr>
        <w:pStyle w:val="BodyText"/>
        <w:spacing w:line="364" w:lineRule="auto" w:before="185"/>
        <w:ind w:left="840" w:right="818" w:firstLine="420"/>
      </w:pPr>
      <w:r>
        <w:rPr/>
        <w:t>1、变更基金合同涉及法律法规规定或基金合同约定应经基金份额持有人大会决议通过的事项的，应召开基金份额持有人大会决议通过。</w:t>
      </w:r>
    </w:p>
    <w:p>
      <w:pPr>
        <w:pStyle w:val="BodyText"/>
        <w:spacing w:line="364" w:lineRule="auto"/>
        <w:ind w:left="840" w:right="818" w:firstLine="420"/>
      </w:pPr>
      <w:r>
        <w:rPr/>
        <w:t>2、变更基金合同的基金份额持有人大会决议应报中国证监会备案，并自表决通过之日起生效。</w:t>
      </w:r>
    </w:p>
    <w:p>
      <w:pPr>
        <w:pStyle w:val="BodyText"/>
        <w:spacing w:line="364" w:lineRule="auto"/>
        <w:ind w:left="840" w:right="818" w:firstLine="420"/>
        <w:jc w:val="both"/>
      </w:pPr>
      <w:r>
        <w:rPr/>
        <w:t>3、但如因相应的法律法规发生变动并属于本基金合同必须遵照进行修改的情形，或者基金合同的修改不涉及本基金合同当事人权利义务关系发生变化或对基金份额持有人利益</w:t>
      </w:r>
      <w:r>
        <w:rPr>
          <w:spacing w:val="-8"/>
        </w:rPr>
        <w:t>无实质性不利影响的，可不经基金份额持有人大会决议，而经基金管理人和基金托管人同意</w:t>
      </w:r>
      <w:r>
        <w:rPr/>
        <w:t>修改后公布，并报中国证监会备案。</w:t>
      </w:r>
    </w:p>
    <w:p>
      <w:pPr>
        <w:spacing w:line="358" w:lineRule="exact" w:before="0"/>
        <w:ind w:left="840" w:right="0" w:firstLine="0"/>
        <w:jc w:val="left"/>
        <w:rPr>
          <w:sz w:val="28"/>
        </w:rPr>
      </w:pPr>
      <w:bookmarkStart w:name="_bookmark98" w:id="99"/>
      <w:bookmarkEnd w:id="99"/>
      <w:r>
        <w:rPr/>
      </w:r>
      <w:r>
        <w:rPr>
          <w:sz w:val="28"/>
        </w:rPr>
        <w:t>（二）基金合同的终止</w:t>
      </w:r>
    </w:p>
    <w:p>
      <w:pPr>
        <w:pStyle w:val="BodyText"/>
        <w:spacing w:before="183"/>
        <w:ind w:left="1260"/>
      </w:pPr>
      <w:r>
        <w:rPr/>
        <w:t>有下列情形之一的，本基金合同应当终止：</w:t>
      </w:r>
    </w:p>
    <w:p>
      <w:pPr>
        <w:pStyle w:val="BodyText"/>
        <w:spacing w:before="139"/>
        <w:ind w:left="1260"/>
      </w:pPr>
      <w:r>
        <w:rPr/>
        <w:t>1、基金份额持有人大会决定终止；</w:t>
      </w:r>
    </w:p>
    <w:p>
      <w:pPr>
        <w:pStyle w:val="BodyText"/>
        <w:spacing w:before="140"/>
        <w:ind w:left="1260"/>
      </w:pPr>
      <w:r>
        <w:rPr/>
        <w:t>2、因重大违法、违规行为，被中国证监会责令终止的；</w:t>
      </w:r>
    </w:p>
    <w:p>
      <w:pPr>
        <w:pStyle w:val="BodyText"/>
        <w:spacing w:line="364" w:lineRule="auto" w:before="139"/>
        <w:ind w:left="840" w:right="818" w:firstLine="420"/>
      </w:pPr>
      <w:r>
        <w:rPr/>
        <w:t>3、基金管理人、基金托管人职责终止，在六个月内没有新基金管理人、基金托管人承接的；</w:t>
      </w:r>
    </w:p>
    <w:p>
      <w:pPr>
        <w:pStyle w:val="BodyText"/>
        <w:spacing w:line="268" w:lineRule="exact"/>
        <w:ind w:left="1260"/>
      </w:pPr>
      <w:r>
        <w:rPr/>
        <w:t>4、法律法规和基金合同规定的其他情形。</w:t>
      </w:r>
    </w:p>
    <w:p>
      <w:pPr>
        <w:pStyle w:val="BodyText"/>
        <w:spacing w:line="364" w:lineRule="auto" w:before="140"/>
        <w:ind w:left="840" w:right="81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w:t>
      </w:r>
    </w:p>
    <w:p>
      <w:pPr>
        <w:spacing w:line="358" w:lineRule="exact" w:before="0"/>
        <w:ind w:left="840" w:right="0" w:firstLine="0"/>
        <w:jc w:val="left"/>
        <w:rPr>
          <w:sz w:val="28"/>
        </w:rPr>
      </w:pPr>
      <w:bookmarkStart w:name="_bookmark99" w:id="100"/>
      <w:bookmarkEnd w:id="100"/>
      <w:r>
        <w:rPr/>
      </w:r>
      <w:r>
        <w:rPr>
          <w:sz w:val="28"/>
        </w:rPr>
        <w:t>（三）基金财产的清算</w:t>
      </w:r>
    </w:p>
    <w:p>
      <w:pPr>
        <w:pStyle w:val="BodyText"/>
        <w:spacing w:before="185"/>
        <w:ind w:left="1260"/>
      </w:pPr>
      <w:r>
        <w:rPr/>
        <w:t>1、基金合同终止，应当按法律法规和本基金合同的有关规定对基金财产进行清算。</w:t>
      </w:r>
    </w:p>
    <w:p>
      <w:pPr>
        <w:pStyle w:val="BodyText"/>
        <w:spacing w:before="139"/>
        <w:ind w:left="1260"/>
      </w:pPr>
      <w:r>
        <w:rPr/>
        <w:t>2、基金财产清算组</w:t>
      </w:r>
    </w:p>
    <w:p>
      <w:pPr>
        <w:pStyle w:val="ListParagraph"/>
        <w:numPr>
          <w:ilvl w:val="0"/>
          <w:numId w:val="28"/>
        </w:numPr>
        <w:tabs>
          <w:tab w:pos="1787" w:val="left" w:leader="none"/>
        </w:tabs>
        <w:spacing w:line="364" w:lineRule="auto" w:before="139" w:after="0"/>
        <w:ind w:left="840" w:right="818" w:firstLine="420"/>
        <w:jc w:val="both"/>
        <w:rPr>
          <w:sz w:val="21"/>
        </w:rPr>
      </w:pPr>
      <w:r>
        <w:rPr>
          <w:sz w:val="21"/>
        </w:rPr>
        <w:t>自基金合同终止事由之日起三十个工作日内由基金管理人组织成立基金财产清算</w:t>
      </w:r>
      <w:r>
        <w:rPr>
          <w:spacing w:val="-11"/>
          <w:sz w:val="21"/>
        </w:rPr>
        <w:t>组，在基金财产清算组接管基金财产之前，基金管理人和基金托管人应按照基金合同和托管</w:t>
      </w:r>
      <w:r>
        <w:rPr>
          <w:sz w:val="21"/>
        </w:rPr>
        <w:t>协议的规定继续履行保护基金财产安全的职责。</w:t>
      </w:r>
    </w:p>
    <w:p>
      <w:pPr>
        <w:pStyle w:val="ListParagraph"/>
        <w:numPr>
          <w:ilvl w:val="0"/>
          <w:numId w:val="28"/>
        </w:numPr>
        <w:tabs>
          <w:tab w:pos="1787" w:val="left" w:leader="none"/>
        </w:tabs>
        <w:spacing w:line="364" w:lineRule="auto" w:before="0" w:after="0"/>
        <w:ind w:left="840" w:right="818" w:firstLine="420"/>
        <w:jc w:val="both"/>
        <w:rPr>
          <w:sz w:val="21"/>
        </w:rPr>
      </w:pPr>
      <w:r>
        <w:rPr>
          <w:sz w:val="21"/>
        </w:rPr>
        <w:t>基金财产清算组成员由基金管理人、基金托管人、具有从事证券相关业务资格的</w:t>
      </w:r>
      <w:r>
        <w:rPr>
          <w:spacing w:val="-10"/>
          <w:sz w:val="21"/>
        </w:rPr>
        <w:t>注册会计师、律师以及中国证监会指定的人员组成。基金财产清算组可以聘用必要的工作人</w:t>
      </w:r>
      <w:r>
        <w:rPr>
          <w:sz w:val="21"/>
        </w:rPr>
        <w:t>员。</w:t>
      </w:r>
    </w:p>
    <w:p>
      <w:pPr>
        <w:pStyle w:val="ListParagraph"/>
        <w:numPr>
          <w:ilvl w:val="0"/>
          <w:numId w:val="28"/>
        </w:numPr>
        <w:tabs>
          <w:tab w:pos="1787" w:val="left" w:leader="none"/>
        </w:tabs>
        <w:spacing w:line="364" w:lineRule="auto" w:before="0" w:after="0"/>
        <w:ind w:left="840" w:right="818" w:firstLine="420"/>
        <w:jc w:val="left"/>
        <w:rPr>
          <w:sz w:val="21"/>
        </w:rPr>
      </w:pPr>
      <w:r>
        <w:rPr>
          <w:sz w:val="21"/>
        </w:rPr>
        <w:t>基金财产清算组负责基金财产的保管、清理、估价、变现和分配。基金财产清算组可以依法进行必要的民事活动。</w:t>
      </w:r>
    </w:p>
    <w:p>
      <w:pPr>
        <w:pStyle w:val="BodyText"/>
        <w:spacing w:line="268" w:lineRule="exact"/>
        <w:ind w:left="1260"/>
      </w:pPr>
      <w:r>
        <w:rPr/>
        <w:t>3、清算程序</w:t>
      </w:r>
    </w:p>
    <w:p>
      <w:pPr>
        <w:pStyle w:val="ListParagraph"/>
        <w:numPr>
          <w:ilvl w:val="0"/>
          <w:numId w:val="29"/>
        </w:numPr>
        <w:tabs>
          <w:tab w:pos="1786" w:val="left" w:leader="none"/>
        </w:tabs>
        <w:spacing w:line="240" w:lineRule="auto" w:before="137" w:after="0"/>
        <w:ind w:left="1786" w:right="0" w:hanging="526"/>
        <w:jc w:val="left"/>
        <w:rPr>
          <w:sz w:val="21"/>
        </w:rPr>
      </w:pPr>
      <w:r>
        <w:rPr>
          <w:sz w:val="21"/>
        </w:rPr>
        <w:t>基金合同终止情形发生后，由基金财产清算组统一接管基金财产；</w:t>
      </w:r>
    </w:p>
    <w:p>
      <w:pPr>
        <w:spacing w:after="0" w:line="240" w:lineRule="auto"/>
        <w:jc w:val="left"/>
        <w:rPr>
          <w:sz w:val="21"/>
        </w:rPr>
        <w:sectPr>
          <w:pgSz w:w="11910" w:h="16840"/>
          <w:pgMar w:header="0" w:footer="638" w:top="1380" w:bottom="900" w:left="960" w:right="980"/>
        </w:sectPr>
      </w:pPr>
    </w:p>
    <w:p>
      <w:pPr>
        <w:pStyle w:val="ListParagraph"/>
        <w:numPr>
          <w:ilvl w:val="0"/>
          <w:numId w:val="29"/>
        </w:numPr>
        <w:tabs>
          <w:tab w:pos="1786" w:val="left" w:leader="none"/>
        </w:tabs>
        <w:spacing w:line="240" w:lineRule="auto" w:before="45" w:after="0"/>
        <w:ind w:left="1786" w:right="0" w:hanging="526"/>
        <w:jc w:val="left"/>
        <w:rPr>
          <w:sz w:val="21"/>
        </w:rPr>
      </w:pPr>
      <w:r>
        <w:rPr>
          <w:sz w:val="21"/>
        </w:rPr>
        <w:t>基金财产清算组根据基金财产的情况确定清算期限；</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基金财产清算组对基金财产进行清理和确认；</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对基金财产进行评估和变现；</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制作清算报告；</w:t>
      </w:r>
    </w:p>
    <w:p>
      <w:pPr>
        <w:pStyle w:val="ListParagraph"/>
        <w:numPr>
          <w:ilvl w:val="0"/>
          <w:numId w:val="29"/>
        </w:numPr>
        <w:tabs>
          <w:tab w:pos="1787" w:val="left" w:leader="none"/>
        </w:tabs>
        <w:spacing w:line="364" w:lineRule="auto" w:before="140" w:after="0"/>
        <w:ind w:left="840" w:right="818" w:firstLine="420"/>
        <w:jc w:val="left"/>
        <w:rPr>
          <w:sz w:val="21"/>
        </w:rPr>
      </w:pPr>
      <w:r>
        <w:rPr>
          <w:sz w:val="21"/>
        </w:rPr>
        <w:t>聘请会计师事务所对清算报告进行外部审计，聘请律师事务所对清算报告出具法律意见书；</w:t>
      </w:r>
    </w:p>
    <w:p>
      <w:pPr>
        <w:pStyle w:val="ListParagraph"/>
        <w:numPr>
          <w:ilvl w:val="0"/>
          <w:numId w:val="29"/>
        </w:numPr>
        <w:tabs>
          <w:tab w:pos="1786" w:val="left" w:leader="none"/>
        </w:tabs>
        <w:spacing w:line="268" w:lineRule="exact" w:before="0" w:after="0"/>
        <w:ind w:left="1786" w:right="0" w:hanging="526"/>
        <w:jc w:val="left"/>
        <w:rPr>
          <w:sz w:val="21"/>
        </w:rPr>
      </w:pPr>
      <w:r>
        <w:rPr>
          <w:sz w:val="21"/>
        </w:rPr>
        <w:t>将清算报告报中国证监会备案并公告。</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对基金财产进行分配。</w:t>
      </w:r>
    </w:p>
    <w:p>
      <w:pPr>
        <w:pStyle w:val="BodyText"/>
        <w:spacing w:before="140"/>
        <w:ind w:left="1260"/>
      </w:pPr>
      <w:r>
        <w:rPr/>
        <w:t>4、清算费用</w:t>
      </w:r>
    </w:p>
    <w:p>
      <w:pPr>
        <w:pStyle w:val="BodyText"/>
        <w:spacing w:line="364" w:lineRule="auto" w:before="139"/>
        <w:ind w:left="840" w:right="818" w:firstLine="420"/>
      </w:pPr>
      <w:r>
        <w:rPr>
          <w:spacing w:val="-4"/>
        </w:rPr>
        <w:t>清算费用是指基金财产清算组在进行基金清算过程中发生的所有合理费用，清算费用由</w:t>
      </w:r>
      <w:r>
        <w:rPr/>
        <w:t>基金财产清算组优先从基金财产中支付。</w:t>
      </w:r>
    </w:p>
    <w:p>
      <w:pPr>
        <w:pStyle w:val="BodyText"/>
        <w:spacing w:line="268" w:lineRule="exact"/>
        <w:ind w:left="1260"/>
      </w:pPr>
      <w:r>
        <w:rPr/>
        <w:t>5、基金剩余财产的分配</w:t>
      </w:r>
    </w:p>
    <w:p>
      <w:pPr>
        <w:pStyle w:val="BodyText"/>
        <w:spacing w:before="139"/>
        <w:ind w:left="1260"/>
      </w:pPr>
      <w:r>
        <w:rPr/>
        <w:t>基金财产按下列顺序清偿：</w:t>
      </w:r>
    </w:p>
    <w:p>
      <w:pPr>
        <w:pStyle w:val="ListParagraph"/>
        <w:numPr>
          <w:ilvl w:val="0"/>
          <w:numId w:val="30"/>
        </w:numPr>
        <w:tabs>
          <w:tab w:pos="1786" w:val="left" w:leader="none"/>
        </w:tabs>
        <w:spacing w:line="240" w:lineRule="auto" w:before="140" w:after="0"/>
        <w:ind w:left="1786" w:right="0" w:hanging="526"/>
        <w:jc w:val="left"/>
        <w:rPr>
          <w:sz w:val="21"/>
        </w:rPr>
      </w:pPr>
      <w:r>
        <w:rPr>
          <w:sz w:val="21"/>
        </w:rPr>
        <w:t>支付清算费用；</w:t>
      </w:r>
    </w:p>
    <w:p>
      <w:pPr>
        <w:pStyle w:val="ListParagraph"/>
        <w:numPr>
          <w:ilvl w:val="0"/>
          <w:numId w:val="30"/>
        </w:numPr>
        <w:tabs>
          <w:tab w:pos="1786" w:val="left" w:leader="none"/>
        </w:tabs>
        <w:spacing w:line="240" w:lineRule="auto" w:before="139" w:after="0"/>
        <w:ind w:left="1786" w:right="0" w:hanging="526"/>
        <w:jc w:val="left"/>
        <w:rPr>
          <w:sz w:val="21"/>
        </w:rPr>
      </w:pPr>
      <w:r>
        <w:rPr>
          <w:sz w:val="21"/>
        </w:rPr>
        <w:t>交纳所欠税款；</w:t>
      </w:r>
    </w:p>
    <w:p>
      <w:pPr>
        <w:pStyle w:val="ListParagraph"/>
        <w:numPr>
          <w:ilvl w:val="0"/>
          <w:numId w:val="30"/>
        </w:numPr>
        <w:tabs>
          <w:tab w:pos="1786" w:val="left" w:leader="none"/>
        </w:tabs>
        <w:spacing w:line="240" w:lineRule="auto" w:before="140" w:after="0"/>
        <w:ind w:left="1786" w:right="0" w:hanging="526"/>
        <w:jc w:val="left"/>
        <w:rPr>
          <w:sz w:val="21"/>
        </w:rPr>
      </w:pPr>
      <w:r>
        <w:rPr>
          <w:sz w:val="21"/>
        </w:rPr>
        <w:t>清偿基金债务；</w:t>
      </w:r>
    </w:p>
    <w:p>
      <w:pPr>
        <w:pStyle w:val="ListParagraph"/>
        <w:numPr>
          <w:ilvl w:val="0"/>
          <w:numId w:val="30"/>
        </w:numPr>
        <w:tabs>
          <w:tab w:pos="1786" w:val="left" w:leader="none"/>
        </w:tabs>
        <w:spacing w:line="240" w:lineRule="auto" w:before="139" w:after="0"/>
        <w:ind w:left="1786" w:right="0" w:hanging="526"/>
        <w:jc w:val="left"/>
        <w:rPr>
          <w:sz w:val="21"/>
        </w:rPr>
      </w:pPr>
      <w:r>
        <w:rPr>
          <w:sz w:val="21"/>
        </w:rPr>
        <w:t>按基金份额持有人持有的基金份额比例进行分配。</w:t>
      </w:r>
    </w:p>
    <w:p>
      <w:pPr>
        <w:pStyle w:val="BodyText"/>
        <w:spacing w:before="140"/>
        <w:ind w:left="1260"/>
      </w:pPr>
      <w:r>
        <w:rPr/>
        <w:t>基金财产未按前款（1</w:t>
      </w:r>
      <w:r>
        <w:rPr>
          <w:spacing w:val="-105"/>
        </w:rPr>
        <w:t>）、</w:t>
      </w:r>
      <w:r>
        <w:rPr/>
        <w:t>（2</w:t>
      </w:r>
      <w:r>
        <w:rPr>
          <w:spacing w:val="-105"/>
        </w:rPr>
        <w:t>）、</w:t>
      </w:r>
      <w:r>
        <w:rPr/>
        <w:t>（3）项规定清偿前，不分配给基金份额持有人。</w:t>
      </w:r>
    </w:p>
    <w:p>
      <w:pPr>
        <w:pStyle w:val="BodyText"/>
        <w:spacing w:before="139"/>
        <w:ind w:left="1260"/>
      </w:pPr>
      <w:r>
        <w:rPr/>
        <w:t>6、基金财产清算的公告</w:t>
      </w:r>
    </w:p>
    <w:p>
      <w:pPr>
        <w:pStyle w:val="BodyText"/>
        <w:spacing w:line="364" w:lineRule="auto" w:before="140"/>
        <w:ind w:left="840" w:right="608" w:firstLine="420"/>
      </w:pPr>
      <w:r>
        <w:rPr/>
        <w:t>基金财产清算组做出的清算报告经会计师事务所审计，律师事务所出具法律意见书后， 报中国证监会备案并公告。</w:t>
      </w:r>
    </w:p>
    <w:p>
      <w:pPr>
        <w:pStyle w:val="BodyText"/>
        <w:spacing w:line="268" w:lineRule="exact"/>
        <w:ind w:left="1260"/>
      </w:pPr>
      <w:r>
        <w:rPr/>
        <w:t>7、基金财产清算账册及文件由基金托管人保存十五年以上。</w:t>
      </w:r>
    </w:p>
    <w:p>
      <w:pPr>
        <w:spacing w:after="0" w:line="268" w:lineRule="exact"/>
        <w:sectPr>
          <w:pgSz w:w="11910" w:h="16840"/>
          <w:pgMar w:header="0" w:footer="638" w:top="1380" w:bottom="900" w:left="960" w:right="980"/>
        </w:sectPr>
      </w:pPr>
    </w:p>
    <w:p>
      <w:pPr>
        <w:pStyle w:val="Heading1"/>
        <w:ind w:left="3343"/>
      </w:pPr>
      <w:bookmarkStart w:name="_bookmark100" w:id="101"/>
      <w:bookmarkEnd w:id="101"/>
      <w:r>
        <w:rPr/>
      </w:r>
      <w:r>
        <w:rPr/>
        <w:t>二十一、基金合同的内容摘要</w:t>
      </w:r>
    </w:p>
    <w:p>
      <w:pPr>
        <w:spacing w:before="199"/>
        <w:ind w:left="840" w:right="0" w:firstLine="0"/>
        <w:jc w:val="left"/>
        <w:rPr>
          <w:sz w:val="28"/>
        </w:rPr>
      </w:pPr>
      <w:bookmarkStart w:name="_bookmark101" w:id="102"/>
      <w:bookmarkEnd w:id="102"/>
      <w:r>
        <w:rPr/>
      </w:r>
      <w:r>
        <w:rPr>
          <w:sz w:val="28"/>
        </w:rPr>
        <w:t>（一）基金管理人的权利和义务</w:t>
      </w:r>
    </w:p>
    <w:p>
      <w:pPr>
        <w:pStyle w:val="Heading3"/>
        <w:spacing w:before="116"/>
      </w:pPr>
      <w:r>
        <w:rPr/>
        <w:t>1、基金管理人的权利</w:t>
      </w:r>
    </w:p>
    <w:p>
      <w:pPr>
        <w:pStyle w:val="ListParagraph"/>
        <w:numPr>
          <w:ilvl w:val="0"/>
          <w:numId w:val="31"/>
        </w:numPr>
        <w:tabs>
          <w:tab w:pos="1786" w:val="left" w:leader="none"/>
        </w:tabs>
        <w:spacing w:line="240" w:lineRule="auto" w:before="91" w:after="0"/>
        <w:ind w:left="1786" w:right="0" w:hanging="526"/>
        <w:jc w:val="left"/>
        <w:rPr>
          <w:sz w:val="21"/>
        </w:rPr>
      </w:pPr>
      <w:r>
        <w:rPr>
          <w:sz w:val="21"/>
        </w:rPr>
        <w:t>依法募集基金，办理基金备案手续；</w:t>
      </w:r>
    </w:p>
    <w:p>
      <w:pPr>
        <w:pStyle w:val="ListParagraph"/>
        <w:numPr>
          <w:ilvl w:val="0"/>
          <w:numId w:val="31"/>
        </w:numPr>
        <w:tabs>
          <w:tab w:pos="1786" w:val="left" w:leader="none"/>
        </w:tabs>
        <w:spacing w:line="240" w:lineRule="auto" w:before="140" w:after="0"/>
        <w:ind w:left="1786" w:right="0" w:hanging="526"/>
        <w:jc w:val="left"/>
        <w:rPr>
          <w:sz w:val="21"/>
        </w:rPr>
      </w:pPr>
      <w:r>
        <w:rPr>
          <w:sz w:val="21"/>
        </w:rPr>
        <w:t>依照法律法规和基金合同独立管理运用基金财产；</w:t>
      </w:r>
    </w:p>
    <w:p>
      <w:pPr>
        <w:pStyle w:val="ListParagraph"/>
        <w:numPr>
          <w:ilvl w:val="0"/>
          <w:numId w:val="31"/>
        </w:numPr>
        <w:tabs>
          <w:tab w:pos="1787" w:val="left" w:leader="none"/>
        </w:tabs>
        <w:spacing w:line="364" w:lineRule="auto" w:before="139" w:after="0"/>
        <w:ind w:left="840" w:right="608" w:firstLine="420"/>
        <w:jc w:val="left"/>
        <w:rPr>
          <w:sz w:val="21"/>
        </w:rPr>
      </w:pPr>
      <w:r>
        <w:rPr>
          <w:sz w:val="21"/>
        </w:rPr>
        <w:t>根据法律法规和基金合同的规定，制订、修改并公布有关基金认购、申购、赎回、转托管、基金转换、非交易过户、冻结、收益分配等方面的业务规则；</w:t>
      </w:r>
    </w:p>
    <w:p>
      <w:pPr>
        <w:pStyle w:val="ListParagraph"/>
        <w:numPr>
          <w:ilvl w:val="0"/>
          <w:numId w:val="31"/>
        </w:numPr>
        <w:tabs>
          <w:tab w:pos="1787" w:val="left" w:leader="none"/>
        </w:tabs>
        <w:spacing w:line="364" w:lineRule="auto" w:before="0" w:after="0"/>
        <w:ind w:left="840" w:right="818" w:firstLine="420"/>
        <w:jc w:val="left"/>
        <w:rPr>
          <w:sz w:val="21"/>
        </w:rPr>
      </w:pPr>
      <w:r>
        <w:rPr>
          <w:sz w:val="21"/>
        </w:rPr>
        <w:t>依照《基金合同》收取基金管理费以及法律法规规定或中国证监会批准的其他费用；</w:t>
      </w:r>
    </w:p>
    <w:p>
      <w:pPr>
        <w:pStyle w:val="ListParagraph"/>
        <w:numPr>
          <w:ilvl w:val="0"/>
          <w:numId w:val="31"/>
        </w:numPr>
        <w:tabs>
          <w:tab w:pos="1786" w:val="left" w:leader="none"/>
        </w:tabs>
        <w:spacing w:line="268" w:lineRule="exact" w:before="0" w:after="0"/>
        <w:ind w:left="1786" w:right="0" w:hanging="526"/>
        <w:jc w:val="left"/>
        <w:rPr>
          <w:sz w:val="21"/>
        </w:rPr>
      </w:pPr>
      <w:r>
        <w:rPr>
          <w:sz w:val="21"/>
        </w:rPr>
        <w:t>根据法律法规和基金合同的规定销售基金份额；</w:t>
      </w:r>
    </w:p>
    <w:p>
      <w:pPr>
        <w:pStyle w:val="ListParagraph"/>
        <w:numPr>
          <w:ilvl w:val="0"/>
          <w:numId w:val="31"/>
        </w:numPr>
        <w:tabs>
          <w:tab w:pos="1787" w:val="left" w:leader="none"/>
        </w:tabs>
        <w:spacing w:line="364" w:lineRule="auto" w:before="139" w:after="0"/>
        <w:ind w:left="840" w:right="818" w:firstLine="420"/>
        <w:jc w:val="both"/>
        <w:rPr>
          <w:sz w:val="21"/>
        </w:rPr>
      </w:pPr>
      <w:r>
        <w:rPr>
          <w:sz w:val="21"/>
        </w:rPr>
        <w:t>在本合同的有效期内，在不违反公平、合理原则以及不妨碍基金托管人遵守相关</w:t>
      </w:r>
      <w:r>
        <w:rPr>
          <w:spacing w:val="-7"/>
          <w:sz w:val="21"/>
        </w:rPr>
        <w:t>法律法规及其行业监管要求的基础上，基金管理人有权对基金托管人履行本合同的情况进行</w:t>
      </w:r>
      <w:r>
        <w:rPr>
          <w:spacing w:val="-10"/>
          <w:sz w:val="21"/>
        </w:rPr>
        <w:t>必要的监督。如认为基金托管人违反了法律法规或基金合同规定对基金财产、其他基金合同</w:t>
      </w:r>
      <w:r>
        <w:rPr>
          <w:spacing w:val="-7"/>
          <w:sz w:val="21"/>
        </w:rPr>
        <w:t>当事人的利益造成重大损失的，应及时呈报中国证监会和中国银行保险监督管理委员会，以</w:t>
      </w:r>
      <w:r>
        <w:rPr>
          <w:sz w:val="21"/>
        </w:rPr>
        <w:t>及采取其他必要措施以保护本基金及相关基金合同当事人的利益；</w:t>
      </w:r>
    </w:p>
    <w:p>
      <w:pPr>
        <w:pStyle w:val="ListParagraph"/>
        <w:numPr>
          <w:ilvl w:val="0"/>
          <w:numId w:val="31"/>
        </w:numPr>
        <w:tabs>
          <w:tab w:pos="1787" w:val="left" w:leader="none"/>
        </w:tabs>
        <w:spacing w:line="364" w:lineRule="auto" w:before="0" w:after="0"/>
        <w:ind w:left="840" w:right="818" w:firstLine="420"/>
        <w:jc w:val="left"/>
        <w:rPr>
          <w:sz w:val="21"/>
        </w:rPr>
      </w:pPr>
      <w:r>
        <w:rPr>
          <w:sz w:val="21"/>
        </w:rPr>
        <w:t>根据基金合同的规定选择适当的基金代销机构并有权依照代销协议和有关法律法规对基金代销机构行为进行必要的监督和检查；</w:t>
      </w:r>
    </w:p>
    <w:p>
      <w:pPr>
        <w:pStyle w:val="ListParagraph"/>
        <w:numPr>
          <w:ilvl w:val="0"/>
          <w:numId w:val="31"/>
        </w:numPr>
        <w:tabs>
          <w:tab w:pos="1787" w:val="left" w:leader="none"/>
        </w:tabs>
        <w:spacing w:line="364" w:lineRule="auto" w:before="0" w:after="0"/>
        <w:ind w:left="840" w:right="818" w:firstLine="420"/>
        <w:jc w:val="left"/>
        <w:rPr>
          <w:sz w:val="21"/>
        </w:rPr>
      </w:pPr>
      <w:r>
        <w:rPr>
          <w:sz w:val="21"/>
        </w:rPr>
        <w:t>自行担任基金注册登记机构或选择、更换基金注册登记代理机构，办理基金注册登记业务，并按照基金合同规定对基金注册登记代理机构进行必要的监督和检查；</w:t>
      </w:r>
    </w:p>
    <w:p>
      <w:pPr>
        <w:pStyle w:val="ListParagraph"/>
        <w:numPr>
          <w:ilvl w:val="0"/>
          <w:numId w:val="31"/>
        </w:numPr>
        <w:tabs>
          <w:tab w:pos="1786" w:val="left" w:leader="none"/>
        </w:tabs>
        <w:spacing w:line="268" w:lineRule="exact" w:before="0" w:after="0"/>
        <w:ind w:left="1786" w:right="0" w:hanging="526"/>
        <w:jc w:val="left"/>
        <w:rPr>
          <w:sz w:val="21"/>
        </w:rPr>
      </w:pPr>
      <w:r>
        <w:rPr>
          <w:sz w:val="21"/>
        </w:rPr>
        <w:t>在基金合同约定的范围内，拒绝或暂停受理申购和赎回的申请；</w:t>
      </w:r>
    </w:p>
    <w:p>
      <w:pPr>
        <w:pStyle w:val="ListParagraph"/>
        <w:numPr>
          <w:ilvl w:val="0"/>
          <w:numId w:val="31"/>
        </w:numPr>
        <w:tabs>
          <w:tab w:pos="1891" w:val="left" w:leader="none"/>
        </w:tabs>
        <w:spacing w:line="240" w:lineRule="auto" w:before="136" w:after="0"/>
        <w:ind w:left="1891" w:right="0" w:hanging="631"/>
        <w:jc w:val="left"/>
        <w:rPr>
          <w:sz w:val="21"/>
        </w:rPr>
      </w:pPr>
      <w:r>
        <w:rPr>
          <w:spacing w:val="-9"/>
          <w:sz w:val="21"/>
        </w:rPr>
        <w:t>在法律法规允许的前提下，为基金份额持有人的利益依法为基金进行融资、融券；</w:t>
      </w:r>
    </w:p>
    <w:p>
      <w:pPr>
        <w:pStyle w:val="ListParagraph"/>
        <w:numPr>
          <w:ilvl w:val="0"/>
          <w:numId w:val="31"/>
        </w:numPr>
        <w:tabs>
          <w:tab w:pos="1891" w:val="left" w:leader="none"/>
        </w:tabs>
        <w:spacing w:line="240" w:lineRule="auto" w:before="139" w:after="0"/>
        <w:ind w:left="1891" w:right="0" w:hanging="631"/>
        <w:jc w:val="left"/>
        <w:rPr>
          <w:sz w:val="21"/>
        </w:rPr>
      </w:pPr>
      <w:r>
        <w:rPr>
          <w:sz w:val="21"/>
        </w:rPr>
        <w:t>依据法律法规和基金合同的规定，制订基金收益分配方案；</w:t>
      </w:r>
    </w:p>
    <w:p>
      <w:pPr>
        <w:pStyle w:val="ListParagraph"/>
        <w:numPr>
          <w:ilvl w:val="0"/>
          <w:numId w:val="31"/>
        </w:numPr>
        <w:tabs>
          <w:tab w:pos="1891" w:val="left" w:leader="none"/>
        </w:tabs>
        <w:spacing w:line="364" w:lineRule="auto" w:before="140" w:after="0"/>
        <w:ind w:left="840" w:right="817" w:firstLine="420"/>
        <w:jc w:val="left"/>
        <w:rPr>
          <w:sz w:val="21"/>
        </w:rPr>
      </w:pPr>
      <w:r>
        <w:rPr>
          <w:spacing w:val="-7"/>
          <w:sz w:val="21"/>
        </w:rPr>
        <w:t>按照法律法规，代表基金对被投资企业行使股东权利，代表基金行使因投资于</w:t>
      </w:r>
      <w:r>
        <w:rPr>
          <w:spacing w:val="-4"/>
          <w:sz w:val="21"/>
        </w:rPr>
        <w:t>其他证券所产生的权利；</w:t>
      </w:r>
    </w:p>
    <w:p>
      <w:pPr>
        <w:pStyle w:val="ListParagraph"/>
        <w:numPr>
          <w:ilvl w:val="0"/>
          <w:numId w:val="31"/>
        </w:numPr>
        <w:tabs>
          <w:tab w:pos="1891" w:val="left" w:leader="none"/>
        </w:tabs>
        <w:spacing w:line="268" w:lineRule="exact" w:before="0" w:after="0"/>
        <w:ind w:left="1891" w:right="0" w:hanging="631"/>
        <w:jc w:val="left"/>
        <w:rPr>
          <w:sz w:val="21"/>
        </w:rPr>
      </w:pPr>
      <w:r>
        <w:rPr>
          <w:sz w:val="21"/>
        </w:rPr>
        <w:t>在基金托管人职责终止时，提名新的基金托管人；</w:t>
      </w:r>
    </w:p>
    <w:p>
      <w:pPr>
        <w:pStyle w:val="ListParagraph"/>
        <w:numPr>
          <w:ilvl w:val="0"/>
          <w:numId w:val="31"/>
        </w:numPr>
        <w:tabs>
          <w:tab w:pos="1891" w:val="left" w:leader="none"/>
        </w:tabs>
        <w:spacing w:line="240" w:lineRule="auto" w:before="139" w:after="0"/>
        <w:ind w:left="1891" w:right="0" w:hanging="631"/>
        <w:jc w:val="left"/>
        <w:rPr>
          <w:sz w:val="21"/>
        </w:rPr>
      </w:pPr>
      <w:r>
        <w:rPr>
          <w:sz w:val="21"/>
        </w:rPr>
        <w:t>依据法律法规和基金合同的规定，召集基金份额持有人大会；</w:t>
      </w:r>
    </w:p>
    <w:p>
      <w:pPr>
        <w:pStyle w:val="ListParagraph"/>
        <w:numPr>
          <w:ilvl w:val="0"/>
          <w:numId w:val="31"/>
        </w:numPr>
        <w:tabs>
          <w:tab w:pos="1891" w:val="left" w:leader="none"/>
        </w:tabs>
        <w:spacing w:line="364" w:lineRule="auto" w:before="140" w:after="0"/>
        <w:ind w:left="840" w:right="818" w:firstLine="420"/>
        <w:jc w:val="left"/>
        <w:rPr>
          <w:sz w:val="21"/>
        </w:rPr>
      </w:pPr>
      <w:r>
        <w:rPr>
          <w:spacing w:val="-5"/>
          <w:sz w:val="21"/>
        </w:rPr>
        <w:t>以基金管理人的名义，代表基金份额持有人利益行使诉讼权利或者实施其他法律行为；</w:t>
      </w:r>
    </w:p>
    <w:p>
      <w:pPr>
        <w:pStyle w:val="ListParagraph"/>
        <w:numPr>
          <w:ilvl w:val="0"/>
          <w:numId w:val="31"/>
        </w:numPr>
        <w:tabs>
          <w:tab w:pos="1891" w:val="left" w:leader="none"/>
        </w:tabs>
        <w:spacing w:line="364" w:lineRule="auto" w:before="0" w:after="0"/>
        <w:ind w:left="840" w:right="818" w:firstLine="420"/>
        <w:jc w:val="left"/>
        <w:rPr>
          <w:sz w:val="21"/>
        </w:rPr>
      </w:pPr>
      <w:r>
        <w:rPr>
          <w:spacing w:val="-10"/>
          <w:sz w:val="21"/>
        </w:rPr>
        <w:t>选择、更换律师、审计师、证券经纪商或其他为基金提供服务的外部机构并确</w:t>
      </w:r>
      <w:r>
        <w:rPr>
          <w:spacing w:val="-4"/>
          <w:sz w:val="21"/>
        </w:rPr>
        <w:t>定有关费率；</w:t>
      </w:r>
    </w:p>
    <w:p>
      <w:pPr>
        <w:pStyle w:val="ListParagraph"/>
        <w:numPr>
          <w:ilvl w:val="0"/>
          <w:numId w:val="31"/>
        </w:numPr>
        <w:tabs>
          <w:tab w:pos="1891" w:val="left" w:leader="none"/>
        </w:tabs>
        <w:spacing w:line="268" w:lineRule="exact" w:before="0" w:after="0"/>
        <w:ind w:left="1891" w:right="0" w:hanging="631"/>
        <w:jc w:val="left"/>
        <w:rPr>
          <w:sz w:val="21"/>
        </w:rPr>
      </w:pPr>
      <w:r>
        <w:rPr>
          <w:sz w:val="21"/>
        </w:rPr>
        <w:t>法律法规、基金合同规定的其他权利。</w:t>
      </w:r>
    </w:p>
    <w:p>
      <w:pPr>
        <w:pStyle w:val="Heading3"/>
        <w:spacing w:before="69"/>
      </w:pPr>
      <w:r>
        <w:rPr/>
        <w:t>2、基金管理人的义务</w:t>
      </w:r>
    </w:p>
    <w:p>
      <w:pPr>
        <w:pStyle w:val="ListParagraph"/>
        <w:numPr>
          <w:ilvl w:val="0"/>
          <w:numId w:val="32"/>
        </w:numPr>
        <w:tabs>
          <w:tab w:pos="1787" w:val="left" w:leader="none"/>
        </w:tabs>
        <w:spacing w:line="240" w:lineRule="auto" w:before="92" w:after="0"/>
        <w:ind w:left="1786" w:right="0" w:hanging="527"/>
        <w:jc w:val="left"/>
        <w:rPr>
          <w:sz w:val="21"/>
        </w:rPr>
      </w:pPr>
      <w:r>
        <w:rPr>
          <w:sz w:val="21"/>
        </w:rPr>
        <w:t>依法募集基金，办理或者委托经国务院证券监督管理机构认定的其他机构代为办</w:t>
      </w:r>
    </w:p>
    <w:p>
      <w:pPr>
        <w:spacing w:after="0" w:line="240" w:lineRule="auto"/>
        <w:jc w:val="left"/>
        <w:rPr>
          <w:sz w:val="21"/>
        </w:rPr>
        <w:sectPr>
          <w:pgSz w:w="11910" w:h="16840"/>
          <w:pgMar w:header="0" w:footer="638" w:top="1380" w:bottom="900" w:left="960" w:right="980"/>
        </w:sectPr>
      </w:pPr>
    </w:p>
    <w:p>
      <w:pPr>
        <w:pStyle w:val="BodyText"/>
        <w:spacing w:before="45"/>
        <w:ind w:left="840"/>
      </w:pPr>
      <w:r>
        <w:rPr/>
        <w:t>理基金份额的发售、申购、赎回和登记事宜；</w:t>
      </w:r>
    </w:p>
    <w:p>
      <w:pPr>
        <w:pStyle w:val="ListParagraph"/>
        <w:numPr>
          <w:ilvl w:val="0"/>
          <w:numId w:val="32"/>
        </w:numPr>
        <w:tabs>
          <w:tab w:pos="1786" w:val="left" w:leader="none"/>
        </w:tabs>
        <w:spacing w:line="240" w:lineRule="auto" w:before="139" w:after="0"/>
        <w:ind w:left="1786" w:right="0" w:hanging="526"/>
        <w:jc w:val="left"/>
        <w:rPr>
          <w:sz w:val="21"/>
        </w:rPr>
      </w:pPr>
      <w:r>
        <w:rPr>
          <w:sz w:val="21"/>
        </w:rPr>
        <w:t>自基金合同生效之日起，以诚实信用、勤勉尽责的原则管理和运用基金财产；</w:t>
      </w:r>
    </w:p>
    <w:p>
      <w:pPr>
        <w:pStyle w:val="ListParagraph"/>
        <w:numPr>
          <w:ilvl w:val="0"/>
          <w:numId w:val="32"/>
        </w:numPr>
        <w:tabs>
          <w:tab w:pos="1786" w:val="left" w:leader="none"/>
        </w:tabs>
        <w:spacing w:line="240" w:lineRule="auto" w:before="140" w:after="0"/>
        <w:ind w:left="1786" w:right="0" w:hanging="526"/>
        <w:jc w:val="left"/>
        <w:rPr>
          <w:sz w:val="21"/>
        </w:rPr>
      </w:pPr>
      <w:r>
        <w:rPr>
          <w:sz w:val="21"/>
        </w:rPr>
        <w:t>办理基金备案手续；</w:t>
      </w:r>
    </w:p>
    <w:p>
      <w:pPr>
        <w:pStyle w:val="ListParagraph"/>
        <w:numPr>
          <w:ilvl w:val="0"/>
          <w:numId w:val="32"/>
        </w:numPr>
        <w:tabs>
          <w:tab w:pos="1787" w:val="left" w:leader="none"/>
        </w:tabs>
        <w:spacing w:line="364" w:lineRule="auto" w:before="139" w:after="0"/>
        <w:ind w:left="840" w:right="8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32"/>
        </w:numPr>
        <w:tabs>
          <w:tab w:pos="1787" w:val="left" w:leader="none"/>
        </w:tabs>
        <w:spacing w:line="364" w:lineRule="auto" w:before="0" w:after="0"/>
        <w:ind w:left="840" w:right="817" w:firstLine="420"/>
        <w:jc w:val="both"/>
        <w:rPr>
          <w:sz w:val="21"/>
        </w:rPr>
      </w:pPr>
      <w:r>
        <w:rPr>
          <w:sz w:val="21"/>
        </w:rPr>
        <w:t>建立健全内部风险控制、监察与稽核、财务管理及人事管理等制度，保证所管理</w:t>
      </w:r>
      <w:r>
        <w:rPr>
          <w:spacing w:val="-5"/>
          <w:sz w:val="21"/>
        </w:rPr>
        <w:t>的基金财产和基金管理人的财产相互独立，对所管理的不同基金分别管理、分别记账，进行</w:t>
      </w:r>
      <w:r>
        <w:rPr>
          <w:sz w:val="21"/>
        </w:rPr>
        <w:t>证券投资；</w:t>
      </w:r>
    </w:p>
    <w:p>
      <w:pPr>
        <w:pStyle w:val="ListParagraph"/>
        <w:numPr>
          <w:ilvl w:val="0"/>
          <w:numId w:val="32"/>
        </w:numPr>
        <w:tabs>
          <w:tab w:pos="1786" w:val="left" w:leader="none"/>
        </w:tabs>
        <w:spacing w:line="268" w:lineRule="exact" w:before="0" w:after="0"/>
        <w:ind w:left="1786" w:right="0" w:hanging="526"/>
        <w:jc w:val="left"/>
        <w:rPr>
          <w:sz w:val="21"/>
        </w:rPr>
      </w:pPr>
      <w:r>
        <w:rPr>
          <w:spacing w:val="-4"/>
          <w:sz w:val="21"/>
        </w:rPr>
        <w:t>按基金合同的约定确定基金收益分配方案，及时向基金份额持有人分配基金收益；</w:t>
      </w:r>
    </w:p>
    <w:p>
      <w:pPr>
        <w:pStyle w:val="ListParagraph"/>
        <w:numPr>
          <w:ilvl w:val="0"/>
          <w:numId w:val="32"/>
        </w:numPr>
        <w:tabs>
          <w:tab w:pos="1787" w:val="left" w:leader="none"/>
        </w:tabs>
        <w:spacing w:line="364" w:lineRule="auto" w:before="139" w:after="0"/>
        <w:ind w:left="840" w:right="818" w:firstLine="420"/>
        <w:jc w:val="left"/>
        <w:rPr>
          <w:sz w:val="21"/>
        </w:rPr>
      </w:pPr>
      <w:r>
        <w:rPr>
          <w:sz w:val="21"/>
        </w:rPr>
        <w:t>除依据《基金法》、基金合同及其他有关规定外，不得为自己及任何第三人谋取利益，不得委托第三人运作基金财产；</w:t>
      </w:r>
    </w:p>
    <w:p>
      <w:pPr>
        <w:pStyle w:val="ListParagraph"/>
        <w:numPr>
          <w:ilvl w:val="0"/>
          <w:numId w:val="32"/>
        </w:numPr>
        <w:tabs>
          <w:tab w:pos="1786" w:val="left" w:leader="none"/>
        </w:tabs>
        <w:spacing w:line="268" w:lineRule="exact" w:before="0" w:after="0"/>
        <w:ind w:left="1786" w:right="0" w:hanging="526"/>
        <w:jc w:val="left"/>
        <w:rPr>
          <w:sz w:val="21"/>
        </w:rPr>
      </w:pPr>
      <w:r>
        <w:rPr>
          <w:sz w:val="21"/>
        </w:rPr>
        <w:t>进行基金会计核算并编制基金的财务会计报告；</w:t>
      </w:r>
    </w:p>
    <w:p>
      <w:pPr>
        <w:pStyle w:val="ListParagraph"/>
        <w:numPr>
          <w:ilvl w:val="0"/>
          <w:numId w:val="32"/>
        </w:numPr>
        <w:tabs>
          <w:tab w:pos="1786" w:val="left" w:leader="none"/>
        </w:tabs>
        <w:spacing w:line="240" w:lineRule="auto" w:before="139" w:after="0"/>
        <w:ind w:left="1786" w:right="0" w:hanging="526"/>
        <w:jc w:val="left"/>
        <w:rPr>
          <w:sz w:val="21"/>
        </w:rPr>
      </w:pPr>
      <w:r>
        <w:rPr>
          <w:sz w:val="21"/>
        </w:rPr>
        <w:t>依法接受基金托管人的监督；</w:t>
      </w:r>
    </w:p>
    <w:p>
      <w:pPr>
        <w:pStyle w:val="ListParagraph"/>
        <w:numPr>
          <w:ilvl w:val="0"/>
          <w:numId w:val="32"/>
        </w:numPr>
        <w:tabs>
          <w:tab w:pos="1891" w:val="left" w:leader="none"/>
        </w:tabs>
        <w:spacing w:line="240" w:lineRule="auto" w:before="140" w:after="0"/>
        <w:ind w:left="1891" w:right="0" w:hanging="631"/>
        <w:jc w:val="left"/>
        <w:rPr>
          <w:sz w:val="21"/>
        </w:rPr>
      </w:pPr>
      <w:r>
        <w:rPr>
          <w:sz w:val="21"/>
        </w:rPr>
        <w:t>编制季度报告、中期报告和年度报告；</w:t>
      </w:r>
    </w:p>
    <w:p>
      <w:pPr>
        <w:pStyle w:val="ListParagraph"/>
        <w:numPr>
          <w:ilvl w:val="0"/>
          <w:numId w:val="32"/>
        </w:numPr>
        <w:tabs>
          <w:tab w:pos="1891" w:val="left" w:leader="none"/>
        </w:tabs>
        <w:spacing w:line="364" w:lineRule="auto" w:before="139" w:after="0"/>
        <w:ind w:left="840" w:right="817" w:firstLine="420"/>
        <w:jc w:val="left"/>
        <w:rPr>
          <w:sz w:val="21"/>
        </w:rPr>
      </w:pPr>
      <w:r>
        <w:rPr>
          <w:spacing w:val="-4"/>
          <w:sz w:val="21"/>
        </w:rPr>
        <w:t>采取适当合理的措施使计算开放式基金份额认购、申购、赎回和注销价格的方法符合基金合同等法律文件的规定；</w:t>
      </w:r>
    </w:p>
    <w:p>
      <w:pPr>
        <w:pStyle w:val="ListParagraph"/>
        <w:numPr>
          <w:ilvl w:val="0"/>
          <w:numId w:val="32"/>
        </w:numPr>
        <w:tabs>
          <w:tab w:pos="1891" w:val="left" w:leader="none"/>
        </w:tabs>
        <w:spacing w:line="268" w:lineRule="exact" w:before="0" w:after="0"/>
        <w:ind w:left="1891" w:right="0" w:hanging="631"/>
        <w:jc w:val="left"/>
        <w:rPr>
          <w:sz w:val="21"/>
        </w:rPr>
      </w:pPr>
      <w:r>
        <w:rPr>
          <w:sz w:val="21"/>
        </w:rPr>
        <w:t>计算并公告基金净值信息，确定基金份额申购、赎回价格；</w:t>
      </w:r>
    </w:p>
    <w:p>
      <w:pPr>
        <w:pStyle w:val="ListParagraph"/>
        <w:numPr>
          <w:ilvl w:val="0"/>
          <w:numId w:val="32"/>
        </w:numPr>
        <w:tabs>
          <w:tab w:pos="1891" w:val="left" w:leader="none"/>
        </w:tabs>
        <w:spacing w:line="240" w:lineRule="auto" w:before="140" w:after="0"/>
        <w:ind w:left="1891" w:right="0" w:hanging="631"/>
        <w:jc w:val="left"/>
        <w:rPr>
          <w:sz w:val="21"/>
        </w:rPr>
      </w:pPr>
      <w:r>
        <w:rPr>
          <w:sz w:val="21"/>
        </w:rPr>
        <w:t>严格按照《基金法》、基金合同及其他有关规定，履行信息披露及报告义务；</w:t>
      </w:r>
    </w:p>
    <w:p>
      <w:pPr>
        <w:pStyle w:val="ListParagraph"/>
        <w:numPr>
          <w:ilvl w:val="0"/>
          <w:numId w:val="32"/>
        </w:numPr>
        <w:tabs>
          <w:tab w:pos="1891" w:val="left" w:leader="none"/>
        </w:tabs>
        <w:spacing w:line="364" w:lineRule="auto" w:before="139" w:after="0"/>
        <w:ind w:left="840" w:right="818" w:firstLine="420"/>
        <w:jc w:val="left"/>
        <w:rPr>
          <w:sz w:val="21"/>
        </w:rPr>
      </w:pPr>
      <w:r>
        <w:rPr>
          <w:spacing w:val="-7"/>
          <w:sz w:val="21"/>
        </w:rPr>
        <w:t>保守基金商业秘密，不泄露基金投资计划、投资意向等。除基金法、基金合同及</w:t>
      </w:r>
      <w:r>
        <w:rPr>
          <w:sz w:val="21"/>
        </w:rPr>
        <w:t>其他有关规定另有规定外，在基金信息公开披露前应予以保密，不得向他人泄露；</w:t>
      </w:r>
    </w:p>
    <w:p>
      <w:pPr>
        <w:pStyle w:val="ListParagraph"/>
        <w:numPr>
          <w:ilvl w:val="0"/>
          <w:numId w:val="32"/>
        </w:numPr>
        <w:tabs>
          <w:tab w:pos="1891" w:val="left" w:leader="none"/>
        </w:tabs>
        <w:spacing w:line="268" w:lineRule="exact" w:before="0" w:after="0"/>
        <w:ind w:left="1891" w:right="0" w:hanging="631"/>
        <w:jc w:val="left"/>
        <w:rPr>
          <w:sz w:val="21"/>
        </w:rPr>
      </w:pPr>
      <w:r>
        <w:rPr>
          <w:sz w:val="21"/>
        </w:rPr>
        <w:t>按规定受理申购和赎回申请，及时、足额支付赎回款项；</w:t>
      </w:r>
    </w:p>
    <w:p>
      <w:pPr>
        <w:pStyle w:val="ListParagraph"/>
        <w:numPr>
          <w:ilvl w:val="0"/>
          <w:numId w:val="32"/>
        </w:numPr>
        <w:tabs>
          <w:tab w:pos="1891" w:val="left" w:leader="none"/>
        </w:tabs>
        <w:spacing w:line="364" w:lineRule="auto" w:before="139" w:after="0"/>
        <w:ind w:left="840" w:right="818" w:firstLine="420"/>
        <w:jc w:val="left"/>
        <w:rPr>
          <w:sz w:val="21"/>
        </w:rPr>
      </w:pPr>
      <w:r>
        <w:rPr>
          <w:spacing w:val="-5"/>
          <w:sz w:val="21"/>
        </w:rPr>
        <w:t>保存基金财产管理业务活动的记录、账册、报表、代表基金签订的重大合同及</w:t>
      </w:r>
      <w:r>
        <w:rPr>
          <w:spacing w:val="-4"/>
          <w:sz w:val="21"/>
        </w:rPr>
        <w:t>其他相关资料；</w:t>
      </w:r>
    </w:p>
    <w:p>
      <w:pPr>
        <w:pStyle w:val="ListParagraph"/>
        <w:numPr>
          <w:ilvl w:val="0"/>
          <w:numId w:val="32"/>
        </w:numPr>
        <w:tabs>
          <w:tab w:pos="1891" w:val="left" w:leader="none"/>
        </w:tabs>
        <w:spacing w:line="364" w:lineRule="auto" w:before="0" w:after="0"/>
        <w:ind w:left="840" w:right="817" w:firstLine="420"/>
        <w:jc w:val="left"/>
        <w:rPr>
          <w:sz w:val="21"/>
        </w:rPr>
      </w:pPr>
      <w:r>
        <w:rPr>
          <w:spacing w:val="-11"/>
          <w:sz w:val="21"/>
        </w:rPr>
        <w:t>依据《基金法》、基金合同及其他有关规定召集基金份额持有人大会或配合基金</w:t>
      </w:r>
      <w:r>
        <w:rPr>
          <w:sz w:val="21"/>
        </w:rPr>
        <w:t>托管人、基金份额持有人依法召集基金份额持有人大会；</w:t>
      </w:r>
    </w:p>
    <w:p>
      <w:pPr>
        <w:pStyle w:val="ListParagraph"/>
        <w:numPr>
          <w:ilvl w:val="0"/>
          <w:numId w:val="32"/>
        </w:numPr>
        <w:tabs>
          <w:tab w:pos="1891" w:val="left" w:leader="none"/>
        </w:tabs>
        <w:spacing w:line="268" w:lineRule="exact" w:before="0" w:after="0"/>
        <w:ind w:left="1891" w:right="0" w:hanging="631"/>
        <w:jc w:val="left"/>
        <w:rPr>
          <w:sz w:val="21"/>
        </w:rPr>
      </w:pPr>
      <w:r>
        <w:rPr>
          <w:spacing w:val="-11"/>
          <w:sz w:val="21"/>
        </w:rPr>
        <w:t>以基金管理人名义，代表基金份额持有人利益行使诉讼权利或实施其他法律行为；</w:t>
      </w:r>
    </w:p>
    <w:p>
      <w:pPr>
        <w:pStyle w:val="ListParagraph"/>
        <w:numPr>
          <w:ilvl w:val="0"/>
          <w:numId w:val="32"/>
        </w:numPr>
        <w:tabs>
          <w:tab w:pos="1891" w:val="left" w:leader="none"/>
        </w:tabs>
        <w:spacing w:line="240" w:lineRule="auto" w:before="139" w:after="0"/>
        <w:ind w:left="1891" w:right="0" w:hanging="631"/>
        <w:jc w:val="left"/>
        <w:rPr>
          <w:sz w:val="21"/>
        </w:rPr>
      </w:pPr>
      <w:r>
        <w:rPr>
          <w:spacing w:val="-9"/>
          <w:sz w:val="21"/>
        </w:rPr>
        <w:t>组织并参加基金财产清算小组，参与基金财产的保管、清理、估价、变现和分配；</w:t>
      </w:r>
    </w:p>
    <w:p>
      <w:pPr>
        <w:pStyle w:val="ListParagraph"/>
        <w:numPr>
          <w:ilvl w:val="0"/>
          <w:numId w:val="32"/>
        </w:numPr>
        <w:tabs>
          <w:tab w:pos="1891" w:val="left" w:leader="none"/>
        </w:tabs>
        <w:spacing w:line="364" w:lineRule="auto" w:before="139" w:after="0"/>
        <w:ind w:left="840" w:right="818" w:firstLine="420"/>
        <w:jc w:val="left"/>
        <w:rPr>
          <w:sz w:val="21"/>
        </w:rPr>
      </w:pPr>
      <w:r>
        <w:rPr>
          <w:spacing w:val="-2"/>
          <w:sz w:val="21"/>
        </w:rPr>
        <w:t>因违反基金合同导致基金财产的损失或损害基金份额持有人的合法权益，应承</w:t>
      </w:r>
      <w:r>
        <w:rPr>
          <w:spacing w:val="-4"/>
          <w:sz w:val="21"/>
        </w:rPr>
        <w:t>担赔偿责任，其赔偿责任不因其退任而免除；</w:t>
      </w:r>
    </w:p>
    <w:p>
      <w:pPr>
        <w:pStyle w:val="ListParagraph"/>
        <w:numPr>
          <w:ilvl w:val="0"/>
          <w:numId w:val="32"/>
        </w:numPr>
        <w:tabs>
          <w:tab w:pos="1891" w:val="left" w:leader="none"/>
        </w:tabs>
        <w:spacing w:line="364" w:lineRule="auto" w:before="0" w:after="0"/>
        <w:ind w:left="840" w:right="818" w:firstLine="420"/>
        <w:jc w:val="left"/>
        <w:rPr>
          <w:sz w:val="21"/>
        </w:rPr>
      </w:pPr>
      <w:r>
        <w:rPr>
          <w:spacing w:val="-3"/>
          <w:sz w:val="21"/>
        </w:rPr>
        <w:t>基金托管人违反基金合同造成基金财产损失时，应为基金份额持有人利益向基</w:t>
      </w:r>
      <w:r>
        <w:rPr>
          <w:spacing w:val="-4"/>
          <w:sz w:val="21"/>
        </w:rPr>
        <w:t>金托管人追偿；</w:t>
      </w:r>
    </w:p>
    <w:p>
      <w:pPr>
        <w:pStyle w:val="ListParagraph"/>
        <w:numPr>
          <w:ilvl w:val="0"/>
          <w:numId w:val="32"/>
        </w:numPr>
        <w:tabs>
          <w:tab w:pos="1891" w:val="left" w:leader="none"/>
        </w:tabs>
        <w:spacing w:line="268" w:lineRule="exact" w:before="0" w:after="0"/>
        <w:ind w:left="1891" w:right="0" w:hanging="631"/>
        <w:jc w:val="left"/>
        <w:rPr>
          <w:sz w:val="21"/>
        </w:rPr>
      </w:pPr>
      <w:r>
        <w:rPr>
          <w:sz w:val="21"/>
        </w:rPr>
        <w:t>法律法规、基金合同及国务院证券监督管理机构规定的其他义务。</w:t>
      </w:r>
    </w:p>
    <w:p>
      <w:pPr>
        <w:spacing w:before="140"/>
        <w:ind w:left="840" w:right="0" w:firstLine="0"/>
        <w:jc w:val="left"/>
        <w:rPr>
          <w:sz w:val="28"/>
        </w:rPr>
      </w:pPr>
      <w:bookmarkStart w:name="_bookmark102" w:id="103"/>
      <w:bookmarkEnd w:id="103"/>
      <w:r>
        <w:rPr/>
      </w:r>
      <w:r>
        <w:rPr>
          <w:sz w:val="28"/>
        </w:rPr>
        <w:t>（二）基金托管人的权利和义务</w:t>
      </w:r>
    </w:p>
    <w:p>
      <w:pPr>
        <w:pStyle w:val="Heading3"/>
        <w:spacing w:before="115"/>
      </w:pPr>
      <w:r>
        <w:rPr/>
        <w:t>1、基金托管人的权利</w:t>
      </w:r>
    </w:p>
    <w:p>
      <w:pPr>
        <w:spacing w:after="0"/>
        <w:sectPr>
          <w:pgSz w:w="11910" w:h="16840"/>
          <w:pgMar w:header="0" w:footer="638" w:top="1380" w:bottom="900" w:left="960" w:right="980"/>
        </w:sectPr>
      </w:pPr>
    </w:p>
    <w:p>
      <w:pPr>
        <w:pStyle w:val="ListParagraph"/>
        <w:numPr>
          <w:ilvl w:val="0"/>
          <w:numId w:val="33"/>
        </w:numPr>
        <w:tabs>
          <w:tab w:pos="1786" w:val="left" w:leader="none"/>
        </w:tabs>
        <w:spacing w:line="240" w:lineRule="auto" w:before="45" w:after="0"/>
        <w:ind w:left="1786" w:right="0" w:hanging="526"/>
        <w:jc w:val="left"/>
        <w:rPr>
          <w:sz w:val="21"/>
        </w:rPr>
      </w:pPr>
      <w:r>
        <w:rPr>
          <w:sz w:val="21"/>
        </w:rPr>
        <w:t>依据法律法规和基金合同的规定安全保管基金财产；</w:t>
      </w:r>
    </w:p>
    <w:p>
      <w:pPr>
        <w:pStyle w:val="ListParagraph"/>
        <w:numPr>
          <w:ilvl w:val="0"/>
          <w:numId w:val="33"/>
        </w:numPr>
        <w:tabs>
          <w:tab w:pos="1786" w:val="left" w:leader="none"/>
        </w:tabs>
        <w:spacing w:line="240" w:lineRule="auto" w:before="139" w:after="0"/>
        <w:ind w:left="1786" w:right="0" w:hanging="526"/>
        <w:jc w:val="left"/>
        <w:rPr>
          <w:sz w:val="21"/>
        </w:rPr>
      </w:pPr>
      <w:r>
        <w:rPr>
          <w:sz w:val="21"/>
        </w:rPr>
        <w:t>依照基金合同的约定获得基金托管费；</w:t>
      </w:r>
    </w:p>
    <w:p>
      <w:pPr>
        <w:pStyle w:val="ListParagraph"/>
        <w:numPr>
          <w:ilvl w:val="0"/>
          <w:numId w:val="33"/>
        </w:numPr>
        <w:tabs>
          <w:tab w:pos="1786" w:val="left" w:leader="none"/>
        </w:tabs>
        <w:spacing w:line="240" w:lineRule="auto" w:before="140" w:after="0"/>
        <w:ind w:left="1786" w:right="0" w:hanging="526"/>
        <w:jc w:val="left"/>
        <w:rPr>
          <w:sz w:val="21"/>
        </w:rPr>
      </w:pPr>
      <w:r>
        <w:rPr>
          <w:sz w:val="21"/>
        </w:rPr>
        <w:t>监督基金管理人对本基金的投资运作；</w:t>
      </w:r>
    </w:p>
    <w:p>
      <w:pPr>
        <w:pStyle w:val="ListParagraph"/>
        <w:numPr>
          <w:ilvl w:val="0"/>
          <w:numId w:val="33"/>
        </w:numPr>
        <w:tabs>
          <w:tab w:pos="1786" w:val="left" w:leader="none"/>
        </w:tabs>
        <w:spacing w:line="240" w:lineRule="auto" w:before="139" w:after="0"/>
        <w:ind w:left="1786" w:right="0" w:hanging="526"/>
        <w:jc w:val="left"/>
        <w:rPr>
          <w:sz w:val="21"/>
        </w:rPr>
      </w:pPr>
      <w:r>
        <w:rPr>
          <w:sz w:val="21"/>
        </w:rPr>
        <w:t>在基金管理人职责终止时，提名新的基金管理人；</w:t>
      </w:r>
    </w:p>
    <w:p>
      <w:pPr>
        <w:pStyle w:val="ListParagraph"/>
        <w:numPr>
          <w:ilvl w:val="0"/>
          <w:numId w:val="33"/>
        </w:numPr>
        <w:tabs>
          <w:tab w:pos="1786" w:val="left" w:leader="none"/>
        </w:tabs>
        <w:spacing w:line="240" w:lineRule="auto" w:before="140" w:after="0"/>
        <w:ind w:left="1786" w:right="0" w:hanging="526"/>
        <w:jc w:val="left"/>
        <w:rPr>
          <w:sz w:val="21"/>
        </w:rPr>
      </w:pPr>
      <w:r>
        <w:rPr>
          <w:sz w:val="21"/>
        </w:rPr>
        <w:t>依据法律法规和基金合同的规定召集基金份额持有人大会；</w:t>
      </w:r>
    </w:p>
    <w:p>
      <w:pPr>
        <w:pStyle w:val="ListParagraph"/>
        <w:numPr>
          <w:ilvl w:val="0"/>
          <w:numId w:val="33"/>
        </w:numPr>
        <w:tabs>
          <w:tab w:pos="1786" w:val="left" w:leader="none"/>
        </w:tabs>
        <w:spacing w:line="240" w:lineRule="auto" w:before="139" w:after="0"/>
        <w:ind w:left="1786" w:right="0" w:hanging="526"/>
        <w:jc w:val="left"/>
        <w:rPr>
          <w:sz w:val="21"/>
        </w:rPr>
      </w:pPr>
      <w:r>
        <w:rPr>
          <w:sz w:val="21"/>
        </w:rPr>
        <w:t>法律法规、基金合同规定的其他权利。</w:t>
      </w:r>
    </w:p>
    <w:p>
      <w:pPr>
        <w:pStyle w:val="Heading3"/>
        <w:spacing w:before="70"/>
      </w:pPr>
      <w:r>
        <w:rPr/>
        <w:t>2、基金托管人的义务</w:t>
      </w:r>
    </w:p>
    <w:p>
      <w:pPr>
        <w:pStyle w:val="ListParagraph"/>
        <w:numPr>
          <w:ilvl w:val="0"/>
          <w:numId w:val="34"/>
        </w:numPr>
        <w:tabs>
          <w:tab w:pos="1786" w:val="left" w:leader="none"/>
        </w:tabs>
        <w:spacing w:line="240" w:lineRule="auto" w:before="92" w:after="0"/>
        <w:ind w:left="1786" w:right="0" w:hanging="526"/>
        <w:jc w:val="left"/>
        <w:rPr>
          <w:sz w:val="21"/>
        </w:rPr>
      </w:pPr>
      <w:r>
        <w:rPr>
          <w:sz w:val="21"/>
        </w:rPr>
        <w:t>安全保管基金财产；</w:t>
      </w:r>
    </w:p>
    <w:p>
      <w:pPr>
        <w:pStyle w:val="ListParagraph"/>
        <w:numPr>
          <w:ilvl w:val="0"/>
          <w:numId w:val="34"/>
        </w:numPr>
        <w:tabs>
          <w:tab w:pos="1787" w:val="left" w:leader="none"/>
        </w:tabs>
        <w:spacing w:line="364" w:lineRule="auto" w:before="139" w:after="0"/>
        <w:ind w:left="840" w:right="81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34"/>
        </w:numPr>
        <w:tabs>
          <w:tab w:pos="1786" w:val="left" w:leader="none"/>
        </w:tabs>
        <w:spacing w:line="268" w:lineRule="exact" w:before="0" w:after="0"/>
        <w:ind w:left="1786" w:right="0" w:hanging="526"/>
        <w:jc w:val="left"/>
        <w:rPr>
          <w:sz w:val="21"/>
        </w:rPr>
      </w:pPr>
      <w:r>
        <w:rPr>
          <w:sz w:val="21"/>
        </w:rPr>
        <w:t>按规定开设基金财产的资金账户和证券账户；</w:t>
      </w:r>
    </w:p>
    <w:p>
      <w:pPr>
        <w:pStyle w:val="ListParagraph"/>
        <w:numPr>
          <w:ilvl w:val="0"/>
          <w:numId w:val="34"/>
        </w:numPr>
        <w:tabs>
          <w:tab w:pos="1791" w:val="left" w:leader="none"/>
        </w:tabs>
        <w:spacing w:line="364" w:lineRule="auto" w:before="140" w:after="0"/>
        <w:ind w:left="840" w:right="818" w:firstLine="420"/>
        <w:jc w:val="left"/>
        <w:rPr>
          <w:sz w:val="21"/>
        </w:rPr>
      </w:pPr>
      <w:r>
        <w:rPr>
          <w:sz w:val="21"/>
        </w:rPr>
        <w:t>除依据《基金法》、基金合同及其他有关规定外，不得</w:t>
      </w:r>
      <w:r>
        <w:rPr>
          <w:sz w:val="24"/>
        </w:rPr>
        <w:t>以基金财产</w:t>
      </w:r>
      <w:r>
        <w:rPr>
          <w:sz w:val="21"/>
        </w:rPr>
        <w:t>为自己及任何第三人谋取利益，不得委托第三人托管基金财产；</w:t>
      </w:r>
    </w:p>
    <w:p>
      <w:pPr>
        <w:pStyle w:val="ListParagraph"/>
        <w:numPr>
          <w:ilvl w:val="0"/>
          <w:numId w:val="34"/>
        </w:numPr>
        <w:tabs>
          <w:tab w:pos="1786" w:val="left" w:leader="none"/>
        </w:tabs>
        <w:spacing w:line="268" w:lineRule="exact" w:before="0" w:after="0"/>
        <w:ind w:left="1786" w:right="0" w:hanging="526"/>
        <w:jc w:val="left"/>
        <w:rPr>
          <w:sz w:val="21"/>
        </w:rPr>
      </w:pPr>
      <w:r>
        <w:rPr>
          <w:sz w:val="21"/>
        </w:rPr>
        <w:t>对所托管的不同基金财产分别设置账户，确保基金财产的完整和独立；</w:t>
      </w:r>
    </w:p>
    <w:p>
      <w:pPr>
        <w:pStyle w:val="ListParagraph"/>
        <w:numPr>
          <w:ilvl w:val="0"/>
          <w:numId w:val="34"/>
        </w:numPr>
        <w:tabs>
          <w:tab w:pos="1786" w:val="left" w:leader="none"/>
        </w:tabs>
        <w:spacing w:line="240" w:lineRule="auto" w:before="140" w:after="0"/>
        <w:ind w:left="1786" w:right="0" w:hanging="526"/>
        <w:jc w:val="left"/>
        <w:rPr>
          <w:sz w:val="21"/>
        </w:rPr>
      </w:pPr>
      <w:r>
        <w:rPr>
          <w:sz w:val="21"/>
        </w:rPr>
        <w:t>保管由基金管理人代表基金签订的与基金有关的重大合同及有关凭证；</w:t>
      </w:r>
    </w:p>
    <w:p>
      <w:pPr>
        <w:pStyle w:val="ListParagraph"/>
        <w:numPr>
          <w:ilvl w:val="0"/>
          <w:numId w:val="34"/>
        </w:numPr>
        <w:tabs>
          <w:tab w:pos="1786" w:val="left" w:leader="none"/>
        </w:tabs>
        <w:spacing w:line="240" w:lineRule="auto" w:before="139" w:after="0"/>
        <w:ind w:left="1786" w:right="0" w:hanging="526"/>
        <w:jc w:val="left"/>
        <w:rPr>
          <w:sz w:val="21"/>
        </w:rPr>
      </w:pPr>
      <w:r>
        <w:rPr>
          <w:sz w:val="21"/>
        </w:rPr>
        <w:t>保存基金托管业务活动的记录、账册、报表和其他相关资料；</w:t>
      </w:r>
    </w:p>
    <w:p>
      <w:pPr>
        <w:pStyle w:val="ListParagraph"/>
        <w:numPr>
          <w:ilvl w:val="0"/>
          <w:numId w:val="34"/>
        </w:numPr>
        <w:tabs>
          <w:tab w:pos="1786" w:val="left" w:leader="none"/>
        </w:tabs>
        <w:spacing w:line="240" w:lineRule="auto" w:before="140" w:after="0"/>
        <w:ind w:left="1786" w:right="0" w:hanging="526"/>
        <w:jc w:val="left"/>
        <w:rPr>
          <w:sz w:val="21"/>
        </w:rPr>
      </w:pPr>
      <w:r>
        <w:rPr>
          <w:sz w:val="21"/>
        </w:rPr>
        <w:t>按照基金合同的约定，根据基金管理人的投资指令，及时办理清算、交割事宜；</w:t>
      </w:r>
    </w:p>
    <w:p>
      <w:pPr>
        <w:pStyle w:val="ListParagraph"/>
        <w:numPr>
          <w:ilvl w:val="0"/>
          <w:numId w:val="34"/>
        </w:numPr>
        <w:tabs>
          <w:tab w:pos="1787" w:val="left" w:leader="none"/>
        </w:tabs>
        <w:spacing w:line="364" w:lineRule="auto" w:before="139" w:after="0"/>
        <w:ind w:left="840" w:right="818" w:firstLine="420"/>
        <w:jc w:val="left"/>
        <w:rPr>
          <w:sz w:val="21"/>
        </w:rPr>
      </w:pPr>
      <w:r>
        <w:rPr>
          <w:sz w:val="21"/>
        </w:rPr>
        <w:t>保守基金商业秘密。除《基金法》、基金合同及其他有关规定另有规定外，在基金信息公开披露前应予以保密，不得向他人泄露；</w:t>
      </w:r>
    </w:p>
    <w:p>
      <w:pPr>
        <w:pStyle w:val="ListParagraph"/>
        <w:numPr>
          <w:ilvl w:val="0"/>
          <w:numId w:val="34"/>
        </w:numPr>
        <w:tabs>
          <w:tab w:pos="1891" w:val="left" w:leader="none"/>
        </w:tabs>
        <w:spacing w:line="268" w:lineRule="exact" w:before="0" w:after="0"/>
        <w:ind w:left="1891" w:right="0" w:hanging="631"/>
        <w:jc w:val="left"/>
        <w:rPr>
          <w:sz w:val="21"/>
        </w:rPr>
      </w:pPr>
      <w:r>
        <w:rPr>
          <w:sz w:val="21"/>
        </w:rPr>
        <w:t>办理与基金托管业务活动有关的信息披露事项；</w:t>
      </w:r>
    </w:p>
    <w:p>
      <w:pPr>
        <w:pStyle w:val="ListParagraph"/>
        <w:numPr>
          <w:ilvl w:val="0"/>
          <w:numId w:val="34"/>
        </w:numPr>
        <w:tabs>
          <w:tab w:pos="1891" w:val="left" w:leader="none"/>
        </w:tabs>
        <w:spacing w:line="364" w:lineRule="auto" w:before="139" w:after="0"/>
        <w:ind w:left="840" w:right="818" w:firstLine="420"/>
        <w:jc w:val="both"/>
        <w:rPr>
          <w:sz w:val="21"/>
        </w:rPr>
      </w:pPr>
      <w:r>
        <w:rPr>
          <w:spacing w:val="-6"/>
          <w:sz w:val="21"/>
        </w:rPr>
        <w:t>对基金财务会计报告、季度报告、中期报告和年度报告的相关内容出具意见， </w:t>
      </w:r>
      <w:r>
        <w:rPr>
          <w:spacing w:val="-8"/>
          <w:sz w:val="21"/>
        </w:rPr>
        <w:t>说明基金管理人在各重要方面的运作是否严格按照基金合同的规定进行；如果基金管理人有</w:t>
      </w:r>
      <w:r>
        <w:rPr>
          <w:spacing w:val="-4"/>
          <w:sz w:val="21"/>
        </w:rPr>
        <w:t>未执行基金合同规定的行为，还应当说明基金托管人是否采取了适当的措施；</w:t>
      </w:r>
    </w:p>
    <w:p>
      <w:pPr>
        <w:pStyle w:val="ListParagraph"/>
        <w:numPr>
          <w:ilvl w:val="0"/>
          <w:numId w:val="34"/>
        </w:numPr>
        <w:tabs>
          <w:tab w:pos="1891" w:val="left" w:leader="none"/>
        </w:tabs>
        <w:spacing w:line="268" w:lineRule="exact" w:before="0" w:after="0"/>
        <w:ind w:left="1891" w:right="0" w:hanging="631"/>
        <w:jc w:val="left"/>
        <w:rPr>
          <w:sz w:val="21"/>
        </w:rPr>
      </w:pPr>
      <w:r>
        <w:rPr>
          <w:sz w:val="21"/>
        </w:rPr>
        <w:t>建立并保存基金份额持有人名册；</w:t>
      </w:r>
    </w:p>
    <w:p>
      <w:pPr>
        <w:pStyle w:val="ListParagraph"/>
        <w:numPr>
          <w:ilvl w:val="0"/>
          <w:numId w:val="34"/>
        </w:numPr>
        <w:tabs>
          <w:tab w:pos="1891" w:val="left" w:leader="none"/>
        </w:tabs>
        <w:spacing w:line="364" w:lineRule="auto" w:before="140" w:after="0"/>
        <w:ind w:left="840" w:right="818" w:firstLine="420"/>
        <w:jc w:val="left"/>
        <w:rPr>
          <w:sz w:val="21"/>
        </w:rPr>
      </w:pPr>
      <w:r>
        <w:rPr>
          <w:spacing w:val="-9"/>
          <w:sz w:val="21"/>
        </w:rPr>
        <w:t>复核、审查基金管理人计算的基金资产净值、基金份额净值、基金份额申购、赎</w:t>
      </w:r>
      <w:r>
        <w:rPr>
          <w:sz w:val="21"/>
        </w:rPr>
        <w:t>回价格；</w:t>
      </w:r>
    </w:p>
    <w:p>
      <w:pPr>
        <w:pStyle w:val="ListParagraph"/>
        <w:numPr>
          <w:ilvl w:val="0"/>
          <w:numId w:val="34"/>
        </w:numPr>
        <w:tabs>
          <w:tab w:pos="1891" w:val="left" w:leader="none"/>
        </w:tabs>
        <w:spacing w:line="268" w:lineRule="exact" w:before="0" w:after="0"/>
        <w:ind w:left="1891" w:right="0" w:hanging="631"/>
        <w:jc w:val="left"/>
        <w:rPr>
          <w:sz w:val="21"/>
        </w:rPr>
      </w:pPr>
      <w:r>
        <w:rPr>
          <w:sz w:val="21"/>
        </w:rPr>
        <w:t>按规定制作相关账册并与基金管理人核对；</w:t>
      </w:r>
    </w:p>
    <w:p>
      <w:pPr>
        <w:pStyle w:val="ListParagraph"/>
        <w:numPr>
          <w:ilvl w:val="0"/>
          <w:numId w:val="34"/>
        </w:numPr>
        <w:tabs>
          <w:tab w:pos="1891" w:val="left" w:leader="none"/>
        </w:tabs>
        <w:spacing w:line="240" w:lineRule="auto" w:before="139" w:after="0"/>
        <w:ind w:left="1891" w:right="0" w:hanging="631"/>
        <w:jc w:val="left"/>
        <w:rPr>
          <w:sz w:val="21"/>
        </w:rPr>
      </w:pPr>
      <w:r>
        <w:rPr>
          <w:sz w:val="21"/>
        </w:rPr>
        <w:t>依据基金管理人的指令或有关规定向基金份额持有人支付基金收益和赎回款项；</w:t>
      </w:r>
    </w:p>
    <w:p>
      <w:pPr>
        <w:pStyle w:val="ListParagraph"/>
        <w:numPr>
          <w:ilvl w:val="0"/>
          <w:numId w:val="34"/>
        </w:numPr>
        <w:tabs>
          <w:tab w:pos="1891" w:val="left" w:leader="none"/>
        </w:tabs>
        <w:spacing w:line="364" w:lineRule="auto" w:before="140" w:after="0"/>
        <w:ind w:left="840" w:right="818" w:firstLine="420"/>
        <w:jc w:val="left"/>
        <w:rPr>
          <w:sz w:val="21"/>
        </w:rPr>
      </w:pPr>
      <w:r>
        <w:rPr>
          <w:sz w:val="21"/>
        </w:rPr>
        <w:t>按照规定召集基金份额持有人大会或配合基金份额持有人依法自行召集基金份</w:t>
      </w:r>
      <w:r>
        <w:rPr>
          <w:spacing w:val="-4"/>
          <w:sz w:val="21"/>
        </w:rPr>
        <w:t>额持有人大会；</w:t>
      </w:r>
    </w:p>
    <w:p>
      <w:pPr>
        <w:pStyle w:val="ListParagraph"/>
        <w:numPr>
          <w:ilvl w:val="0"/>
          <w:numId w:val="34"/>
        </w:numPr>
        <w:tabs>
          <w:tab w:pos="1891" w:val="left" w:leader="none"/>
        </w:tabs>
        <w:spacing w:line="268" w:lineRule="exact" w:before="0" w:after="0"/>
        <w:ind w:left="1891" w:right="0" w:hanging="631"/>
        <w:jc w:val="left"/>
        <w:rPr>
          <w:sz w:val="21"/>
        </w:rPr>
      </w:pPr>
      <w:r>
        <w:rPr>
          <w:sz w:val="21"/>
        </w:rPr>
        <w:t>按照规定监督基金管理人的投资运作；</w:t>
      </w:r>
    </w:p>
    <w:p>
      <w:pPr>
        <w:pStyle w:val="ListParagraph"/>
        <w:numPr>
          <w:ilvl w:val="0"/>
          <w:numId w:val="34"/>
        </w:numPr>
        <w:tabs>
          <w:tab w:pos="1891" w:val="left" w:leader="none"/>
        </w:tabs>
        <w:spacing w:line="240" w:lineRule="auto" w:before="139" w:after="0"/>
        <w:ind w:left="1891" w:right="0" w:hanging="631"/>
        <w:jc w:val="left"/>
        <w:rPr>
          <w:sz w:val="21"/>
        </w:rPr>
      </w:pPr>
      <w:r>
        <w:rPr>
          <w:spacing w:val="-8"/>
          <w:sz w:val="21"/>
        </w:rPr>
        <w:t>因违反基金合同导致基金财产损失，应承担赔偿责任，其责任不因其退任而免除；</w:t>
      </w:r>
    </w:p>
    <w:p>
      <w:pPr>
        <w:pStyle w:val="ListParagraph"/>
        <w:numPr>
          <w:ilvl w:val="0"/>
          <w:numId w:val="34"/>
        </w:numPr>
        <w:tabs>
          <w:tab w:pos="1891" w:val="left" w:leader="none"/>
        </w:tabs>
        <w:spacing w:line="240" w:lineRule="auto" w:before="140" w:after="0"/>
        <w:ind w:left="1891" w:right="0" w:hanging="631"/>
        <w:jc w:val="left"/>
        <w:rPr>
          <w:sz w:val="21"/>
        </w:rPr>
      </w:pPr>
      <w:r>
        <w:rPr>
          <w:sz w:val="21"/>
        </w:rPr>
        <w:t>基金管理人因违反基金合同造成基金财产损失时，应为基金向基金管理人追偿；</w:t>
      </w:r>
    </w:p>
    <w:p>
      <w:pPr>
        <w:pStyle w:val="ListParagraph"/>
        <w:numPr>
          <w:ilvl w:val="0"/>
          <w:numId w:val="34"/>
        </w:numPr>
        <w:tabs>
          <w:tab w:pos="1891" w:val="left" w:leader="none"/>
        </w:tabs>
        <w:spacing w:line="240" w:lineRule="auto" w:before="139" w:after="0"/>
        <w:ind w:left="1891" w:right="0" w:hanging="631"/>
        <w:jc w:val="left"/>
        <w:rPr>
          <w:sz w:val="21"/>
        </w:rPr>
      </w:pPr>
      <w:r>
        <w:rPr>
          <w:sz w:val="21"/>
        </w:rPr>
        <w:t>法律法规、基金合同及国务院证券监督管理机构规定的其他义务。</w:t>
      </w:r>
    </w:p>
    <w:p>
      <w:pPr>
        <w:spacing w:after="0" w:line="240" w:lineRule="auto"/>
        <w:jc w:val="left"/>
        <w:rPr>
          <w:sz w:val="21"/>
        </w:rPr>
        <w:sectPr>
          <w:pgSz w:w="11910" w:h="16840"/>
          <w:pgMar w:header="0" w:footer="638" w:top="1380" w:bottom="900" w:left="960" w:right="980"/>
        </w:sectPr>
      </w:pPr>
    </w:p>
    <w:p>
      <w:pPr>
        <w:spacing w:before="46"/>
        <w:ind w:left="840" w:right="0" w:firstLine="0"/>
        <w:jc w:val="left"/>
        <w:rPr>
          <w:sz w:val="28"/>
        </w:rPr>
      </w:pPr>
      <w:bookmarkStart w:name="_bookmark103" w:id="104"/>
      <w:bookmarkEnd w:id="104"/>
      <w:r>
        <w:rPr/>
      </w:r>
      <w:r>
        <w:rPr>
          <w:sz w:val="28"/>
        </w:rPr>
        <w:t>（三）基金份额持有人的权利和义务</w:t>
      </w:r>
    </w:p>
    <w:p>
      <w:pPr>
        <w:pStyle w:val="Heading3"/>
        <w:spacing w:before="116"/>
      </w:pPr>
      <w:r>
        <w:rPr/>
        <w:t>1、基金份额持有人权利</w:t>
      </w:r>
    </w:p>
    <w:p>
      <w:pPr>
        <w:pStyle w:val="BodyText"/>
        <w:spacing w:line="364" w:lineRule="auto" w:before="91"/>
        <w:ind w:left="840" w:right="818" w:firstLine="420"/>
      </w:pPr>
      <w:r>
        <w:rPr>
          <w:spacing w:val="-8"/>
        </w:rPr>
        <w:t>基金份额持有人有权按法律法规、本《基金合同》以及依据本《基金合同》制定的其他</w:t>
      </w:r>
      <w:r>
        <w:rPr/>
        <w:t>法律文件的规定：</w:t>
      </w:r>
    </w:p>
    <w:p>
      <w:pPr>
        <w:pStyle w:val="ListParagraph"/>
        <w:numPr>
          <w:ilvl w:val="0"/>
          <w:numId w:val="35"/>
        </w:numPr>
        <w:tabs>
          <w:tab w:pos="1786" w:val="left" w:leader="none"/>
        </w:tabs>
        <w:spacing w:line="268" w:lineRule="exact" w:before="0" w:after="0"/>
        <w:ind w:left="1786" w:right="0" w:hanging="526"/>
        <w:jc w:val="left"/>
        <w:rPr>
          <w:sz w:val="21"/>
        </w:rPr>
      </w:pPr>
      <w:r>
        <w:rPr>
          <w:sz w:val="21"/>
        </w:rPr>
        <w:t>分享基金财产收益；</w:t>
      </w:r>
    </w:p>
    <w:p>
      <w:pPr>
        <w:pStyle w:val="ListParagraph"/>
        <w:numPr>
          <w:ilvl w:val="0"/>
          <w:numId w:val="35"/>
        </w:numPr>
        <w:tabs>
          <w:tab w:pos="1786" w:val="left" w:leader="none"/>
        </w:tabs>
        <w:spacing w:line="240" w:lineRule="auto" w:before="140" w:after="0"/>
        <w:ind w:left="1786" w:right="0" w:hanging="526"/>
        <w:jc w:val="left"/>
        <w:rPr>
          <w:sz w:val="21"/>
        </w:rPr>
      </w:pPr>
      <w:r>
        <w:rPr>
          <w:sz w:val="21"/>
        </w:rPr>
        <w:t>参与分配清算后的剩余基金财产；</w:t>
      </w:r>
    </w:p>
    <w:p>
      <w:pPr>
        <w:pStyle w:val="ListParagraph"/>
        <w:numPr>
          <w:ilvl w:val="0"/>
          <w:numId w:val="35"/>
        </w:numPr>
        <w:tabs>
          <w:tab w:pos="1786" w:val="left" w:leader="none"/>
        </w:tabs>
        <w:spacing w:line="240" w:lineRule="auto" w:before="139" w:after="0"/>
        <w:ind w:left="1786" w:right="0" w:hanging="526"/>
        <w:jc w:val="left"/>
        <w:rPr>
          <w:sz w:val="21"/>
        </w:rPr>
      </w:pPr>
      <w:r>
        <w:rPr>
          <w:sz w:val="21"/>
        </w:rPr>
        <w:t>依法申请赎回其持有的基金份额；</w:t>
      </w:r>
    </w:p>
    <w:p>
      <w:pPr>
        <w:pStyle w:val="ListParagraph"/>
        <w:numPr>
          <w:ilvl w:val="0"/>
          <w:numId w:val="35"/>
        </w:numPr>
        <w:tabs>
          <w:tab w:pos="1786" w:val="left" w:leader="none"/>
        </w:tabs>
        <w:spacing w:line="240" w:lineRule="auto" w:before="140" w:after="0"/>
        <w:ind w:left="1786" w:right="0" w:hanging="526"/>
        <w:jc w:val="left"/>
        <w:rPr>
          <w:sz w:val="21"/>
        </w:rPr>
      </w:pPr>
      <w:r>
        <w:rPr>
          <w:sz w:val="21"/>
        </w:rPr>
        <w:t>按照规定要求召开基金份额持有人大会；</w:t>
      </w:r>
    </w:p>
    <w:p>
      <w:pPr>
        <w:pStyle w:val="ListParagraph"/>
        <w:numPr>
          <w:ilvl w:val="0"/>
          <w:numId w:val="35"/>
        </w:numPr>
        <w:tabs>
          <w:tab w:pos="1787" w:val="left" w:leader="none"/>
        </w:tabs>
        <w:spacing w:line="364" w:lineRule="auto" w:before="139" w:after="0"/>
        <w:ind w:left="840" w:right="818" w:firstLine="420"/>
        <w:jc w:val="left"/>
        <w:rPr>
          <w:sz w:val="21"/>
        </w:rPr>
      </w:pPr>
      <w:r>
        <w:rPr>
          <w:sz w:val="21"/>
        </w:rPr>
        <w:t>出席或者委派代表出席基金份额持有人大会，对基金份额持有人大会审议事项行使表决权；</w:t>
      </w:r>
    </w:p>
    <w:p>
      <w:pPr>
        <w:pStyle w:val="ListParagraph"/>
        <w:numPr>
          <w:ilvl w:val="0"/>
          <w:numId w:val="35"/>
        </w:numPr>
        <w:tabs>
          <w:tab w:pos="1786" w:val="left" w:leader="none"/>
        </w:tabs>
        <w:spacing w:line="268" w:lineRule="exact" w:before="0" w:after="0"/>
        <w:ind w:left="1786" w:right="0" w:hanging="526"/>
        <w:jc w:val="left"/>
        <w:rPr>
          <w:sz w:val="21"/>
        </w:rPr>
      </w:pPr>
      <w:r>
        <w:rPr>
          <w:sz w:val="21"/>
        </w:rPr>
        <w:t>查阅或者复制公开披露的基金信息资料；</w:t>
      </w:r>
    </w:p>
    <w:p>
      <w:pPr>
        <w:pStyle w:val="ListParagraph"/>
        <w:numPr>
          <w:ilvl w:val="0"/>
          <w:numId w:val="35"/>
        </w:numPr>
        <w:tabs>
          <w:tab w:pos="1786" w:val="left" w:leader="none"/>
        </w:tabs>
        <w:spacing w:line="240" w:lineRule="auto" w:before="139" w:after="0"/>
        <w:ind w:left="1786" w:right="0" w:hanging="526"/>
        <w:jc w:val="left"/>
        <w:rPr>
          <w:sz w:val="21"/>
        </w:rPr>
      </w:pPr>
      <w:r>
        <w:rPr>
          <w:sz w:val="21"/>
        </w:rPr>
        <w:t>监督基金管理人的投资运作；</w:t>
      </w:r>
    </w:p>
    <w:p>
      <w:pPr>
        <w:pStyle w:val="ListParagraph"/>
        <w:numPr>
          <w:ilvl w:val="0"/>
          <w:numId w:val="35"/>
        </w:numPr>
        <w:tabs>
          <w:tab w:pos="1787" w:val="left" w:leader="none"/>
        </w:tabs>
        <w:spacing w:line="364" w:lineRule="auto" w:before="140" w:after="0"/>
        <w:ind w:left="840" w:right="818" w:firstLine="420"/>
        <w:jc w:val="left"/>
        <w:rPr>
          <w:sz w:val="21"/>
        </w:rPr>
      </w:pPr>
      <w:r>
        <w:rPr>
          <w:sz w:val="21"/>
        </w:rPr>
        <w:t>对基金管理人、基金托管人、基金份额销售机构损害其合法权益的行为依法提起诉讼；</w:t>
      </w:r>
    </w:p>
    <w:p>
      <w:pPr>
        <w:pStyle w:val="ListParagraph"/>
        <w:numPr>
          <w:ilvl w:val="0"/>
          <w:numId w:val="35"/>
        </w:numPr>
        <w:tabs>
          <w:tab w:pos="1786" w:val="left" w:leader="none"/>
        </w:tabs>
        <w:spacing w:line="268" w:lineRule="exact" w:before="0" w:after="0"/>
        <w:ind w:left="1786" w:right="0" w:hanging="526"/>
        <w:jc w:val="left"/>
        <w:rPr>
          <w:sz w:val="21"/>
        </w:rPr>
      </w:pPr>
      <w:r>
        <w:rPr>
          <w:sz w:val="21"/>
        </w:rPr>
        <w:t>法律法规、基金合同规定的其他权利。</w:t>
      </w:r>
    </w:p>
    <w:p>
      <w:pPr>
        <w:pStyle w:val="Heading3"/>
        <w:spacing w:before="70"/>
      </w:pPr>
      <w:r>
        <w:rPr/>
        <w:t>2、基金份额持有人义务</w:t>
      </w:r>
    </w:p>
    <w:p>
      <w:pPr>
        <w:pStyle w:val="ListParagraph"/>
        <w:numPr>
          <w:ilvl w:val="0"/>
          <w:numId w:val="36"/>
        </w:numPr>
        <w:tabs>
          <w:tab w:pos="1786" w:val="left" w:leader="none"/>
        </w:tabs>
        <w:spacing w:line="240" w:lineRule="auto" w:before="92" w:after="0"/>
        <w:ind w:left="1786" w:right="0" w:hanging="526"/>
        <w:jc w:val="left"/>
        <w:rPr>
          <w:sz w:val="21"/>
        </w:rPr>
      </w:pPr>
      <w:r>
        <w:rPr>
          <w:sz w:val="21"/>
        </w:rPr>
        <w:t>遵守法律法规、基金合同及其他有关规定；</w:t>
      </w:r>
    </w:p>
    <w:p>
      <w:pPr>
        <w:pStyle w:val="ListParagraph"/>
        <w:numPr>
          <w:ilvl w:val="0"/>
          <w:numId w:val="36"/>
        </w:numPr>
        <w:tabs>
          <w:tab w:pos="1786" w:val="left" w:leader="none"/>
        </w:tabs>
        <w:spacing w:line="240" w:lineRule="auto" w:before="139" w:after="0"/>
        <w:ind w:left="1786" w:right="0" w:hanging="526"/>
        <w:jc w:val="left"/>
        <w:rPr>
          <w:sz w:val="21"/>
        </w:rPr>
      </w:pPr>
      <w:r>
        <w:rPr>
          <w:sz w:val="21"/>
        </w:rPr>
        <w:t>缴纳基金认购、申购款项及基金合同规定的费用；</w:t>
      </w:r>
    </w:p>
    <w:p>
      <w:pPr>
        <w:pStyle w:val="ListParagraph"/>
        <w:numPr>
          <w:ilvl w:val="0"/>
          <w:numId w:val="36"/>
        </w:numPr>
        <w:tabs>
          <w:tab w:pos="1786" w:val="left" w:leader="none"/>
        </w:tabs>
        <w:spacing w:line="240" w:lineRule="auto" w:before="140" w:after="0"/>
        <w:ind w:left="1786" w:right="0" w:hanging="526"/>
        <w:jc w:val="left"/>
        <w:rPr>
          <w:sz w:val="21"/>
        </w:rPr>
      </w:pPr>
      <w:r>
        <w:rPr>
          <w:sz w:val="21"/>
        </w:rPr>
        <w:t>在持有的基金份额范围内，承担基金亏损或者基金合同终止的有限责任；</w:t>
      </w:r>
    </w:p>
    <w:p>
      <w:pPr>
        <w:pStyle w:val="ListParagraph"/>
        <w:numPr>
          <w:ilvl w:val="0"/>
          <w:numId w:val="36"/>
        </w:numPr>
        <w:tabs>
          <w:tab w:pos="1787" w:val="left" w:leader="none"/>
        </w:tabs>
        <w:spacing w:line="364" w:lineRule="auto" w:before="139" w:after="0"/>
        <w:ind w:left="840" w:right="818" w:firstLine="420"/>
        <w:jc w:val="left"/>
        <w:rPr>
          <w:sz w:val="21"/>
        </w:rPr>
      </w:pPr>
      <w:r>
        <w:rPr>
          <w:sz w:val="21"/>
        </w:rPr>
        <w:t>不从事任何有损基金、其他基金份额持有人及其他基金合同当事人合法利益的活动；</w:t>
      </w:r>
    </w:p>
    <w:p>
      <w:pPr>
        <w:pStyle w:val="ListParagraph"/>
        <w:numPr>
          <w:ilvl w:val="0"/>
          <w:numId w:val="36"/>
        </w:numPr>
        <w:tabs>
          <w:tab w:pos="1786" w:val="left" w:leader="none"/>
        </w:tabs>
        <w:spacing w:line="268" w:lineRule="exact" w:before="0" w:after="0"/>
        <w:ind w:left="1786" w:right="0" w:hanging="526"/>
        <w:jc w:val="left"/>
        <w:rPr>
          <w:sz w:val="21"/>
        </w:rPr>
      </w:pPr>
      <w:r>
        <w:rPr>
          <w:sz w:val="21"/>
        </w:rPr>
        <w:t>执行基金份额持有人大会的决议；</w:t>
      </w:r>
    </w:p>
    <w:p>
      <w:pPr>
        <w:pStyle w:val="ListParagraph"/>
        <w:numPr>
          <w:ilvl w:val="0"/>
          <w:numId w:val="36"/>
        </w:numPr>
        <w:tabs>
          <w:tab w:pos="1787" w:val="left" w:leader="none"/>
        </w:tabs>
        <w:spacing w:line="364" w:lineRule="auto" w:before="139" w:after="0"/>
        <w:ind w:left="840" w:right="818" w:firstLine="420"/>
        <w:jc w:val="left"/>
        <w:rPr>
          <w:sz w:val="21"/>
        </w:rPr>
      </w:pPr>
      <w:r>
        <w:rPr>
          <w:sz w:val="21"/>
        </w:rPr>
        <w:t>返还在基金交易过程中因任何原因，自基金管理人、基金托管人及基金管理人的代理人处获得的不当得利；</w:t>
      </w:r>
    </w:p>
    <w:p>
      <w:pPr>
        <w:pStyle w:val="ListParagraph"/>
        <w:numPr>
          <w:ilvl w:val="0"/>
          <w:numId w:val="36"/>
        </w:numPr>
        <w:tabs>
          <w:tab w:pos="1786" w:val="left" w:leader="none"/>
        </w:tabs>
        <w:spacing w:line="268" w:lineRule="exact" w:before="0" w:after="0"/>
        <w:ind w:left="1786" w:right="0" w:hanging="526"/>
        <w:jc w:val="left"/>
        <w:rPr>
          <w:sz w:val="21"/>
        </w:rPr>
      </w:pPr>
      <w:r>
        <w:rPr>
          <w:sz w:val="21"/>
        </w:rPr>
        <w:t>法律法规及基金合同规定的其他义务。</w:t>
      </w:r>
    </w:p>
    <w:p>
      <w:pPr>
        <w:spacing w:before="141"/>
        <w:ind w:left="840" w:right="0" w:firstLine="0"/>
        <w:jc w:val="left"/>
        <w:rPr>
          <w:sz w:val="28"/>
        </w:rPr>
      </w:pPr>
      <w:bookmarkStart w:name="_bookmark104" w:id="105"/>
      <w:bookmarkEnd w:id="105"/>
      <w:r>
        <w:rPr/>
      </w:r>
      <w:r>
        <w:rPr>
          <w:sz w:val="28"/>
        </w:rPr>
        <w:t>（四）基金份额持有人大会</w:t>
      </w:r>
    </w:p>
    <w:p>
      <w:pPr>
        <w:pStyle w:val="BodyText"/>
        <w:spacing w:line="364" w:lineRule="auto" w:before="185"/>
        <w:ind w:left="840" w:right="608" w:firstLine="420"/>
      </w:pPr>
      <w:r>
        <w:rPr/>
        <w:t>1、本基金的基金份额持有人大会，由本基金的基金份额持有人或其合法的代理人组成。基金份额持有人持有的每一基金份额拥有平等的投票权。</w:t>
      </w:r>
    </w:p>
    <w:p>
      <w:pPr>
        <w:pStyle w:val="BodyText"/>
        <w:spacing w:line="268" w:lineRule="exact"/>
        <w:ind w:left="1260"/>
      </w:pPr>
      <w:r>
        <w:rPr/>
        <w:t>2、有以下事由情形之一的，应当召开基金份额持有人大会：</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终止基金合同；</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转换基金运作方式；</w:t>
      </w:r>
    </w:p>
    <w:p>
      <w:pPr>
        <w:pStyle w:val="ListParagraph"/>
        <w:numPr>
          <w:ilvl w:val="0"/>
          <w:numId w:val="37"/>
        </w:numPr>
        <w:tabs>
          <w:tab w:pos="1787" w:val="left" w:leader="none"/>
        </w:tabs>
        <w:spacing w:line="364" w:lineRule="auto" w:before="139" w:after="0"/>
        <w:ind w:left="840" w:right="818" w:firstLine="420"/>
        <w:jc w:val="left"/>
        <w:rPr>
          <w:sz w:val="21"/>
        </w:rPr>
      </w:pPr>
      <w:r>
        <w:rPr>
          <w:sz w:val="21"/>
        </w:rPr>
        <w:t>提高基金管理人、基金托管人的报酬标准，但根据法律法规的要求提高该等报酬标准的除外；</w:t>
      </w:r>
    </w:p>
    <w:p>
      <w:pPr>
        <w:spacing w:after="0" w:line="364" w:lineRule="auto"/>
        <w:jc w:val="left"/>
        <w:rPr>
          <w:sz w:val="21"/>
        </w:rPr>
        <w:sectPr>
          <w:pgSz w:w="11910" w:h="16840"/>
          <w:pgMar w:header="0" w:footer="638" w:top="1380" w:bottom="900" w:left="960" w:right="980"/>
        </w:sectPr>
      </w:pPr>
    </w:p>
    <w:p>
      <w:pPr>
        <w:pStyle w:val="ListParagraph"/>
        <w:numPr>
          <w:ilvl w:val="0"/>
          <w:numId w:val="37"/>
        </w:numPr>
        <w:tabs>
          <w:tab w:pos="1786" w:val="left" w:leader="none"/>
        </w:tabs>
        <w:spacing w:line="240" w:lineRule="auto" w:before="45" w:after="0"/>
        <w:ind w:left="1786" w:right="0" w:hanging="526"/>
        <w:jc w:val="left"/>
        <w:rPr>
          <w:sz w:val="21"/>
        </w:rPr>
      </w:pPr>
      <w:r>
        <w:rPr>
          <w:sz w:val="21"/>
        </w:rPr>
        <w:t>更换基金管理人、基金托管人；</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变更基金类别；</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变更基金投资目标、范围或策略；</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变更基金份额持有人大会程序；</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本基金与其它基金合并；</w:t>
      </w:r>
    </w:p>
    <w:p>
      <w:pPr>
        <w:pStyle w:val="ListParagraph"/>
        <w:numPr>
          <w:ilvl w:val="0"/>
          <w:numId w:val="37"/>
        </w:numPr>
        <w:tabs>
          <w:tab w:pos="1787" w:val="left" w:leader="none"/>
        </w:tabs>
        <w:spacing w:line="364" w:lineRule="auto" w:before="139" w:after="0"/>
        <w:ind w:left="840" w:right="818" w:firstLine="420"/>
        <w:jc w:val="left"/>
        <w:rPr>
          <w:sz w:val="21"/>
        </w:rPr>
      </w:pPr>
      <w:r>
        <w:rPr>
          <w:sz w:val="21"/>
        </w:rPr>
        <w:t>对基金合同当事人权利、义务产生重大影响，需召开基金份额持有人大会的变更基金合同等其他事项；</w:t>
      </w:r>
    </w:p>
    <w:p>
      <w:pPr>
        <w:pStyle w:val="ListParagraph"/>
        <w:numPr>
          <w:ilvl w:val="0"/>
          <w:numId w:val="37"/>
        </w:numPr>
        <w:tabs>
          <w:tab w:pos="1891" w:val="left" w:leader="none"/>
        </w:tabs>
        <w:spacing w:line="268" w:lineRule="exact" w:before="0" w:after="0"/>
        <w:ind w:left="1891" w:right="0" w:hanging="631"/>
        <w:jc w:val="left"/>
        <w:rPr>
          <w:sz w:val="21"/>
        </w:rPr>
      </w:pPr>
      <w:r>
        <w:rPr>
          <w:sz w:val="21"/>
        </w:rPr>
        <w:t>法律法规或中国证监会规定的其它应当召开基金份额持有人大会的事项。</w:t>
      </w:r>
    </w:p>
    <w:p>
      <w:pPr>
        <w:pStyle w:val="BodyText"/>
        <w:spacing w:before="140"/>
        <w:ind w:left="1260"/>
      </w:pPr>
      <w:r>
        <w:rPr/>
        <w:t>3、以下情况不需召开基金份额持有人大会：</w:t>
      </w:r>
    </w:p>
    <w:p>
      <w:pPr>
        <w:pStyle w:val="ListParagraph"/>
        <w:numPr>
          <w:ilvl w:val="0"/>
          <w:numId w:val="38"/>
        </w:numPr>
        <w:tabs>
          <w:tab w:pos="1786" w:val="left" w:leader="none"/>
        </w:tabs>
        <w:spacing w:line="240" w:lineRule="auto" w:before="139" w:after="0"/>
        <w:ind w:left="1786" w:right="0" w:hanging="526"/>
        <w:jc w:val="left"/>
        <w:rPr>
          <w:sz w:val="21"/>
        </w:rPr>
      </w:pPr>
      <w:r>
        <w:rPr>
          <w:sz w:val="21"/>
        </w:rPr>
        <w:t>调低基金管理费率、基金托管费率；</w:t>
      </w:r>
    </w:p>
    <w:p>
      <w:pPr>
        <w:pStyle w:val="ListParagraph"/>
        <w:numPr>
          <w:ilvl w:val="0"/>
          <w:numId w:val="38"/>
        </w:numPr>
        <w:tabs>
          <w:tab w:pos="1787" w:val="left" w:leader="none"/>
        </w:tabs>
        <w:spacing w:line="364" w:lineRule="auto" w:before="139" w:after="0"/>
        <w:ind w:left="840" w:right="818" w:firstLine="420"/>
        <w:jc w:val="left"/>
        <w:rPr>
          <w:sz w:val="21"/>
        </w:rPr>
      </w:pPr>
      <w:r>
        <w:rPr>
          <w:sz w:val="21"/>
        </w:rPr>
        <w:t>在法律法规和基金合同规定的范围内变更本基金的申购费率、赎回费率或收费方式；</w:t>
      </w:r>
    </w:p>
    <w:p>
      <w:pPr>
        <w:pStyle w:val="ListParagraph"/>
        <w:numPr>
          <w:ilvl w:val="0"/>
          <w:numId w:val="38"/>
        </w:numPr>
        <w:tabs>
          <w:tab w:pos="1786" w:val="left" w:leader="none"/>
        </w:tabs>
        <w:spacing w:line="268" w:lineRule="exact" w:before="0" w:after="0"/>
        <w:ind w:left="1786" w:right="0" w:hanging="526"/>
        <w:jc w:val="left"/>
        <w:rPr>
          <w:sz w:val="21"/>
        </w:rPr>
      </w:pPr>
      <w:r>
        <w:rPr>
          <w:sz w:val="21"/>
        </w:rPr>
        <w:t>因相应的法律法规发生变动而应当对基金合同进行修改；</w:t>
      </w:r>
    </w:p>
    <w:p>
      <w:pPr>
        <w:pStyle w:val="ListParagraph"/>
        <w:numPr>
          <w:ilvl w:val="0"/>
          <w:numId w:val="38"/>
        </w:numPr>
        <w:tabs>
          <w:tab w:pos="1786" w:val="left" w:leader="none"/>
        </w:tabs>
        <w:spacing w:line="240" w:lineRule="auto" w:before="140" w:after="0"/>
        <w:ind w:left="1786" w:right="0" w:hanging="526"/>
        <w:jc w:val="left"/>
        <w:rPr>
          <w:sz w:val="21"/>
        </w:rPr>
      </w:pPr>
      <w:r>
        <w:rPr>
          <w:sz w:val="21"/>
        </w:rPr>
        <w:t>对基金合同的修改不涉及基金合同当事人权利义务关系发生变化；</w:t>
      </w:r>
    </w:p>
    <w:p>
      <w:pPr>
        <w:pStyle w:val="ListParagraph"/>
        <w:numPr>
          <w:ilvl w:val="0"/>
          <w:numId w:val="38"/>
        </w:numPr>
        <w:tabs>
          <w:tab w:pos="1786" w:val="left" w:leader="none"/>
        </w:tabs>
        <w:spacing w:line="240" w:lineRule="auto" w:before="139" w:after="0"/>
        <w:ind w:left="1786" w:right="0" w:hanging="526"/>
        <w:jc w:val="left"/>
        <w:rPr>
          <w:sz w:val="21"/>
        </w:rPr>
      </w:pPr>
      <w:r>
        <w:rPr>
          <w:sz w:val="21"/>
        </w:rPr>
        <w:t>对基金合同的修改对基金份额持有人利益无实质性不利影响；</w:t>
      </w:r>
    </w:p>
    <w:p>
      <w:pPr>
        <w:pStyle w:val="ListParagraph"/>
        <w:numPr>
          <w:ilvl w:val="0"/>
          <w:numId w:val="38"/>
        </w:numPr>
        <w:tabs>
          <w:tab w:pos="1786" w:val="left" w:leader="none"/>
        </w:tabs>
        <w:spacing w:line="240" w:lineRule="auto" w:before="140" w:after="0"/>
        <w:ind w:left="1786" w:right="0" w:hanging="526"/>
        <w:jc w:val="left"/>
        <w:rPr>
          <w:sz w:val="21"/>
        </w:rPr>
      </w:pPr>
      <w:r>
        <w:rPr>
          <w:sz w:val="21"/>
        </w:rPr>
        <w:t>除法律法规或基金合同规定应当召开基金份额持有人大会以外的其他情形。</w:t>
      </w:r>
    </w:p>
    <w:p>
      <w:pPr>
        <w:pStyle w:val="BodyText"/>
        <w:spacing w:before="139"/>
        <w:ind w:left="1260"/>
      </w:pPr>
      <w:r>
        <w:rPr/>
        <w:t>4、召集方式</w:t>
      </w:r>
    </w:p>
    <w:p>
      <w:pPr>
        <w:pStyle w:val="ListParagraph"/>
        <w:numPr>
          <w:ilvl w:val="0"/>
          <w:numId w:val="39"/>
        </w:numPr>
        <w:tabs>
          <w:tab w:pos="1786" w:val="left" w:leader="none"/>
        </w:tabs>
        <w:spacing w:line="240" w:lineRule="auto" w:before="140" w:after="0"/>
        <w:ind w:left="1786" w:right="0" w:hanging="526"/>
        <w:jc w:val="left"/>
        <w:rPr>
          <w:sz w:val="21"/>
        </w:rPr>
      </w:pPr>
      <w:r>
        <w:rPr>
          <w:sz w:val="21"/>
        </w:rPr>
        <w:t>除法律法规或基金合同另有约定外，基金份额持有人大会由基金管理人召集。</w:t>
      </w:r>
    </w:p>
    <w:p>
      <w:pPr>
        <w:pStyle w:val="ListParagraph"/>
        <w:numPr>
          <w:ilvl w:val="0"/>
          <w:numId w:val="39"/>
        </w:numPr>
        <w:tabs>
          <w:tab w:pos="1787" w:val="left" w:leader="none"/>
        </w:tabs>
        <w:spacing w:line="364" w:lineRule="auto" w:before="139" w:after="0"/>
        <w:ind w:left="840" w:right="71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p>
    <w:p>
      <w:pPr>
        <w:pStyle w:val="BodyText"/>
        <w:spacing w:line="364" w:lineRule="auto"/>
        <w:ind w:left="840" w:right="817" w:firstLine="420"/>
        <w:jc w:val="both"/>
      </w:pPr>
      <w:r>
        <w:rPr>
          <w:spacing w:val="-5"/>
        </w:rPr>
        <w:t>基金管理人决定召集的，应当自出具书面决定之日起六十日内召开；基金管理人决定不</w:t>
      </w:r>
      <w:r>
        <w:rPr>
          <w:spacing w:val="-10"/>
        </w:rPr>
        <w:t>召集，基金托管人仍认为有必要召开的，应当自行召集，并自出具书面决定之日起六十日内</w:t>
      </w:r>
      <w:r>
        <w:rPr/>
        <w:t>召开并告知基金管理人，基金管理人应当配合。</w:t>
      </w:r>
    </w:p>
    <w:p>
      <w:pPr>
        <w:pStyle w:val="ListParagraph"/>
        <w:numPr>
          <w:ilvl w:val="0"/>
          <w:numId w:val="39"/>
        </w:numPr>
        <w:tabs>
          <w:tab w:pos="1787" w:val="left" w:leader="none"/>
        </w:tabs>
        <w:spacing w:line="364" w:lineRule="auto" w:before="0" w:after="0"/>
        <w:ind w:left="840" w:right="818" w:firstLine="420"/>
        <w:jc w:val="both"/>
        <w:rPr>
          <w:sz w:val="21"/>
        </w:rPr>
      </w:pPr>
      <w:r>
        <w:rPr>
          <w:sz w:val="21"/>
        </w:rPr>
        <w:t>代表基金份额百分之十以上的基金份额持有人认为有必要召开基金份额持有人大</w:t>
      </w:r>
      <w:r>
        <w:rPr>
          <w:spacing w:val="-11"/>
          <w:sz w:val="21"/>
        </w:rPr>
        <w:t>会的，应当向基金管理人提出书面提议。基金管理人应当自收到书面提议之日起十日内决定</w:t>
      </w:r>
      <w:r>
        <w:rPr>
          <w:sz w:val="21"/>
        </w:rPr>
        <w:t>是否召集，并书面告知提出提议的基金份额持有人代表和基金托管人。</w:t>
      </w:r>
    </w:p>
    <w:p>
      <w:pPr>
        <w:pStyle w:val="BodyText"/>
        <w:spacing w:line="364" w:lineRule="auto"/>
        <w:ind w:left="840" w:right="818" w:firstLine="420"/>
        <w:jc w:val="both"/>
      </w:pPr>
      <w:r>
        <w:rPr>
          <w:spacing w:val="-5"/>
        </w:rPr>
        <w:t>基金管理人决定召集的，应当自出具书面决定之日起六十日内召开；基金管理人决定不</w:t>
      </w:r>
      <w:r>
        <w:rPr>
          <w:spacing w:val="-10"/>
        </w:rPr>
        <w:t>召集，代表基金份额百分之十以上的基金份额持有人仍认为有必要召开的，应当向基金托管</w:t>
      </w:r>
      <w:r>
        <w:rPr/>
        <w:t>人提出书面提议。</w:t>
      </w:r>
    </w:p>
    <w:p>
      <w:pPr>
        <w:pStyle w:val="BodyText"/>
        <w:spacing w:line="364" w:lineRule="auto"/>
        <w:ind w:left="840" w:right="818"/>
        <w:jc w:val="both"/>
      </w:pPr>
      <w:r>
        <w:rPr>
          <w:spacing w:val="-5"/>
        </w:rPr>
        <w:t>基金托管人应当自收到书面提议之日起十日内决定是否召集，并书面告知提出提议的基金份</w:t>
      </w:r>
      <w:r>
        <w:rPr>
          <w:spacing w:val="-9"/>
        </w:rPr>
        <w:t>额持有人代表和基金管理人；基金托管人决定召集的，应当自出具书面决定之日起六十日内</w:t>
      </w:r>
      <w:r>
        <w:rPr/>
        <w:t>召开。</w:t>
      </w:r>
    </w:p>
    <w:p>
      <w:pPr>
        <w:pStyle w:val="ListParagraph"/>
        <w:numPr>
          <w:ilvl w:val="0"/>
          <w:numId w:val="39"/>
        </w:numPr>
        <w:tabs>
          <w:tab w:pos="1787" w:val="left" w:leader="none"/>
        </w:tabs>
        <w:spacing w:line="364" w:lineRule="auto" w:before="0" w:after="0"/>
        <w:ind w:left="840" w:right="817" w:firstLine="420"/>
        <w:jc w:val="left"/>
        <w:rPr>
          <w:sz w:val="21"/>
        </w:rPr>
      </w:pPr>
      <w:r>
        <w:rPr>
          <w:sz w:val="21"/>
        </w:rPr>
        <w:t>代表基金份额百分之十以上（含百分之十）的基金份额持有人就同一事项书面要</w:t>
      </w:r>
      <w:r>
        <w:rPr>
          <w:spacing w:val="-7"/>
          <w:sz w:val="21"/>
        </w:rPr>
        <w:t>求召开基金份额持有人大会，而基金管理人、基金托管人都不召集的，代表基金份额百分之</w:t>
      </w:r>
    </w:p>
    <w:p>
      <w:pPr>
        <w:spacing w:after="0" w:line="364" w:lineRule="auto"/>
        <w:jc w:val="left"/>
        <w:rPr>
          <w:sz w:val="21"/>
        </w:rPr>
        <w:sectPr>
          <w:pgSz w:w="11910" w:h="16840"/>
          <w:pgMar w:header="0" w:footer="638" w:top="1380" w:bottom="900" w:left="960" w:right="980"/>
        </w:sectPr>
      </w:pPr>
    </w:p>
    <w:p>
      <w:pPr>
        <w:pStyle w:val="BodyText"/>
        <w:spacing w:line="364" w:lineRule="auto" w:before="45"/>
        <w:ind w:left="840" w:right="817"/>
      </w:pPr>
      <w:r>
        <w:rPr>
          <w:spacing w:val="-11"/>
        </w:rPr>
        <w:t>十以上</w:t>
      </w:r>
      <w:r>
        <w:rPr/>
        <w:t>（含百分之十</w:t>
      </w:r>
      <w:r>
        <w:rPr>
          <w:spacing w:val="-32"/>
        </w:rPr>
        <w:t>）</w:t>
      </w:r>
      <w:r>
        <w:rPr>
          <w:spacing w:val="-4"/>
        </w:rPr>
        <w:t>的基金份额持有人有权自行召集，并至少提前三十日报中国证监会备</w:t>
      </w:r>
      <w:r>
        <w:rPr/>
        <w:t>案。</w:t>
      </w:r>
    </w:p>
    <w:p>
      <w:pPr>
        <w:pStyle w:val="ListParagraph"/>
        <w:numPr>
          <w:ilvl w:val="0"/>
          <w:numId w:val="39"/>
        </w:numPr>
        <w:tabs>
          <w:tab w:pos="1787" w:val="left" w:leader="none"/>
        </w:tabs>
        <w:spacing w:line="364" w:lineRule="auto" w:before="0" w:after="0"/>
        <w:ind w:left="840" w:right="818" w:firstLine="420"/>
        <w:jc w:val="left"/>
        <w:rPr>
          <w:sz w:val="21"/>
        </w:rPr>
      </w:pPr>
      <w:r>
        <w:rPr>
          <w:sz w:val="21"/>
        </w:rPr>
        <w:t>基金份额持有人依法自行召集基金份额持有人大会的，基金管理人、基金托管人应当配合，不得阻碍、干扰。</w:t>
      </w:r>
    </w:p>
    <w:p>
      <w:pPr>
        <w:pStyle w:val="ListParagraph"/>
        <w:numPr>
          <w:ilvl w:val="0"/>
          <w:numId w:val="39"/>
        </w:numPr>
        <w:tabs>
          <w:tab w:pos="1786" w:val="left" w:leader="none"/>
        </w:tabs>
        <w:spacing w:line="268" w:lineRule="exact" w:before="0" w:after="0"/>
        <w:ind w:left="1786" w:right="0" w:hanging="526"/>
        <w:jc w:val="left"/>
        <w:rPr>
          <w:sz w:val="21"/>
        </w:rPr>
      </w:pPr>
      <w:r>
        <w:rPr>
          <w:spacing w:val="-4"/>
          <w:sz w:val="21"/>
        </w:rPr>
        <w:t>基金份额持有人大会的召集人负责选择确定开会时间、地点、方式和权益登记日。</w:t>
      </w:r>
    </w:p>
    <w:p>
      <w:pPr>
        <w:pStyle w:val="BodyText"/>
        <w:spacing w:before="138"/>
        <w:ind w:left="1260"/>
      </w:pPr>
      <w:r>
        <w:rPr/>
        <w:t>5、通知</w:t>
      </w:r>
    </w:p>
    <w:p>
      <w:pPr>
        <w:pStyle w:val="BodyText"/>
        <w:spacing w:line="364" w:lineRule="auto" w:before="140"/>
        <w:ind w:left="840" w:right="818" w:firstLine="420"/>
        <w:jc w:val="both"/>
      </w:pPr>
      <w:r>
        <w:rPr>
          <w:spacing w:val="-3"/>
        </w:rPr>
        <w:t>召开基金份额持有人大会，召集人应当于会议召开前 </w:t>
      </w:r>
      <w:r>
        <w:rPr/>
        <w:t>30</w:t>
      </w:r>
      <w:r>
        <w:rPr>
          <w:spacing w:val="-8"/>
        </w:rPr>
        <w:t> 天，在指定媒介公告通知。基</w:t>
      </w:r>
      <w:r>
        <w:rPr>
          <w:spacing w:val="-13"/>
        </w:rPr>
        <w:t>金份额持有人大会不得就未经公告的事项进行表决。基金份额持有人大会通知将至少载明以</w:t>
      </w:r>
      <w:r>
        <w:rPr/>
        <w:t>下内容：</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会议召开的时间、地点、方式；</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会议拟审议的主要事项、议事程序和表决方式；</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代理投票授权委托书送达时间和地点；</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会务常设联系人姓名、电话；</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权益登记日；</w:t>
      </w:r>
    </w:p>
    <w:p>
      <w:pPr>
        <w:pStyle w:val="ListParagraph"/>
        <w:numPr>
          <w:ilvl w:val="0"/>
          <w:numId w:val="40"/>
        </w:numPr>
        <w:tabs>
          <w:tab w:pos="1787" w:val="left" w:leader="none"/>
        </w:tabs>
        <w:spacing w:line="364" w:lineRule="auto" w:before="139" w:after="0"/>
        <w:ind w:left="840" w:right="713" w:firstLine="420"/>
        <w:jc w:val="left"/>
        <w:rPr>
          <w:sz w:val="21"/>
        </w:rPr>
      </w:pPr>
      <w:r>
        <w:rPr>
          <w:sz w:val="21"/>
        </w:rPr>
        <w:t>如采用通讯表决方式，还应载明具体通讯方式、委托的公证机关及其联系方式和</w:t>
      </w:r>
      <w:r>
        <w:rPr>
          <w:spacing w:val="-17"/>
          <w:sz w:val="21"/>
        </w:rPr>
        <w:t>联系人、书面表达意见的寄交和收取方式、投票表决的截止日以及表决票的送达地址等内容。</w:t>
      </w:r>
    </w:p>
    <w:p>
      <w:pPr>
        <w:pStyle w:val="BodyText"/>
        <w:spacing w:line="268" w:lineRule="exact"/>
        <w:ind w:left="1260"/>
      </w:pPr>
      <w:r>
        <w:rPr/>
        <w:t>6、开会方式</w:t>
      </w:r>
    </w:p>
    <w:p>
      <w:pPr>
        <w:pStyle w:val="BodyText"/>
        <w:spacing w:line="364" w:lineRule="auto" w:before="140"/>
        <w:ind w:left="840" w:right="818" w:firstLine="420"/>
        <w:jc w:val="both"/>
      </w:pPr>
      <w:r>
        <w:rPr>
          <w:spacing w:val="-5"/>
        </w:rPr>
        <w:t>基金份额持有人大会的召开方式包括现场开会和通讯方式开会。现场开会由基金份额持</w:t>
      </w:r>
      <w:r>
        <w:rPr>
          <w:spacing w:val="-6"/>
        </w:rPr>
        <w:t>有人本人出席或通过授权委派其代理人出席，现场开会时基金管理人和基金托管人的授权代</w:t>
      </w:r>
      <w:r>
        <w:rPr>
          <w:spacing w:val="-12"/>
        </w:rPr>
        <w:t>表应当出席；通讯方式开会指按照基金合同的相关规定以通讯的书面方式进行表决。会议的</w:t>
      </w:r>
      <w:r>
        <w:rPr>
          <w:spacing w:val="-8"/>
        </w:rPr>
        <w:t>召开方式由召集人确定，但决定基金管理人更换或基金托管人的更换、转换基金运作方式和</w:t>
      </w:r>
      <w:r>
        <w:rPr/>
        <w:t>终止基金合同事宜必须以现场开会方式召开基金份额持有人大会。</w:t>
      </w:r>
    </w:p>
    <w:p>
      <w:pPr>
        <w:pStyle w:val="BodyText"/>
        <w:spacing w:line="267" w:lineRule="exact"/>
        <w:ind w:left="1260"/>
      </w:pPr>
      <w:r>
        <w:rPr/>
        <w:t>现场开会同时符合以下条件时，可以进行基金份额持有人大会议程：</w:t>
      </w:r>
    </w:p>
    <w:p>
      <w:pPr>
        <w:pStyle w:val="ListParagraph"/>
        <w:numPr>
          <w:ilvl w:val="0"/>
          <w:numId w:val="41"/>
        </w:numPr>
        <w:tabs>
          <w:tab w:pos="1787" w:val="left" w:leader="none"/>
        </w:tabs>
        <w:spacing w:line="364" w:lineRule="auto" w:before="139" w:after="0"/>
        <w:ind w:left="840" w:right="818" w:firstLine="420"/>
        <w:jc w:val="left"/>
        <w:rPr>
          <w:sz w:val="21"/>
        </w:rPr>
      </w:pPr>
      <w:r>
        <w:rPr>
          <w:sz w:val="21"/>
        </w:rPr>
        <w:t>亲自出席会议者持有基金份额的凭证和受托出席会议者出具的委托人持有基金份额的凭证和授权委托书等文件符合法律法规、本基金合同和会议通知的规定；</w:t>
      </w:r>
    </w:p>
    <w:p>
      <w:pPr>
        <w:pStyle w:val="ListParagraph"/>
        <w:numPr>
          <w:ilvl w:val="0"/>
          <w:numId w:val="41"/>
        </w:numPr>
        <w:tabs>
          <w:tab w:pos="1787" w:val="left" w:leader="none"/>
        </w:tabs>
        <w:spacing w:line="364" w:lineRule="auto" w:before="0" w:after="0"/>
        <w:ind w:left="840" w:right="818" w:firstLine="420"/>
        <w:jc w:val="left"/>
        <w:rPr>
          <w:sz w:val="21"/>
        </w:rPr>
      </w:pPr>
      <w:r>
        <w:rPr>
          <w:sz w:val="21"/>
        </w:rPr>
        <w:t>经核对，汇总到会者出示的在权益登记日持有基金份额的凭证显示，全部有效的</w:t>
      </w:r>
      <w:r>
        <w:rPr>
          <w:spacing w:val="-3"/>
          <w:sz w:val="21"/>
        </w:rPr>
        <w:t>基金份额不少于权益登记日基金总份额的 </w:t>
      </w:r>
      <w:r>
        <w:rPr>
          <w:sz w:val="21"/>
        </w:rPr>
        <w:t>50%（</w:t>
      </w:r>
      <w:r>
        <w:rPr>
          <w:spacing w:val="-27"/>
          <w:sz w:val="21"/>
        </w:rPr>
        <w:t>含 </w:t>
      </w:r>
      <w:r>
        <w:rPr>
          <w:sz w:val="21"/>
        </w:rPr>
        <w:t>50%）。</w:t>
      </w:r>
    </w:p>
    <w:p>
      <w:pPr>
        <w:pStyle w:val="BodyText"/>
        <w:spacing w:line="268" w:lineRule="exact"/>
        <w:ind w:left="1260"/>
      </w:pPr>
      <w:r>
        <w:rPr/>
        <w:t>在符合以下条件时，通讯开会的方式视为有效：</w:t>
      </w:r>
    </w:p>
    <w:p>
      <w:pPr>
        <w:pStyle w:val="ListParagraph"/>
        <w:numPr>
          <w:ilvl w:val="0"/>
          <w:numId w:val="42"/>
        </w:numPr>
        <w:tabs>
          <w:tab w:pos="1787" w:val="left" w:leader="none"/>
        </w:tabs>
        <w:spacing w:line="364" w:lineRule="auto" w:before="138" w:after="0"/>
        <w:ind w:left="840" w:right="818" w:firstLine="420"/>
        <w:jc w:val="left"/>
        <w:rPr>
          <w:sz w:val="21"/>
        </w:rPr>
      </w:pPr>
      <w:r>
        <w:rPr>
          <w:sz w:val="21"/>
        </w:rPr>
        <w:t>召集人按基金合同规定公布会议通知后，在两个工作日内连续公布相关提示性公告；</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召集人按照会议通知规定的方式收取基金份额持有人的书面表决意见；</w:t>
      </w:r>
    </w:p>
    <w:p>
      <w:pPr>
        <w:pStyle w:val="ListParagraph"/>
        <w:numPr>
          <w:ilvl w:val="0"/>
          <w:numId w:val="42"/>
        </w:numPr>
        <w:tabs>
          <w:tab w:pos="1787" w:val="left" w:leader="none"/>
        </w:tabs>
        <w:spacing w:line="364" w:lineRule="auto" w:before="140" w:after="0"/>
        <w:ind w:left="840" w:right="818" w:firstLine="420"/>
        <w:jc w:val="left"/>
        <w:rPr>
          <w:sz w:val="21"/>
        </w:rPr>
      </w:pPr>
      <w:r>
        <w:rPr>
          <w:sz w:val="21"/>
        </w:rPr>
        <w:t>本人直接出具书面意见或授权他人代表出具书面意见的基金份额持有人所代表的</w:t>
      </w:r>
      <w:r>
        <w:rPr>
          <w:spacing w:val="-3"/>
          <w:sz w:val="21"/>
        </w:rPr>
        <w:t>基金份额不少于权益登记日基金总份额的 </w:t>
      </w:r>
      <w:r>
        <w:rPr>
          <w:sz w:val="21"/>
        </w:rPr>
        <w:t>50%（</w:t>
      </w:r>
      <w:r>
        <w:rPr>
          <w:spacing w:val="-27"/>
          <w:sz w:val="21"/>
        </w:rPr>
        <w:t>含 </w:t>
      </w:r>
      <w:r>
        <w:rPr>
          <w:sz w:val="21"/>
        </w:rPr>
        <w:t>50%）；</w:t>
      </w:r>
    </w:p>
    <w:p>
      <w:pPr>
        <w:pStyle w:val="ListParagraph"/>
        <w:numPr>
          <w:ilvl w:val="0"/>
          <w:numId w:val="42"/>
        </w:numPr>
        <w:tabs>
          <w:tab w:pos="1787" w:val="left" w:leader="none"/>
        </w:tabs>
        <w:spacing w:line="268" w:lineRule="exact" w:before="0" w:after="0"/>
        <w:ind w:left="1786" w:right="0" w:hanging="527"/>
        <w:jc w:val="left"/>
        <w:rPr>
          <w:sz w:val="21"/>
        </w:rPr>
      </w:pPr>
      <w:r>
        <w:rPr>
          <w:sz w:val="21"/>
        </w:rPr>
        <w:t>直接出具书面意见的基金份额持有人或受托代表他人出具书面意见的其他代表，</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left="840" w:right="818"/>
      </w:pPr>
      <w:r>
        <w:rPr/>
        <w:t>同时提交的持有基金份额的凭证和受托出席会议者出具的委托人持有基金份额的凭证和授权委托书等文件符合法律法规、基金合同和会议通知的规定；</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会议通知公布前已报中国证监会备案。</w:t>
      </w:r>
    </w:p>
    <w:p>
      <w:pPr>
        <w:pStyle w:val="BodyText"/>
        <w:spacing w:line="364" w:lineRule="auto" w:before="139"/>
        <w:ind w:left="840" w:right="725" w:firstLine="420"/>
        <w:jc w:val="both"/>
      </w:pPr>
      <w:r>
        <w:rPr/>
        <w:t>如果开会条件达不到上述的条件，则召集人可另行确定并公告重新表决的时间(至少应</w:t>
      </w:r>
      <w:r>
        <w:rPr>
          <w:spacing w:val="-27"/>
        </w:rPr>
        <w:t>在 </w:t>
      </w:r>
      <w:r>
        <w:rPr/>
        <w:t>25</w:t>
      </w:r>
      <w:r>
        <w:rPr>
          <w:spacing w:val="-9"/>
        </w:rPr>
        <w:t> 个工作日后)，且确定有权出席会议的基金份额持有人资格的权益登记日应保持不变。</w:t>
      </w:r>
    </w:p>
    <w:p>
      <w:pPr>
        <w:pStyle w:val="BodyText"/>
        <w:spacing w:line="364" w:lineRule="auto"/>
        <w:ind w:left="840" w:right="818" w:firstLine="420"/>
        <w:jc w:val="both"/>
      </w:pPr>
      <w:r>
        <w:rPr>
          <w:spacing w:val="-8"/>
        </w:rPr>
        <w:t>采取通讯方式进行表决时，符合法律法规、基金合同和会议通知规定的书面表决意见即</w:t>
      </w:r>
      <w:r>
        <w:rPr/>
        <w:t>视为有效的表决;表决意见模糊不清或相互矛盾的视为弃权表决，但应当计入出具书面意见的基金份额持有人所代表的基金份额总数。</w:t>
      </w:r>
    </w:p>
    <w:p>
      <w:pPr>
        <w:pStyle w:val="BodyText"/>
        <w:spacing w:line="268" w:lineRule="exact"/>
        <w:ind w:left="1260"/>
      </w:pPr>
      <w:r>
        <w:rPr/>
        <w:t>7、议事内容与程序</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议事内容及提案权</w:t>
      </w:r>
    </w:p>
    <w:p>
      <w:pPr>
        <w:pStyle w:val="ListParagraph"/>
        <w:numPr>
          <w:ilvl w:val="0"/>
          <w:numId w:val="44"/>
        </w:numPr>
        <w:tabs>
          <w:tab w:pos="1577" w:val="left" w:leader="none"/>
        </w:tabs>
        <w:spacing w:line="364" w:lineRule="auto" w:before="139" w:after="0"/>
        <w:ind w:left="840" w:right="818" w:firstLine="420"/>
        <w:jc w:val="left"/>
        <w:rPr>
          <w:sz w:val="21"/>
        </w:rPr>
      </w:pPr>
      <w:r>
        <w:rPr>
          <w:sz w:val="21"/>
        </w:rPr>
        <w:t>议事内容限为本条前述第（二）款规定的基金份额持有人大会召开事由范围内的事项。</w:t>
      </w:r>
    </w:p>
    <w:p>
      <w:pPr>
        <w:pStyle w:val="ListParagraph"/>
        <w:numPr>
          <w:ilvl w:val="0"/>
          <w:numId w:val="44"/>
        </w:numPr>
        <w:tabs>
          <w:tab w:pos="1579" w:val="left" w:leader="none"/>
        </w:tabs>
        <w:spacing w:line="364" w:lineRule="auto" w:before="0" w:after="0"/>
        <w:ind w:left="840" w:right="818" w:firstLine="420"/>
        <w:jc w:val="left"/>
        <w:rPr>
          <w:sz w:val="21"/>
        </w:rPr>
      </w:pPr>
      <w:r>
        <w:rPr>
          <w:spacing w:val="-2"/>
          <w:sz w:val="21"/>
        </w:rPr>
        <w:t>基金管理人、基金托管人、代表基金份额 </w:t>
      </w:r>
      <w:r>
        <w:rPr>
          <w:sz w:val="21"/>
        </w:rPr>
        <w:t>10%以上的基金份额持有人可以在大会召集人发出会议通知前向大会召集人提交需由基金份额持有人大会审议表决的提案。</w:t>
      </w:r>
    </w:p>
    <w:p>
      <w:pPr>
        <w:pStyle w:val="ListParagraph"/>
        <w:numPr>
          <w:ilvl w:val="0"/>
          <w:numId w:val="44"/>
        </w:numPr>
        <w:tabs>
          <w:tab w:pos="1576" w:val="left" w:leader="none"/>
        </w:tabs>
        <w:spacing w:line="364" w:lineRule="auto" w:before="0" w:after="0"/>
        <w:ind w:left="1260" w:right="818" w:firstLine="0"/>
        <w:jc w:val="left"/>
        <w:rPr>
          <w:sz w:val="21"/>
        </w:rPr>
      </w:pPr>
      <w:r>
        <w:rPr>
          <w:sz w:val="21"/>
        </w:rPr>
        <w:t>对于基金份额持有人提交的提案，大会召集人应当按照以下原则对提案进行审核： a.</w:t>
      </w:r>
      <w:r>
        <w:rPr>
          <w:spacing w:val="-10"/>
          <w:sz w:val="21"/>
        </w:rPr>
        <w:t>关联性。大会召集人对于基金份额持有人提案涉及事项与基金有直接关系，并且不超</w:t>
      </w:r>
    </w:p>
    <w:p>
      <w:pPr>
        <w:pStyle w:val="BodyText"/>
        <w:spacing w:line="364" w:lineRule="auto"/>
        <w:ind w:left="840" w:right="818"/>
        <w:jc w:val="both"/>
      </w:pPr>
      <w:r>
        <w:rPr>
          <w:spacing w:val="-5"/>
        </w:rPr>
        <w:t>出法律法规和基金合同规定的基金份额持有人大会职权范围的，应提交大会审议；对于不符</w:t>
      </w:r>
      <w:r>
        <w:rPr>
          <w:spacing w:val="-10"/>
        </w:rPr>
        <w:t>合上述要求的，不提交基金份额持有人大会审议。如果召集人决定不将基金份额持有人提案</w:t>
      </w:r>
      <w:r>
        <w:rPr/>
        <w:t>提交大会表决，应当在该次基金份额持有人大会上进行解释和说明。</w:t>
      </w:r>
    </w:p>
    <w:p>
      <w:pPr>
        <w:pStyle w:val="BodyText"/>
        <w:spacing w:line="364" w:lineRule="auto"/>
        <w:ind w:left="840" w:right="818" w:firstLine="420"/>
        <w:jc w:val="both"/>
      </w:pPr>
      <w:r>
        <w:rPr/>
        <w:t>b.</w:t>
      </w:r>
      <w:r>
        <w:rPr>
          <w:spacing w:val="-10"/>
        </w:rPr>
        <w:t>程序性。大会召集人可以对基金份额持有人的提案涉及的程序性问题作出决定。如将</w:t>
      </w:r>
      <w:r>
        <w:rPr>
          <w:spacing w:val="-6"/>
        </w:rPr>
        <w:t>其提案进行分拆或合并表决，需征得原提案人同意；原提案人不同意变更的，大会主持人可以就程序性问题提请基金份额持有人大会作出决定，并按照基金份额持有人大会决定的程序</w:t>
      </w:r>
      <w:r>
        <w:rPr/>
        <w:t>进行审议。</w:t>
      </w:r>
    </w:p>
    <w:p>
      <w:pPr>
        <w:pStyle w:val="ListParagraph"/>
        <w:numPr>
          <w:ilvl w:val="0"/>
          <w:numId w:val="44"/>
        </w:numPr>
        <w:tabs>
          <w:tab w:pos="1579" w:val="left" w:leader="none"/>
        </w:tabs>
        <w:spacing w:line="364" w:lineRule="auto" w:before="0" w:after="0"/>
        <w:ind w:left="840" w:right="608" w:firstLine="420"/>
        <w:jc w:val="left"/>
        <w:rPr>
          <w:sz w:val="21"/>
        </w:rPr>
      </w:pPr>
      <w:r>
        <w:rPr>
          <w:spacing w:val="-5"/>
          <w:sz w:val="21"/>
        </w:rPr>
        <w:t>代表基金份额 </w:t>
      </w:r>
      <w:r>
        <w:rPr>
          <w:sz w:val="21"/>
        </w:rPr>
        <w:t>10%以上的基金份额持有人提交基金份额持有人大会审议表决的提案， </w:t>
      </w:r>
      <w:r>
        <w:rPr>
          <w:spacing w:val="-4"/>
          <w:sz w:val="21"/>
        </w:rPr>
        <w:t>或基金管理人或基金托管人提交基金份额持有人大会审议表决的提案，未获得基金份额持有 </w:t>
      </w:r>
      <w:r>
        <w:rPr>
          <w:spacing w:val="-16"/>
          <w:sz w:val="21"/>
        </w:rPr>
        <w:t>人大会审议通过，就同一提案再次提请基金份额持有人大会审议，其时间间隔不少于六个月。法律法规另有规定的除外。</w:t>
      </w:r>
    </w:p>
    <w:p>
      <w:pPr>
        <w:pStyle w:val="ListParagraph"/>
        <w:numPr>
          <w:ilvl w:val="0"/>
          <w:numId w:val="44"/>
        </w:numPr>
        <w:tabs>
          <w:tab w:pos="1576" w:val="left" w:leader="none"/>
        </w:tabs>
        <w:spacing w:line="267" w:lineRule="exact" w:before="0" w:after="0"/>
        <w:ind w:left="1576" w:right="0" w:hanging="316"/>
        <w:jc w:val="left"/>
        <w:rPr>
          <w:sz w:val="21"/>
        </w:rPr>
      </w:pPr>
      <w:r>
        <w:rPr>
          <w:sz w:val="21"/>
        </w:rPr>
        <w:t>基金份额持有人大会不得对未事先公告的议事内容进行表决。</w:t>
      </w:r>
    </w:p>
    <w:p>
      <w:pPr>
        <w:pStyle w:val="ListParagraph"/>
        <w:numPr>
          <w:ilvl w:val="0"/>
          <w:numId w:val="43"/>
        </w:numPr>
        <w:tabs>
          <w:tab w:pos="1786" w:val="left" w:leader="none"/>
        </w:tabs>
        <w:spacing w:line="240" w:lineRule="auto" w:before="134" w:after="0"/>
        <w:ind w:left="1786" w:right="0" w:hanging="526"/>
        <w:jc w:val="left"/>
        <w:rPr>
          <w:sz w:val="21"/>
        </w:rPr>
      </w:pPr>
      <w:r>
        <w:rPr>
          <w:sz w:val="21"/>
        </w:rPr>
        <w:t>议事程序</w:t>
      </w:r>
    </w:p>
    <w:p>
      <w:pPr>
        <w:pStyle w:val="BodyText"/>
        <w:spacing w:line="364" w:lineRule="auto" w:before="139"/>
        <w:ind w:left="840" w:right="608" w:firstLine="420"/>
      </w:pPr>
      <w:r>
        <w:rPr/>
        <w:t>在现场开会的方式下，首先由召集人宣读提案，经讨论后进行表决，并形成大会决议， </w:t>
      </w:r>
      <w:r>
        <w:rPr>
          <w:spacing w:val="-7"/>
        </w:rPr>
        <w:t>报经中国证监会核准或备案后生效；在通讯表决开会的方式下，首先由召集人在会议通知中 </w:t>
      </w:r>
      <w:r>
        <w:rPr>
          <w:spacing w:val="-12"/>
        </w:rPr>
        <w:t>公布提案，在所通知的表决截止日期第二个工作日由大会聘请的公证机关的公证员统计全部 有效表决并形成决议，报经中国证监会核准或备案后生效。</w:t>
      </w:r>
    </w:p>
    <w:p>
      <w:pPr>
        <w:pStyle w:val="BodyText"/>
        <w:spacing w:line="267" w:lineRule="exact"/>
        <w:ind w:left="1260"/>
      </w:pPr>
      <w:r>
        <w:rPr/>
        <w:t>8、表决</w:t>
      </w:r>
    </w:p>
    <w:p>
      <w:pPr>
        <w:spacing w:after="0" w:line="267" w:lineRule="exact"/>
        <w:sectPr>
          <w:pgSz w:w="11910" w:h="16840"/>
          <w:pgMar w:header="0" w:footer="638" w:top="1380" w:bottom="900" w:left="960" w:right="980"/>
        </w:sectPr>
      </w:pPr>
    </w:p>
    <w:p>
      <w:pPr>
        <w:pStyle w:val="ListParagraph"/>
        <w:numPr>
          <w:ilvl w:val="0"/>
          <w:numId w:val="45"/>
        </w:numPr>
        <w:tabs>
          <w:tab w:pos="1786" w:val="left" w:leader="none"/>
        </w:tabs>
        <w:spacing w:line="240" w:lineRule="auto" w:before="45" w:after="0"/>
        <w:ind w:left="1786" w:right="0" w:hanging="526"/>
        <w:jc w:val="left"/>
        <w:rPr>
          <w:sz w:val="21"/>
        </w:rPr>
      </w:pPr>
      <w:r>
        <w:rPr>
          <w:sz w:val="21"/>
        </w:rPr>
        <w:t>基金份额持有人所持每份基金份额享有平等的表决权。</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基金份额持有人大会决议分为一般决议和特别决议：</w:t>
      </w:r>
    </w:p>
    <w:p>
      <w:pPr>
        <w:pStyle w:val="ListParagraph"/>
        <w:numPr>
          <w:ilvl w:val="0"/>
          <w:numId w:val="46"/>
        </w:numPr>
        <w:tabs>
          <w:tab w:pos="1576" w:val="left" w:leader="none"/>
        </w:tabs>
        <w:spacing w:line="240" w:lineRule="auto" w:before="140" w:after="0"/>
        <w:ind w:left="1576" w:right="0" w:hanging="316"/>
        <w:jc w:val="left"/>
        <w:rPr>
          <w:sz w:val="21"/>
        </w:rPr>
      </w:pPr>
      <w:r>
        <w:rPr>
          <w:sz w:val="21"/>
        </w:rPr>
        <w:t>特别决议</w:t>
      </w:r>
    </w:p>
    <w:p>
      <w:pPr>
        <w:pStyle w:val="BodyText"/>
        <w:spacing w:line="364" w:lineRule="auto" w:before="139"/>
        <w:ind w:left="840" w:right="818" w:firstLine="420"/>
      </w:pPr>
      <w:r>
        <w:rPr>
          <w:spacing w:val="-3"/>
        </w:rPr>
        <w:t>对于特别决议应当经参加大会的基金份额持有人所持表决权的三分之二以上</w:t>
      </w:r>
      <w:r>
        <w:rPr/>
        <w:t>（</w:t>
      </w:r>
      <w:r>
        <w:rPr>
          <w:spacing w:val="-5"/>
        </w:rPr>
        <w:t>含三分之</w:t>
      </w:r>
      <w:r>
        <w:rPr/>
        <w:t>二）通过。</w:t>
      </w:r>
    </w:p>
    <w:p>
      <w:pPr>
        <w:pStyle w:val="ListParagraph"/>
        <w:numPr>
          <w:ilvl w:val="0"/>
          <w:numId w:val="46"/>
        </w:numPr>
        <w:tabs>
          <w:tab w:pos="1576" w:val="left" w:leader="none"/>
        </w:tabs>
        <w:spacing w:line="268" w:lineRule="exact" w:before="0" w:after="0"/>
        <w:ind w:left="1576" w:right="0" w:hanging="316"/>
        <w:jc w:val="left"/>
        <w:rPr>
          <w:sz w:val="21"/>
        </w:rPr>
      </w:pPr>
      <w:r>
        <w:rPr>
          <w:sz w:val="21"/>
        </w:rPr>
        <w:t>一般决议</w:t>
      </w:r>
    </w:p>
    <w:p>
      <w:pPr>
        <w:pStyle w:val="BodyText"/>
        <w:spacing w:line="364" w:lineRule="auto" w:before="140"/>
        <w:ind w:left="840" w:right="818" w:firstLine="420"/>
      </w:pPr>
      <w:r>
        <w:rPr>
          <w:spacing w:val="-3"/>
        </w:rPr>
        <w:t>对于一般决议应当经参加大会的基金份额持有人所持表决权的百分之五十以上</w:t>
      </w:r>
      <w:r>
        <w:rPr/>
        <w:t>（</w:t>
      </w:r>
      <w:r>
        <w:rPr>
          <w:spacing w:val="-6"/>
        </w:rPr>
        <w:t>含百分</w:t>
      </w:r>
      <w:r>
        <w:rPr/>
        <w:t>之五十）通过。</w:t>
      </w:r>
    </w:p>
    <w:p>
      <w:pPr>
        <w:pStyle w:val="BodyText"/>
        <w:spacing w:line="364" w:lineRule="auto"/>
        <w:ind w:left="840" w:right="818" w:firstLine="420"/>
      </w:pPr>
      <w:r>
        <w:rPr>
          <w:spacing w:val="-7"/>
        </w:rPr>
        <w:t>更换基金管理人或者基金托管人、转换基金运作方式、终止基金合同或本基金与其他基</w:t>
      </w:r>
      <w:r>
        <w:rPr/>
        <w:t>金合并应当以特别决议通过方为有效。</w:t>
      </w:r>
    </w:p>
    <w:p>
      <w:pPr>
        <w:pStyle w:val="BodyText"/>
        <w:spacing w:line="268" w:lineRule="exact"/>
        <w:ind w:left="1260"/>
      </w:pPr>
      <w:r>
        <w:rPr/>
        <w:t>基金份额持有人大会采取记名方式进行投票表决。</w:t>
      </w:r>
    </w:p>
    <w:p>
      <w:pPr>
        <w:pStyle w:val="BodyText"/>
        <w:spacing w:before="138"/>
        <w:ind w:left="1260"/>
      </w:pPr>
      <w:r>
        <w:rPr/>
        <w:t>采取通讯方式进行表决时，符合会议通知规定的书面表决意见视为有效表决。</w:t>
      </w:r>
    </w:p>
    <w:p>
      <w:pPr>
        <w:pStyle w:val="BodyText"/>
        <w:spacing w:line="364" w:lineRule="auto" w:before="140"/>
        <w:ind w:left="840" w:right="818" w:firstLine="420"/>
      </w:pPr>
      <w:r>
        <w:rPr>
          <w:spacing w:val="-4"/>
        </w:rPr>
        <w:t>基金份额持有人大会的各项提案或同一项提案内并列的各项议题应当分开审议、逐项表</w:t>
      </w:r>
      <w:r>
        <w:rPr/>
        <w:t>决。</w:t>
      </w:r>
    </w:p>
    <w:p>
      <w:pPr>
        <w:pStyle w:val="BodyText"/>
        <w:spacing w:line="268" w:lineRule="exact"/>
        <w:ind w:left="1260"/>
      </w:pPr>
      <w:r>
        <w:rPr/>
        <w:t>9、计票</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现场开会</w:t>
      </w:r>
    </w:p>
    <w:p>
      <w:pPr>
        <w:pStyle w:val="ListParagraph"/>
        <w:numPr>
          <w:ilvl w:val="0"/>
          <w:numId w:val="48"/>
        </w:numPr>
        <w:tabs>
          <w:tab w:pos="1471" w:val="left" w:leader="none"/>
        </w:tabs>
        <w:spacing w:line="364" w:lineRule="auto" w:before="140" w:after="0"/>
        <w:ind w:left="840" w:right="818" w:firstLine="420"/>
        <w:jc w:val="both"/>
        <w:rPr>
          <w:sz w:val="21"/>
        </w:rPr>
      </w:pPr>
      <w:r>
        <w:rPr>
          <w:spacing w:val="-5"/>
          <w:sz w:val="21"/>
        </w:rPr>
        <w:t>基金份额持有人大会的主持人为召集人授权出席大会的代表，如大会由基金管理人或</w:t>
      </w:r>
      <w:r>
        <w:rPr>
          <w:spacing w:val="-11"/>
          <w:sz w:val="21"/>
        </w:rPr>
        <w:t>基金托管人召集，基金份额持有人大会的主持人应当在会议开始后宣布在出席会议的基金份</w:t>
      </w:r>
      <w:r>
        <w:rPr>
          <w:sz w:val="21"/>
        </w:rPr>
        <w:t>额持有人中推举两名基金份额持有人代表与大会召集人授权的一名监督员(如果基金管理人</w:t>
      </w:r>
      <w:r>
        <w:rPr>
          <w:spacing w:val="-7"/>
          <w:sz w:val="21"/>
        </w:rPr>
        <w:t>为召集人，则监督员由基金托管人担任；如基金托管人为召集人，则监督员由基金托管人在</w:t>
      </w:r>
      <w:r>
        <w:rPr>
          <w:sz w:val="21"/>
        </w:rPr>
        <w:t>出席会议的基金份额持有人中指定)共同担任监票人；如大会由基金份额持有人自行召集， 基金份额持有人大会的主持人应当在会议开始后宣布在出席会议的基金份额持有人中推举三名基金份额持有人担任监票人。</w:t>
      </w:r>
    </w:p>
    <w:p>
      <w:pPr>
        <w:pStyle w:val="ListParagraph"/>
        <w:numPr>
          <w:ilvl w:val="0"/>
          <w:numId w:val="48"/>
        </w:numPr>
        <w:tabs>
          <w:tab w:pos="1474" w:val="left" w:leader="none"/>
        </w:tabs>
        <w:spacing w:line="364" w:lineRule="auto" w:before="0" w:after="0"/>
        <w:ind w:left="840" w:right="8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48"/>
        </w:numPr>
        <w:tabs>
          <w:tab w:pos="1471" w:val="left" w:leader="none"/>
        </w:tabs>
        <w:spacing w:line="364" w:lineRule="auto" w:before="0" w:after="0"/>
        <w:ind w:left="840" w:right="818" w:firstLine="420"/>
        <w:jc w:val="both"/>
        <w:rPr>
          <w:sz w:val="21"/>
        </w:rPr>
      </w:pPr>
      <w:r>
        <w:rPr>
          <w:spacing w:val="-5"/>
          <w:sz w:val="21"/>
        </w:rPr>
        <w:t>如果大会主持人对于提交的表决结果有怀疑，可以对所投票数进行重新清点；如果大</w:t>
      </w:r>
      <w:r>
        <w:rPr>
          <w:spacing w:val="-9"/>
          <w:sz w:val="21"/>
        </w:rPr>
        <w:t>会主持人未进行重新清点，而出席大会的基金份额持有人或者基金份额持有人代理人对大会</w:t>
      </w:r>
      <w:r>
        <w:rPr>
          <w:spacing w:val="-7"/>
          <w:sz w:val="21"/>
        </w:rPr>
        <w:t>主持人宣布的表决结果有异议，其有权在宣布表决结果后立即要求重新清点，大会主持人应</w:t>
      </w:r>
      <w:r>
        <w:rPr>
          <w:sz w:val="21"/>
        </w:rPr>
        <w:t>当立即重新清点并公布重新清点结果。重新清点仅限一次。</w:t>
      </w:r>
    </w:p>
    <w:p>
      <w:pPr>
        <w:pStyle w:val="BodyText"/>
        <w:spacing w:line="364" w:lineRule="auto"/>
        <w:ind w:left="840" w:right="818" w:firstLine="420"/>
        <w:jc w:val="both"/>
      </w:pPr>
      <w:r>
        <w:rPr/>
        <w:t>4）在基金管理人或基金托管人担任召集人的情形下，如果在计票过程中基金管理人或</w:t>
      </w:r>
      <w:r>
        <w:rPr>
          <w:spacing w:val="-9"/>
        </w:rPr>
        <w:t>者基金托管人拒不配合的，则参加会议的基金份额持有人有权推举三名基金份额持有人代表</w:t>
      </w:r>
      <w:r>
        <w:rPr/>
        <w:t>共同担任监票人进行计票。</w:t>
      </w:r>
    </w:p>
    <w:p>
      <w:pPr>
        <w:pStyle w:val="ListParagraph"/>
        <w:numPr>
          <w:ilvl w:val="0"/>
          <w:numId w:val="47"/>
        </w:numPr>
        <w:tabs>
          <w:tab w:pos="1786" w:val="left" w:leader="none"/>
        </w:tabs>
        <w:spacing w:line="268" w:lineRule="exact" w:before="0" w:after="0"/>
        <w:ind w:left="1786" w:right="0" w:hanging="526"/>
        <w:jc w:val="left"/>
        <w:rPr>
          <w:sz w:val="21"/>
        </w:rPr>
      </w:pPr>
      <w:r>
        <w:rPr>
          <w:sz w:val="21"/>
        </w:rPr>
        <w:t>通讯方式开会</w:t>
      </w:r>
    </w:p>
    <w:p>
      <w:pPr>
        <w:pStyle w:val="BodyText"/>
        <w:spacing w:before="133"/>
        <w:ind w:left="1260"/>
      </w:pPr>
      <w:r>
        <w:rPr/>
        <w:t>在通讯方式开会的情况下，计票方式可采取如下方式：</w:t>
      </w:r>
    </w:p>
    <w:p>
      <w:pPr>
        <w:spacing w:after="0"/>
        <w:sectPr>
          <w:pgSz w:w="11910" w:h="16840"/>
          <w:pgMar w:header="0" w:footer="638" w:top="1380" w:bottom="900" w:left="960" w:right="980"/>
        </w:sectPr>
      </w:pPr>
    </w:p>
    <w:p>
      <w:pPr>
        <w:pStyle w:val="BodyText"/>
        <w:spacing w:before="45"/>
        <w:ind w:left="1260"/>
      </w:pPr>
      <w:r>
        <w:rPr/>
        <w:t>由大会召集人聘请的公证机关的公证员进行计票。</w:t>
      </w:r>
    </w:p>
    <w:p>
      <w:pPr>
        <w:pStyle w:val="BodyText"/>
        <w:spacing w:before="139"/>
        <w:ind w:left="1260"/>
      </w:pPr>
      <w:r>
        <w:rPr/>
        <w:t>10、生效与公告</w:t>
      </w:r>
    </w:p>
    <w:p>
      <w:pPr>
        <w:pStyle w:val="ListParagraph"/>
        <w:numPr>
          <w:ilvl w:val="0"/>
          <w:numId w:val="49"/>
        </w:numPr>
        <w:tabs>
          <w:tab w:pos="1787" w:val="left" w:leader="none"/>
        </w:tabs>
        <w:spacing w:line="364" w:lineRule="auto" w:before="140" w:after="0"/>
        <w:ind w:left="840" w:right="818" w:firstLine="420"/>
        <w:jc w:val="both"/>
        <w:rPr>
          <w:sz w:val="21"/>
        </w:rPr>
      </w:pPr>
      <w:r>
        <w:rPr>
          <w:sz w:val="21"/>
        </w:rPr>
        <w:t>基金份额持有人大会按照《基金法》有关法律法规规定表决通过的事项，召集人</w:t>
      </w:r>
      <w:r>
        <w:rPr>
          <w:spacing w:val="-6"/>
          <w:sz w:val="21"/>
        </w:rPr>
        <w:t>应当自通过之日起五日内报中国证监会备案。基金份额持有人大会决定的事项自表决通过之</w:t>
      </w:r>
      <w:r>
        <w:rPr>
          <w:sz w:val="21"/>
        </w:rPr>
        <w:t>日起生效。</w:t>
      </w:r>
    </w:p>
    <w:p>
      <w:pPr>
        <w:pStyle w:val="ListParagraph"/>
        <w:numPr>
          <w:ilvl w:val="0"/>
          <w:numId w:val="49"/>
        </w:numPr>
        <w:tabs>
          <w:tab w:pos="1787" w:val="left" w:leader="none"/>
        </w:tabs>
        <w:spacing w:line="364" w:lineRule="auto" w:before="0" w:after="0"/>
        <w:ind w:left="840" w:right="818" w:firstLine="420"/>
        <w:jc w:val="both"/>
        <w:rPr>
          <w:sz w:val="21"/>
        </w:rPr>
      </w:pPr>
      <w:r>
        <w:rPr>
          <w:sz w:val="21"/>
        </w:rPr>
        <w:t>生效的基金份额持有人大会决议对全体基金份额持有人、基金管理人、基金托管</w:t>
      </w:r>
      <w:r>
        <w:rPr>
          <w:spacing w:val="-10"/>
          <w:sz w:val="21"/>
        </w:rPr>
        <w:t>人均有法律约束力。基金管理人、基金托管人和基金份额持有人应当执行生效的基金份额持</w:t>
      </w:r>
      <w:r>
        <w:rPr>
          <w:sz w:val="21"/>
        </w:rPr>
        <w:t>有人大会的决定。</w:t>
      </w:r>
    </w:p>
    <w:p>
      <w:pPr>
        <w:pStyle w:val="ListParagraph"/>
        <w:numPr>
          <w:ilvl w:val="0"/>
          <w:numId w:val="49"/>
        </w:numPr>
        <w:tabs>
          <w:tab w:pos="1787" w:val="left" w:leader="none"/>
        </w:tabs>
        <w:spacing w:line="364" w:lineRule="auto" w:before="0" w:after="0"/>
        <w:ind w:left="840" w:right="818" w:firstLine="420"/>
        <w:jc w:val="both"/>
        <w:rPr>
          <w:sz w:val="21"/>
        </w:rPr>
      </w:pPr>
      <w:r>
        <w:rPr>
          <w:spacing w:val="-3"/>
          <w:sz w:val="21"/>
        </w:rPr>
        <w:t>基金份额持有人大会决议应当自生效之日起 </w:t>
      </w:r>
      <w:r>
        <w:rPr>
          <w:sz w:val="21"/>
        </w:rPr>
        <w:t>2</w:t>
      </w:r>
      <w:r>
        <w:rPr>
          <w:spacing w:val="-8"/>
          <w:sz w:val="21"/>
        </w:rPr>
        <w:t> 日内，由基金份额持有人大会召集人在指定媒介公告。</w:t>
      </w:r>
    </w:p>
    <w:p>
      <w:pPr>
        <w:pStyle w:val="ListParagraph"/>
        <w:numPr>
          <w:ilvl w:val="0"/>
          <w:numId w:val="49"/>
        </w:numPr>
        <w:tabs>
          <w:tab w:pos="1787" w:val="left" w:leader="none"/>
        </w:tabs>
        <w:spacing w:line="364" w:lineRule="auto" w:before="0" w:after="0"/>
        <w:ind w:left="840" w:right="818" w:firstLine="420"/>
        <w:jc w:val="left"/>
        <w:rPr>
          <w:sz w:val="21"/>
        </w:rPr>
      </w:pPr>
      <w:r>
        <w:rPr>
          <w:sz w:val="21"/>
        </w:rPr>
        <w:t>如果采用通讯方式进行表决，在公告基金份额持有人大会决议时，必须将公证书全文、公证机关、公证员姓名等一同公告。</w:t>
      </w:r>
    </w:p>
    <w:p>
      <w:pPr>
        <w:pStyle w:val="BodyText"/>
        <w:spacing w:line="268" w:lineRule="exact"/>
        <w:ind w:left="1260"/>
      </w:pPr>
      <w:r>
        <w:rPr/>
        <w:t>11、法律法规或监管机关对基金份额持有人大会另有规定的，从其规定。</w:t>
      </w:r>
    </w:p>
    <w:p>
      <w:pPr>
        <w:spacing w:before="137"/>
        <w:ind w:left="840" w:right="0" w:firstLine="0"/>
        <w:jc w:val="left"/>
        <w:rPr>
          <w:sz w:val="28"/>
        </w:rPr>
      </w:pPr>
      <w:bookmarkStart w:name="_bookmark105" w:id="106"/>
      <w:bookmarkEnd w:id="106"/>
      <w:r>
        <w:rPr/>
      </w:r>
      <w:r>
        <w:rPr>
          <w:sz w:val="28"/>
        </w:rPr>
        <w:t>（五）基金合同的终止</w:t>
      </w:r>
    </w:p>
    <w:p>
      <w:pPr>
        <w:pStyle w:val="BodyText"/>
        <w:spacing w:before="184"/>
        <w:ind w:left="1260"/>
      </w:pPr>
      <w:r>
        <w:rPr/>
        <w:t>本基金出现下列情形之一的，基金合同应当终止：</w:t>
      </w:r>
    </w:p>
    <w:p>
      <w:pPr>
        <w:pStyle w:val="BodyText"/>
        <w:spacing w:before="140"/>
        <w:ind w:left="1260"/>
      </w:pPr>
      <w:r>
        <w:rPr/>
        <w:t>1、基金份额持有人大会决定终止；</w:t>
      </w:r>
    </w:p>
    <w:p>
      <w:pPr>
        <w:pStyle w:val="BodyText"/>
        <w:spacing w:before="139"/>
        <w:ind w:left="1260"/>
      </w:pPr>
      <w:r>
        <w:rPr/>
        <w:t>2、因重大违法、违规行为，被中国证监会责令终止的；</w:t>
      </w:r>
    </w:p>
    <w:p>
      <w:pPr>
        <w:pStyle w:val="BodyText"/>
        <w:spacing w:line="364" w:lineRule="auto" w:before="140"/>
        <w:ind w:left="840" w:right="818" w:firstLine="420"/>
      </w:pPr>
      <w:r>
        <w:rPr/>
        <w:t>3、基金管理人、基金托管人职责终止，在六个月内没有新基金管理人、基金托管人承接的；</w:t>
      </w:r>
    </w:p>
    <w:p>
      <w:pPr>
        <w:pStyle w:val="BodyText"/>
        <w:spacing w:line="268" w:lineRule="exact"/>
        <w:ind w:left="1260"/>
      </w:pPr>
      <w:r>
        <w:rPr/>
        <w:t>4、法律法规和基金合同规定的其他情形。</w:t>
      </w:r>
    </w:p>
    <w:p>
      <w:pPr>
        <w:pStyle w:val="BodyText"/>
        <w:spacing w:line="364" w:lineRule="auto" w:before="139"/>
        <w:ind w:left="840" w:right="81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w:t>
      </w:r>
    </w:p>
    <w:p>
      <w:pPr>
        <w:spacing w:line="358" w:lineRule="exact" w:before="0"/>
        <w:ind w:left="840" w:right="0" w:firstLine="0"/>
        <w:jc w:val="left"/>
        <w:rPr>
          <w:sz w:val="28"/>
        </w:rPr>
      </w:pPr>
      <w:bookmarkStart w:name="_bookmark106" w:id="107"/>
      <w:bookmarkEnd w:id="107"/>
      <w:r>
        <w:rPr/>
      </w:r>
      <w:r>
        <w:rPr>
          <w:sz w:val="28"/>
        </w:rPr>
        <w:t>（六）争议的处理</w:t>
      </w:r>
    </w:p>
    <w:p>
      <w:pPr>
        <w:pStyle w:val="BodyText"/>
        <w:spacing w:before="185"/>
        <w:ind w:left="1260"/>
      </w:pPr>
      <w:r>
        <w:rPr/>
        <w:t>1、本基金合同适用中华人民共和国法律并从其解释。</w:t>
      </w:r>
    </w:p>
    <w:p>
      <w:pPr>
        <w:pStyle w:val="BodyText"/>
        <w:spacing w:line="364" w:lineRule="auto" w:before="139"/>
        <w:ind w:left="840" w:right="608" w:firstLine="420"/>
      </w:pPr>
      <w:r>
        <w:rPr/>
        <w:t>2、本基金合同的当事人之间因本基金合同产生的或与本基金合同有关的争议可通过友 </w:t>
      </w:r>
      <w:r>
        <w:rPr>
          <w:spacing w:val="-3"/>
        </w:rPr>
        <w:t>好协商解决，但若自一方书面提出协商解决争议之日起 </w:t>
      </w:r>
      <w:r>
        <w:rPr/>
        <w:t>60</w:t>
      </w:r>
      <w:r>
        <w:rPr>
          <w:spacing w:val="-8"/>
        </w:rPr>
        <w:t> 日内争议未能以协商方式解决的， </w:t>
      </w:r>
      <w:r>
        <w:rPr>
          <w:spacing w:val="-11"/>
        </w:rPr>
        <w:t>则任何一方有权将争议提交位于北京的中国国际经济贸易仲裁委员会，根据提交仲裁时该会 的仲裁规则进行仲裁。仲裁裁决是终局的，对仲裁各方当事人均具有约束力。</w:t>
      </w:r>
    </w:p>
    <w:p>
      <w:pPr>
        <w:pStyle w:val="BodyText"/>
        <w:spacing w:line="267" w:lineRule="exact"/>
        <w:ind w:left="1260"/>
      </w:pPr>
      <w:r>
        <w:rPr/>
        <w:t>3、除争议所涉内容之外，本基金合同的其他部分应当由本基金合同当事人继续履行。</w:t>
      </w:r>
    </w:p>
    <w:p>
      <w:pPr>
        <w:spacing w:before="141"/>
        <w:ind w:left="840" w:right="0" w:firstLine="0"/>
        <w:jc w:val="left"/>
        <w:rPr>
          <w:sz w:val="28"/>
        </w:rPr>
      </w:pPr>
      <w:bookmarkStart w:name="_bookmark107" w:id="108"/>
      <w:bookmarkEnd w:id="108"/>
      <w:r>
        <w:rPr/>
      </w:r>
      <w:r>
        <w:rPr>
          <w:sz w:val="28"/>
        </w:rPr>
        <w:t>（七）基金合同的效力</w:t>
      </w:r>
    </w:p>
    <w:p>
      <w:pPr>
        <w:pStyle w:val="BodyText"/>
        <w:spacing w:line="364" w:lineRule="auto" w:before="185"/>
        <w:ind w:left="840" w:right="818" w:firstLine="420"/>
      </w:pPr>
      <w:r>
        <w:rPr/>
        <w:t>1、本基金合同是基金合同当事人之间的法律文件。基金合同于投资者缴纳认购的基金份额的款项时成立，自基金募集结束报中国证监会备案并获中国证监会书面确认后生效。</w:t>
      </w:r>
    </w:p>
    <w:p>
      <w:pPr>
        <w:spacing w:after="0" w:line="364" w:lineRule="auto"/>
        <w:sectPr>
          <w:pgSz w:w="11910" w:h="16840"/>
          <w:pgMar w:header="0" w:footer="638" w:top="1380" w:bottom="900" w:left="960" w:right="980"/>
        </w:sectPr>
      </w:pPr>
    </w:p>
    <w:p>
      <w:pPr>
        <w:pStyle w:val="BodyText"/>
        <w:spacing w:line="364" w:lineRule="auto" w:before="45"/>
        <w:ind w:left="840" w:right="818" w:firstLine="420"/>
      </w:pPr>
      <w:r>
        <w:rPr/>
        <w:t>2、本基金合同的有效期自其生效之日起至本基金财产清算结果报中国证监会备案并公告之日止。</w:t>
      </w:r>
    </w:p>
    <w:p>
      <w:pPr>
        <w:pStyle w:val="BodyText"/>
        <w:spacing w:line="364" w:lineRule="auto"/>
        <w:ind w:left="840" w:right="818" w:firstLine="420"/>
      </w:pPr>
      <w:r>
        <w:rPr/>
        <w:t>3、本基金合同自生效之日起对包括基金管理人、基金托管人和基金份额持有人在内的基金合同各方当事人具有同等的法律约束力。</w:t>
      </w:r>
    </w:p>
    <w:p>
      <w:pPr>
        <w:pStyle w:val="BodyText"/>
        <w:spacing w:line="364" w:lineRule="auto"/>
        <w:ind w:left="840" w:right="818" w:firstLine="420"/>
      </w:pPr>
      <w:r>
        <w:rPr/>
        <w:t>4、本基金合同正本一式六份，除上报有关监管机构一式二份外，基金管理人、基金托管人各持有二份，每份具有同等的法律效力。</w:t>
      </w:r>
    </w:p>
    <w:p>
      <w:pPr>
        <w:pStyle w:val="BodyText"/>
        <w:spacing w:line="364" w:lineRule="auto"/>
        <w:ind w:left="840" w:right="818" w:firstLine="420"/>
      </w:pPr>
      <w:r>
        <w:rPr/>
        <w:t>5、基金合同可印制成册，存放在基金管理人和基金托管人住所，供投资者查阅，基金合同条款及内容应以基金合同正本为准。</w:t>
      </w:r>
    </w:p>
    <w:p>
      <w:pPr>
        <w:spacing w:after="0" w:line="364" w:lineRule="auto"/>
        <w:sectPr>
          <w:pgSz w:w="11910" w:h="16840"/>
          <w:pgMar w:header="0" w:footer="638" w:top="1380" w:bottom="900" w:left="960" w:right="980"/>
        </w:sectPr>
      </w:pPr>
    </w:p>
    <w:p>
      <w:pPr>
        <w:pStyle w:val="Heading1"/>
        <w:ind w:left="3043"/>
      </w:pPr>
      <w:bookmarkStart w:name="_bookmark108" w:id="109"/>
      <w:bookmarkEnd w:id="109"/>
      <w:r>
        <w:rPr/>
      </w:r>
      <w:r>
        <w:rPr/>
        <w:t>二十二、基金托管协议的内容摘要</w:t>
      </w:r>
    </w:p>
    <w:p>
      <w:pPr>
        <w:spacing w:before="199"/>
        <w:ind w:left="840" w:right="0" w:firstLine="0"/>
        <w:jc w:val="left"/>
        <w:rPr>
          <w:sz w:val="28"/>
        </w:rPr>
      </w:pPr>
      <w:bookmarkStart w:name="_bookmark109" w:id="110"/>
      <w:bookmarkEnd w:id="110"/>
      <w:r>
        <w:rPr/>
      </w:r>
      <w:r>
        <w:rPr>
          <w:sz w:val="28"/>
        </w:rPr>
        <w:t>（一）托管协议当事人</w:t>
      </w:r>
    </w:p>
    <w:p>
      <w:pPr>
        <w:pStyle w:val="Heading3"/>
        <w:spacing w:before="116"/>
      </w:pPr>
      <w:r>
        <w:rPr>
          <w:w w:val="83"/>
        </w:rPr>
        <w:t>1</w:t>
      </w:r>
      <w:r>
        <w:rPr/>
        <w:t>、基金管理人（</w:t>
      </w:r>
      <w:r>
        <w:rPr>
          <w:spacing w:val="-14"/>
        </w:rPr>
        <w:t>或简称“管理人”</w:t>
      </w:r>
      <w:r>
        <w:rPr/>
        <w:t>）</w:t>
      </w:r>
    </w:p>
    <w:p>
      <w:pPr>
        <w:pStyle w:val="BodyText"/>
        <w:spacing w:before="91"/>
        <w:ind w:left="1242"/>
      </w:pPr>
      <w:r>
        <w:rPr/>
        <w:t>名称：易方达基金管理有限公司</w:t>
      </w:r>
    </w:p>
    <w:p>
      <w:pPr>
        <w:pStyle w:val="BodyText"/>
        <w:spacing w:line="364" w:lineRule="auto" w:before="140"/>
        <w:ind w:left="1242" w:right="2107"/>
      </w:pPr>
      <w:r>
        <w:rPr>
          <w:spacing w:val="-4"/>
        </w:rPr>
        <w:t>住所：广东省珠海市横琴新区宝华路 </w:t>
      </w:r>
      <w:r>
        <w:rPr/>
        <w:t>6</w:t>
      </w:r>
      <w:r>
        <w:rPr>
          <w:spacing w:val="-36"/>
        </w:rPr>
        <w:t> 号 </w:t>
      </w:r>
      <w:r>
        <w:rPr/>
        <w:t>105</w:t>
      </w:r>
      <w:r>
        <w:rPr>
          <w:spacing w:val="-27"/>
        </w:rPr>
        <w:t> 室</w:t>
      </w:r>
      <w:r>
        <w:rPr/>
        <w:t>－42891（集中办公区</w:t>
      </w:r>
      <w:r>
        <w:rPr>
          <w:spacing w:val="-16"/>
        </w:rPr>
        <w:t>） </w:t>
      </w:r>
      <w:r>
        <w:rPr/>
        <w:t>法定代表人:刘晓艳</w:t>
      </w:r>
    </w:p>
    <w:p>
      <w:pPr>
        <w:pStyle w:val="BodyText"/>
        <w:spacing w:line="268" w:lineRule="exact"/>
        <w:ind w:left="1242"/>
      </w:pPr>
      <w:r>
        <w:rPr/>
        <w:t>成立时间：2001 年 4 月 17 日</w:t>
      </w:r>
    </w:p>
    <w:p>
      <w:pPr>
        <w:pStyle w:val="BodyText"/>
        <w:spacing w:line="364" w:lineRule="auto" w:before="139"/>
        <w:ind w:left="1242" w:right="4942"/>
      </w:pPr>
      <w:r>
        <w:rPr/>
        <w:t>批准设立机关：中国证券监督管理委员会批准设立文号：证监基金字[2001]4 号组织形式：有限责任公司</w:t>
      </w:r>
    </w:p>
    <w:p>
      <w:pPr>
        <w:pStyle w:val="BodyText"/>
        <w:spacing w:line="268" w:lineRule="exact"/>
        <w:ind w:left="1242"/>
      </w:pPr>
      <w:r>
        <w:rPr/>
        <w:t>注册资本：13,244.2 万元人民币</w:t>
      </w:r>
    </w:p>
    <w:p>
      <w:pPr>
        <w:pStyle w:val="BodyText"/>
        <w:spacing w:line="364" w:lineRule="auto" w:before="140"/>
        <w:ind w:left="1260" w:right="2212" w:hanging="17"/>
      </w:pPr>
      <w:r>
        <w:rPr/>
        <w:t>经营范围：公开募集证券投资基金管理、基金销售、特定客户资产管理存续期间：持续经营</w:t>
      </w:r>
    </w:p>
    <w:p>
      <w:pPr>
        <w:pStyle w:val="Heading3"/>
        <w:spacing w:line="316" w:lineRule="exact"/>
      </w:pPr>
      <w:r>
        <w:rPr>
          <w:w w:val="83"/>
        </w:rPr>
        <w:t>2</w:t>
      </w:r>
      <w:r>
        <w:rPr/>
        <w:t>、基金托管人（</w:t>
      </w:r>
      <w:r>
        <w:rPr>
          <w:spacing w:val="-14"/>
        </w:rPr>
        <w:t>或简称“托管人”</w:t>
      </w:r>
      <w:r>
        <w:rPr/>
        <w:t>）</w:t>
      </w:r>
    </w:p>
    <w:p>
      <w:pPr>
        <w:pStyle w:val="BodyText"/>
        <w:spacing w:before="91"/>
        <w:ind w:left="1260"/>
      </w:pPr>
      <w:r>
        <w:rPr/>
        <w:t>名称：中国银行股份有限公司</w:t>
      </w:r>
    </w:p>
    <w:p>
      <w:pPr>
        <w:pStyle w:val="BodyText"/>
        <w:spacing w:line="364" w:lineRule="auto" w:before="140"/>
        <w:ind w:left="1260" w:right="5135"/>
      </w:pPr>
      <w:r>
        <w:rPr>
          <w:spacing w:val="-4"/>
        </w:rPr>
        <w:t>住所：北京市西城区复兴门内大街 </w:t>
      </w:r>
      <w:r>
        <w:rPr/>
        <w:t>1</w:t>
      </w:r>
      <w:r>
        <w:rPr>
          <w:spacing w:val="-36"/>
        </w:rPr>
        <w:t> 号</w:t>
      </w:r>
      <w:r>
        <w:rPr/>
        <w:t>法定代表人:刘连舸</w:t>
      </w:r>
    </w:p>
    <w:p>
      <w:pPr>
        <w:pStyle w:val="BodyText"/>
        <w:spacing w:line="268" w:lineRule="exact"/>
        <w:ind w:left="1260"/>
      </w:pPr>
      <w:r>
        <w:rPr/>
        <w:t>成立时间：1983 年 10 月 31 日</w:t>
      </w:r>
    </w:p>
    <w:p>
      <w:pPr>
        <w:pStyle w:val="BodyText"/>
        <w:spacing w:line="364" w:lineRule="auto" w:before="139"/>
        <w:ind w:left="1260" w:right="3665"/>
      </w:pPr>
      <w:r>
        <w:rPr/>
        <w:t>批准设立机关：中华人民共和国国家工商行政管理总局批准设立文号：1000001000134（营业执照号码）</w:t>
      </w:r>
    </w:p>
    <w:p>
      <w:pPr>
        <w:pStyle w:val="BodyText"/>
        <w:spacing w:line="364" w:lineRule="auto"/>
        <w:ind w:left="1260" w:right="3128"/>
      </w:pPr>
      <w:r>
        <w:rPr/>
        <w:t>基金托管业务批准文号：中国证监会证监基字【1998】24 号组织形式：股份有限公司</w:t>
      </w:r>
    </w:p>
    <w:p>
      <w:pPr>
        <w:pStyle w:val="BodyText"/>
        <w:tabs>
          <w:tab w:pos="2519" w:val="left" w:leader="none"/>
        </w:tabs>
        <w:spacing w:line="268" w:lineRule="exact"/>
        <w:ind w:left="1260"/>
      </w:pPr>
      <w:r>
        <w:rPr/>
        <w:t>注册资本：</w:t>
        <w:tab/>
        <w:t>人民币贰仟玖佰肆拾叁亿捌仟柒佰柒拾玖万壹仟贰佰肆拾壹元整</w:t>
      </w:r>
    </w:p>
    <w:p>
      <w:pPr>
        <w:pStyle w:val="BodyText"/>
        <w:tabs>
          <w:tab w:pos="2495" w:val="left" w:leader="none"/>
        </w:tabs>
        <w:spacing w:line="364" w:lineRule="auto" w:before="139"/>
        <w:ind w:left="840" w:right="712" w:firstLine="420"/>
      </w:pPr>
      <w:r>
        <w:rPr/>
        <w:t>经营范</w:t>
      </w:r>
      <w:r>
        <w:rPr>
          <w:spacing w:val="-25"/>
        </w:rPr>
        <w:t>围</w:t>
      </w:r>
      <w:r>
        <w:rPr/>
        <w:t>：</w:t>
        <w:tab/>
        <w:t>吸收人民币存</w:t>
      </w:r>
      <w:r>
        <w:rPr>
          <w:spacing w:val="-25"/>
        </w:rPr>
        <w:t>款；</w:t>
      </w:r>
      <w:r>
        <w:rPr/>
        <w:t>发放短期、中期和长期贷</w:t>
      </w:r>
      <w:r>
        <w:rPr>
          <w:spacing w:val="-25"/>
        </w:rPr>
        <w:t>款；</w:t>
      </w:r>
      <w:r>
        <w:rPr/>
        <w:t>办理结</w:t>
      </w:r>
      <w:r>
        <w:rPr>
          <w:spacing w:val="-25"/>
        </w:rPr>
        <w:t>算；</w:t>
      </w:r>
      <w:r>
        <w:rPr/>
        <w:t>办理票据贴</w:t>
      </w:r>
      <w:r>
        <w:rPr>
          <w:spacing w:val="-25"/>
        </w:rPr>
        <w:t>现</w:t>
      </w:r>
      <w:r>
        <w:rPr>
          <w:spacing w:val="-16"/>
        </w:rPr>
        <w:t>； </w:t>
      </w:r>
      <w:r>
        <w:rPr/>
        <w:t>发行金融债</w:t>
      </w:r>
      <w:r>
        <w:rPr>
          <w:spacing w:val="-12"/>
        </w:rPr>
        <w:t>券；</w:t>
      </w:r>
      <w:r>
        <w:rPr/>
        <w:t>代理发行、代理兑付、承销政府债</w:t>
      </w:r>
      <w:r>
        <w:rPr>
          <w:spacing w:val="-12"/>
        </w:rPr>
        <w:t>券；</w:t>
      </w:r>
      <w:r>
        <w:rPr/>
        <w:t>买卖政府债</w:t>
      </w:r>
      <w:r>
        <w:rPr>
          <w:spacing w:val="-12"/>
        </w:rPr>
        <w:t>券；</w:t>
      </w:r>
      <w:r>
        <w:rPr/>
        <w:t>从事同业拆</w:t>
      </w:r>
      <w:r>
        <w:rPr>
          <w:spacing w:val="-12"/>
        </w:rPr>
        <w:t>借；</w:t>
      </w:r>
      <w:r>
        <w:rPr/>
        <w:t>提供信用证服务及担</w:t>
      </w:r>
      <w:r>
        <w:rPr>
          <w:spacing w:val="-23"/>
        </w:rPr>
        <w:t>保；</w:t>
      </w:r>
      <w:r>
        <w:rPr/>
        <w:t>代理收付款项及代理保险业</w:t>
      </w:r>
      <w:r>
        <w:rPr>
          <w:spacing w:val="-23"/>
        </w:rPr>
        <w:t>务；</w:t>
      </w:r>
      <w:r>
        <w:rPr/>
        <w:t>提供保险箱服</w:t>
      </w:r>
      <w:r>
        <w:rPr>
          <w:spacing w:val="-23"/>
        </w:rPr>
        <w:t>务；</w:t>
      </w:r>
      <w:r>
        <w:rPr/>
        <w:t>外汇存</w:t>
      </w:r>
      <w:r>
        <w:rPr>
          <w:spacing w:val="-23"/>
        </w:rPr>
        <w:t>款；</w:t>
      </w:r>
      <w:r>
        <w:rPr/>
        <w:t>外汇贷</w:t>
      </w:r>
      <w:r>
        <w:rPr>
          <w:spacing w:val="-23"/>
        </w:rPr>
        <w:t>款</w:t>
      </w:r>
      <w:r>
        <w:rPr/>
        <w:t>； 外汇汇</w:t>
      </w:r>
      <w:r>
        <w:rPr>
          <w:spacing w:val="-8"/>
        </w:rPr>
        <w:t>款；</w:t>
      </w:r>
      <w:r>
        <w:rPr/>
        <w:t>外汇兑</w:t>
      </w:r>
      <w:r>
        <w:rPr>
          <w:spacing w:val="-8"/>
        </w:rPr>
        <w:t>换；</w:t>
      </w:r>
      <w:r>
        <w:rPr/>
        <w:t>国际结</w:t>
      </w:r>
      <w:r>
        <w:rPr>
          <w:spacing w:val="-8"/>
        </w:rPr>
        <w:t>算；</w:t>
      </w:r>
      <w:r>
        <w:rPr/>
        <w:t>同业外汇拆</w:t>
      </w:r>
      <w:r>
        <w:rPr>
          <w:spacing w:val="-8"/>
        </w:rPr>
        <w:t>借；</w:t>
      </w:r>
      <w:r>
        <w:rPr/>
        <w:t>外汇票据的承兑和贴</w:t>
      </w:r>
      <w:r>
        <w:rPr>
          <w:spacing w:val="-8"/>
        </w:rPr>
        <w:t>现；</w:t>
      </w:r>
      <w:r>
        <w:rPr/>
        <w:t>外汇借</w:t>
      </w:r>
      <w:r>
        <w:rPr>
          <w:spacing w:val="-8"/>
        </w:rPr>
        <w:t>款；</w:t>
      </w:r>
      <w:r>
        <w:rPr/>
        <w:t>外汇担</w:t>
      </w:r>
      <w:r>
        <w:rPr>
          <w:spacing w:val="-16"/>
        </w:rPr>
        <w:t>保；</w:t>
      </w:r>
      <w:r>
        <w:rPr/>
        <w:t>结汇、售</w:t>
      </w:r>
      <w:r>
        <w:rPr>
          <w:spacing w:val="-16"/>
        </w:rPr>
        <w:t>汇；</w:t>
      </w:r>
      <w:r>
        <w:rPr/>
        <w:t>发行和代理发行股票以外的外币有价证</w:t>
      </w:r>
      <w:r>
        <w:rPr>
          <w:spacing w:val="-16"/>
        </w:rPr>
        <w:t>券；</w:t>
      </w:r>
      <w:r>
        <w:rPr/>
        <w:t>买卖和代理买卖股票以外的外币有价证</w:t>
      </w:r>
      <w:r>
        <w:rPr>
          <w:spacing w:val="-16"/>
        </w:rPr>
        <w:t>券；</w:t>
      </w:r>
      <w:r>
        <w:rPr/>
        <w:t>自营外汇买</w:t>
      </w:r>
      <w:r>
        <w:rPr>
          <w:spacing w:val="-16"/>
        </w:rPr>
        <w:t>卖；</w:t>
      </w:r>
      <w:r>
        <w:rPr/>
        <w:t>代客外汇买</w:t>
      </w:r>
      <w:r>
        <w:rPr>
          <w:spacing w:val="-16"/>
        </w:rPr>
        <w:t>卖；</w:t>
      </w:r>
      <w:r>
        <w:rPr/>
        <w:t>外汇信用卡的发行和代理国外信用卡的发行及付</w:t>
      </w:r>
      <w:r>
        <w:rPr>
          <w:spacing w:val="-12"/>
        </w:rPr>
        <w:t>款；</w:t>
      </w:r>
      <w:r>
        <w:rPr/>
        <w:t>资信调查、咨询、见证业</w:t>
      </w:r>
      <w:r>
        <w:rPr>
          <w:spacing w:val="-12"/>
        </w:rPr>
        <w:t>务；</w:t>
      </w:r>
      <w:r>
        <w:rPr/>
        <w:t>组织或参加银团贷</w:t>
      </w:r>
      <w:r>
        <w:rPr>
          <w:spacing w:val="-12"/>
        </w:rPr>
        <w:t>款；</w:t>
      </w:r>
      <w:r>
        <w:rPr/>
        <w:t>国际贵金属买</w:t>
      </w:r>
      <w:r>
        <w:rPr>
          <w:spacing w:val="-12"/>
        </w:rPr>
        <w:t>卖；</w:t>
      </w:r>
      <w:r>
        <w:rPr/>
        <w:t>海外分支机构经营与当地法律许可的一切银行业</w:t>
      </w:r>
      <w:r>
        <w:rPr>
          <w:spacing w:val="-48"/>
        </w:rPr>
        <w:t>务；</w:t>
      </w:r>
      <w:r>
        <w:rPr/>
        <w:t>在港澳地区的分行依据当地法令可发行或参与代理发行当地货币；经中国人民银行批准的其他业务。</w:t>
      </w:r>
    </w:p>
    <w:p>
      <w:pPr>
        <w:pStyle w:val="BodyText"/>
        <w:tabs>
          <w:tab w:pos="2519" w:val="left" w:leader="none"/>
        </w:tabs>
        <w:spacing w:line="265" w:lineRule="exact"/>
        <w:ind w:left="1260"/>
      </w:pPr>
      <w:r>
        <w:rPr/>
        <w:t>存续期间：</w:t>
        <w:tab/>
        <w:t>持续经营</w:t>
      </w:r>
    </w:p>
    <w:p>
      <w:pPr>
        <w:spacing w:after="0" w:line="265" w:lineRule="exact"/>
        <w:sectPr>
          <w:pgSz w:w="11910" w:h="16840"/>
          <w:pgMar w:header="0" w:footer="638" w:top="1380" w:bottom="900" w:left="960" w:right="980"/>
        </w:sectPr>
      </w:pPr>
    </w:p>
    <w:p>
      <w:pPr>
        <w:spacing w:before="46"/>
        <w:ind w:left="840" w:right="0" w:firstLine="0"/>
        <w:jc w:val="left"/>
        <w:rPr>
          <w:sz w:val="28"/>
        </w:rPr>
      </w:pPr>
      <w:bookmarkStart w:name="_bookmark110" w:id="111"/>
      <w:bookmarkEnd w:id="111"/>
      <w:r>
        <w:rPr/>
      </w:r>
      <w:r>
        <w:rPr>
          <w:sz w:val="28"/>
        </w:rPr>
        <w:t>（二）基金托管人对基金管理人的业务监督、核查</w:t>
      </w:r>
    </w:p>
    <w:p>
      <w:pPr>
        <w:pStyle w:val="BodyText"/>
        <w:spacing w:line="364" w:lineRule="auto" w:before="185"/>
        <w:ind w:left="840" w:right="608" w:firstLine="420"/>
      </w:pPr>
      <w:r>
        <w:rPr/>
        <w:t>1、基金托管人根据有关法律法规的规定及《基金合同》的约定，建立相关的技术系统， 对基金管理人的投资运作进行监督。主要包括以下方面：</w:t>
      </w:r>
    </w:p>
    <w:p>
      <w:pPr>
        <w:pStyle w:val="ListParagraph"/>
        <w:numPr>
          <w:ilvl w:val="0"/>
          <w:numId w:val="50"/>
        </w:numPr>
        <w:tabs>
          <w:tab w:pos="1787" w:val="left" w:leader="none"/>
        </w:tabs>
        <w:spacing w:line="364" w:lineRule="auto" w:before="0" w:after="0"/>
        <w:ind w:left="840" w:right="818" w:firstLine="420"/>
        <w:jc w:val="both"/>
        <w:rPr>
          <w:sz w:val="21"/>
        </w:rPr>
      </w:pPr>
      <w:r>
        <w:rPr>
          <w:sz w:val="21"/>
        </w:rPr>
        <w:t>对基金的投资范围、投资对象进行监督。基金管理人应将拟投资的股票库、债券</w:t>
      </w:r>
      <w:r>
        <w:rPr>
          <w:spacing w:val="-6"/>
          <w:sz w:val="21"/>
        </w:rPr>
        <w:t>库等各投资品种的具体范围提供给基金托管人。基金管理人可以根据实际情况的变化，对各投资品种的具体范围予以定期更新和调整，并通知基金托管人。基金托管人根据上述投资范</w:t>
      </w:r>
      <w:r>
        <w:rPr>
          <w:sz w:val="21"/>
        </w:rPr>
        <w:t>围对基金的投资进行监督；</w:t>
      </w:r>
    </w:p>
    <w:p>
      <w:pPr>
        <w:pStyle w:val="ListParagraph"/>
        <w:numPr>
          <w:ilvl w:val="0"/>
          <w:numId w:val="50"/>
        </w:numPr>
        <w:tabs>
          <w:tab w:pos="1786" w:val="left" w:leader="none"/>
        </w:tabs>
        <w:spacing w:line="267" w:lineRule="exact" w:before="0" w:after="0"/>
        <w:ind w:left="1786" w:right="0" w:hanging="526"/>
        <w:jc w:val="left"/>
        <w:rPr>
          <w:sz w:val="21"/>
        </w:rPr>
      </w:pPr>
      <w:r>
        <w:rPr>
          <w:sz w:val="21"/>
        </w:rPr>
        <w:t>对基金投融资比例进行监督；</w:t>
      </w:r>
    </w:p>
    <w:p>
      <w:pPr>
        <w:pStyle w:val="BodyText"/>
        <w:spacing w:line="364" w:lineRule="auto" w:before="138"/>
        <w:ind w:left="840" w:right="817" w:firstLine="420"/>
      </w:pPr>
      <w:r>
        <w:rPr>
          <w:spacing w:val="-11"/>
        </w:rPr>
        <w:t>其中，基金托管人根据《公开募集开放式证券投资基金流动性风险管理规定》对投资组</w:t>
      </w:r>
      <w:r>
        <w:rPr/>
        <w:t>合的比例做如下监督：</w:t>
      </w:r>
    </w:p>
    <w:p>
      <w:pPr>
        <w:pStyle w:val="ListParagraph"/>
        <w:numPr>
          <w:ilvl w:val="0"/>
          <w:numId w:val="51"/>
        </w:numPr>
        <w:tabs>
          <w:tab w:pos="1576" w:val="left" w:leader="none"/>
        </w:tabs>
        <w:spacing w:line="268" w:lineRule="exact" w:before="0" w:after="0"/>
        <w:ind w:left="1576" w:right="0" w:hanging="316"/>
        <w:jc w:val="left"/>
        <w:rPr>
          <w:sz w:val="21"/>
        </w:rPr>
      </w:pPr>
      <w:r>
        <w:rPr>
          <w:sz w:val="21"/>
        </w:rPr>
        <w:t>现金不包括结算备付金、存出保证金、应收申购款等；</w:t>
      </w:r>
    </w:p>
    <w:p>
      <w:pPr>
        <w:pStyle w:val="ListParagraph"/>
        <w:numPr>
          <w:ilvl w:val="0"/>
          <w:numId w:val="51"/>
        </w:numPr>
        <w:tabs>
          <w:tab w:pos="1577" w:val="left" w:leader="none"/>
        </w:tabs>
        <w:spacing w:line="364" w:lineRule="auto" w:before="140" w:after="0"/>
        <w:ind w:left="840" w:right="818" w:firstLine="420"/>
        <w:jc w:val="both"/>
        <w:rPr>
          <w:sz w:val="21"/>
        </w:rPr>
      </w:pPr>
      <w:r>
        <w:rPr>
          <w:sz w:val="21"/>
        </w:rPr>
        <w:t>基金管理人管理的且由本基金托管人托管的全部开放式基金持有一家上市公司发行</w:t>
      </w:r>
      <w:r>
        <w:rPr>
          <w:spacing w:val="-3"/>
          <w:sz w:val="21"/>
        </w:rPr>
        <w:t>的可流通股票，不得超过该上市公司可流通股票的 </w:t>
      </w:r>
      <w:r>
        <w:rPr>
          <w:spacing w:val="-11"/>
          <w:sz w:val="21"/>
        </w:rPr>
        <w:t>15%</w:t>
      </w:r>
      <w:r>
        <w:rPr>
          <w:spacing w:val="-4"/>
          <w:sz w:val="21"/>
        </w:rPr>
        <w:t>；基金管理人管理的且由本基金托管</w:t>
      </w:r>
      <w:r>
        <w:rPr>
          <w:spacing w:val="-5"/>
          <w:sz w:val="21"/>
        </w:rPr>
        <w:t>人托管的全部投资组合持有一家上市公司发行的可流通股票，不得超过该上市公司可流通股</w:t>
      </w:r>
      <w:r>
        <w:rPr>
          <w:spacing w:val="-18"/>
          <w:sz w:val="21"/>
        </w:rPr>
        <w:t>票的 </w:t>
      </w:r>
      <w:r>
        <w:rPr>
          <w:sz w:val="21"/>
        </w:rPr>
        <w:t>30%；</w:t>
      </w:r>
    </w:p>
    <w:p>
      <w:pPr>
        <w:pStyle w:val="ListParagraph"/>
        <w:numPr>
          <w:ilvl w:val="0"/>
          <w:numId w:val="51"/>
        </w:numPr>
        <w:tabs>
          <w:tab w:pos="1579" w:val="left" w:leader="none"/>
        </w:tabs>
        <w:spacing w:line="364" w:lineRule="auto" w:before="0" w:after="0"/>
        <w:ind w:left="840" w:right="818" w:firstLine="420"/>
        <w:jc w:val="both"/>
        <w:rPr>
          <w:sz w:val="21"/>
        </w:rPr>
      </w:pPr>
      <w:r>
        <w:rPr>
          <w:spacing w:val="-1"/>
          <w:sz w:val="21"/>
        </w:rPr>
        <w:t>本基金主动投资于流动性受限资产的市值合计不得超过该基金资产净值的 </w:t>
      </w:r>
      <w:r>
        <w:rPr>
          <w:sz w:val="21"/>
        </w:rPr>
        <w:t>15%。因</w:t>
      </w:r>
      <w:r>
        <w:rPr>
          <w:spacing w:val="-11"/>
          <w:sz w:val="21"/>
        </w:rPr>
        <w:t>证券市场波动、上市公司股票停牌、基金规模变动等基金管理人之外的因素致使基金不符合</w:t>
      </w:r>
      <w:r>
        <w:rPr>
          <w:sz w:val="21"/>
        </w:rPr>
        <w:t>前述所规定比例限制的，基金管理人不得主动新增流动性受限资产的投资。</w:t>
      </w:r>
    </w:p>
    <w:p>
      <w:pPr>
        <w:pStyle w:val="ListParagraph"/>
        <w:numPr>
          <w:ilvl w:val="0"/>
          <w:numId w:val="51"/>
        </w:numPr>
        <w:tabs>
          <w:tab w:pos="1577" w:val="left" w:leader="none"/>
        </w:tabs>
        <w:spacing w:line="364" w:lineRule="auto" w:before="0" w:after="0"/>
        <w:ind w:left="840" w:right="818" w:firstLine="420"/>
        <w:jc w:val="both"/>
        <w:rPr>
          <w:sz w:val="21"/>
        </w:rPr>
      </w:pPr>
      <w:r>
        <w:rPr>
          <w:sz w:val="21"/>
        </w:rPr>
        <w:t>本基金与私募类证券资管产品及中国证监会认定的其他主体为交易对手开展逆回购</w:t>
      </w:r>
      <w:r>
        <w:rPr>
          <w:spacing w:val="-10"/>
          <w:sz w:val="21"/>
        </w:rPr>
        <w:t>交易的，可接受质押品的资质要求应当与基金合同约定的投资范围保持一致。本基金管理人</w:t>
      </w:r>
      <w:r>
        <w:rPr>
          <w:sz w:val="21"/>
        </w:rPr>
        <w:t>承诺本基金与私募类证券资管产品及中国证监会认定的其他主体为交易对手开展逆回购交</w:t>
      </w:r>
      <w:r>
        <w:rPr>
          <w:spacing w:val="-10"/>
          <w:sz w:val="21"/>
        </w:rPr>
        <w:t>易的，可接受质押品的资质要求与基金合同约定的投资范围保持一致，并承担由于不一致所</w:t>
      </w:r>
      <w:r>
        <w:rPr>
          <w:sz w:val="21"/>
        </w:rPr>
        <w:t>导致的风险或损失。</w:t>
      </w:r>
    </w:p>
    <w:p>
      <w:pPr>
        <w:pStyle w:val="ListParagraph"/>
        <w:numPr>
          <w:ilvl w:val="0"/>
          <w:numId w:val="50"/>
        </w:numPr>
        <w:tabs>
          <w:tab w:pos="1787" w:val="left" w:leader="none"/>
        </w:tabs>
        <w:spacing w:line="364" w:lineRule="auto" w:before="0" w:after="0"/>
        <w:ind w:left="840" w:right="818" w:firstLine="420"/>
        <w:jc w:val="both"/>
        <w:rPr>
          <w:sz w:val="21"/>
        </w:rPr>
      </w:pPr>
      <w:r>
        <w:rPr>
          <w:sz w:val="21"/>
        </w:rPr>
        <w:t>对基金投资禁止行为进行监督。为对基金禁止从事的关联交易进行监督，基金管理人和基金托管人应相互提供与本机构有控股关系的股东或与本机构有其他重大利害关系的公司名单；</w:t>
      </w:r>
    </w:p>
    <w:p>
      <w:pPr>
        <w:pStyle w:val="ListParagraph"/>
        <w:numPr>
          <w:ilvl w:val="0"/>
          <w:numId w:val="50"/>
        </w:numPr>
        <w:tabs>
          <w:tab w:pos="1787" w:val="left" w:leader="none"/>
        </w:tabs>
        <w:spacing w:line="364" w:lineRule="auto" w:before="0" w:after="0"/>
        <w:ind w:left="840" w:right="817" w:firstLine="420"/>
        <w:jc w:val="both"/>
        <w:rPr>
          <w:sz w:val="21"/>
        </w:rPr>
      </w:pPr>
      <w:r>
        <w:rPr>
          <w:sz w:val="21"/>
        </w:rPr>
        <w:t>基金管理人向基金托管人提供其银行间债券市场交易的交易对手库，交易对手库</w:t>
      </w:r>
      <w:r>
        <w:rPr>
          <w:spacing w:val="-6"/>
          <w:sz w:val="21"/>
        </w:rPr>
        <w:t>由银行间交易会员中财务状况较好、实力雄厚、信用等级高的交易对手组成。基金管理人可</w:t>
      </w:r>
      <w:r>
        <w:rPr>
          <w:spacing w:val="-7"/>
          <w:sz w:val="21"/>
        </w:rPr>
        <w:t>以根据实际情况的变化，及时对交易对手库予以更新和调整，并通知基金托管人。基金管理</w:t>
      </w:r>
      <w:r>
        <w:rPr>
          <w:spacing w:val="-5"/>
          <w:sz w:val="21"/>
        </w:rPr>
        <w:t>人参与银行间债券市场交易的交易对手应符合交易对手库的范围。基金托管人对基金管理人</w:t>
      </w:r>
      <w:r>
        <w:rPr>
          <w:sz w:val="21"/>
        </w:rPr>
        <w:t>参与银行间债券市场交易的交易对手是否符合交易对手库进行监督；</w:t>
      </w:r>
    </w:p>
    <w:p>
      <w:pPr>
        <w:pStyle w:val="ListParagraph"/>
        <w:numPr>
          <w:ilvl w:val="0"/>
          <w:numId w:val="50"/>
        </w:numPr>
        <w:tabs>
          <w:tab w:pos="1786" w:val="left" w:leader="none"/>
        </w:tabs>
        <w:spacing w:line="364" w:lineRule="auto" w:before="0" w:after="0"/>
        <w:ind w:left="1260" w:right="1670" w:firstLine="0"/>
        <w:jc w:val="left"/>
        <w:rPr>
          <w:sz w:val="21"/>
        </w:rPr>
      </w:pPr>
      <w:r>
        <w:rPr>
          <w:spacing w:val="-1"/>
          <w:sz w:val="21"/>
        </w:rPr>
        <w:t>基金托管人对银行间市场交易的交易方式的控制按如下约定进行监督。</w:t>
      </w:r>
      <w:r>
        <w:rPr>
          <w:sz w:val="21"/>
        </w:rPr>
        <w:t>基金管理人在银行间市场交易的交易方式主要包括以下几种：           1）银行间现券买卖，买入时实行见券付款、卖出时实行见款付券；</w:t>
      </w:r>
    </w:p>
    <w:p>
      <w:pPr>
        <w:spacing w:after="0" w:line="364" w:lineRule="auto"/>
        <w:jc w:val="left"/>
        <w:rPr>
          <w:sz w:val="21"/>
        </w:rPr>
        <w:sectPr>
          <w:pgSz w:w="11910" w:h="16840"/>
          <w:pgMar w:header="0" w:footer="638" w:top="1380" w:bottom="900" w:left="960" w:right="980"/>
        </w:sectPr>
      </w:pPr>
    </w:p>
    <w:p>
      <w:pPr>
        <w:pStyle w:val="ListParagraph"/>
        <w:numPr>
          <w:ilvl w:val="0"/>
          <w:numId w:val="52"/>
        </w:numPr>
        <w:tabs>
          <w:tab w:pos="1576" w:val="left" w:leader="none"/>
        </w:tabs>
        <w:spacing w:line="240" w:lineRule="auto" w:before="45" w:after="0"/>
        <w:ind w:left="1576" w:right="0" w:hanging="316"/>
        <w:jc w:val="left"/>
        <w:rPr>
          <w:sz w:val="21"/>
        </w:rPr>
      </w:pPr>
      <w:r>
        <w:rPr>
          <w:sz w:val="21"/>
        </w:rPr>
        <w:t>银行间回购交易，正回购时实行见款押券，逆回购时实行先押券后付款；</w:t>
      </w:r>
    </w:p>
    <w:p>
      <w:pPr>
        <w:pStyle w:val="ListParagraph"/>
        <w:numPr>
          <w:ilvl w:val="0"/>
          <w:numId w:val="52"/>
        </w:numPr>
        <w:tabs>
          <w:tab w:pos="1577" w:val="left" w:leader="none"/>
        </w:tabs>
        <w:spacing w:line="364" w:lineRule="auto" w:before="139" w:after="0"/>
        <w:ind w:left="840" w:right="818" w:firstLine="420"/>
        <w:jc w:val="left"/>
        <w:rPr>
          <w:sz w:val="21"/>
        </w:rPr>
      </w:pPr>
      <w:r>
        <w:rPr>
          <w:sz w:val="21"/>
        </w:rPr>
        <w:t>如遇特殊情况无法按照以上方式执行交易，基金经理需报本基金管理人的投资总监批准。</w:t>
      </w:r>
    </w:p>
    <w:p>
      <w:pPr>
        <w:pStyle w:val="ListParagraph"/>
        <w:numPr>
          <w:ilvl w:val="0"/>
          <w:numId w:val="50"/>
        </w:numPr>
        <w:tabs>
          <w:tab w:pos="1787" w:val="left" w:leader="none"/>
        </w:tabs>
        <w:spacing w:line="364" w:lineRule="auto" w:before="0" w:after="0"/>
        <w:ind w:left="840" w:right="818" w:firstLine="420"/>
        <w:jc w:val="both"/>
        <w:rPr>
          <w:sz w:val="21"/>
        </w:rPr>
      </w:pPr>
      <w:r>
        <w:rPr>
          <w:sz w:val="21"/>
        </w:rPr>
        <w:t>基金如投资银行存款，基金管理人应根据法律法规的规定及基金合同的约定，事</w:t>
      </w:r>
      <w:r>
        <w:rPr>
          <w:spacing w:val="-6"/>
          <w:sz w:val="21"/>
        </w:rPr>
        <w:t>先确定符合条件的所有存款银行的名单，并及时提供给基金托管人，基金托管人据以对基金</w:t>
      </w:r>
      <w:r>
        <w:rPr>
          <w:sz w:val="21"/>
        </w:rPr>
        <w:t>投资银行存款的交易对手是否符合上述名单进行监督；</w:t>
      </w:r>
    </w:p>
    <w:p>
      <w:pPr>
        <w:pStyle w:val="ListParagraph"/>
        <w:numPr>
          <w:ilvl w:val="0"/>
          <w:numId w:val="50"/>
        </w:numPr>
        <w:tabs>
          <w:tab w:pos="1786" w:val="left" w:leader="none"/>
        </w:tabs>
        <w:spacing w:line="268" w:lineRule="exact" w:before="0" w:after="0"/>
        <w:ind w:left="1786" w:right="0" w:hanging="526"/>
        <w:jc w:val="left"/>
        <w:rPr>
          <w:sz w:val="21"/>
        </w:rPr>
      </w:pPr>
      <w:r>
        <w:rPr>
          <w:sz w:val="21"/>
        </w:rPr>
        <w:t>对法律法规规定及《基金合同》约定的基金投资的其他方面进行监督。</w:t>
      </w:r>
    </w:p>
    <w:p>
      <w:pPr>
        <w:pStyle w:val="BodyText"/>
        <w:spacing w:line="364" w:lineRule="auto" w:before="139"/>
        <w:ind w:left="840" w:right="818" w:firstLine="420"/>
        <w:jc w:val="both"/>
      </w:pPr>
      <w:r>
        <w:rPr/>
        <w:t>2、基金托管人应根据有关法律法规的规定及《基金合同》的约定，对基金资产净值计</w:t>
      </w:r>
      <w:r>
        <w:rPr>
          <w:spacing w:val="-11"/>
        </w:rPr>
        <w:t>算、基金份额净值计算、应收资金到账、基金费用开支及收入确定、基金收益分配、相关信</w:t>
      </w:r>
      <w:r>
        <w:rPr/>
        <w:t>息披露、基金宣传推介材料中登载基金业绩表现数据等进行监督和核查。</w:t>
      </w:r>
    </w:p>
    <w:p>
      <w:pPr>
        <w:pStyle w:val="BodyText"/>
        <w:spacing w:line="364" w:lineRule="auto"/>
        <w:ind w:left="840" w:right="608" w:firstLine="420"/>
      </w:pPr>
      <w:r>
        <w:rPr/>
        <w:t>3、基金托管人在上述第（一</w:t>
      </w:r>
      <w:r>
        <w:rPr>
          <w:spacing w:val="-105"/>
        </w:rPr>
        <w:t>）、</w:t>
      </w:r>
      <w:r>
        <w:rPr/>
        <w:t>（二）项的监督和核查中发现基金管理人违反法律法规 </w:t>
      </w:r>
      <w:r>
        <w:rPr>
          <w:spacing w:val="-11"/>
        </w:rPr>
        <w:t>的规定、《基金合同》及本协议的约定，应及时以书面形式通知基金管理人限期纠正，基金 </w:t>
      </w:r>
      <w:r>
        <w:rPr>
          <w:spacing w:val="-7"/>
        </w:rPr>
        <w:t>管理人收到通知后应及时核对确认并以书面形式对基金托管人发出回函并改正。在限期内， </w:t>
      </w:r>
      <w:r>
        <w:rPr>
          <w:spacing w:val="-12"/>
        </w:rPr>
        <w:t>基金托管人有权随时对通知事项进行复查，督促基金管理人改正。基金管理人对基金托管人 通知的违规事项未能在限期内纠正的，基金托管人应及时向中国证监会报告。</w:t>
      </w:r>
    </w:p>
    <w:p>
      <w:pPr>
        <w:pStyle w:val="BodyText"/>
        <w:spacing w:line="364" w:lineRule="auto"/>
        <w:ind w:left="840" w:right="713" w:firstLine="420"/>
      </w:pPr>
      <w:r>
        <w:rPr/>
        <w:t>4</w:t>
      </w:r>
      <w:r>
        <w:rPr>
          <w:spacing w:val="-18"/>
        </w:rPr>
        <w:t>、基金托管人发现基金管理人的投资指令违反法律法规、《基金合同》及本协议的规定， </w:t>
      </w:r>
      <w:r>
        <w:rPr>
          <w:spacing w:val="-8"/>
        </w:rPr>
        <w:t>应当拒绝执行，立即通知基金管理人，并及时向中国证监会报告。基金托管人发现基金管理</w:t>
      </w:r>
      <w:r>
        <w:rPr>
          <w:spacing w:val="-11"/>
        </w:rPr>
        <w:t>人依据交易程序已经生效的指令违反法律法规和其他有关规定，或者违反《基金合同》、本协议约定的，应当立即通知基金管理人，并及时向中国证监会报告。</w:t>
      </w:r>
    </w:p>
    <w:p>
      <w:pPr>
        <w:pStyle w:val="BodyText"/>
        <w:spacing w:line="364" w:lineRule="auto"/>
        <w:ind w:left="840" w:right="818" w:firstLine="420"/>
        <w:jc w:val="both"/>
      </w:pPr>
      <w:r>
        <w:rPr/>
        <w:t>5、基金管理人应积极配合和协助基金托管人的监督和核查，包括但不限于：在规定时</w:t>
      </w:r>
      <w:r>
        <w:rPr>
          <w:spacing w:val="-7"/>
        </w:rPr>
        <w:t>间内答复基金托管人并改正，就基金托管人的疑义进行解释或举证，对基金托管人按照法规</w:t>
      </w:r>
      <w:r>
        <w:rPr>
          <w:spacing w:val="-6"/>
        </w:rPr>
        <w:t>要求需向中国证监会报送基金监督报告的，基金管理人应积极配合提供相关数据资料和制度</w:t>
      </w:r>
      <w:r>
        <w:rPr/>
        <w:t>等。</w:t>
      </w:r>
    </w:p>
    <w:p>
      <w:pPr>
        <w:spacing w:line="358" w:lineRule="exact" w:before="0"/>
        <w:ind w:left="840" w:right="0" w:firstLine="0"/>
        <w:jc w:val="left"/>
        <w:rPr>
          <w:sz w:val="28"/>
        </w:rPr>
      </w:pPr>
      <w:bookmarkStart w:name="_bookmark111" w:id="112"/>
      <w:bookmarkEnd w:id="112"/>
      <w:r>
        <w:rPr/>
      </w:r>
      <w:r>
        <w:rPr>
          <w:sz w:val="28"/>
        </w:rPr>
        <w:t>（三）基金管理人对基金托管人的业务核查</w:t>
      </w:r>
    </w:p>
    <w:p>
      <w:pPr>
        <w:pStyle w:val="BodyText"/>
        <w:spacing w:line="364" w:lineRule="auto" w:before="179"/>
        <w:ind w:left="840" w:right="818" w:firstLine="420"/>
        <w:jc w:val="both"/>
      </w:pPr>
      <w:r>
        <w:rPr/>
        <w:t>1、在本协议的有效期内，在不违反公平、合理原则以及不妨碍基金托管人遵守相关法</w:t>
      </w:r>
      <w:r>
        <w:rPr>
          <w:spacing w:val="-7"/>
        </w:rPr>
        <w:t>律法规及其行业监管要求的基础上，基金管理人有权对基金托管人履行本协议的情况进行必</w:t>
      </w:r>
      <w:r>
        <w:rPr>
          <w:spacing w:val="-10"/>
        </w:rPr>
        <w:t>要的核查，核查事项包括但不限于基金托管人安全保管基金财产、开设基金财产的资金账户和证券账户、复核基金管理人计算的基金资产净值和基金份额净值、根据基金管理人指令办</w:t>
      </w:r>
      <w:r>
        <w:rPr/>
        <w:t>理清算交收、相关信息披露和监督基金投资运作等行为。</w:t>
      </w:r>
    </w:p>
    <w:p>
      <w:pPr>
        <w:pStyle w:val="BodyText"/>
        <w:spacing w:line="364" w:lineRule="auto"/>
        <w:ind w:left="840" w:right="713" w:firstLine="420"/>
      </w:pPr>
      <w:r>
        <w:rPr/>
        <w:t>2、基金管理人发现基金托管人擅自挪用基金财产、未对基金财产实行分账管理、无正当理由未执行或延迟执行基金管理人资金划拨指令、泄露基金投资信息等违反法律法规、</w:t>
      </w:r>
    </w:p>
    <w:p>
      <w:pPr>
        <w:pStyle w:val="BodyText"/>
        <w:spacing w:line="364" w:lineRule="auto"/>
        <w:ind w:left="840" w:right="817"/>
        <w:jc w:val="both"/>
      </w:pPr>
      <w:r>
        <w:rPr>
          <w:spacing w:val="-10"/>
        </w:rPr>
        <w:t>《基金合同》及本协议有关规定时，应及时以书面形式通知基金托管人限期纠正，基金托管</w:t>
      </w:r>
      <w:r>
        <w:rPr>
          <w:spacing w:val="-5"/>
        </w:rPr>
        <w:t>人收到通知后应及时核对并以书面形式对基金管理人发出回函。在限期内，基金管理人有权</w:t>
      </w:r>
      <w:r>
        <w:rPr>
          <w:spacing w:val="-7"/>
        </w:rPr>
        <w:t>随时对通知事项进行复查，督促基金托管人改正。基金托管人对基金管理人通知的违规事项</w:t>
      </w:r>
    </w:p>
    <w:p>
      <w:pPr>
        <w:spacing w:after="0" w:line="364" w:lineRule="auto"/>
        <w:jc w:val="both"/>
        <w:sectPr>
          <w:pgSz w:w="11910" w:h="16840"/>
          <w:pgMar w:header="0" w:footer="638" w:top="1380" w:bottom="900" w:left="960" w:right="980"/>
        </w:sectPr>
      </w:pPr>
    </w:p>
    <w:p>
      <w:pPr>
        <w:pStyle w:val="BodyText"/>
        <w:spacing w:before="45"/>
        <w:ind w:left="840"/>
      </w:pPr>
      <w:r>
        <w:rPr/>
        <w:t>未能在限期内纠正的，基金管理人应报告中国证监会。</w:t>
      </w:r>
    </w:p>
    <w:p>
      <w:pPr>
        <w:pStyle w:val="BodyText"/>
        <w:spacing w:line="364" w:lineRule="auto" w:before="139"/>
        <w:ind w:left="840" w:right="818" w:firstLine="420"/>
      </w:pPr>
      <w:r>
        <w:rPr/>
        <w:t>3、基金托管人应积极配合基金管理人的核查行为，包括但不限于：提交相关资料以供基金管理人核查托管财产的完整性和真实性，在规定时间内答复基金管理人并改正。</w:t>
      </w:r>
    </w:p>
    <w:p>
      <w:pPr>
        <w:spacing w:before="1"/>
        <w:ind w:left="840" w:right="0" w:firstLine="0"/>
        <w:jc w:val="left"/>
        <w:rPr>
          <w:sz w:val="28"/>
        </w:rPr>
      </w:pPr>
      <w:bookmarkStart w:name="_bookmark112" w:id="113"/>
      <w:bookmarkEnd w:id="113"/>
      <w:r>
        <w:rPr/>
      </w:r>
      <w:r>
        <w:rPr>
          <w:sz w:val="28"/>
        </w:rPr>
        <w:t>（四）基金财产的保管</w:t>
      </w:r>
    </w:p>
    <w:p>
      <w:pPr>
        <w:pStyle w:val="BodyText"/>
        <w:spacing w:before="184"/>
        <w:ind w:left="1260"/>
      </w:pPr>
      <w:r>
        <w:rPr/>
        <w:t>1、基金财产保管的原则</w:t>
      </w:r>
    </w:p>
    <w:p>
      <w:pPr>
        <w:pStyle w:val="ListParagraph"/>
        <w:numPr>
          <w:ilvl w:val="0"/>
          <w:numId w:val="53"/>
        </w:numPr>
        <w:tabs>
          <w:tab w:pos="1786" w:val="left" w:leader="none"/>
        </w:tabs>
        <w:spacing w:line="240" w:lineRule="auto" w:before="140" w:after="0"/>
        <w:ind w:left="1786" w:right="0" w:hanging="526"/>
        <w:jc w:val="left"/>
        <w:rPr>
          <w:sz w:val="21"/>
        </w:rPr>
      </w:pPr>
      <w:r>
        <w:rPr>
          <w:sz w:val="21"/>
        </w:rPr>
        <w:t>基金财产应独立于基金管理人、基金托管人的固有财产。</w:t>
      </w:r>
    </w:p>
    <w:p>
      <w:pPr>
        <w:pStyle w:val="ListParagraph"/>
        <w:numPr>
          <w:ilvl w:val="0"/>
          <w:numId w:val="53"/>
        </w:numPr>
        <w:tabs>
          <w:tab w:pos="1787" w:val="left" w:leader="none"/>
        </w:tabs>
        <w:spacing w:line="240" w:lineRule="auto" w:before="139" w:after="0"/>
        <w:ind w:left="1786" w:right="0" w:hanging="527"/>
        <w:jc w:val="left"/>
        <w:rPr>
          <w:sz w:val="21"/>
        </w:rPr>
      </w:pPr>
      <w:r>
        <w:rPr>
          <w:sz w:val="21"/>
        </w:rPr>
        <w:t>基金托管人应安全保管基金财产，未经基金管理人的合法合规指令或法律法规、</w:t>
      </w:r>
    </w:p>
    <w:p>
      <w:pPr>
        <w:pStyle w:val="BodyText"/>
        <w:spacing w:before="140"/>
        <w:ind w:left="840"/>
      </w:pPr>
      <w:r>
        <w:rPr/>
        <w:t>《基金合同》及本协议另有规定，不得自行运用、处分、分配基金的任何财产。</w:t>
      </w:r>
    </w:p>
    <w:p>
      <w:pPr>
        <w:pStyle w:val="ListParagraph"/>
        <w:numPr>
          <w:ilvl w:val="0"/>
          <w:numId w:val="53"/>
        </w:numPr>
        <w:tabs>
          <w:tab w:pos="1786" w:val="left" w:leader="none"/>
        </w:tabs>
        <w:spacing w:line="240" w:lineRule="auto" w:before="139" w:after="0"/>
        <w:ind w:left="1786" w:right="0" w:hanging="526"/>
        <w:jc w:val="left"/>
        <w:rPr>
          <w:sz w:val="21"/>
        </w:rPr>
      </w:pPr>
      <w:r>
        <w:rPr>
          <w:sz w:val="21"/>
        </w:rPr>
        <w:t>基金托管人按照规定开设基金财产的资金账户和证券账户。</w:t>
      </w:r>
    </w:p>
    <w:p>
      <w:pPr>
        <w:pStyle w:val="ListParagraph"/>
        <w:numPr>
          <w:ilvl w:val="0"/>
          <w:numId w:val="53"/>
        </w:numPr>
        <w:tabs>
          <w:tab w:pos="1786" w:val="left" w:leader="none"/>
        </w:tabs>
        <w:spacing w:line="240" w:lineRule="auto" w:before="140" w:after="0"/>
        <w:ind w:left="1786" w:right="0" w:hanging="526"/>
        <w:jc w:val="left"/>
        <w:rPr>
          <w:sz w:val="21"/>
        </w:rPr>
      </w:pPr>
      <w:r>
        <w:rPr>
          <w:spacing w:val="-3"/>
          <w:sz w:val="21"/>
        </w:rPr>
        <w:t>基金托管人对所托管的不同基金财产分别设置账户，确保基金财产的完整与独立。</w:t>
      </w:r>
    </w:p>
    <w:p>
      <w:pPr>
        <w:pStyle w:val="ListParagraph"/>
        <w:numPr>
          <w:ilvl w:val="0"/>
          <w:numId w:val="53"/>
        </w:numPr>
        <w:tabs>
          <w:tab w:pos="1787" w:val="left" w:leader="none"/>
        </w:tabs>
        <w:spacing w:line="364" w:lineRule="auto" w:before="139" w:after="0"/>
        <w:ind w:left="840" w:right="818" w:firstLine="420"/>
        <w:jc w:val="left"/>
        <w:rPr>
          <w:sz w:val="21"/>
        </w:rPr>
      </w:pPr>
      <w:r>
        <w:rPr>
          <w:sz w:val="21"/>
        </w:rPr>
        <w:t>除依据《基金法》、《运作办法》、《基金合同》及其他有关法律法规规定外， 基金托管人不得委托第三人托管基金财产。</w:t>
      </w:r>
    </w:p>
    <w:p>
      <w:pPr>
        <w:pStyle w:val="BodyText"/>
        <w:spacing w:line="268" w:lineRule="exact"/>
        <w:ind w:left="1260"/>
      </w:pPr>
      <w:r>
        <w:rPr/>
        <w:t>2、基金合同生效前募集资金的验资和入账</w:t>
      </w:r>
    </w:p>
    <w:p>
      <w:pPr>
        <w:pStyle w:val="ListParagraph"/>
        <w:numPr>
          <w:ilvl w:val="0"/>
          <w:numId w:val="54"/>
        </w:numPr>
        <w:tabs>
          <w:tab w:pos="1787" w:val="left" w:leader="none"/>
        </w:tabs>
        <w:spacing w:line="364" w:lineRule="auto" w:before="139" w:after="0"/>
        <w:ind w:left="840" w:right="818" w:firstLine="420"/>
        <w:jc w:val="both"/>
        <w:rPr>
          <w:sz w:val="21"/>
        </w:rPr>
      </w:pPr>
      <w:r>
        <w:rPr>
          <w:sz w:val="21"/>
        </w:rPr>
        <w:t>基金募集期满或基金管理人宣布停止募集时，募集的基金份额总额、基金募集金</w:t>
      </w:r>
      <w:r>
        <w:rPr>
          <w:spacing w:val="-10"/>
          <w:sz w:val="21"/>
        </w:rPr>
        <w:t>额、基金份额持有人人数符合《基金法》、《运作办法》等有关规定的，由基金管理人在法</w:t>
      </w:r>
      <w:r>
        <w:rPr>
          <w:spacing w:val="-5"/>
          <w:sz w:val="21"/>
        </w:rPr>
        <w:t>定期限内聘请具有从事相关业务资格的会计师事务所对基金进行验资，并出具验资报告，出</w:t>
      </w:r>
      <w:r>
        <w:rPr>
          <w:spacing w:val="-4"/>
          <w:sz w:val="21"/>
        </w:rPr>
        <w:t>具的验资报告应由参加验资的 </w:t>
      </w:r>
      <w:r>
        <w:rPr>
          <w:sz w:val="21"/>
        </w:rPr>
        <w:t>2</w:t>
      </w:r>
      <w:r>
        <w:rPr>
          <w:spacing w:val="-14"/>
          <w:sz w:val="21"/>
        </w:rPr>
        <w:t> 名以上</w:t>
      </w:r>
      <w:r>
        <w:rPr>
          <w:sz w:val="21"/>
        </w:rPr>
        <w:t>（</w:t>
      </w:r>
      <w:r>
        <w:rPr>
          <w:spacing w:val="-27"/>
          <w:sz w:val="21"/>
        </w:rPr>
        <w:t>含 </w:t>
      </w:r>
      <w:r>
        <w:rPr>
          <w:sz w:val="21"/>
        </w:rPr>
        <w:t>2</w:t>
      </w:r>
      <w:r>
        <w:rPr>
          <w:spacing w:val="-27"/>
          <w:sz w:val="21"/>
        </w:rPr>
        <w:t> 名</w:t>
      </w:r>
      <w:r>
        <w:rPr>
          <w:sz w:val="21"/>
        </w:rPr>
        <w:t>）中国注册会计师签字方为有效。</w:t>
      </w:r>
    </w:p>
    <w:p>
      <w:pPr>
        <w:pStyle w:val="ListParagraph"/>
        <w:numPr>
          <w:ilvl w:val="0"/>
          <w:numId w:val="54"/>
        </w:numPr>
        <w:tabs>
          <w:tab w:pos="1787" w:val="left" w:leader="none"/>
        </w:tabs>
        <w:spacing w:line="364" w:lineRule="auto" w:before="0" w:after="0"/>
        <w:ind w:left="840" w:right="818" w:firstLine="420"/>
        <w:jc w:val="left"/>
        <w:rPr>
          <w:sz w:val="21"/>
        </w:rPr>
      </w:pPr>
      <w:r>
        <w:rPr>
          <w:sz w:val="21"/>
        </w:rPr>
        <w:t>基金管理人应将属于本基金财产的全部资金划入在基金托管人处为本基金开立的基金银行账户中，并确保划入的资金与验资确认金额相一致。</w:t>
      </w:r>
    </w:p>
    <w:p>
      <w:pPr>
        <w:pStyle w:val="BodyText"/>
        <w:spacing w:line="268" w:lineRule="exact"/>
        <w:ind w:left="1260"/>
      </w:pPr>
      <w:r>
        <w:rPr/>
        <w:t>3、基金的银行账户的开设和管理</w:t>
      </w:r>
    </w:p>
    <w:p>
      <w:pPr>
        <w:pStyle w:val="ListParagraph"/>
        <w:numPr>
          <w:ilvl w:val="0"/>
          <w:numId w:val="55"/>
        </w:numPr>
        <w:tabs>
          <w:tab w:pos="1786" w:val="left" w:leader="none"/>
        </w:tabs>
        <w:spacing w:line="240" w:lineRule="auto" w:before="138" w:after="0"/>
        <w:ind w:left="1786" w:right="0" w:hanging="526"/>
        <w:jc w:val="left"/>
        <w:rPr>
          <w:sz w:val="21"/>
        </w:rPr>
      </w:pPr>
      <w:r>
        <w:rPr>
          <w:sz w:val="21"/>
        </w:rPr>
        <w:t>基金托管人应负责本基金的银行账户的开设和管理。</w:t>
      </w:r>
    </w:p>
    <w:p>
      <w:pPr>
        <w:pStyle w:val="ListParagraph"/>
        <w:numPr>
          <w:ilvl w:val="0"/>
          <w:numId w:val="55"/>
        </w:numPr>
        <w:tabs>
          <w:tab w:pos="1787" w:val="left" w:leader="none"/>
        </w:tabs>
        <w:spacing w:line="364" w:lineRule="auto" w:before="139" w:after="0"/>
        <w:ind w:left="840" w:right="818" w:firstLine="420"/>
        <w:jc w:val="both"/>
        <w:rPr>
          <w:sz w:val="21"/>
        </w:rPr>
      </w:pPr>
      <w:r>
        <w:rPr>
          <w:sz w:val="21"/>
        </w:rPr>
        <w:t>基金托管人以本基金的名义开设本基金的银行账户。本基金的银行预留印鉴由基</w:t>
      </w:r>
      <w:r>
        <w:rPr>
          <w:spacing w:val="-7"/>
          <w:sz w:val="21"/>
        </w:rPr>
        <w:t>金托管人保管和使用。本基金的一切货币收支活动，包括但不限于投资、支付赎回金额、支</w:t>
      </w:r>
      <w:r>
        <w:rPr>
          <w:sz w:val="21"/>
        </w:rPr>
        <w:t>付基金收益、收取申购款，均需通过本基金的银行账户进行。</w:t>
      </w:r>
    </w:p>
    <w:p>
      <w:pPr>
        <w:pStyle w:val="ListParagraph"/>
        <w:numPr>
          <w:ilvl w:val="0"/>
          <w:numId w:val="55"/>
        </w:numPr>
        <w:tabs>
          <w:tab w:pos="1787" w:val="left" w:leader="none"/>
        </w:tabs>
        <w:spacing w:line="364" w:lineRule="auto" w:before="0" w:after="0"/>
        <w:ind w:left="840" w:right="818" w:firstLine="420"/>
        <w:jc w:val="both"/>
        <w:rPr>
          <w:sz w:val="21"/>
        </w:rPr>
      </w:pPr>
      <w:r>
        <w:rPr>
          <w:sz w:val="21"/>
        </w:rPr>
        <w:t>本基金银行账户的开立和使用，限于满足开展本基金业务的需要。基金托管人和</w:t>
      </w:r>
      <w:r>
        <w:rPr>
          <w:spacing w:val="-5"/>
          <w:sz w:val="21"/>
        </w:rPr>
        <w:t>基金管理人不得假借本基金的名义开立其他任何银行账户；亦不得使用本基金的银行账户进</w:t>
      </w:r>
      <w:r>
        <w:rPr>
          <w:sz w:val="21"/>
        </w:rPr>
        <w:t>行本基金业务以外的活动。</w:t>
      </w:r>
    </w:p>
    <w:p>
      <w:pPr>
        <w:pStyle w:val="ListParagraph"/>
        <w:numPr>
          <w:ilvl w:val="0"/>
          <w:numId w:val="55"/>
        </w:numPr>
        <w:tabs>
          <w:tab w:pos="1787" w:val="left" w:leader="none"/>
        </w:tabs>
        <w:spacing w:line="364" w:lineRule="auto" w:before="0" w:after="0"/>
        <w:ind w:left="840" w:right="817" w:firstLine="420"/>
        <w:jc w:val="both"/>
        <w:rPr>
          <w:sz w:val="21"/>
        </w:rPr>
      </w:pPr>
      <w:r>
        <w:rPr>
          <w:sz w:val="21"/>
        </w:rPr>
        <w:t>基金银行账户的管理应符合《中华人民共和国票据法》、《人民币银行结算账户</w:t>
      </w:r>
      <w:r>
        <w:rPr>
          <w:spacing w:val="-10"/>
          <w:sz w:val="21"/>
        </w:rPr>
        <w:t>管理办法》、《现金管理条例》、《人民币利率管理规定》、《关于大额现金支付管理的通</w:t>
      </w:r>
      <w:r>
        <w:rPr>
          <w:sz w:val="21"/>
        </w:rPr>
        <w:t>知》、《支付结算办法》以及其他有关规定。</w:t>
      </w:r>
    </w:p>
    <w:p>
      <w:pPr>
        <w:pStyle w:val="BodyText"/>
        <w:spacing w:line="268" w:lineRule="exact"/>
        <w:ind w:left="1260"/>
      </w:pPr>
      <w:r>
        <w:rPr/>
        <w:t>4、基金进行定期存款投资的账户开设和管理</w:t>
      </w:r>
    </w:p>
    <w:p>
      <w:pPr>
        <w:pStyle w:val="BodyText"/>
        <w:spacing w:line="364" w:lineRule="auto" w:before="137"/>
        <w:ind w:left="840" w:right="818" w:firstLine="420"/>
        <w:jc w:val="both"/>
      </w:pPr>
      <w:r>
        <w:rPr>
          <w:spacing w:val="2"/>
        </w:rPr>
        <w:t>基金托管人根据基金管理人的指令以基金名义在基金托管人认可的存款银行的指定营</w:t>
      </w:r>
      <w:r>
        <w:rPr>
          <w:spacing w:val="-8"/>
        </w:rPr>
        <w:t>业网点开立存款账户，并负责该账户的日常管理以及银行预留印鉴的保管和使用。基金管理</w:t>
      </w:r>
      <w:r>
        <w:rPr>
          <w:spacing w:val="-7"/>
        </w:rPr>
        <w:t>人应派专人协助办理开户事宜。在上述账户开立和账户相关信息变更过程中，基金管理人应</w:t>
      </w:r>
    </w:p>
    <w:p>
      <w:pPr>
        <w:spacing w:after="0" w:line="364" w:lineRule="auto"/>
        <w:jc w:val="both"/>
        <w:sectPr>
          <w:pgSz w:w="11910" w:h="16840"/>
          <w:pgMar w:header="0" w:footer="638" w:top="1380" w:bottom="900" w:left="960" w:right="980"/>
        </w:sectPr>
      </w:pPr>
    </w:p>
    <w:p>
      <w:pPr>
        <w:pStyle w:val="BodyText"/>
        <w:spacing w:line="364" w:lineRule="auto" w:before="45"/>
        <w:ind w:left="840" w:right="818"/>
      </w:pPr>
      <w:r>
        <w:rPr>
          <w:spacing w:val="-5"/>
        </w:rPr>
        <w:t>提前向基金托管人提供开户或账户变更所需的相关资料，并对基金托管人给予积极配合和协</w:t>
      </w:r>
      <w:r>
        <w:rPr/>
        <w:t>助。</w:t>
      </w:r>
    </w:p>
    <w:p>
      <w:pPr>
        <w:pStyle w:val="BodyText"/>
        <w:spacing w:line="268" w:lineRule="exact"/>
        <w:ind w:left="1260"/>
      </w:pPr>
      <w:r>
        <w:rPr/>
        <w:t>5、基金证券账户和资金账户的开设和管理</w:t>
      </w:r>
    </w:p>
    <w:p>
      <w:pPr>
        <w:pStyle w:val="ListParagraph"/>
        <w:numPr>
          <w:ilvl w:val="0"/>
          <w:numId w:val="56"/>
        </w:numPr>
        <w:tabs>
          <w:tab w:pos="1787" w:val="left" w:leader="none"/>
        </w:tabs>
        <w:spacing w:line="364" w:lineRule="auto" w:before="139" w:after="0"/>
        <w:ind w:left="840" w:right="818" w:firstLine="420"/>
        <w:jc w:val="left"/>
        <w:rPr>
          <w:sz w:val="21"/>
        </w:rPr>
      </w:pPr>
      <w:r>
        <w:rPr>
          <w:sz w:val="21"/>
        </w:rPr>
        <w:t>基金托管人应当代表本基金，以基金托管人和本基金联名的方式在中国证券登记结算有限责任公司开设证券账户。</w:t>
      </w:r>
    </w:p>
    <w:p>
      <w:pPr>
        <w:pStyle w:val="ListParagraph"/>
        <w:numPr>
          <w:ilvl w:val="0"/>
          <w:numId w:val="56"/>
        </w:numPr>
        <w:tabs>
          <w:tab w:pos="1787" w:val="left" w:leader="none"/>
        </w:tabs>
        <w:spacing w:line="364" w:lineRule="auto" w:before="0" w:after="0"/>
        <w:ind w:left="840" w:right="818" w:firstLine="420"/>
        <w:jc w:val="both"/>
        <w:rPr>
          <w:sz w:val="21"/>
        </w:rPr>
      </w:pPr>
      <w:r>
        <w:rPr>
          <w:sz w:val="21"/>
        </w:rPr>
        <w:t>本基金证券账户的开立和使用，限于满足开展本基金业务的需要。基金托管人和</w:t>
      </w:r>
      <w:r>
        <w:rPr>
          <w:spacing w:val="-6"/>
          <w:sz w:val="21"/>
        </w:rPr>
        <w:t>基金管理人不得出借或转让本基金的证券账户，亦不得使用本基金的证券账户进行本基金业</w:t>
      </w:r>
      <w:r>
        <w:rPr>
          <w:sz w:val="21"/>
        </w:rPr>
        <w:t>务以外的活动。</w:t>
      </w:r>
    </w:p>
    <w:p>
      <w:pPr>
        <w:pStyle w:val="ListParagraph"/>
        <w:numPr>
          <w:ilvl w:val="0"/>
          <w:numId w:val="56"/>
        </w:numPr>
        <w:tabs>
          <w:tab w:pos="1787" w:val="left" w:leader="none"/>
        </w:tabs>
        <w:spacing w:line="364" w:lineRule="auto" w:before="0" w:after="0"/>
        <w:ind w:left="840" w:right="725" w:firstLine="420"/>
        <w:jc w:val="both"/>
        <w:rPr>
          <w:sz w:val="21"/>
        </w:rPr>
      </w:pPr>
      <w:r>
        <w:rPr>
          <w:sz w:val="21"/>
        </w:rPr>
        <w:t>基金托管人以自身法人名义在中国证券登记结算有限责任公司开立结算备付金账</w:t>
      </w:r>
      <w:r>
        <w:rPr>
          <w:spacing w:val="-11"/>
          <w:sz w:val="21"/>
        </w:rPr>
        <w:t>户，用于办理基金托管人所托管的包括本基金在内的全部基金在证券交易所进行证券投资所</w:t>
      </w:r>
      <w:r>
        <w:rPr>
          <w:spacing w:val="-12"/>
          <w:sz w:val="21"/>
        </w:rPr>
        <w:t>涉及的资金结算业务。结算备付金的收取按照中国证券登记结算有限责任公司的规定执行。</w:t>
      </w:r>
    </w:p>
    <w:p>
      <w:pPr>
        <w:pStyle w:val="ListParagraph"/>
        <w:numPr>
          <w:ilvl w:val="0"/>
          <w:numId w:val="56"/>
        </w:numPr>
        <w:tabs>
          <w:tab w:pos="1787" w:val="left" w:leader="none"/>
        </w:tabs>
        <w:spacing w:line="364" w:lineRule="auto" w:before="0" w:after="0"/>
        <w:ind w:left="840" w:right="712" w:firstLine="420"/>
        <w:jc w:val="left"/>
        <w:rPr>
          <w:sz w:val="21"/>
        </w:rPr>
      </w:pPr>
      <w:r>
        <w:rPr>
          <w:sz w:val="21"/>
        </w:rPr>
        <w:t>在本托管协议生效日之后，本基金被允许从事其他投资品种的投资业务的，涉及</w:t>
      </w:r>
      <w:r>
        <w:rPr>
          <w:spacing w:val="-15"/>
          <w:sz w:val="21"/>
        </w:rPr>
        <w:t>相关账户的开设、使用的，若无相关规定，则基金托管人应当比照并遵守上述关于账户开设、</w:t>
      </w:r>
      <w:r>
        <w:rPr>
          <w:sz w:val="21"/>
        </w:rPr>
        <w:t>使用的规定。</w:t>
      </w:r>
    </w:p>
    <w:p>
      <w:pPr>
        <w:pStyle w:val="BodyText"/>
        <w:spacing w:line="268" w:lineRule="exact"/>
        <w:ind w:left="1260"/>
      </w:pPr>
      <w:r>
        <w:rPr/>
        <w:t>6、债券托管专户的开设和管理</w:t>
      </w:r>
    </w:p>
    <w:p>
      <w:pPr>
        <w:pStyle w:val="BodyText"/>
        <w:spacing w:line="364" w:lineRule="auto" w:before="136"/>
        <w:ind w:left="840" w:right="818" w:firstLine="420"/>
        <w:jc w:val="both"/>
      </w:pPr>
      <w:r>
        <w:rPr>
          <w:spacing w:val="-11"/>
        </w:rPr>
        <w:t>基金合同生效后，基金管理人负责以基金的名义申请并取得进入全国银行间同业拆借市</w:t>
      </w:r>
      <w:r>
        <w:rPr>
          <w:spacing w:val="-7"/>
        </w:rPr>
        <w:t>场的交易资格，并代表基金进行交易；基金托管人负责以基金的名义在中央国债登记结算有</w:t>
      </w:r>
      <w:r>
        <w:rPr>
          <w:spacing w:val="-6"/>
        </w:rPr>
        <w:t>限责任公司开设银行间债券市场债券托管账户，并代表基金进行银行间债券市场债券和资金</w:t>
      </w:r>
      <w:r>
        <w:rPr/>
        <w:t>的清算。在上述手续办理完毕之后，由基金托管人负责向中国人民银行报备。</w:t>
      </w:r>
    </w:p>
    <w:p>
      <w:pPr>
        <w:pStyle w:val="BodyText"/>
        <w:spacing w:line="267" w:lineRule="exact"/>
        <w:ind w:left="1260"/>
      </w:pPr>
      <w:r>
        <w:rPr/>
        <w:t>7、基金财产投资的有关有价凭证的保管</w:t>
      </w:r>
    </w:p>
    <w:p>
      <w:pPr>
        <w:pStyle w:val="BodyText"/>
        <w:spacing w:before="139"/>
        <w:ind w:left="1260"/>
      </w:pPr>
      <w:r>
        <w:rPr/>
        <w:t>基金财产投资的实物证券、银行定期存款存单等有价凭证由基金托管人负责妥善保管。</w:t>
      </w:r>
    </w:p>
    <w:p>
      <w:pPr>
        <w:pStyle w:val="BodyText"/>
        <w:spacing w:before="140"/>
        <w:ind w:left="1260"/>
      </w:pPr>
      <w:r>
        <w:rPr/>
        <w:t>8、与基金财产有关的重大合同及有关凭证的保管</w:t>
      </w:r>
    </w:p>
    <w:p>
      <w:pPr>
        <w:pStyle w:val="BodyText"/>
        <w:spacing w:line="364" w:lineRule="auto" w:before="139"/>
        <w:ind w:left="840" w:right="818" w:firstLine="420"/>
        <w:jc w:val="both"/>
      </w:pPr>
      <w:r>
        <w:rPr>
          <w:spacing w:val="2"/>
        </w:rPr>
        <w:t>基金托管人按照法律法规保管由基金管理人代表基金签署的与基金有关的重大合同及</w:t>
      </w:r>
      <w:r>
        <w:rPr>
          <w:spacing w:val="-2"/>
        </w:rPr>
        <w:t>有关凭证。基金管理人代表基金签署有关重大合同后应在收到合同正本后 </w:t>
      </w:r>
      <w:r>
        <w:rPr/>
        <w:t>30</w:t>
      </w:r>
      <w:r>
        <w:rPr>
          <w:spacing w:val="-9"/>
        </w:rPr>
        <w:t> 日内将一份正</w:t>
      </w:r>
      <w:r>
        <w:rPr>
          <w:spacing w:val="-16"/>
        </w:rPr>
        <w:t>本的原件提交给基金托管人。除本协议另有规定外，基金管理人在代表基金签署与基金有关</w:t>
      </w:r>
      <w:r>
        <w:rPr>
          <w:spacing w:val="-6"/>
        </w:rPr>
        <w:t>的重大合同时应保证基金一方持有两份以上的正本，以便基金管理人和基金托管人至少各持</w:t>
      </w:r>
      <w:r>
        <w:rPr>
          <w:spacing w:val="-2"/>
        </w:rPr>
        <w:t>有一份正本的原件。重大合同由基金管理人与基金托管人按规定各自保管至少 </w:t>
      </w:r>
      <w:r>
        <w:rPr/>
        <w:t>15</w:t>
      </w:r>
      <w:r>
        <w:rPr>
          <w:spacing w:val="-18"/>
        </w:rPr>
        <w:t> 年。</w:t>
      </w:r>
    </w:p>
    <w:p>
      <w:pPr>
        <w:spacing w:line="357" w:lineRule="exact" w:before="0"/>
        <w:ind w:left="840" w:right="0" w:firstLine="0"/>
        <w:jc w:val="left"/>
        <w:rPr>
          <w:sz w:val="28"/>
        </w:rPr>
      </w:pPr>
      <w:bookmarkStart w:name="_bookmark113" w:id="114"/>
      <w:bookmarkEnd w:id="114"/>
      <w:r>
        <w:rPr/>
      </w:r>
      <w:r>
        <w:rPr>
          <w:sz w:val="28"/>
        </w:rPr>
        <w:t>（五）基金资产净值计算与复核</w:t>
      </w:r>
    </w:p>
    <w:p>
      <w:pPr>
        <w:pStyle w:val="BodyText"/>
        <w:spacing w:line="364" w:lineRule="auto" w:before="185"/>
        <w:ind w:left="840" w:right="818" w:firstLine="420"/>
      </w:pPr>
      <w:r>
        <w:rPr/>
        <w:t>1、基金资产净值是指基金资产总值减去负债后的价值。基金份额净值是指计算日基金资产净值除以计算日该基金份额总数后的价值。</w:t>
      </w:r>
    </w:p>
    <w:p>
      <w:pPr>
        <w:pStyle w:val="BodyText"/>
        <w:spacing w:line="364" w:lineRule="auto"/>
        <w:ind w:left="840" w:right="818" w:firstLine="420"/>
        <w:jc w:val="both"/>
      </w:pPr>
      <w:r>
        <w:rPr/>
        <w:t>2、基金管理人应每开放日对基金财产估值。估值原则应符合《基金合同》、《证券投</w:t>
      </w:r>
      <w:r>
        <w:rPr>
          <w:spacing w:val="-7"/>
        </w:rPr>
        <w:t>资基金会计核算业务指引》及其他法律法规的规定。用于基金信息披露的基金资产净值和基</w:t>
      </w:r>
      <w:r>
        <w:rPr>
          <w:spacing w:val="-6"/>
        </w:rPr>
        <w:t>金份额净值由基金管理人负责计算，基金托管人复核。基金管理人应于每个开放日结束后计</w:t>
      </w:r>
      <w:r>
        <w:rPr>
          <w:spacing w:val="-7"/>
        </w:rPr>
        <w:t>算得出当日的该基金份额净值，并在盖章后以传真方式发送给基金托管人。基金托管人应在</w:t>
      </w:r>
    </w:p>
    <w:p>
      <w:pPr>
        <w:spacing w:after="0" w:line="364" w:lineRule="auto"/>
        <w:jc w:val="both"/>
        <w:sectPr>
          <w:pgSz w:w="11910" w:h="16840"/>
          <w:pgMar w:header="0" w:footer="638" w:top="1380" w:bottom="900" w:left="960" w:right="980"/>
        </w:sectPr>
      </w:pPr>
    </w:p>
    <w:p>
      <w:pPr>
        <w:pStyle w:val="BodyText"/>
        <w:spacing w:line="364" w:lineRule="auto" w:before="45"/>
        <w:ind w:left="840" w:right="712"/>
      </w:pPr>
      <w:r>
        <w:rPr>
          <w:spacing w:val="-5"/>
        </w:rPr>
        <w:t>收到上述传真后对净值计算结果进行复核，并在盖章后以传真方式将复核结果传送给基金管</w:t>
      </w:r>
      <w:r>
        <w:rPr>
          <w:spacing w:val="-17"/>
        </w:rPr>
        <w:t>理人，由基金管理人对外公布。月末、年中和年末估值复核与基金会计账目的核对同时进行。</w:t>
      </w:r>
    </w:p>
    <w:p>
      <w:pPr>
        <w:pStyle w:val="BodyText"/>
        <w:spacing w:line="364" w:lineRule="auto"/>
        <w:ind w:left="840" w:right="608" w:firstLine="420"/>
      </w:pPr>
      <w:r>
        <w:rPr/>
        <w:t>3、当相关法律法规或《基金合同》规定的估值方法不能客观反映基金财产公允价值时， 基金管理人可根据具体情况，并与基金托管人商定后，按最能反映公允价值的价格估值。</w:t>
      </w:r>
    </w:p>
    <w:p>
      <w:pPr>
        <w:pStyle w:val="BodyText"/>
        <w:spacing w:line="364" w:lineRule="auto"/>
        <w:ind w:left="840" w:right="818" w:firstLine="420"/>
        <w:jc w:val="both"/>
      </w:pPr>
      <w:r>
        <w:rPr/>
        <w:t>4、基金管理人、基金托管人发现基金估值违反《基金合同》订明的估值方法、程序以</w:t>
      </w:r>
      <w:r>
        <w:rPr>
          <w:spacing w:val="-5"/>
        </w:rPr>
        <w:t>及相关法律法规的规定或者未能充分维护基金份额持有人利益时，双方应及时进行协商和纠</w:t>
      </w:r>
      <w:r>
        <w:rPr/>
        <w:t>正。</w:t>
      </w:r>
    </w:p>
    <w:p>
      <w:pPr>
        <w:pStyle w:val="BodyText"/>
        <w:spacing w:line="364" w:lineRule="auto"/>
        <w:ind w:left="840" w:right="712" w:firstLine="420"/>
        <w:jc w:val="both"/>
      </w:pPr>
      <w:r>
        <w:rPr/>
        <w:t>5、当基金资产的估值导致基金份额净值小数点后四位内发生差错时，视为基金份额净</w:t>
      </w:r>
      <w:r>
        <w:rPr>
          <w:spacing w:val="-9"/>
        </w:rPr>
        <w:t>值估值错误。当基金份额净值出现错误时，基金管理人应当立即予以纠正，并采取合理的措</w:t>
      </w:r>
      <w:r>
        <w:rPr>
          <w:spacing w:val="-13"/>
        </w:rPr>
        <w:t>施防止损失进一步扩大；当计价错误达到基金份额净值的 </w:t>
      </w:r>
      <w:r>
        <w:rPr/>
        <w:t>0.25%时，基金管理人应当通报基</w:t>
      </w:r>
      <w:r>
        <w:rPr>
          <w:spacing w:val="-2"/>
        </w:rPr>
        <w:t>金托管人并向中国证监会报告；当计价错误达到基金份额净值的 </w:t>
      </w:r>
      <w:r>
        <w:rPr/>
        <w:t>0.5%时，基金管理人应当</w:t>
      </w:r>
      <w:r>
        <w:rPr>
          <w:spacing w:val="-15"/>
        </w:rPr>
        <w:t>公告，并报中国证监会备案。如法律法规或监管机关对前述内容另有规定的，按其规定处理。</w:t>
      </w:r>
    </w:p>
    <w:p>
      <w:pPr>
        <w:pStyle w:val="BodyText"/>
        <w:spacing w:line="364" w:lineRule="auto"/>
        <w:ind w:left="840" w:right="817" w:firstLine="420"/>
        <w:jc w:val="both"/>
      </w:pPr>
      <w:r>
        <w:rPr/>
        <w:t>6、由于基金管理人对外公布的任何基金净值数据错误，导致该基金财产或基金份额持</w:t>
      </w:r>
      <w:r>
        <w:rPr>
          <w:spacing w:val="-8"/>
        </w:rPr>
        <w:t>有人的实际损失，基金管理人应对此承担责任。若基金托管人计算的净值数据正确，则基金</w:t>
      </w:r>
      <w:r>
        <w:rPr>
          <w:spacing w:val="-9"/>
        </w:rPr>
        <w:t>托管人对该损失不承担责任；若基金托管人计算的净值数据也不正确，则基金托管人也应承</w:t>
      </w:r>
      <w:r>
        <w:rPr>
          <w:spacing w:val="-7"/>
        </w:rPr>
        <w:t>担部分未正确履行复核义务的责任。如果上述错误造成了基金财产或基金份额持有人的不当</w:t>
      </w:r>
      <w:r>
        <w:rPr>
          <w:spacing w:val="-10"/>
        </w:rPr>
        <w:t>得利，且基金管理人及基金托管人已各自承担了赔偿责任，则基金管理人应负责向不当得利</w:t>
      </w:r>
      <w:r>
        <w:rPr>
          <w:spacing w:val="-9"/>
        </w:rPr>
        <w:t>之主体主张返还不当得利。如果返还金额不足以弥补基金管理人和基金托管人已承担的赔偿</w:t>
      </w:r>
      <w:r>
        <w:rPr/>
        <w:t>金额，则双方按照各自赔偿金额的比例对返还金额进行分配。</w:t>
      </w:r>
    </w:p>
    <w:p>
      <w:pPr>
        <w:pStyle w:val="BodyText"/>
        <w:spacing w:line="364" w:lineRule="auto"/>
        <w:ind w:left="840" w:right="817" w:firstLine="420"/>
        <w:jc w:val="both"/>
      </w:pPr>
      <w:r>
        <w:rPr/>
        <w:t>7、由于证券交易所及其登记结算公司发送的数据错误，或由于其他不可抗力原因，基</w:t>
      </w:r>
      <w:r>
        <w:rPr>
          <w:spacing w:val="-6"/>
        </w:rPr>
        <w:t>金管理人和基金托管人虽然已经采取必要、适当、合理的措施进行检查，但是未能发现该错</w:t>
      </w:r>
      <w:r>
        <w:rPr>
          <w:spacing w:val="-10"/>
        </w:rPr>
        <w:t>误的，由此造成的基金资产估值错误，基金管理人和基金托管人可以免除赔偿责任。但基金</w:t>
      </w:r>
      <w:r>
        <w:rPr/>
        <w:t>管理人和基金托管人应当积极采取必要的措施消除由此造成的影响。</w:t>
      </w:r>
    </w:p>
    <w:p>
      <w:pPr>
        <w:pStyle w:val="BodyText"/>
        <w:spacing w:line="364" w:lineRule="auto"/>
        <w:ind w:left="840" w:right="818" w:firstLine="420"/>
        <w:jc w:val="both"/>
      </w:pPr>
      <w:r>
        <w:rPr/>
        <w:t>8、如果基金托管人的复核结果与基金管理人的计算结果存在差异，且双方经协商未能</w:t>
      </w:r>
      <w:r>
        <w:rPr>
          <w:spacing w:val="-10"/>
        </w:rPr>
        <w:t>达成一致，基金管理人可以按照其对基金份额净值的计算结果对外予以公布，基金托管人可</w:t>
      </w:r>
      <w:r>
        <w:rPr/>
        <w:t>以将相关情况报中国证监会备案。</w:t>
      </w:r>
    </w:p>
    <w:p>
      <w:pPr>
        <w:spacing w:line="358" w:lineRule="exact" w:before="0"/>
        <w:ind w:left="840" w:right="0" w:firstLine="0"/>
        <w:jc w:val="left"/>
        <w:rPr>
          <w:sz w:val="28"/>
        </w:rPr>
      </w:pPr>
      <w:bookmarkStart w:name="_bookmark114" w:id="115"/>
      <w:bookmarkEnd w:id="115"/>
      <w:r>
        <w:rPr/>
      </w:r>
      <w:r>
        <w:rPr>
          <w:sz w:val="28"/>
        </w:rPr>
        <w:t>（六）基金份额持有人名册的保管</w:t>
      </w:r>
    </w:p>
    <w:p>
      <w:pPr>
        <w:pStyle w:val="BodyText"/>
        <w:spacing w:before="174"/>
        <w:ind w:left="1260"/>
      </w:pPr>
      <w:r>
        <w:rPr/>
        <w:t>1、基金份额持有人名册的内容</w:t>
      </w:r>
    </w:p>
    <w:p>
      <w:pPr>
        <w:pStyle w:val="BodyText"/>
        <w:spacing w:line="364" w:lineRule="auto" w:before="139"/>
        <w:ind w:left="1260" w:right="935"/>
      </w:pPr>
      <w:r>
        <w:rPr/>
        <w:t>基金份额持有人名册的内容包括但不限于基金份额持有人的名称和持有的基金份额。基金份额持有人名册包括以下几类：</w:t>
      </w:r>
    </w:p>
    <w:p>
      <w:pPr>
        <w:pStyle w:val="ListParagraph"/>
        <w:numPr>
          <w:ilvl w:val="0"/>
          <w:numId w:val="57"/>
        </w:numPr>
        <w:tabs>
          <w:tab w:pos="1786" w:val="left" w:leader="none"/>
        </w:tabs>
        <w:spacing w:line="268" w:lineRule="exact" w:before="0" w:after="0"/>
        <w:ind w:left="1786" w:right="0" w:hanging="526"/>
        <w:jc w:val="left"/>
        <w:rPr>
          <w:sz w:val="21"/>
        </w:rPr>
      </w:pPr>
      <w:r>
        <w:rPr>
          <w:sz w:val="21"/>
        </w:rPr>
        <w:t>基金募集期结束时的基金份额持有人名册；</w:t>
      </w:r>
    </w:p>
    <w:p>
      <w:pPr>
        <w:pStyle w:val="ListParagraph"/>
        <w:numPr>
          <w:ilvl w:val="0"/>
          <w:numId w:val="57"/>
        </w:numPr>
        <w:tabs>
          <w:tab w:pos="1786" w:val="left" w:leader="none"/>
        </w:tabs>
        <w:spacing w:line="240" w:lineRule="auto" w:before="140" w:after="0"/>
        <w:ind w:left="1786" w:right="0" w:hanging="526"/>
        <w:jc w:val="left"/>
        <w:rPr>
          <w:sz w:val="21"/>
        </w:rPr>
      </w:pPr>
      <w:r>
        <w:rPr>
          <w:sz w:val="21"/>
        </w:rPr>
        <w:t>基金权益登记日的基金份额持有人名册；</w:t>
      </w:r>
    </w:p>
    <w:p>
      <w:pPr>
        <w:pStyle w:val="ListParagraph"/>
        <w:numPr>
          <w:ilvl w:val="0"/>
          <w:numId w:val="57"/>
        </w:numPr>
        <w:tabs>
          <w:tab w:pos="1786" w:val="left" w:leader="none"/>
        </w:tabs>
        <w:spacing w:line="240" w:lineRule="auto" w:before="139" w:after="0"/>
        <w:ind w:left="1786" w:right="0" w:hanging="526"/>
        <w:jc w:val="left"/>
        <w:rPr>
          <w:sz w:val="21"/>
        </w:rPr>
      </w:pPr>
      <w:r>
        <w:rPr>
          <w:sz w:val="21"/>
        </w:rPr>
        <w:t>基金份额持有人大会登记日的基金份额持有人名册；</w:t>
      </w:r>
    </w:p>
    <w:p>
      <w:pPr>
        <w:pStyle w:val="ListParagraph"/>
        <w:numPr>
          <w:ilvl w:val="0"/>
          <w:numId w:val="57"/>
        </w:numPr>
        <w:tabs>
          <w:tab w:pos="1786" w:val="left" w:leader="none"/>
        </w:tabs>
        <w:spacing w:line="240" w:lineRule="auto" w:before="140" w:after="0"/>
        <w:ind w:left="1786" w:right="0" w:hanging="526"/>
        <w:jc w:val="left"/>
        <w:rPr>
          <w:sz w:val="21"/>
        </w:rPr>
      </w:pPr>
      <w:r>
        <w:rPr>
          <w:sz w:val="21"/>
        </w:rPr>
        <w:t>每半年度最后一个交易日的基金份额持有人名册。</w:t>
      </w:r>
    </w:p>
    <w:p>
      <w:pPr>
        <w:spacing w:after="0" w:line="240" w:lineRule="auto"/>
        <w:jc w:val="left"/>
        <w:rPr>
          <w:sz w:val="21"/>
        </w:rPr>
        <w:sectPr>
          <w:pgSz w:w="11910" w:h="16840"/>
          <w:pgMar w:header="0" w:footer="638" w:top="1380" w:bottom="900" w:left="960" w:right="980"/>
        </w:sectPr>
      </w:pPr>
    </w:p>
    <w:p>
      <w:pPr>
        <w:pStyle w:val="BodyText"/>
        <w:spacing w:before="45"/>
        <w:ind w:left="1260"/>
      </w:pPr>
      <w:r>
        <w:rPr/>
        <w:t>2、基金份额持有人名册的提供</w:t>
      </w:r>
    </w:p>
    <w:p>
      <w:pPr>
        <w:pStyle w:val="BodyText"/>
        <w:spacing w:line="364" w:lineRule="auto" w:before="139"/>
        <w:ind w:left="840" w:right="843" w:firstLine="420"/>
        <w:jc w:val="both"/>
      </w:pPr>
      <w:r>
        <w:rPr/>
        <w:t>对于每半年度最后一个交易日的基金份额持有人名册，基金管理人应在每半年度结束</w:t>
      </w:r>
      <w:r>
        <w:rPr>
          <w:spacing w:val="-11"/>
        </w:rPr>
        <w:t>后 </w:t>
      </w:r>
      <w:r>
        <w:rPr/>
        <w:t>5</w:t>
      </w:r>
      <w:r>
        <w:rPr>
          <w:spacing w:val="-5"/>
        </w:rPr>
        <w:t> 个工作日内定期向基金托管人提供。对于基金募集期结束时的基金份额持有人名册、基金权益登记日的基金份额持有人名册以及基金份额持有人大会登记日的基金份额持有人</w:t>
      </w:r>
      <w:r>
        <w:rPr>
          <w:spacing w:val="-8"/>
        </w:rPr>
        <w:t>名册，基金管理人应在相关的名册生成后 </w:t>
      </w:r>
      <w:r>
        <w:rPr/>
        <w:t>5</w:t>
      </w:r>
      <w:r>
        <w:rPr>
          <w:spacing w:val="-8"/>
        </w:rPr>
        <w:t> 个工作日内向基金托管人提供。</w:t>
      </w:r>
    </w:p>
    <w:p>
      <w:pPr>
        <w:pStyle w:val="BodyText"/>
        <w:spacing w:line="267" w:lineRule="exact"/>
        <w:ind w:left="1260"/>
      </w:pPr>
      <w:r>
        <w:rPr/>
        <w:t>3、基金份额持有人名册的保管</w:t>
      </w:r>
    </w:p>
    <w:p>
      <w:pPr>
        <w:pStyle w:val="BodyText"/>
        <w:spacing w:line="364" w:lineRule="auto" w:before="140"/>
        <w:ind w:left="840" w:right="634" w:firstLine="420"/>
      </w:pPr>
      <w:r>
        <w:rPr/>
        <w:t>基金托管人应妥善保管基金份额持有人名册。如基金托管人无法妥善保存持有人名册， 基金管理人应及时向中国证监会报告，并代为履行保管基金份额持有人名册的职责。基金 托管人应对基金管理人由此产生的保管费给予补偿。</w:t>
      </w:r>
    </w:p>
    <w:p>
      <w:pPr>
        <w:spacing w:line="358" w:lineRule="exact" w:before="0"/>
        <w:ind w:left="840" w:right="0" w:firstLine="0"/>
        <w:jc w:val="left"/>
        <w:rPr>
          <w:sz w:val="28"/>
        </w:rPr>
      </w:pPr>
      <w:bookmarkStart w:name="_bookmark115" w:id="116"/>
      <w:bookmarkEnd w:id="116"/>
      <w:r>
        <w:rPr/>
      </w:r>
      <w:r>
        <w:rPr>
          <w:sz w:val="28"/>
        </w:rPr>
        <w:t>（七）适用法律与争议解决方式</w:t>
      </w:r>
    </w:p>
    <w:p>
      <w:pPr>
        <w:pStyle w:val="BodyText"/>
        <w:spacing w:before="185"/>
        <w:ind w:left="1260"/>
      </w:pPr>
      <w:r>
        <w:rPr/>
        <w:t>1、本协议适用中华人民共和国法律并从其解释。</w:t>
      </w:r>
    </w:p>
    <w:p>
      <w:pPr>
        <w:pStyle w:val="BodyText"/>
        <w:spacing w:line="364" w:lineRule="auto" w:before="139"/>
        <w:ind w:left="840" w:right="818" w:firstLine="420"/>
        <w:jc w:val="both"/>
      </w:pPr>
      <w:r>
        <w:rPr/>
        <w:t>2、基金管理人与基金托管人之间因本协议产生的或与本协议有关的争议可通过友好协</w:t>
      </w:r>
      <w:r>
        <w:rPr>
          <w:spacing w:val="-3"/>
        </w:rPr>
        <w:t>商解决。但若自一方书面提出协商解决争议之日起 </w:t>
      </w:r>
      <w:r>
        <w:rPr/>
        <w:t>60</w:t>
      </w:r>
      <w:r>
        <w:rPr>
          <w:spacing w:val="-8"/>
        </w:rPr>
        <w:t> 日内争议未能以协商方式解决的，则</w:t>
      </w:r>
      <w:r>
        <w:rPr>
          <w:spacing w:val="-12"/>
        </w:rPr>
        <w:t>任何一方有权将争议提交位于北京的中国国际经济贸易仲裁委员会，根据提交仲裁时该会现</w:t>
      </w:r>
      <w:r>
        <w:rPr/>
        <w:t>时有效的仲裁规则进行仲裁。仲裁裁决是终局的，对仲裁各方当事人均具有约束力。</w:t>
      </w:r>
    </w:p>
    <w:p>
      <w:pPr>
        <w:pStyle w:val="BodyText"/>
        <w:spacing w:line="267" w:lineRule="exact"/>
        <w:ind w:left="1260"/>
      </w:pPr>
      <w:r>
        <w:rPr/>
        <w:t>3、除争议所涉的内容之外，本协议的当事人仍应履行本协议的其他规定。</w:t>
      </w:r>
    </w:p>
    <w:p>
      <w:pPr>
        <w:spacing w:before="141"/>
        <w:ind w:left="840" w:right="0" w:firstLine="0"/>
        <w:jc w:val="left"/>
        <w:rPr>
          <w:sz w:val="28"/>
        </w:rPr>
      </w:pPr>
      <w:bookmarkStart w:name="_bookmark116" w:id="117"/>
      <w:bookmarkEnd w:id="117"/>
      <w:r>
        <w:rPr/>
      </w:r>
      <w:r>
        <w:rPr>
          <w:sz w:val="28"/>
        </w:rPr>
        <w:t>（八）托管协议的变更与终止</w:t>
      </w:r>
    </w:p>
    <w:p>
      <w:pPr>
        <w:pStyle w:val="BodyText"/>
        <w:spacing w:before="184"/>
        <w:ind w:left="1260"/>
      </w:pPr>
      <w:r>
        <w:rPr/>
        <w:t>1、托管协议的变更</w:t>
      </w:r>
    </w:p>
    <w:p>
      <w:pPr>
        <w:pStyle w:val="BodyText"/>
        <w:spacing w:before="140"/>
        <w:ind w:left="1260"/>
      </w:pPr>
      <w:r>
        <w:rPr/>
        <w:t>本协议双方当事人经协商一致，可以对协议进行变更。变更后的新协议，其内容不得与</w:t>
      </w:r>
    </w:p>
    <w:p>
      <w:pPr>
        <w:pStyle w:val="BodyText"/>
        <w:spacing w:before="139"/>
        <w:ind w:left="840"/>
      </w:pPr>
      <w:r>
        <w:rPr/>
        <w:t>《基金合同》的规定有任何冲突。变更后的新协议应当报中国证监会备案。</w:t>
      </w:r>
    </w:p>
    <w:p>
      <w:pPr>
        <w:pStyle w:val="BodyText"/>
        <w:spacing w:before="140"/>
        <w:ind w:left="1260"/>
      </w:pPr>
      <w:r>
        <w:rPr/>
        <w:t>2、托管协议的终止</w:t>
      </w:r>
    </w:p>
    <w:p>
      <w:pPr>
        <w:pStyle w:val="BodyText"/>
        <w:spacing w:before="139"/>
        <w:ind w:left="1260"/>
      </w:pPr>
      <w:r>
        <w:rPr/>
        <w:t>发生以下情况，本托管协议应当终止：</w:t>
      </w:r>
    </w:p>
    <w:p>
      <w:pPr>
        <w:pStyle w:val="ListParagraph"/>
        <w:numPr>
          <w:ilvl w:val="0"/>
          <w:numId w:val="58"/>
        </w:numPr>
        <w:tabs>
          <w:tab w:pos="1786" w:val="left" w:leader="none"/>
        </w:tabs>
        <w:spacing w:line="240" w:lineRule="auto" w:before="140" w:after="0"/>
        <w:ind w:left="1786" w:right="0" w:hanging="526"/>
        <w:jc w:val="left"/>
        <w:rPr>
          <w:sz w:val="21"/>
        </w:rPr>
      </w:pPr>
      <w:r>
        <w:rPr>
          <w:sz w:val="21"/>
        </w:rPr>
        <w:t>《基金合同》终止；</w:t>
      </w:r>
    </w:p>
    <w:p>
      <w:pPr>
        <w:pStyle w:val="ListParagraph"/>
        <w:numPr>
          <w:ilvl w:val="0"/>
          <w:numId w:val="58"/>
        </w:numPr>
        <w:tabs>
          <w:tab w:pos="1786" w:val="left" w:leader="none"/>
        </w:tabs>
        <w:spacing w:line="240" w:lineRule="auto" w:before="139" w:after="0"/>
        <w:ind w:left="1786" w:right="0" w:hanging="526"/>
        <w:jc w:val="left"/>
        <w:rPr>
          <w:sz w:val="21"/>
        </w:rPr>
      </w:pPr>
      <w:r>
        <w:rPr>
          <w:sz w:val="21"/>
        </w:rPr>
        <w:t>本基金更换基金托管人；</w:t>
      </w:r>
    </w:p>
    <w:p>
      <w:pPr>
        <w:pStyle w:val="ListParagraph"/>
        <w:numPr>
          <w:ilvl w:val="0"/>
          <w:numId w:val="58"/>
        </w:numPr>
        <w:tabs>
          <w:tab w:pos="1786" w:val="left" w:leader="none"/>
        </w:tabs>
        <w:spacing w:line="240" w:lineRule="auto" w:before="140" w:after="0"/>
        <w:ind w:left="1786" w:right="0" w:hanging="526"/>
        <w:jc w:val="left"/>
        <w:rPr>
          <w:sz w:val="21"/>
        </w:rPr>
      </w:pPr>
      <w:r>
        <w:rPr>
          <w:sz w:val="21"/>
        </w:rPr>
        <w:t>本基金更换基金管理人；</w:t>
      </w:r>
    </w:p>
    <w:p>
      <w:pPr>
        <w:pStyle w:val="ListParagraph"/>
        <w:numPr>
          <w:ilvl w:val="0"/>
          <w:numId w:val="58"/>
        </w:numPr>
        <w:tabs>
          <w:tab w:pos="1786" w:val="left" w:leader="none"/>
        </w:tabs>
        <w:spacing w:line="240" w:lineRule="auto" w:before="139" w:after="0"/>
        <w:ind w:left="1786" w:right="0" w:hanging="526"/>
        <w:jc w:val="left"/>
        <w:rPr>
          <w:sz w:val="21"/>
        </w:rPr>
      </w:pPr>
      <w:r>
        <w:rPr>
          <w:spacing w:val="-15"/>
          <w:sz w:val="21"/>
        </w:rPr>
        <w:t>发生《基金法》、《运作办法》或其他法律法规规定的终止事项。</w:t>
      </w:r>
    </w:p>
    <w:p>
      <w:pPr>
        <w:spacing w:after="0" w:line="240" w:lineRule="auto"/>
        <w:jc w:val="left"/>
        <w:rPr>
          <w:sz w:val="21"/>
        </w:rPr>
        <w:sectPr>
          <w:pgSz w:w="11910" w:h="16840"/>
          <w:pgMar w:header="0" w:footer="638" w:top="1380" w:bottom="900" w:left="960" w:right="980"/>
        </w:sectPr>
      </w:pPr>
    </w:p>
    <w:p>
      <w:pPr>
        <w:pStyle w:val="Heading1"/>
        <w:ind w:left="3043"/>
      </w:pPr>
      <w:bookmarkStart w:name="_bookmark117" w:id="118"/>
      <w:bookmarkEnd w:id="118"/>
      <w:r>
        <w:rPr/>
      </w:r>
      <w:r>
        <w:rPr/>
        <w:t>二十三、对基金份额持有人的服务</w:t>
      </w:r>
    </w:p>
    <w:p>
      <w:pPr>
        <w:pStyle w:val="BodyText"/>
        <w:spacing w:line="364" w:lineRule="auto" w:before="198"/>
        <w:ind w:left="840" w:right="8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1260"/>
      </w:pPr>
      <w:r>
        <w:rPr/>
        <w:t>（一）基金份额持有人投资交易确认服务</w:t>
      </w:r>
    </w:p>
    <w:p>
      <w:pPr>
        <w:pStyle w:val="BodyText"/>
        <w:spacing w:line="364" w:lineRule="auto" w:before="140"/>
        <w:ind w:left="1260" w:right="725"/>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840"/>
      </w:pPr>
      <w:r>
        <w:rPr/>
        <w:t>确认单。基金非直销销售机构应根据在销售网点进行交易的投资者的要求提供成交确认单。</w:t>
      </w:r>
    </w:p>
    <w:p>
      <w:pPr>
        <w:pStyle w:val="BodyText"/>
        <w:spacing w:before="139"/>
        <w:ind w:left="1260"/>
      </w:pPr>
      <w:r>
        <w:rPr/>
        <w:t>（二）基金份额持有人交易记录查询服务</w:t>
      </w:r>
    </w:p>
    <w:p>
      <w:pPr>
        <w:pStyle w:val="BodyText"/>
        <w:spacing w:before="139"/>
        <w:ind w:left="1260"/>
      </w:pPr>
      <w:r>
        <w:rPr/>
        <w:t>本基金份额持有人可通过基金管理人的客户服务中心查询历史交易记录。</w:t>
      </w:r>
    </w:p>
    <w:p>
      <w:pPr>
        <w:pStyle w:val="BodyText"/>
        <w:spacing w:before="140"/>
        <w:ind w:left="1260"/>
      </w:pPr>
      <w:r>
        <w:rPr/>
        <w:t>（三）基金份额持有人的对账单服务</w:t>
      </w:r>
    </w:p>
    <w:p>
      <w:pPr>
        <w:pStyle w:val="BodyText"/>
        <w:spacing w:line="364" w:lineRule="auto" w:before="139"/>
        <w:ind w:left="1260" w:right="1040"/>
      </w:pPr>
      <w:hyperlink r:id="rId6">
        <w:r>
          <w:rPr/>
          <w:t>1、基金份额持有人可登录本公司网站（http://www.efunds.com.cn</w:t>
        </w:r>
      </w:hyperlink>
      <w:r>
        <w:rPr/>
        <w:t>）查阅对账单。2、基金份额持有人也可向本公司定制电子对账单。</w:t>
      </w:r>
    </w:p>
    <w:p>
      <w:pPr>
        <w:pStyle w:val="BodyText"/>
        <w:spacing w:line="268" w:lineRule="exact"/>
        <w:ind w:left="1260"/>
      </w:pPr>
      <w:r>
        <w:rPr/>
        <w:t>具体查阅和定制账单的方法可参见本公司网站或拨打客服热线咨询。</w:t>
      </w:r>
    </w:p>
    <w:p>
      <w:pPr>
        <w:pStyle w:val="BodyText"/>
        <w:spacing w:before="140"/>
        <w:ind w:left="1260"/>
      </w:pPr>
      <w:r>
        <w:rPr/>
        <w:t>（四）定期定额投资计划</w:t>
      </w:r>
    </w:p>
    <w:p>
      <w:pPr>
        <w:pStyle w:val="BodyText"/>
        <w:spacing w:line="364" w:lineRule="auto" w:before="139"/>
        <w:ind w:left="840" w:right="817" w:firstLine="420"/>
        <w:jc w:val="both"/>
      </w:pPr>
      <w:r>
        <w:rPr>
          <w:spacing w:val="2"/>
        </w:rPr>
        <w:t>基金管理人可利用非直销销售机构和本公司网上交易系统为投资者提供定期定额投资的服务（本公司网上交易系统的定期定额投资服务目前仅对个人投资者开通</w:t>
      </w:r>
      <w:r>
        <w:rPr>
          <w:spacing w:val="-105"/>
        </w:rPr>
        <w:t>）</w:t>
      </w:r>
      <w:r>
        <w:rPr/>
        <w:t>。通过定期定</w:t>
      </w:r>
      <w:r>
        <w:rPr>
          <w:spacing w:val="-10"/>
        </w:rPr>
        <w:t>额投资计划，投资者可以通过固定的渠道，定期定额申购基金份额，具体实施方法见有关公</w:t>
      </w:r>
      <w:r>
        <w:rPr/>
        <w:t>告。</w:t>
      </w:r>
    </w:p>
    <w:p>
      <w:pPr>
        <w:pStyle w:val="BodyText"/>
        <w:spacing w:line="267" w:lineRule="exact"/>
        <w:ind w:left="1260"/>
      </w:pPr>
      <w:r>
        <w:rPr/>
        <w:t>（五）资询服务</w:t>
      </w:r>
    </w:p>
    <w:p>
      <w:pPr>
        <w:pStyle w:val="BodyText"/>
        <w:spacing w:before="140"/>
        <w:ind w:left="1260"/>
      </w:pPr>
      <w:r>
        <w:rPr/>
        <w:t>1、客户服务电话</w:t>
      </w:r>
    </w:p>
    <w:p>
      <w:pPr>
        <w:pStyle w:val="BodyText"/>
        <w:spacing w:line="364" w:lineRule="auto" w:before="139"/>
        <w:ind w:left="840" w:right="8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BodyText"/>
        <w:spacing w:line="267" w:lineRule="exact"/>
        <w:ind w:left="1260"/>
      </w:pPr>
      <w:r>
        <w:rPr/>
        <w:t>2、互联网站及电子信箱</w:t>
      </w:r>
    </w:p>
    <w:p>
      <w:pPr>
        <w:pStyle w:val="BodyText"/>
        <w:spacing w:line="364" w:lineRule="auto" w:before="140"/>
        <w:ind w:left="1260" w:right="5450"/>
      </w:pPr>
      <w:hyperlink r:id="rId6">
        <w:r>
          <w:rPr/>
          <w:t>网址：http://www.efunds.com.cn </w:t>
        </w:r>
      </w:hyperlink>
      <w:r>
        <w:rPr/>
        <w:t>电子信箱：</w:t>
      </w:r>
      <w:hyperlink r:id="rId256">
        <w:r>
          <w:rPr/>
          <w:t>service@efunds.com.cn</w:t>
        </w:r>
      </w:hyperlink>
    </w:p>
    <w:p>
      <w:pPr>
        <w:spacing w:after="0" w:line="364" w:lineRule="auto"/>
        <w:sectPr>
          <w:pgSz w:w="11910" w:h="16840"/>
          <w:pgMar w:header="0" w:footer="638" w:top="1380" w:bottom="900" w:left="960" w:right="980"/>
        </w:sectPr>
      </w:pPr>
    </w:p>
    <w:p>
      <w:pPr>
        <w:pStyle w:val="Heading1"/>
        <w:ind w:left="3643"/>
      </w:pPr>
      <w:bookmarkStart w:name="_bookmark118" w:id="119"/>
      <w:bookmarkEnd w:id="119"/>
      <w:r>
        <w:rPr/>
      </w:r>
      <w:r>
        <w:rPr/>
        <w:t>二十四、其他应披露事项</w:t>
      </w:r>
    </w:p>
    <w:p>
      <w:pPr>
        <w:pStyle w:val="BodyText"/>
        <w:spacing w:before="3"/>
        <w:ind w:left="0"/>
        <w:rPr>
          <w:sz w:val="15"/>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96"/>
        <w:gridCol w:w="1403"/>
      </w:tblGrid>
      <w:tr>
        <w:trPr>
          <w:trHeight w:val="577" w:hRule="atLeast"/>
        </w:trPr>
        <w:tc>
          <w:tcPr>
            <w:tcW w:w="6596" w:type="dxa"/>
          </w:tcPr>
          <w:p>
            <w:pPr>
              <w:pStyle w:val="TableParagraph"/>
              <w:spacing w:before="155"/>
              <w:ind w:left="2858" w:right="2848"/>
              <w:jc w:val="center"/>
              <w:rPr>
                <w:sz w:val="21"/>
              </w:rPr>
            </w:pPr>
            <w:r>
              <w:rPr>
                <w:sz w:val="21"/>
              </w:rPr>
              <w:t>公告事项</w:t>
            </w:r>
          </w:p>
        </w:tc>
        <w:tc>
          <w:tcPr>
            <w:tcW w:w="1403" w:type="dxa"/>
          </w:tcPr>
          <w:p>
            <w:pPr>
              <w:pStyle w:val="TableParagraph"/>
              <w:spacing w:before="155"/>
              <w:ind w:left="281"/>
              <w:rPr>
                <w:sz w:val="21"/>
              </w:rPr>
            </w:pPr>
            <w:r>
              <w:rPr>
                <w:sz w:val="21"/>
              </w:rPr>
              <w:t>披露日期</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易方达基金管理有限公司关于调整转换业务货币市场基金未付收益支付规则的公告</w:t>
            </w:r>
          </w:p>
        </w:tc>
        <w:tc>
          <w:tcPr>
            <w:tcW w:w="1403" w:type="dxa"/>
          </w:tcPr>
          <w:p>
            <w:pPr>
              <w:pStyle w:val="TableParagraph"/>
              <w:spacing w:before="155"/>
              <w:ind w:left="244"/>
              <w:rPr>
                <w:sz w:val="21"/>
              </w:rPr>
            </w:pPr>
            <w:r>
              <w:rPr>
                <w:sz w:val="21"/>
              </w:rPr>
              <w:t>2019-06-20</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易方达基金管理有限公司关于旗下部分开放式基金增加民生证券为销售机构的公告</w:t>
            </w:r>
          </w:p>
        </w:tc>
        <w:tc>
          <w:tcPr>
            <w:tcW w:w="1403" w:type="dxa"/>
          </w:tcPr>
          <w:p>
            <w:pPr>
              <w:pStyle w:val="TableParagraph"/>
              <w:spacing w:before="155"/>
              <w:ind w:left="244"/>
              <w:rPr>
                <w:sz w:val="21"/>
              </w:rPr>
            </w:pPr>
            <w:r>
              <w:rPr>
                <w:sz w:val="21"/>
              </w:rPr>
              <w:t>2019-06-20</w:t>
            </w:r>
          </w:p>
        </w:tc>
      </w:tr>
      <w:tr>
        <w:trPr>
          <w:trHeight w:val="576" w:hRule="atLeast"/>
        </w:trPr>
        <w:tc>
          <w:tcPr>
            <w:tcW w:w="6596" w:type="dxa"/>
          </w:tcPr>
          <w:p>
            <w:pPr>
              <w:pStyle w:val="TableParagraph"/>
              <w:spacing w:line="270" w:lineRule="atLeast" w:before="34"/>
              <w:ind w:left="108" w:right="96"/>
              <w:rPr>
                <w:sz w:val="21"/>
              </w:rPr>
            </w:pPr>
            <w:r>
              <w:rPr>
                <w:sz w:val="21"/>
              </w:rPr>
              <w:t>易方达中小盘混合型证券投资基金在直销中心暂停申购及转换转入业务的公告</w:t>
            </w:r>
          </w:p>
        </w:tc>
        <w:tc>
          <w:tcPr>
            <w:tcW w:w="1403" w:type="dxa"/>
          </w:tcPr>
          <w:p>
            <w:pPr>
              <w:pStyle w:val="TableParagraph"/>
              <w:spacing w:before="155"/>
              <w:ind w:left="244"/>
              <w:rPr>
                <w:sz w:val="21"/>
              </w:rPr>
            </w:pPr>
            <w:r>
              <w:rPr>
                <w:sz w:val="21"/>
              </w:rPr>
              <w:t>2019-06-20</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易方达基金管理有限公司关于旗下部分开放式基金参加佛山农商银行费率优惠活动的公告</w:t>
            </w:r>
          </w:p>
        </w:tc>
        <w:tc>
          <w:tcPr>
            <w:tcW w:w="1403" w:type="dxa"/>
          </w:tcPr>
          <w:p>
            <w:pPr>
              <w:pStyle w:val="TableParagraph"/>
              <w:spacing w:before="155"/>
              <w:ind w:left="244"/>
              <w:rPr>
                <w:sz w:val="21"/>
              </w:rPr>
            </w:pPr>
            <w:r>
              <w:rPr>
                <w:sz w:val="21"/>
              </w:rPr>
              <w:t>2019-06-21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易方达基金管理有限公司关于旗下部分公开募集证券投资基金可投资于科创板股票的公告</w:t>
            </w:r>
          </w:p>
        </w:tc>
        <w:tc>
          <w:tcPr>
            <w:tcW w:w="1403" w:type="dxa"/>
          </w:tcPr>
          <w:p>
            <w:pPr>
              <w:pStyle w:val="TableParagraph"/>
              <w:spacing w:before="155"/>
              <w:ind w:left="244"/>
              <w:rPr>
                <w:sz w:val="21"/>
              </w:rPr>
            </w:pPr>
            <w:r>
              <w:rPr>
                <w:sz w:val="21"/>
              </w:rPr>
              <w:t>2019-06-22</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易方达基金管理有限公司关于旗下部分开放式基金参加德邦证券费率优惠活动的公告</w:t>
            </w:r>
          </w:p>
        </w:tc>
        <w:tc>
          <w:tcPr>
            <w:tcW w:w="1403" w:type="dxa"/>
          </w:tcPr>
          <w:p>
            <w:pPr>
              <w:pStyle w:val="TableParagraph"/>
              <w:spacing w:before="155"/>
              <w:ind w:left="244"/>
              <w:rPr>
                <w:sz w:val="21"/>
              </w:rPr>
            </w:pPr>
            <w:r>
              <w:rPr>
                <w:sz w:val="21"/>
              </w:rPr>
              <w:t>2019-06-24</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易方达基金管理有限公司关于旗下部分开放式基金参加长城国瑞证券费率优惠活动的公告</w:t>
            </w:r>
          </w:p>
        </w:tc>
        <w:tc>
          <w:tcPr>
            <w:tcW w:w="1403" w:type="dxa"/>
          </w:tcPr>
          <w:p>
            <w:pPr>
              <w:pStyle w:val="TableParagraph"/>
              <w:spacing w:before="155"/>
              <w:ind w:left="244"/>
              <w:rPr>
                <w:sz w:val="21"/>
              </w:rPr>
            </w:pPr>
            <w:r>
              <w:rPr>
                <w:sz w:val="21"/>
              </w:rPr>
              <w:t>2019-06-28</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易方达基金管理有限公司关于旗下部分开放式基金参加云南红塔银行费率优惠活动的公告</w:t>
            </w:r>
          </w:p>
        </w:tc>
        <w:tc>
          <w:tcPr>
            <w:tcW w:w="1403" w:type="dxa"/>
          </w:tcPr>
          <w:p>
            <w:pPr>
              <w:pStyle w:val="TableParagraph"/>
              <w:spacing w:before="155"/>
              <w:ind w:left="244"/>
              <w:rPr>
                <w:sz w:val="21"/>
              </w:rPr>
            </w:pPr>
            <w:r>
              <w:rPr>
                <w:sz w:val="21"/>
              </w:rPr>
              <w:t>2019-07-05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易方达基金管理有限公司关于旗下部分开放式基金参加安信证券定期定额投资费率优惠活动的公告</w:t>
            </w:r>
          </w:p>
        </w:tc>
        <w:tc>
          <w:tcPr>
            <w:tcW w:w="1403" w:type="dxa"/>
          </w:tcPr>
          <w:p>
            <w:pPr>
              <w:pStyle w:val="TableParagraph"/>
              <w:spacing w:before="155"/>
              <w:ind w:left="244"/>
              <w:rPr>
                <w:sz w:val="21"/>
              </w:rPr>
            </w:pPr>
            <w:r>
              <w:rPr>
                <w:sz w:val="21"/>
              </w:rPr>
              <w:t>2019-07-15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易方达基金管理有限公司关于旗下部分开放式基金参加红塔证券费率优惠活动的公告</w:t>
            </w:r>
          </w:p>
        </w:tc>
        <w:tc>
          <w:tcPr>
            <w:tcW w:w="1403" w:type="dxa"/>
          </w:tcPr>
          <w:p>
            <w:pPr>
              <w:pStyle w:val="TableParagraph"/>
              <w:spacing w:before="155"/>
              <w:ind w:left="244"/>
              <w:rPr>
                <w:sz w:val="21"/>
              </w:rPr>
            </w:pPr>
            <w:r>
              <w:rPr>
                <w:sz w:val="21"/>
              </w:rPr>
              <w:t>2019-07-15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易方达基金管理有限公司关于旗下部分开放式基金参加方正证券费率优惠活动的公告</w:t>
            </w:r>
          </w:p>
        </w:tc>
        <w:tc>
          <w:tcPr>
            <w:tcW w:w="1403" w:type="dxa"/>
          </w:tcPr>
          <w:p>
            <w:pPr>
              <w:pStyle w:val="TableParagraph"/>
              <w:spacing w:before="155"/>
              <w:ind w:left="244"/>
              <w:rPr>
                <w:sz w:val="21"/>
              </w:rPr>
            </w:pPr>
            <w:r>
              <w:rPr>
                <w:sz w:val="21"/>
              </w:rPr>
              <w:t>2019-07-30</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易方达基金管理有限公司关于旗下部分开放式基金参加东亚银行定期定额投资费率优惠活动的公告</w:t>
            </w:r>
          </w:p>
        </w:tc>
        <w:tc>
          <w:tcPr>
            <w:tcW w:w="1403" w:type="dxa"/>
          </w:tcPr>
          <w:p>
            <w:pPr>
              <w:pStyle w:val="TableParagraph"/>
              <w:spacing w:before="155"/>
              <w:ind w:left="244"/>
              <w:rPr>
                <w:sz w:val="21"/>
              </w:rPr>
            </w:pPr>
            <w:r>
              <w:rPr>
                <w:sz w:val="21"/>
              </w:rPr>
              <w:t>2019-08-05</w:t>
            </w:r>
          </w:p>
        </w:tc>
      </w:tr>
      <w:tr>
        <w:trPr>
          <w:trHeight w:val="577" w:hRule="atLeast"/>
        </w:trPr>
        <w:tc>
          <w:tcPr>
            <w:tcW w:w="6596" w:type="dxa"/>
          </w:tcPr>
          <w:p>
            <w:pPr>
              <w:pStyle w:val="TableParagraph"/>
              <w:spacing w:line="270" w:lineRule="atLeast" w:before="18"/>
              <w:ind w:left="108" w:right="177"/>
              <w:rPr>
                <w:sz w:val="21"/>
              </w:rPr>
            </w:pPr>
            <w:r>
              <w:rPr>
                <w:sz w:val="21"/>
              </w:rPr>
              <w:t>易方达基金管理有限公司关于旗下部分开放式基金参加光大证券费率优惠活动的公告</w:t>
            </w:r>
          </w:p>
        </w:tc>
        <w:tc>
          <w:tcPr>
            <w:tcW w:w="1403" w:type="dxa"/>
          </w:tcPr>
          <w:p>
            <w:pPr>
              <w:pStyle w:val="TableParagraph"/>
              <w:spacing w:before="155"/>
              <w:ind w:left="244"/>
              <w:rPr>
                <w:sz w:val="21"/>
              </w:rPr>
            </w:pPr>
            <w:r>
              <w:rPr>
                <w:sz w:val="21"/>
              </w:rPr>
              <w:t>2019-08-05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易方达基金管理有限公司关于旗下部分开放式基金参加广东南粤银行费率优惠活动的公告</w:t>
            </w:r>
          </w:p>
        </w:tc>
        <w:tc>
          <w:tcPr>
            <w:tcW w:w="1403" w:type="dxa"/>
          </w:tcPr>
          <w:p>
            <w:pPr>
              <w:pStyle w:val="TableParagraph"/>
              <w:spacing w:before="155"/>
              <w:ind w:left="244"/>
              <w:rPr>
                <w:sz w:val="21"/>
              </w:rPr>
            </w:pPr>
            <w:r>
              <w:rPr>
                <w:sz w:val="21"/>
              </w:rPr>
              <w:t>2019-08-06</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易方达基金管理有限公司关于旗下部分开放式基金参加海通证券费率优惠活动的公告</w:t>
            </w:r>
          </w:p>
        </w:tc>
        <w:tc>
          <w:tcPr>
            <w:tcW w:w="1403" w:type="dxa"/>
          </w:tcPr>
          <w:p>
            <w:pPr>
              <w:pStyle w:val="TableParagraph"/>
              <w:spacing w:before="155"/>
              <w:ind w:left="244"/>
              <w:rPr>
                <w:sz w:val="21"/>
              </w:rPr>
            </w:pPr>
            <w:r>
              <w:rPr>
                <w:sz w:val="21"/>
              </w:rPr>
              <w:t>2019-08-12</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易方达基金管理有限公司关于旗下部分开放式基金参加销售机构申购费率优惠活动的公告</w:t>
            </w:r>
          </w:p>
        </w:tc>
        <w:tc>
          <w:tcPr>
            <w:tcW w:w="1403" w:type="dxa"/>
          </w:tcPr>
          <w:p>
            <w:pPr>
              <w:pStyle w:val="TableParagraph"/>
              <w:spacing w:before="155"/>
              <w:ind w:left="244"/>
              <w:rPr>
                <w:sz w:val="21"/>
              </w:rPr>
            </w:pPr>
            <w:r>
              <w:rPr>
                <w:sz w:val="21"/>
              </w:rPr>
              <w:t>2019-08-13</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易方达基金管理有限公司关于暂停北京中期时代基金销售有限公司办理旗下基金相关销售业务的公告</w:t>
            </w:r>
          </w:p>
        </w:tc>
        <w:tc>
          <w:tcPr>
            <w:tcW w:w="1403" w:type="dxa"/>
          </w:tcPr>
          <w:p>
            <w:pPr>
              <w:pStyle w:val="TableParagraph"/>
              <w:spacing w:before="155"/>
              <w:ind w:left="244"/>
              <w:rPr>
                <w:sz w:val="21"/>
              </w:rPr>
            </w:pPr>
            <w:r>
              <w:rPr>
                <w:sz w:val="21"/>
              </w:rPr>
              <w:t>2019-08-13</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易方达基金管理有限公司关于暂停北京加和基金销售有限公司办理旗下基金相关销售业务的公告</w:t>
            </w:r>
          </w:p>
        </w:tc>
        <w:tc>
          <w:tcPr>
            <w:tcW w:w="1403" w:type="dxa"/>
          </w:tcPr>
          <w:p>
            <w:pPr>
              <w:pStyle w:val="TableParagraph"/>
              <w:spacing w:before="155"/>
              <w:ind w:left="244"/>
              <w:rPr>
                <w:sz w:val="21"/>
              </w:rPr>
            </w:pPr>
            <w:r>
              <w:rPr>
                <w:sz w:val="21"/>
              </w:rPr>
              <w:t>2019-08-14</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易方达基金管理有限公司关于暂停和谐保险销售有限公司办理旗下基金相关销售业务的公告</w:t>
            </w:r>
          </w:p>
        </w:tc>
        <w:tc>
          <w:tcPr>
            <w:tcW w:w="1403" w:type="dxa"/>
          </w:tcPr>
          <w:p>
            <w:pPr>
              <w:pStyle w:val="TableParagraph"/>
              <w:spacing w:before="155"/>
              <w:ind w:left="244"/>
              <w:rPr>
                <w:sz w:val="21"/>
              </w:rPr>
            </w:pPr>
            <w:r>
              <w:rPr>
                <w:sz w:val="21"/>
              </w:rPr>
              <w:t>2019-08-14</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易方达基金管理有限公司关于暂停上海凯石财富基金销售有限公司办理旗下基金相关销售业务的公告</w:t>
            </w:r>
          </w:p>
        </w:tc>
        <w:tc>
          <w:tcPr>
            <w:tcW w:w="1403" w:type="dxa"/>
          </w:tcPr>
          <w:p>
            <w:pPr>
              <w:pStyle w:val="TableParagraph"/>
              <w:spacing w:before="155"/>
              <w:ind w:left="244"/>
              <w:rPr>
                <w:sz w:val="21"/>
              </w:rPr>
            </w:pPr>
            <w:r>
              <w:rPr>
                <w:sz w:val="21"/>
              </w:rPr>
              <w:t>2019-08-14</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易方达基金管理有限公司关于暂停深圳宜投基金销售有限公司办理旗下基金相关销售业务的公告</w:t>
            </w:r>
          </w:p>
        </w:tc>
        <w:tc>
          <w:tcPr>
            <w:tcW w:w="1403" w:type="dxa"/>
          </w:tcPr>
          <w:p>
            <w:pPr>
              <w:pStyle w:val="TableParagraph"/>
              <w:spacing w:before="155"/>
              <w:ind w:left="244"/>
              <w:rPr>
                <w:sz w:val="21"/>
              </w:rPr>
            </w:pPr>
            <w:r>
              <w:rPr>
                <w:sz w:val="21"/>
              </w:rPr>
              <w:t>2019-08-14</w:t>
            </w:r>
          </w:p>
        </w:tc>
      </w:tr>
    </w:tbl>
    <w:p>
      <w:pPr>
        <w:spacing w:after="0"/>
        <w:rPr>
          <w:sz w:val="21"/>
        </w:rPr>
        <w:sectPr>
          <w:pgSz w:w="11910" w:h="16840"/>
          <w:pgMar w:header="0" w:footer="638" w:top="1380" w:bottom="90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96"/>
        <w:gridCol w:w="1403"/>
      </w:tblGrid>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易方达基金管理有限公司关于暂停厦门市鑫鼎盛控股有限公司办理旗下基金相关销售业务的公告</w:t>
            </w:r>
          </w:p>
        </w:tc>
        <w:tc>
          <w:tcPr>
            <w:tcW w:w="1403" w:type="dxa"/>
          </w:tcPr>
          <w:p>
            <w:pPr>
              <w:pStyle w:val="TableParagraph"/>
              <w:spacing w:before="155"/>
              <w:ind w:right="96"/>
              <w:jc w:val="right"/>
              <w:rPr>
                <w:sz w:val="21"/>
              </w:rPr>
            </w:pPr>
            <w:r>
              <w:rPr>
                <w:sz w:val="21"/>
              </w:rPr>
              <w:t>2019-08-14</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易方达基金管理有限公司关于旗下部分开放式基金参加华林证券费率优惠活动的公告</w:t>
            </w:r>
          </w:p>
        </w:tc>
        <w:tc>
          <w:tcPr>
            <w:tcW w:w="1403" w:type="dxa"/>
          </w:tcPr>
          <w:p>
            <w:pPr>
              <w:pStyle w:val="TableParagraph"/>
              <w:spacing w:before="155"/>
              <w:ind w:right="96"/>
              <w:jc w:val="right"/>
              <w:rPr>
                <w:sz w:val="21"/>
              </w:rPr>
            </w:pPr>
            <w:r>
              <w:rPr>
                <w:sz w:val="21"/>
              </w:rPr>
              <w:t>2019-08-15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易方达基金管理有限公司关于旗下部分开放式基金参加民生证券定期定额投资费率优惠活动的公告</w:t>
            </w:r>
          </w:p>
        </w:tc>
        <w:tc>
          <w:tcPr>
            <w:tcW w:w="1403" w:type="dxa"/>
          </w:tcPr>
          <w:p>
            <w:pPr>
              <w:pStyle w:val="TableParagraph"/>
              <w:spacing w:before="155"/>
              <w:ind w:right="96"/>
              <w:jc w:val="right"/>
              <w:rPr>
                <w:sz w:val="21"/>
              </w:rPr>
            </w:pPr>
            <w:r>
              <w:rPr>
                <w:sz w:val="21"/>
              </w:rPr>
              <w:t>2019-08-15</w:t>
            </w:r>
          </w:p>
        </w:tc>
      </w:tr>
      <w:tr>
        <w:trPr>
          <w:trHeight w:val="576" w:hRule="atLeast"/>
        </w:trPr>
        <w:tc>
          <w:tcPr>
            <w:tcW w:w="6596" w:type="dxa"/>
          </w:tcPr>
          <w:p>
            <w:pPr>
              <w:pStyle w:val="TableParagraph"/>
              <w:spacing w:line="270" w:lineRule="atLeast" w:before="34"/>
              <w:ind w:left="108" w:right="96"/>
              <w:rPr>
                <w:sz w:val="21"/>
              </w:rPr>
            </w:pPr>
            <w:r>
              <w:rPr>
                <w:sz w:val="21"/>
              </w:rPr>
              <w:t>易方达中小盘混合型证券投资基金在非直销销售机构、网上直销系统暂停大额申购、大额转换转入业务的公告</w:t>
            </w:r>
          </w:p>
        </w:tc>
        <w:tc>
          <w:tcPr>
            <w:tcW w:w="1403" w:type="dxa"/>
          </w:tcPr>
          <w:p>
            <w:pPr>
              <w:pStyle w:val="TableParagraph"/>
              <w:spacing w:before="155"/>
              <w:ind w:right="96"/>
              <w:jc w:val="right"/>
              <w:rPr>
                <w:sz w:val="21"/>
              </w:rPr>
            </w:pPr>
            <w:r>
              <w:rPr>
                <w:sz w:val="21"/>
              </w:rPr>
              <w:t>2019-08-21</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易方达基金管理有限公司关于旗下部分开放式基金参加潍坊银行费率优惠活动的公告</w:t>
            </w:r>
          </w:p>
        </w:tc>
        <w:tc>
          <w:tcPr>
            <w:tcW w:w="1403" w:type="dxa"/>
          </w:tcPr>
          <w:p>
            <w:pPr>
              <w:pStyle w:val="TableParagraph"/>
              <w:spacing w:before="155"/>
              <w:ind w:right="96"/>
              <w:jc w:val="right"/>
              <w:rPr>
                <w:sz w:val="21"/>
              </w:rPr>
            </w:pPr>
            <w:r>
              <w:rPr>
                <w:sz w:val="21"/>
              </w:rPr>
              <w:t>2019-08-26</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易方达基金管理有限公司旗下部分开放式基金增加微众银行为销售机构、参加微众银行费率优惠活动的公告</w:t>
            </w:r>
          </w:p>
        </w:tc>
        <w:tc>
          <w:tcPr>
            <w:tcW w:w="1403" w:type="dxa"/>
          </w:tcPr>
          <w:p>
            <w:pPr>
              <w:pStyle w:val="TableParagraph"/>
              <w:spacing w:before="155"/>
              <w:ind w:right="96"/>
              <w:jc w:val="right"/>
              <w:rPr>
                <w:sz w:val="21"/>
              </w:rPr>
            </w:pPr>
            <w:r>
              <w:rPr>
                <w:sz w:val="21"/>
              </w:rPr>
              <w:t>2019-09-11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易方达基金管理有限公司旗下部分开放式基金参加东莞农村商业银行费率优惠活动的公告</w:t>
            </w:r>
          </w:p>
        </w:tc>
        <w:tc>
          <w:tcPr>
            <w:tcW w:w="1403" w:type="dxa"/>
          </w:tcPr>
          <w:p>
            <w:pPr>
              <w:pStyle w:val="TableParagraph"/>
              <w:spacing w:before="155"/>
              <w:ind w:right="96"/>
              <w:jc w:val="right"/>
              <w:rPr>
                <w:sz w:val="21"/>
              </w:rPr>
            </w:pPr>
            <w:r>
              <w:rPr>
                <w:sz w:val="21"/>
              </w:rPr>
              <w:t>2019-09-17</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易方达基金管理有限公司旗下部分开放式基金参加中国邮政储蓄银行费率优惠活动的公告</w:t>
            </w:r>
          </w:p>
        </w:tc>
        <w:tc>
          <w:tcPr>
            <w:tcW w:w="1403" w:type="dxa"/>
          </w:tcPr>
          <w:p>
            <w:pPr>
              <w:pStyle w:val="TableParagraph"/>
              <w:spacing w:before="155"/>
              <w:ind w:right="96"/>
              <w:jc w:val="right"/>
              <w:rPr>
                <w:sz w:val="21"/>
              </w:rPr>
            </w:pPr>
            <w:r>
              <w:rPr>
                <w:sz w:val="21"/>
              </w:rPr>
              <w:t>2019-09-27</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易方达基金管理有限公司旗下部分开放式基金参加广东南粤银行费率优惠活动的公告</w:t>
            </w:r>
          </w:p>
        </w:tc>
        <w:tc>
          <w:tcPr>
            <w:tcW w:w="1403" w:type="dxa"/>
          </w:tcPr>
          <w:p>
            <w:pPr>
              <w:pStyle w:val="TableParagraph"/>
              <w:spacing w:before="155"/>
              <w:ind w:right="96"/>
              <w:jc w:val="right"/>
              <w:rPr>
                <w:sz w:val="21"/>
              </w:rPr>
            </w:pPr>
            <w:r>
              <w:rPr>
                <w:sz w:val="21"/>
              </w:rPr>
              <w:t>2019-09-30</w:t>
            </w:r>
          </w:p>
        </w:tc>
      </w:tr>
      <w:tr>
        <w:trPr>
          <w:trHeight w:val="577" w:hRule="atLeast"/>
        </w:trPr>
        <w:tc>
          <w:tcPr>
            <w:tcW w:w="6596" w:type="dxa"/>
          </w:tcPr>
          <w:p>
            <w:pPr>
              <w:pStyle w:val="TableParagraph"/>
              <w:spacing w:before="19"/>
              <w:ind w:left="108"/>
              <w:rPr>
                <w:sz w:val="21"/>
              </w:rPr>
            </w:pPr>
            <w:r>
              <w:rPr>
                <w:sz w:val="21"/>
              </w:rPr>
              <w:t>易方达基金管理有限公司旗下基金季度报告提示性公告</w:t>
            </w:r>
          </w:p>
        </w:tc>
        <w:tc>
          <w:tcPr>
            <w:tcW w:w="1403" w:type="dxa"/>
          </w:tcPr>
          <w:p>
            <w:pPr>
              <w:pStyle w:val="TableParagraph"/>
              <w:spacing w:before="155"/>
              <w:ind w:right="96"/>
              <w:jc w:val="right"/>
              <w:rPr>
                <w:sz w:val="21"/>
              </w:rPr>
            </w:pPr>
            <w:r>
              <w:rPr>
                <w:sz w:val="21"/>
              </w:rPr>
              <w:t>2019-10-24</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易方达基金管理有限公司旗下部分开放式基金参加东亚银行定期定额投资费率优惠活动的公告</w:t>
            </w:r>
          </w:p>
        </w:tc>
        <w:tc>
          <w:tcPr>
            <w:tcW w:w="1403" w:type="dxa"/>
          </w:tcPr>
          <w:p>
            <w:pPr>
              <w:pStyle w:val="TableParagraph"/>
              <w:spacing w:before="155"/>
              <w:ind w:right="96"/>
              <w:jc w:val="right"/>
              <w:rPr>
                <w:sz w:val="21"/>
              </w:rPr>
            </w:pPr>
            <w:r>
              <w:rPr>
                <w:sz w:val="21"/>
              </w:rPr>
              <w:t>2019-10-25</w:t>
            </w:r>
          </w:p>
        </w:tc>
      </w:tr>
      <w:tr>
        <w:trPr>
          <w:trHeight w:val="577" w:hRule="atLeast"/>
        </w:trPr>
        <w:tc>
          <w:tcPr>
            <w:tcW w:w="6596" w:type="dxa"/>
          </w:tcPr>
          <w:p>
            <w:pPr>
              <w:pStyle w:val="TableParagraph"/>
              <w:spacing w:before="0"/>
              <w:rPr>
                <w:sz w:val="24"/>
              </w:rPr>
            </w:pPr>
          </w:p>
          <w:p>
            <w:pPr>
              <w:pStyle w:val="TableParagraph"/>
              <w:spacing w:line="249" w:lineRule="exact" w:before="0"/>
              <w:ind w:left="108"/>
              <w:rPr>
                <w:sz w:val="21"/>
              </w:rPr>
            </w:pPr>
            <w:r>
              <w:rPr>
                <w:sz w:val="21"/>
              </w:rPr>
              <w:t>易方达中小盘混合型证券投资基金参加联讯证券费率优惠活动的公告</w:t>
            </w:r>
          </w:p>
        </w:tc>
        <w:tc>
          <w:tcPr>
            <w:tcW w:w="1403" w:type="dxa"/>
          </w:tcPr>
          <w:p>
            <w:pPr>
              <w:pStyle w:val="TableParagraph"/>
              <w:spacing w:before="155"/>
              <w:ind w:right="96"/>
              <w:jc w:val="right"/>
              <w:rPr>
                <w:sz w:val="21"/>
              </w:rPr>
            </w:pPr>
            <w:r>
              <w:rPr>
                <w:sz w:val="21"/>
              </w:rPr>
              <w:t>2019-10-28</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易方达基金管理有限公司旗下部分开放式基金参加恒泰证券费率优惠活动的公告</w:t>
            </w:r>
          </w:p>
        </w:tc>
        <w:tc>
          <w:tcPr>
            <w:tcW w:w="1403" w:type="dxa"/>
          </w:tcPr>
          <w:p>
            <w:pPr>
              <w:pStyle w:val="TableParagraph"/>
              <w:spacing w:before="155"/>
              <w:ind w:right="96"/>
              <w:jc w:val="right"/>
              <w:rPr>
                <w:sz w:val="21"/>
              </w:rPr>
            </w:pPr>
            <w:r>
              <w:rPr>
                <w:sz w:val="21"/>
              </w:rPr>
              <w:t>2019-11-01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易方达基金管理有限公司旗下部分开放式基金参加方正证券费率优惠活动的公告</w:t>
            </w:r>
          </w:p>
        </w:tc>
        <w:tc>
          <w:tcPr>
            <w:tcW w:w="1403" w:type="dxa"/>
          </w:tcPr>
          <w:p>
            <w:pPr>
              <w:pStyle w:val="TableParagraph"/>
              <w:spacing w:before="19"/>
              <w:ind w:right="96"/>
              <w:jc w:val="right"/>
              <w:rPr>
                <w:sz w:val="21"/>
              </w:rPr>
            </w:pPr>
            <w:r>
              <w:rPr>
                <w:sz w:val="21"/>
              </w:rPr>
              <w:t>2019-11-08</w:t>
            </w:r>
          </w:p>
        </w:tc>
      </w:tr>
      <w:tr>
        <w:trPr>
          <w:trHeight w:val="817" w:hRule="atLeast"/>
        </w:trPr>
        <w:tc>
          <w:tcPr>
            <w:tcW w:w="6596" w:type="dxa"/>
          </w:tcPr>
          <w:p>
            <w:pPr>
              <w:pStyle w:val="TableParagraph"/>
              <w:spacing w:line="242" w:lineRule="auto"/>
              <w:ind w:left="108" w:right="177"/>
              <w:rPr>
                <w:sz w:val="21"/>
              </w:rPr>
            </w:pPr>
            <w:r>
              <w:rPr>
                <w:sz w:val="21"/>
              </w:rPr>
              <w:t>易方达基金管理有限公司旗下部分开放式基金增加中邮证券为销售机构的公告</w:t>
            </w:r>
          </w:p>
        </w:tc>
        <w:tc>
          <w:tcPr>
            <w:tcW w:w="1403" w:type="dxa"/>
          </w:tcPr>
          <w:p>
            <w:pPr>
              <w:pStyle w:val="TableParagraph"/>
              <w:spacing w:before="139"/>
              <w:ind w:right="96"/>
              <w:jc w:val="right"/>
              <w:rPr>
                <w:sz w:val="21"/>
              </w:rPr>
            </w:pPr>
            <w:r>
              <w:rPr>
                <w:sz w:val="21"/>
              </w:rPr>
              <w:t>2019-11-13</w:t>
            </w:r>
          </w:p>
        </w:tc>
      </w:tr>
      <w:tr>
        <w:trPr>
          <w:trHeight w:val="577" w:hRule="atLeast"/>
        </w:trPr>
        <w:tc>
          <w:tcPr>
            <w:tcW w:w="6596" w:type="dxa"/>
          </w:tcPr>
          <w:p>
            <w:pPr>
              <w:pStyle w:val="TableParagraph"/>
              <w:spacing w:before="0"/>
              <w:rPr>
                <w:sz w:val="24"/>
              </w:rPr>
            </w:pPr>
          </w:p>
          <w:p>
            <w:pPr>
              <w:pStyle w:val="TableParagraph"/>
              <w:spacing w:line="249" w:lineRule="exact" w:before="0"/>
              <w:ind w:left="108"/>
              <w:rPr>
                <w:sz w:val="21"/>
              </w:rPr>
            </w:pPr>
            <w:r>
              <w:rPr>
                <w:sz w:val="21"/>
              </w:rPr>
              <w:t>易方达中小盘混合型证券投资基金分红公告</w:t>
            </w:r>
          </w:p>
        </w:tc>
        <w:tc>
          <w:tcPr>
            <w:tcW w:w="1403" w:type="dxa"/>
          </w:tcPr>
          <w:p>
            <w:pPr>
              <w:pStyle w:val="TableParagraph"/>
              <w:spacing w:before="155"/>
              <w:ind w:right="96"/>
              <w:jc w:val="right"/>
              <w:rPr>
                <w:sz w:val="21"/>
              </w:rPr>
            </w:pPr>
            <w:r>
              <w:rPr>
                <w:sz w:val="21"/>
              </w:rPr>
              <w:t>2019-11-22</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易方达基金管理有限公司旗下部分开放式基金参加恒泰证券费率优惠活动的公告</w:t>
            </w:r>
          </w:p>
        </w:tc>
        <w:tc>
          <w:tcPr>
            <w:tcW w:w="1403" w:type="dxa"/>
          </w:tcPr>
          <w:p>
            <w:pPr>
              <w:pStyle w:val="TableParagraph"/>
              <w:spacing w:before="155"/>
              <w:ind w:right="96"/>
              <w:jc w:val="right"/>
              <w:rPr>
                <w:sz w:val="21"/>
              </w:rPr>
            </w:pPr>
            <w:r>
              <w:rPr>
                <w:sz w:val="21"/>
              </w:rPr>
              <w:t>2019-12-10</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易方达基金管理有限公司旗下部分开放式基金参加中信银行费率优惠活动的公告</w:t>
            </w:r>
          </w:p>
        </w:tc>
        <w:tc>
          <w:tcPr>
            <w:tcW w:w="1403" w:type="dxa"/>
          </w:tcPr>
          <w:p>
            <w:pPr>
              <w:pStyle w:val="TableParagraph"/>
              <w:spacing w:before="155"/>
              <w:ind w:right="96"/>
              <w:jc w:val="right"/>
              <w:rPr>
                <w:sz w:val="21"/>
              </w:rPr>
            </w:pPr>
            <w:r>
              <w:rPr>
                <w:sz w:val="21"/>
              </w:rPr>
              <w:t>2019-12-16</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易方达基金管理有限公司旗下部分开放式基金参加中国邮政储蓄银行个人网上银行和手机银行申购费率优惠活动的公告</w:t>
            </w:r>
          </w:p>
        </w:tc>
        <w:tc>
          <w:tcPr>
            <w:tcW w:w="1403" w:type="dxa"/>
          </w:tcPr>
          <w:p>
            <w:pPr>
              <w:pStyle w:val="TableParagraph"/>
              <w:spacing w:before="155"/>
              <w:ind w:right="96"/>
              <w:jc w:val="right"/>
              <w:rPr>
                <w:sz w:val="21"/>
              </w:rPr>
            </w:pPr>
            <w:r>
              <w:rPr>
                <w:sz w:val="21"/>
              </w:rPr>
              <w:t>2019-12-30</w:t>
            </w:r>
          </w:p>
        </w:tc>
      </w:tr>
      <w:tr>
        <w:trPr>
          <w:trHeight w:val="576" w:hRule="atLeast"/>
        </w:trPr>
        <w:tc>
          <w:tcPr>
            <w:tcW w:w="6596" w:type="dxa"/>
          </w:tcPr>
          <w:p>
            <w:pPr>
              <w:pStyle w:val="TableParagraph"/>
              <w:spacing w:before="0"/>
              <w:rPr>
                <w:sz w:val="24"/>
              </w:rPr>
            </w:pPr>
          </w:p>
          <w:p>
            <w:pPr>
              <w:pStyle w:val="TableParagraph"/>
              <w:spacing w:line="249" w:lineRule="exact" w:before="0"/>
              <w:ind w:left="108"/>
              <w:rPr>
                <w:sz w:val="21"/>
              </w:rPr>
            </w:pPr>
            <w:r>
              <w:rPr>
                <w:sz w:val="21"/>
              </w:rPr>
              <w:t>易方达基金管理有限公司关于公司股权变更的公告</w:t>
            </w:r>
          </w:p>
        </w:tc>
        <w:tc>
          <w:tcPr>
            <w:tcW w:w="1403" w:type="dxa"/>
          </w:tcPr>
          <w:p>
            <w:pPr>
              <w:pStyle w:val="TableParagraph"/>
              <w:spacing w:before="155"/>
              <w:ind w:right="96"/>
              <w:jc w:val="right"/>
              <w:rPr>
                <w:sz w:val="21"/>
              </w:rPr>
            </w:pPr>
            <w:r>
              <w:rPr>
                <w:sz w:val="21"/>
              </w:rPr>
              <w:t>2019-12-31</w:t>
            </w:r>
          </w:p>
        </w:tc>
      </w:tr>
      <w:tr>
        <w:trPr>
          <w:trHeight w:val="817" w:hRule="atLeast"/>
        </w:trPr>
        <w:tc>
          <w:tcPr>
            <w:tcW w:w="6596" w:type="dxa"/>
          </w:tcPr>
          <w:p>
            <w:pPr>
              <w:pStyle w:val="TableParagraph"/>
              <w:ind w:left="108"/>
              <w:rPr>
                <w:sz w:val="21"/>
              </w:rPr>
            </w:pPr>
            <w:r>
              <w:rPr>
                <w:sz w:val="21"/>
              </w:rPr>
              <w:t>易方达基金管理有限公司关于易方达中小盘混合型证券投资基金根据</w:t>
            </w:r>
          </w:p>
          <w:p>
            <w:pPr>
              <w:pStyle w:val="TableParagraph"/>
              <w:spacing w:line="270" w:lineRule="atLeast" w:before="2"/>
              <w:ind w:left="108" w:right="96"/>
              <w:rPr>
                <w:sz w:val="21"/>
              </w:rPr>
            </w:pPr>
            <w:r>
              <w:rPr>
                <w:sz w:val="21"/>
              </w:rPr>
              <w:t>《公开募集证券投资基金信息披露管理办法》修订基金合同、托管协议部分条款的公告</w:t>
            </w:r>
          </w:p>
        </w:tc>
        <w:tc>
          <w:tcPr>
            <w:tcW w:w="1403" w:type="dxa"/>
          </w:tcPr>
          <w:p>
            <w:pPr>
              <w:pStyle w:val="TableParagraph"/>
              <w:spacing w:before="6"/>
              <w:rPr>
                <w:sz w:val="21"/>
              </w:rPr>
            </w:pPr>
          </w:p>
          <w:p>
            <w:pPr>
              <w:pStyle w:val="TableParagraph"/>
              <w:spacing w:before="0"/>
              <w:ind w:right="96"/>
              <w:jc w:val="right"/>
              <w:rPr>
                <w:sz w:val="21"/>
              </w:rPr>
            </w:pPr>
            <w:r>
              <w:rPr>
                <w:sz w:val="21"/>
              </w:rPr>
              <w:t>2019-12-31</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易方达基金管理有限公司旗下部分开放式基金参加交通银行手机银行费率优惠活动的公告</w:t>
            </w:r>
          </w:p>
        </w:tc>
        <w:tc>
          <w:tcPr>
            <w:tcW w:w="1403" w:type="dxa"/>
          </w:tcPr>
          <w:p>
            <w:pPr>
              <w:pStyle w:val="TableParagraph"/>
              <w:spacing w:before="155"/>
              <w:ind w:right="96"/>
              <w:jc w:val="right"/>
              <w:rPr>
                <w:sz w:val="21"/>
              </w:rPr>
            </w:pPr>
            <w:r>
              <w:rPr>
                <w:sz w:val="21"/>
              </w:rPr>
              <w:t>2019-12-31</w:t>
            </w:r>
          </w:p>
        </w:tc>
      </w:tr>
    </w:tbl>
    <w:p>
      <w:pPr>
        <w:spacing w:after="0"/>
        <w:jc w:val="right"/>
        <w:rPr>
          <w:sz w:val="21"/>
        </w:rPr>
        <w:sectPr>
          <w:pgSz w:w="11910" w:h="16840"/>
          <w:pgMar w:header="0" w:footer="638" w:top="1420" w:bottom="82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96"/>
        <w:gridCol w:w="1403"/>
      </w:tblGrid>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易方达基金管理有限公司旗下部分开放式基金参加昆仑银行费率优惠活动的公告</w:t>
            </w:r>
          </w:p>
        </w:tc>
        <w:tc>
          <w:tcPr>
            <w:tcW w:w="1403" w:type="dxa"/>
          </w:tcPr>
          <w:p>
            <w:pPr>
              <w:pStyle w:val="TableParagraph"/>
              <w:spacing w:before="155"/>
              <w:ind w:right="96"/>
              <w:jc w:val="right"/>
              <w:rPr>
                <w:sz w:val="21"/>
              </w:rPr>
            </w:pPr>
            <w:r>
              <w:rPr>
                <w:sz w:val="21"/>
              </w:rPr>
              <w:t>2019-12-31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易方达基金管理有限公司旗下部分开放式基金参加苏州银行费率优惠活动的公告</w:t>
            </w:r>
          </w:p>
        </w:tc>
        <w:tc>
          <w:tcPr>
            <w:tcW w:w="1403" w:type="dxa"/>
          </w:tcPr>
          <w:p>
            <w:pPr>
              <w:pStyle w:val="TableParagraph"/>
              <w:spacing w:before="155"/>
              <w:ind w:right="96"/>
              <w:jc w:val="right"/>
              <w:rPr>
                <w:sz w:val="21"/>
              </w:rPr>
            </w:pPr>
            <w:r>
              <w:rPr>
                <w:sz w:val="21"/>
              </w:rPr>
              <w:t>2019-12-31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易方达基金管理有限公司旗下部分开放式基金参加烟台银行定期定额投资费率优惠活动的公告</w:t>
            </w:r>
          </w:p>
        </w:tc>
        <w:tc>
          <w:tcPr>
            <w:tcW w:w="1403" w:type="dxa"/>
          </w:tcPr>
          <w:p>
            <w:pPr>
              <w:pStyle w:val="TableParagraph"/>
              <w:spacing w:before="155"/>
              <w:ind w:right="96"/>
              <w:jc w:val="right"/>
              <w:rPr>
                <w:sz w:val="21"/>
              </w:rPr>
            </w:pPr>
            <w:r>
              <w:rPr>
                <w:sz w:val="21"/>
              </w:rPr>
              <w:t>2019-12-31</w:t>
            </w:r>
          </w:p>
        </w:tc>
      </w:tr>
      <w:tr>
        <w:trPr>
          <w:trHeight w:val="576" w:hRule="atLeast"/>
        </w:trPr>
        <w:tc>
          <w:tcPr>
            <w:tcW w:w="6596" w:type="dxa"/>
          </w:tcPr>
          <w:p>
            <w:pPr>
              <w:pStyle w:val="TableParagraph"/>
              <w:spacing w:before="35"/>
              <w:ind w:left="108"/>
              <w:rPr>
                <w:sz w:val="21"/>
              </w:rPr>
            </w:pPr>
            <w:r>
              <w:rPr>
                <w:sz w:val="21"/>
              </w:rPr>
              <w:t>易方达基金管理有限公司旗下部分开放式基金参加中国工商银行</w:t>
            </w:r>
          </w:p>
          <w:p>
            <w:pPr>
              <w:pStyle w:val="TableParagraph"/>
              <w:spacing w:line="249" w:lineRule="exact" w:before="4"/>
              <w:ind w:left="108"/>
              <w:rPr>
                <w:sz w:val="21"/>
              </w:rPr>
            </w:pPr>
            <w:r>
              <w:rPr>
                <w:sz w:val="21"/>
              </w:rPr>
              <w:t>“2020 倾心回馈”基金定期定额投资费率优惠活动的公告</w:t>
            </w:r>
          </w:p>
        </w:tc>
        <w:tc>
          <w:tcPr>
            <w:tcW w:w="1403" w:type="dxa"/>
          </w:tcPr>
          <w:p>
            <w:pPr>
              <w:pStyle w:val="TableParagraph"/>
              <w:spacing w:before="19"/>
              <w:ind w:right="96"/>
              <w:jc w:val="right"/>
              <w:rPr>
                <w:sz w:val="21"/>
              </w:rPr>
            </w:pPr>
            <w:r>
              <w:rPr>
                <w:sz w:val="21"/>
              </w:rPr>
              <w:t>2019-12-31</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易方达基金管理有限公司旗下部分开放式基金参加中国工商银行个人电子银行渠道申购费率优惠活动的公告</w:t>
            </w:r>
          </w:p>
        </w:tc>
        <w:tc>
          <w:tcPr>
            <w:tcW w:w="1403" w:type="dxa"/>
          </w:tcPr>
          <w:p>
            <w:pPr>
              <w:pStyle w:val="TableParagraph"/>
              <w:spacing w:before="155"/>
              <w:ind w:right="96"/>
              <w:jc w:val="right"/>
              <w:rPr>
                <w:sz w:val="21"/>
              </w:rPr>
            </w:pPr>
            <w:r>
              <w:rPr>
                <w:sz w:val="21"/>
              </w:rPr>
              <w:t>2019-12-31</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易方达基金管理有限公司旗下部分开放式基金参加中国农业银行费率优惠活动的公告</w:t>
            </w:r>
          </w:p>
        </w:tc>
        <w:tc>
          <w:tcPr>
            <w:tcW w:w="1403" w:type="dxa"/>
          </w:tcPr>
          <w:p>
            <w:pPr>
              <w:pStyle w:val="TableParagraph"/>
              <w:spacing w:before="155"/>
              <w:ind w:right="96"/>
              <w:jc w:val="right"/>
              <w:rPr>
                <w:sz w:val="21"/>
              </w:rPr>
            </w:pPr>
            <w:r>
              <w:rPr>
                <w:sz w:val="21"/>
              </w:rPr>
              <w:t>2020-01-06</w:t>
            </w:r>
          </w:p>
        </w:tc>
      </w:tr>
      <w:tr>
        <w:trPr>
          <w:trHeight w:val="577" w:hRule="atLeast"/>
        </w:trPr>
        <w:tc>
          <w:tcPr>
            <w:tcW w:w="6596" w:type="dxa"/>
          </w:tcPr>
          <w:p>
            <w:pPr>
              <w:pStyle w:val="TableParagraph"/>
              <w:spacing w:before="0"/>
              <w:rPr>
                <w:sz w:val="24"/>
              </w:rPr>
            </w:pPr>
          </w:p>
          <w:p>
            <w:pPr>
              <w:pStyle w:val="TableParagraph"/>
              <w:spacing w:line="249" w:lineRule="exact" w:before="0"/>
              <w:ind w:left="108"/>
              <w:rPr>
                <w:sz w:val="21"/>
              </w:rPr>
            </w:pPr>
            <w:r>
              <w:rPr>
                <w:sz w:val="21"/>
              </w:rPr>
              <w:t>易方达基金管理有限公司旗下基金 2019 年第 4 季度报告提示性公告</w:t>
            </w:r>
          </w:p>
        </w:tc>
        <w:tc>
          <w:tcPr>
            <w:tcW w:w="1403" w:type="dxa"/>
          </w:tcPr>
          <w:p>
            <w:pPr>
              <w:pStyle w:val="TableParagraph"/>
              <w:spacing w:before="155"/>
              <w:ind w:right="96"/>
              <w:jc w:val="right"/>
              <w:rPr>
                <w:sz w:val="21"/>
              </w:rPr>
            </w:pPr>
            <w:r>
              <w:rPr>
                <w:sz w:val="21"/>
              </w:rPr>
              <w:t>2020-01-18</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易方达基金管理有限公司旗下部分开放式基金增加华金证券为销售机构的公告</w:t>
            </w:r>
          </w:p>
        </w:tc>
        <w:tc>
          <w:tcPr>
            <w:tcW w:w="1403" w:type="dxa"/>
          </w:tcPr>
          <w:p>
            <w:pPr>
              <w:pStyle w:val="TableParagraph"/>
              <w:spacing w:before="155"/>
              <w:ind w:right="96"/>
              <w:jc w:val="right"/>
              <w:rPr>
                <w:sz w:val="21"/>
              </w:rPr>
            </w:pPr>
            <w:r>
              <w:rPr>
                <w:sz w:val="21"/>
              </w:rPr>
              <w:t>2020-01-20</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易方达基金管理有限公司旗下部分开放式基金参加泉州银行费率优惠活动的公告</w:t>
            </w:r>
          </w:p>
        </w:tc>
        <w:tc>
          <w:tcPr>
            <w:tcW w:w="1403" w:type="dxa"/>
          </w:tcPr>
          <w:p>
            <w:pPr>
              <w:pStyle w:val="TableParagraph"/>
              <w:spacing w:before="19"/>
              <w:ind w:right="96"/>
              <w:jc w:val="right"/>
              <w:rPr>
                <w:sz w:val="21"/>
              </w:rPr>
            </w:pPr>
            <w:r>
              <w:rPr>
                <w:sz w:val="21"/>
              </w:rPr>
              <w:t>2020-01-23</w:t>
            </w:r>
          </w:p>
        </w:tc>
      </w:tr>
      <w:tr>
        <w:trPr>
          <w:trHeight w:val="577" w:hRule="atLeast"/>
        </w:trPr>
        <w:tc>
          <w:tcPr>
            <w:tcW w:w="6596" w:type="dxa"/>
          </w:tcPr>
          <w:p>
            <w:pPr>
              <w:pStyle w:val="TableParagraph"/>
              <w:spacing w:line="270" w:lineRule="atLeast" w:before="34"/>
              <w:ind w:left="108" w:right="-15"/>
              <w:rPr>
                <w:sz w:val="21"/>
              </w:rPr>
            </w:pPr>
            <w:r>
              <w:rPr>
                <w:spacing w:val="-4"/>
                <w:sz w:val="21"/>
              </w:rPr>
              <w:t>易方达基金管理有限公司关于旗下基金 </w:t>
            </w:r>
            <w:r>
              <w:rPr>
                <w:sz w:val="21"/>
              </w:rPr>
              <w:t>2020</w:t>
            </w:r>
            <w:r>
              <w:rPr>
                <w:spacing w:val="-39"/>
                <w:sz w:val="21"/>
              </w:rPr>
              <w:t> 年 </w:t>
            </w:r>
            <w:r>
              <w:rPr>
                <w:sz w:val="21"/>
              </w:rPr>
              <w:t>1</w:t>
            </w:r>
            <w:r>
              <w:rPr>
                <w:spacing w:val="-39"/>
                <w:sz w:val="21"/>
              </w:rPr>
              <w:t> 月 </w:t>
            </w:r>
            <w:r>
              <w:rPr>
                <w:sz w:val="21"/>
              </w:rPr>
              <w:t>31</w:t>
            </w:r>
            <w:r>
              <w:rPr>
                <w:spacing w:val="-10"/>
                <w:sz w:val="21"/>
              </w:rPr>
              <w:t> 日不开放申购、</w:t>
            </w:r>
            <w:r>
              <w:rPr>
                <w:sz w:val="21"/>
              </w:rPr>
              <w:t>赎回、转换、定期定额投资等业务的提示性公告</w:t>
            </w:r>
          </w:p>
        </w:tc>
        <w:tc>
          <w:tcPr>
            <w:tcW w:w="1403" w:type="dxa"/>
          </w:tcPr>
          <w:p>
            <w:pPr>
              <w:pStyle w:val="TableParagraph"/>
              <w:spacing w:before="155"/>
              <w:ind w:right="96"/>
              <w:jc w:val="right"/>
              <w:rPr>
                <w:sz w:val="21"/>
              </w:rPr>
            </w:pPr>
            <w:r>
              <w:rPr>
                <w:sz w:val="21"/>
              </w:rPr>
              <w:t>2020-01-30</w:t>
            </w:r>
          </w:p>
        </w:tc>
      </w:tr>
      <w:tr>
        <w:trPr>
          <w:trHeight w:val="577" w:hRule="atLeast"/>
        </w:trPr>
        <w:tc>
          <w:tcPr>
            <w:tcW w:w="6596" w:type="dxa"/>
          </w:tcPr>
          <w:p>
            <w:pPr>
              <w:pStyle w:val="TableParagraph"/>
              <w:spacing w:before="0"/>
              <w:rPr>
                <w:sz w:val="24"/>
              </w:rPr>
            </w:pPr>
          </w:p>
          <w:p>
            <w:pPr>
              <w:pStyle w:val="TableParagraph"/>
              <w:spacing w:line="249" w:lineRule="exact" w:before="0"/>
              <w:ind w:left="108"/>
              <w:rPr>
                <w:sz w:val="21"/>
              </w:rPr>
            </w:pPr>
            <w:r>
              <w:rPr>
                <w:sz w:val="21"/>
              </w:rPr>
              <w:t>易方达基金管理有限公司及全资子公司投资旗下基金相关事宜的公告</w:t>
            </w:r>
          </w:p>
        </w:tc>
        <w:tc>
          <w:tcPr>
            <w:tcW w:w="1403" w:type="dxa"/>
          </w:tcPr>
          <w:p>
            <w:pPr>
              <w:pStyle w:val="TableParagraph"/>
              <w:spacing w:before="155"/>
              <w:ind w:right="96"/>
              <w:jc w:val="right"/>
              <w:rPr>
                <w:sz w:val="21"/>
              </w:rPr>
            </w:pPr>
            <w:r>
              <w:rPr>
                <w:sz w:val="21"/>
              </w:rPr>
              <w:t>2020-02-04</w:t>
            </w:r>
          </w:p>
        </w:tc>
      </w:tr>
      <w:tr>
        <w:trPr>
          <w:trHeight w:val="577" w:hRule="atLeast"/>
        </w:trPr>
        <w:tc>
          <w:tcPr>
            <w:tcW w:w="6596" w:type="dxa"/>
          </w:tcPr>
          <w:p>
            <w:pPr>
              <w:pStyle w:val="TableParagraph"/>
              <w:spacing w:line="270" w:lineRule="atLeast" w:before="34"/>
              <w:ind w:left="108" w:right="96"/>
              <w:rPr>
                <w:sz w:val="21"/>
              </w:rPr>
            </w:pPr>
            <w:r>
              <w:rPr>
                <w:sz w:val="21"/>
              </w:rPr>
              <w:t>易方达中小盘混合型证券投资基金在非直销销售机构、网上直销系统调整大额申购、大额转换转入业务金额限制的公告</w:t>
            </w:r>
          </w:p>
        </w:tc>
        <w:tc>
          <w:tcPr>
            <w:tcW w:w="1403" w:type="dxa"/>
          </w:tcPr>
          <w:p>
            <w:pPr>
              <w:pStyle w:val="TableParagraph"/>
              <w:spacing w:before="155"/>
              <w:ind w:right="96"/>
              <w:jc w:val="right"/>
              <w:rPr>
                <w:sz w:val="21"/>
              </w:rPr>
            </w:pPr>
            <w:r>
              <w:rPr>
                <w:sz w:val="21"/>
              </w:rPr>
              <w:t>2020-02-05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易方达基金管理有限公司旗下部分开放式基金参加中金公司费率优惠活动的公告</w:t>
            </w:r>
          </w:p>
        </w:tc>
        <w:tc>
          <w:tcPr>
            <w:tcW w:w="1403" w:type="dxa"/>
          </w:tcPr>
          <w:p>
            <w:pPr>
              <w:pStyle w:val="TableParagraph"/>
              <w:spacing w:before="155"/>
              <w:ind w:right="96"/>
              <w:jc w:val="right"/>
              <w:rPr>
                <w:sz w:val="21"/>
              </w:rPr>
            </w:pPr>
            <w:r>
              <w:rPr>
                <w:sz w:val="21"/>
              </w:rPr>
              <w:t>2020-03-05</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易方达基金管理有限公司旗下部分开放式基金参加百度百盈费率优惠活动的公告</w:t>
            </w:r>
          </w:p>
        </w:tc>
        <w:tc>
          <w:tcPr>
            <w:tcW w:w="1403" w:type="dxa"/>
          </w:tcPr>
          <w:p>
            <w:pPr>
              <w:pStyle w:val="TableParagraph"/>
              <w:spacing w:before="155"/>
              <w:ind w:right="96"/>
              <w:jc w:val="right"/>
              <w:rPr>
                <w:sz w:val="21"/>
              </w:rPr>
            </w:pPr>
            <w:r>
              <w:rPr>
                <w:sz w:val="21"/>
              </w:rPr>
              <w:t>2020-03-10</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易方达基金管理有限公司关于旗下部分开放式基金参加腾安基金费率优惠活动的公告</w:t>
            </w:r>
          </w:p>
        </w:tc>
        <w:tc>
          <w:tcPr>
            <w:tcW w:w="1403" w:type="dxa"/>
          </w:tcPr>
          <w:p>
            <w:pPr>
              <w:pStyle w:val="TableParagraph"/>
              <w:spacing w:before="155"/>
              <w:ind w:right="96"/>
              <w:jc w:val="right"/>
              <w:rPr>
                <w:sz w:val="21"/>
              </w:rPr>
            </w:pPr>
            <w:r>
              <w:rPr>
                <w:sz w:val="21"/>
              </w:rPr>
              <w:t>2020-03-17</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易方达基金管理有限公司旗下部分开放式基金增加华瑞保险销售为销售机构、参加华瑞保险销售费率优惠活动的公告</w:t>
            </w:r>
          </w:p>
        </w:tc>
        <w:tc>
          <w:tcPr>
            <w:tcW w:w="1403" w:type="dxa"/>
          </w:tcPr>
          <w:p>
            <w:pPr>
              <w:pStyle w:val="TableParagraph"/>
              <w:spacing w:before="155"/>
              <w:ind w:right="96"/>
              <w:jc w:val="right"/>
              <w:rPr>
                <w:sz w:val="21"/>
              </w:rPr>
            </w:pPr>
            <w:r>
              <w:rPr>
                <w:sz w:val="21"/>
              </w:rPr>
              <w:t>2020-03-23</w:t>
            </w:r>
          </w:p>
        </w:tc>
      </w:tr>
      <w:tr>
        <w:trPr>
          <w:trHeight w:val="577" w:hRule="atLeast"/>
        </w:trPr>
        <w:tc>
          <w:tcPr>
            <w:tcW w:w="6596" w:type="dxa"/>
          </w:tcPr>
          <w:p>
            <w:pPr>
              <w:pStyle w:val="TableParagraph"/>
              <w:spacing w:line="270" w:lineRule="atLeast" w:before="34"/>
              <w:ind w:left="108" w:right="96"/>
              <w:rPr>
                <w:sz w:val="21"/>
              </w:rPr>
            </w:pPr>
            <w:r>
              <w:rPr>
                <w:sz w:val="21"/>
              </w:rPr>
              <w:t>易方达基金管理有限公司旗下部分开放式基金参加恒泰证券费率优惠活动的公告</w:t>
            </w:r>
          </w:p>
        </w:tc>
        <w:tc>
          <w:tcPr>
            <w:tcW w:w="1403" w:type="dxa"/>
          </w:tcPr>
          <w:p>
            <w:pPr>
              <w:pStyle w:val="TableParagraph"/>
              <w:spacing w:before="155"/>
              <w:ind w:right="96"/>
              <w:jc w:val="right"/>
              <w:rPr>
                <w:sz w:val="21"/>
              </w:rPr>
            </w:pPr>
            <w:r>
              <w:rPr>
                <w:sz w:val="21"/>
              </w:rPr>
              <w:t>2020-04-08</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易方达基金管理有限公司关于提醒投资者及时提供或更新身份信息资料的公告</w:t>
            </w:r>
          </w:p>
        </w:tc>
        <w:tc>
          <w:tcPr>
            <w:tcW w:w="1403" w:type="dxa"/>
          </w:tcPr>
          <w:p>
            <w:pPr>
              <w:pStyle w:val="TableParagraph"/>
              <w:spacing w:before="155"/>
              <w:ind w:right="96"/>
              <w:jc w:val="right"/>
              <w:rPr>
                <w:sz w:val="21"/>
              </w:rPr>
            </w:pPr>
            <w:r>
              <w:rPr>
                <w:sz w:val="21"/>
              </w:rPr>
              <w:t>2020-04-10</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易方达基金管理有限公司旗下部分开放式基金参加诺亚正行费率优惠活动的公告</w:t>
            </w:r>
          </w:p>
        </w:tc>
        <w:tc>
          <w:tcPr>
            <w:tcW w:w="1403" w:type="dxa"/>
          </w:tcPr>
          <w:p>
            <w:pPr>
              <w:pStyle w:val="TableParagraph"/>
              <w:spacing w:before="19"/>
              <w:ind w:right="96"/>
              <w:jc w:val="right"/>
              <w:rPr>
                <w:sz w:val="21"/>
              </w:rPr>
            </w:pPr>
            <w:r>
              <w:rPr>
                <w:sz w:val="21"/>
              </w:rPr>
              <w:t>2020-04-17</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易方达基金管理有限公司旗下部分开放式基金参加中国国际期货费率优惠活动的公告</w:t>
            </w:r>
          </w:p>
        </w:tc>
        <w:tc>
          <w:tcPr>
            <w:tcW w:w="1403" w:type="dxa"/>
          </w:tcPr>
          <w:p>
            <w:pPr>
              <w:pStyle w:val="TableParagraph"/>
              <w:spacing w:before="155"/>
              <w:ind w:right="96"/>
              <w:jc w:val="right"/>
              <w:rPr>
                <w:sz w:val="21"/>
              </w:rPr>
            </w:pPr>
            <w:r>
              <w:rPr>
                <w:sz w:val="21"/>
              </w:rPr>
              <w:t>2020-04-17</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易方达基金管理有限公司旗下部分开放式基金参加国联证券费率优惠活动的公告</w:t>
            </w:r>
          </w:p>
        </w:tc>
        <w:tc>
          <w:tcPr>
            <w:tcW w:w="1403" w:type="dxa"/>
          </w:tcPr>
          <w:p>
            <w:pPr>
              <w:pStyle w:val="TableParagraph"/>
              <w:spacing w:before="155"/>
              <w:ind w:right="96"/>
              <w:jc w:val="right"/>
              <w:rPr>
                <w:sz w:val="21"/>
              </w:rPr>
            </w:pPr>
            <w:r>
              <w:rPr>
                <w:sz w:val="21"/>
              </w:rPr>
              <w:t>2020-04-22</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易方达基金管理有限公司旗下部分开放式基金增加晋商银行为销售机构的公告</w:t>
            </w:r>
          </w:p>
        </w:tc>
        <w:tc>
          <w:tcPr>
            <w:tcW w:w="1403" w:type="dxa"/>
          </w:tcPr>
          <w:p>
            <w:pPr>
              <w:pStyle w:val="TableParagraph"/>
              <w:spacing w:before="155"/>
              <w:ind w:right="96"/>
              <w:jc w:val="right"/>
              <w:rPr>
                <w:sz w:val="21"/>
              </w:rPr>
            </w:pPr>
            <w:r>
              <w:rPr>
                <w:sz w:val="21"/>
              </w:rPr>
              <w:t>2020-04-29</w:t>
            </w:r>
          </w:p>
        </w:tc>
      </w:tr>
      <w:tr>
        <w:trPr>
          <w:trHeight w:val="576" w:hRule="atLeast"/>
        </w:trPr>
        <w:tc>
          <w:tcPr>
            <w:tcW w:w="6596" w:type="dxa"/>
          </w:tcPr>
          <w:p>
            <w:pPr>
              <w:pStyle w:val="TableParagraph"/>
              <w:spacing w:line="270" w:lineRule="atLeast" w:before="34"/>
              <w:ind w:left="108" w:right="96"/>
              <w:rPr>
                <w:sz w:val="21"/>
              </w:rPr>
            </w:pPr>
            <w:r>
              <w:rPr>
                <w:sz w:val="21"/>
              </w:rPr>
              <w:t>易方达基金管理有限公司旗下部分开放式基金参加销售机构费率优惠活动的公告</w:t>
            </w:r>
          </w:p>
        </w:tc>
        <w:tc>
          <w:tcPr>
            <w:tcW w:w="1403" w:type="dxa"/>
          </w:tcPr>
          <w:p>
            <w:pPr>
              <w:pStyle w:val="TableParagraph"/>
              <w:spacing w:before="155"/>
              <w:ind w:right="96"/>
              <w:jc w:val="right"/>
              <w:rPr>
                <w:sz w:val="21"/>
              </w:rPr>
            </w:pPr>
            <w:r>
              <w:rPr>
                <w:sz w:val="21"/>
              </w:rPr>
              <w:t>2020-05-08</w:t>
            </w:r>
          </w:p>
        </w:tc>
      </w:tr>
    </w:tbl>
    <w:p>
      <w:pPr>
        <w:pStyle w:val="BodyText"/>
        <w:spacing w:before="3"/>
        <w:ind w:left="840"/>
      </w:pPr>
      <w:r>
        <w:rPr/>
        <w:t>注：以上公告事项披露在指定媒介及基金管理人网站上。</w:t>
      </w:r>
    </w:p>
    <w:p>
      <w:pPr>
        <w:spacing w:after="0"/>
        <w:sectPr>
          <w:pgSz w:w="11910" w:h="16840"/>
          <w:pgMar w:header="0" w:footer="638" w:top="1420" w:bottom="820" w:left="960" w:right="980"/>
        </w:sectPr>
      </w:pPr>
    </w:p>
    <w:p>
      <w:pPr>
        <w:pStyle w:val="Heading1"/>
        <w:ind w:right="1222"/>
        <w:jc w:val="center"/>
      </w:pPr>
      <w:bookmarkStart w:name="_bookmark119" w:id="120"/>
      <w:bookmarkEnd w:id="120"/>
      <w:r>
        <w:rPr/>
      </w:r>
      <w:r>
        <w:rPr/>
        <w:t>二十五、招募说明书的存放及查阅方式</w:t>
      </w:r>
    </w:p>
    <w:p>
      <w:pPr>
        <w:pStyle w:val="BodyText"/>
        <w:spacing w:line="364" w:lineRule="auto" w:before="198"/>
        <w:ind w:left="840" w:right="81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ind w:left="1260"/>
      </w:pPr>
      <w:r>
        <w:rPr/>
        <w:t>基金管理人和基金托管人保证文本的内容与公告的内容完全一致。</w:t>
      </w:r>
    </w:p>
    <w:p>
      <w:pPr>
        <w:spacing w:after="0" w:line="268" w:lineRule="exact"/>
        <w:sectPr>
          <w:pgSz w:w="11910" w:h="16840"/>
          <w:pgMar w:header="0" w:footer="638" w:top="1380" w:bottom="900" w:left="960" w:right="980"/>
        </w:sectPr>
      </w:pPr>
    </w:p>
    <w:p>
      <w:pPr>
        <w:pStyle w:val="Heading1"/>
        <w:ind w:right="622"/>
        <w:jc w:val="center"/>
      </w:pPr>
      <w:bookmarkStart w:name="_bookmark120" w:id="121"/>
      <w:bookmarkEnd w:id="121"/>
      <w:r>
        <w:rPr/>
      </w:r>
      <w:r>
        <w:rPr/>
        <w:t>二十六、备查文件</w:t>
      </w:r>
    </w:p>
    <w:p>
      <w:pPr>
        <w:pStyle w:val="BodyText"/>
        <w:spacing w:before="198"/>
        <w:ind w:left="1260"/>
      </w:pPr>
      <w:r>
        <w:rPr/>
        <w:t>1、中国证监会核准易方达中小盘混合型证券投资基金募集的文件；</w:t>
      </w:r>
    </w:p>
    <w:p>
      <w:pPr>
        <w:pStyle w:val="BodyText"/>
        <w:spacing w:before="140"/>
        <w:ind w:left="1260"/>
      </w:pPr>
      <w:r>
        <w:rPr/>
        <w:t>2</w:t>
      </w:r>
      <w:r>
        <w:rPr>
          <w:spacing w:val="-16"/>
        </w:rPr>
        <w:t>、《易方达中小盘混合型证券投资基金基金合同》；</w:t>
      </w:r>
    </w:p>
    <w:p>
      <w:pPr>
        <w:pStyle w:val="BodyText"/>
        <w:spacing w:before="139"/>
        <w:ind w:left="1260"/>
      </w:pPr>
      <w:r>
        <w:rPr/>
        <w:t>3</w:t>
      </w:r>
      <w:r>
        <w:rPr>
          <w:spacing w:val="-16"/>
        </w:rPr>
        <w:t>、《易方达中小盘混合型证券投资基金托管协议》；</w:t>
      </w:r>
    </w:p>
    <w:p>
      <w:pPr>
        <w:pStyle w:val="BodyText"/>
        <w:spacing w:before="139"/>
        <w:ind w:left="1260"/>
      </w:pPr>
      <w:r>
        <w:rPr/>
        <w:t>4、《易方达基金管理有限公司开放式基金业务规则》；</w:t>
      </w:r>
    </w:p>
    <w:p>
      <w:pPr>
        <w:pStyle w:val="BodyText"/>
        <w:spacing w:before="140"/>
        <w:ind w:left="1260"/>
      </w:pPr>
      <w:r>
        <w:rPr/>
        <w:t>5、法律意见书；</w:t>
      </w:r>
    </w:p>
    <w:p>
      <w:pPr>
        <w:pStyle w:val="BodyText"/>
        <w:spacing w:before="139"/>
        <w:ind w:left="1260"/>
      </w:pPr>
      <w:r>
        <w:rPr/>
        <w:t>6、基金管理人业务资格批件、营业执照；</w:t>
      </w:r>
    </w:p>
    <w:p>
      <w:pPr>
        <w:pStyle w:val="BodyText"/>
        <w:spacing w:line="364" w:lineRule="auto" w:before="140"/>
        <w:ind w:left="1260" w:right="4820"/>
      </w:pPr>
      <w:r>
        <w:rPr/>
        <w:t>7、基金托管人业务资格批件、营业执照。存放地点：基金管理人、基金托管人处</w:t>
      </w:r>
    </w:p>
    <w:p>
      <w:pPr>
        <w:pStyle w:val="BodyText"/>
        <w:spacing w:line="268" w:lineRule="exact"/>
        <w:ind w:left="126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9"/>
        </w:rPr>
      </w:pPr>
    </w:p>
    <w:p>
      <w:pPr>
        <w:pStyle w:val="BodyText"/>
        <w:ind w:left="0" w:right="819"/>
        <w:jc w:val="right"/>
      </w:pPr>
      <w:r>
        <w:rPr/>
        <w:t>易方达基金管理有限公司</w:t>
      </w:r>
    </w:p>
    <w:p>
      <w:pPr>
        <w:pStyle w:val="BodyText"/>
        <w:spacing w:before="140"/>
        <w:ind w:left="0" w:right="1029"/>
        <w:jc w:val="right"/>
      </w:pPr>
      <w:r>
        <w:rPr/>
        <w:t>2020 年 10 月 19 日</w:t>
      </w:r>
    </w:p>
    <w:sectPr>
      <w:pgSz w:w="11910" w:h="16840"/>
      <w:pgMar w:header="0" w:footer="638" w:top="1380" w:bottom="90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type id="_x0000_t202" o:spt="202" coordsize="21600,21600" path="m,l,21600r21600,l21600,xe">
          <v:stroke joinstyle="miter"/>
          <v:path gradientshapeok="t" o:connecttype="rect"/>
        </v:shapetype>
        <v:shape style="position:absolute;margin-left:297.899994pt;margin-top:794.982971pt;width:17.5pt;height:12pt;mso-position-horizontal-relative:page;mso-position-vertical-relative:page;z-index:-2578800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decimal"/>
      <w:lvlText w:val="（%1）"/>
      <w:lvlJc w:val="left"/>
      <w:pPr>
        <w:ind w:left="17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5">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5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3">
    <w:multiLevelType w:val="hybridMultilevel"/>
    <w:lvl w:ilvl="0">
      <w:start w:val="1"/>
      <w:numFmt w:val="decimal"/>
      <w:lvlText w:val="（%1）"/>
      <w:lvlJc w:val="left"/>
      <w:pPr>
        <w:ind w:left="84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5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1">
    <w:multiLevelType w:val="hybridMultilevel"/>
    <w:lvl w:ilvl="0">
      <w:start w:val="2"/>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50">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9">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8">
    <w:multiLevelType w:val="hybridMultilevel"/>
    <w:lvl w:ilvl="0">
      <w:start w:val="1"/>
      <w:numFmt w:val="decimal"/>
      <w:lvlText w:val="（%1）"/>
      <w:lvlJc w:val="left"/>
      <w:pPr>
        <w:ind w:left="84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7">
    <w:multiLevelType w:val="hybridMultilevel"/>
    <w:lvl w:ilvl="0">
      <w:start w:val="1"/>
      <w:numFmt w:val="decimal"/>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4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5">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3">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4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1">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0">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1">
    <w:multiLevelType w:val="hybridMultilevel"/>
    <w:lvl w:ilvl="0">
      <w:start w:val="1"/>
      <w:numFmt w:val="decimal"/>
      <w:lvlText w:val="（%1）"/>
      <w:lvlJc w:val="left"/>
      <w:pPr>
        <w:ind w:left="178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7"/>
      </w:pPr>
      <w:rPr>
        <w:rFonts w:hint="default"/>
        <w:lang w:val="zh-CN" w:eastAsia="zh-CN" w:bidi="zh-CN"/>
      </w:rPr>
    </w:lvl>
    <w:lvl w:ilvl="2">
      <w:start w:val="0"/>
      <w:numFmt w:val="bullet"/>
      <w:lvlText w:val="•"/>
      <w:lvlJc w:val="left"/>
      <w:pPr>
        <w:ind w:left="3417" w:hanging="527"/>
      </w:pPr>
      <w:rPr>
        <w:rFonts w:hint="default"/>
        <w:lang w:val="zh-CN" w:eastAsia="zh-CN" w:bidi="zh-CN"/>
      </w:rPr>
    </w:lvl>
    <w:lvl w:ilvl="3">
      <w:start w:val="0"/>
      <w:numFmt w:val="bullet"/>
      <w:lvlText w:val="•"/>
      <w:lvlJc w:val="left"/>
      <w:pPr>
        <w:ind w:left="4235" w:hanging="527"/>
      </w:pPr>
      <w:rPr>
        <w:rFonts w:hint="default"/>
        <w:lang w:val="zh-CN" w:eastAsia="zh-CN" w:bidi="zh-CN"/>
      </w:rPr>
    </w:lvl>
    <w:lvl w:ilvl="4">
      <w:start w:val="0"/>
      <w:numFmt w:val="bullet"/>
      <w:lvlText w:val="•"/>
      <w:lvlJc w:val="left"/>
      <w:pPr>
        <w:ind w:left="5054" w:hanging="527"/>
      </w:pPr>
      <w:rPr>
        <w:rFonts w:hint="default"/>
        <w:lang w:val="zh-CN" w:eastAsia="zh-CN" w:bidi="zh-CN"/>
      </w:rPr>
    </w:lvl>
    <w:lvl w:ilvl="5">
      <w:start w:val="0"/>
      <w:numFmt w:val="bullet"/>
      <w:lvlText w:val="•"/>
      <w:lvlJc w:val="left"/>
      <w:pPr>
        <w:ind w:left="5873" w:hanging="527"/>
      </w:pPr>
      <w:rPr>
        <w:rFonts w:hint="default"/>
        <w:lang w:val="zh-CN" w:eastAsia="zh-CN" w:bidi="zh-CN"/>
      </w:rPr>
    </w:lvl>
    <w:lvl w:ilvl="6">
      <w:start w:val="0"/>
      <w:numFmt w:val="bullet"/>
      <w:lvlText w:val="•"/>
      <w:lvlJc w:val="left"/>
      <w:pPr>
        <w:ind w:left="6691" w:hanging="527"/>
      </w:pPr>
      <w:rPr>
        <w:rFonts w:hint="default"/>
        <w:lang w:val="zh-CN" w:eastAsia="zh-CN" w:bidi="zh-CN"/>
      </w:rPr>
    </w:lvl>
    <w:lvl w:ilvl="7">
      <w:start w:val="0"/>
      <w:numFmt w:val="bullet"/>
      <w:lvlText w:val="•"/>
      <w:lvlJc w:val="left"/>
      <w:pPr>
        <w:ind w:left="7510" w:hanging="527"/>
      </w:pPr>
      <w:rPr>
        <w:rFonts w:hint="default"/>
        <w:lang w:val="zh-CN" w:eastAsia="zh-CN" w:bidi="zh-CN"/>
      </w:rPr>
    </w:lvl>
    <w:lvl w:ilvl="8">
      <w:start w:val="0"/>
      <w:numFmt w:val="bullet"/>
      <w:lvlText w:val="•"/>
      <w:lvlJc w:val="left"/>
      <w:pPr>
        <w:ind w:left="8328" w:hanging="527"/>
      </w:pPr>
      <w:rPr>
        <w:rFonts w:hint="default"/>
        <w:lang w:val="zh-CN" w:eastAsia="zh-CN" w:bidi="zh-CN"/>
      </w:rPr>
    </w:lvl>
  </w:abstractNum>
  <w:abstractNum w:abstractNumId="3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7">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4">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3">
    <w:multiLevelType w:val="hybridMultilevel"/>
    <w:lvl w:ilvl="0">
      <w:start w:val="1"/>
      <w:numFmt w:val="decimal"/>
      <w:lvlText w:val="（%1）"/>
      <w:lvlJc w:val="left"/>
      <w:pPr>
        <w:ind w:left="1980" w:hanging="721"/>
        <w:jc w:val="left"/>
      </w:pPr>
      <w:rPr>
        <w:rFonts w:hint="default" w:ascii="宋体" w:hAnsi="宋体" w:eastAsia="宋体" w:cs="宋体"/>
        <w:spacing w:val="-15"/>
        <w:w w:val="100"/>
        <w:sz w:val="21"/>
        <w:szCs w:val="21"/>
        <w:lang w:val="zh-CN" w:eastAsia="zh-CN" w:bidi="zh-CN"/>
      </w:rPr>
    </w:lvl>
    <w:lvl w:ilvl="1">
      <w:start w:val="0"/>
      <w:numFmt w:val="bullet"/>
      <w:lvlText w:val="•"/>
      <w:lvlJc w:val="left"/>
      <w:pPr>
        <w:ind w:left="2778" w:hanging="721"/>
      </w:pPr>
      <w:rPr>
        <w:rFonts w:hint="default"/>
        <w:lang w:val="zh-CN" w:eastAsia="zh-CN" w:bidi="zh-CN"/>
      </w:rPr>
    </w:lvl>
    <w:lvl w:ilvl="2">
      <w:start w:val="0"/>
      <w:numFmt w:val="bullet"/>
      <w:lvlText w:val="•"/>
      <w:lvlJc w:val="left"/>
      <w:pPr>
        <w:ind w:left="3577" w:hanging="721"/>
      </w:pPr>
      <w:rPr>
        <w:rFonts w:hint="default"/>
        <w:lang w:val="zh-CN" w:eastAsia="zh-CN" w:bidi="zh-CN"/>
      </w:rPr>
    </w:lvl>
    <w:lvl w:ilvl="3">
      <w:start w:val="0"/>
      <w:numFmt w:val="bullet"/>
      <w:lvlText w:val="•"/>
      <w:lvlJc w:val="left"/>
      <w:pPr>
        <w:ind w:left="4375" w:hanging="721"/>
      </w:pPr>
      <w:rPr>
        <w:rFonts w:hint="default"/>
        <w:lang w:val="zh-CN" w:eastAsia="zh-CN" w:bidi="zh-CN"/>
      </w:rPr>
    </w:lvl>
    <w:lvl w:ilvl="4">
      <w:start w:val="0"/>
      <w:numFmt w:val="bullet"/>
      <w:lvlText w:val="•"/>
      <w:lvlJc w:val="left"/>
      <w:pPr>
        <w:ind w:left="5174" w:hanging="721"/>
      </w:pPr>
      <w:rPr>
        <w:rFonts w:hint="default"/>
        <w:lang w:val="zh-CN" w:eastAsia="zh-CN" w:bidi="zh-CN"/>
      </w:rPr>
    </w:lvl>
    <w:lvl w:ilvl="5">
      <w:start w:val="0"/>
      <w:numFmt w:val="bullet"/>
      <w:lvlText w:val="•"/>
      <w:lvlJc w:val="left"/>
      <w:pPr>
        <w:ind w:left="5973" w:hanging="721"/>
      </w:pPr>
      <w:rPr>
        <w:rFonts w:hint="default"/>
        <w:lang w:val="zh-CN" w:eastAsia="zh-CN" w:bidi="zh-CN"/>
      </w:rPr>
    </w:lvl>
    <w:lvl w:ilvl="6">
      <w:start w:val="0"/>
      <w:numFmt w:val="bullet"/>
      <w:lvlText w:val="•"/>
      <w:lvlJc w:val="left"/>
      <w:pPr>
        <w:ind w:left="6771" w:hanging="721"/>
      </w:pPr>
      <w:rPr>
        <w:rFonts w:hint="default"/>
        <w:lang w:val="zh-CN" w:eastAsia="zh-CN" w:bidi="zh-CN"/>
      </w:rPr>
    </w:lvl>
    <w:lvl w:ilvl="7">
      <w:start w:val="0"/>
      <w:numFmt w:val="bullet"/>
      <w:lvlText w:val="•"/>
      <w:lvlJc w:val="left"/>
      <w:pPr>
        <w:ind w:left="7570" w:hanging="721"/>
      </w:pPr>
      <w:rPr>
        <w:rFonts w:hint="default"/>
        <w:lang w:val="zh-CN" w:eastAsia="zh-CN" w:bidi="zh-CN"/>
      </w:rPr>
    </w:lvl>
    <w:lvl w:ilvl="8">
      <w:start w:val="0"/>
      <w:numFmt w:val="bullet"/>
      <w:lvlText w:val="•"/>
      <w:lvlJc w:val="left"/>
      <w:pPr>
        <w:ind w:left="8368" w:hanging="721"/>
      </w:pPr>
      <w:rPr>
        <w:rFonts w:hint="default"/>
        <w:lang w:val="zh-CN" w:eastAsia="zh-CN" w:bidi="zh-CN"/>
      </w:rPr>
    </w:lvl>
  </w:abstractNum>
  <w:abstractNum w:abstractNumId="2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0">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8">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7">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5">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4">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1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2">
    <w:multiLevelType w:val="hybridMultilevel"/>
    <w:lvl w:ilvl="0">
      <w:start w:val="1"/>
      <w:numFmt w:val="decimal"/>
      <w:lvlText w:val="%1）"/>
      <w:lvlJc w:val="left"/>
      <w:pPr>
        <w:ind w:left="1619" w:hanging="360"/>
        <w:jc w:val="left"/>
      </w:pPr>
      <w:rPr>
        <w:rFonts w:hint="default" w:ascii="Microsoft JhengHei" w:hAnsi="Microsoft JhengHei" w:eastAsia="Microsoft JhengHei" w:cs="Microsoft JhengHei"/>
        <w:b/>
        <w:bCs/>
        <w:w w:val="83"/>
        <w:sz w:val="21"/>
        <w:szCs w:val="21"/>
        <w:lang w:val="zh-CN" w:eastAsia="zh-CN" w:bidi="zh-CN"/>
      </w:rPr>
    </w:lvl>
    <w:lvl w:ilvl="1">
      <w:start w:val="0"/>
      <w:numFmt w:val="bullet"/>
      <w:lvlText w:val="•"/>
      <w:lvlJc w:val="left"/>
      <w:pPr>
        <w:ind w:left="2454" w:hanging="360"/>
      </w:pPr>
      <w:rPr>
        <w:rFonts w:hint="default"/>
        <w:lang w:val="zh-CN" w:eastAsia="zh-CN" w:bidi="zh-CN"/>
      </w:rPr>
    </w:lvl>
    <w:lvl w:ilvl="2">
      <w:start w:val="0"/>
      <w:numFmt w:val="bullet"/>
      <w:lvlText w:val="•"/>
      <w:lvlJc w:val="left"/>
      <w:pPr>
        <w:ind w:left="3289" w:hanging="360"/>
      </w:pPr>
      <w:rPr>
        <w:rFonts w:hint="default"/>
        <w:lang w:val="zh-CN" w:eastAsia="zh-CN" w:bidi="zh-CN"/>
      </w:rPr>
    </w:lvl>
    <w:lvl w:ilvl="3">
      <w:start w:val="0"/>
      <w:numFmt w:val="bullet"/>
      <w:lvlText w:val="•"/>
      <w:lvlJc w:val="left"/>
      <w:pPr>
        <w:ind w:left="4123" w:hanging="360"/>
      </w:pPr>
      <w:rPr>
        <w:rFonts w:hint="default"/>
        <w:lang w:val="zh-CN" w:eastAsia="zh-CN" w:bidi="zh-CN"/>
      </w:rPr>
    </w:lvl>
    <w:lvl w:ilvl="4">
      <w:start w:val="0"/>
      <w:numFmt w:val="bullet"/>
      <w:lvlText w:val="•"/>
      <w:lvlJc w:val="left"/>
      <w:pPr>
        <w:ind w:left="4958" w:hanging="360"/>
      </w:pPr>
      <w:rPr>
        <w:rFonts w:hint="default"/>
        <w:lang w:val="zh-CN" w:eastAsia="zh-CN" w:bidi="zh-CN"/>
      </w:rPr>
    </w:lvl>
    <w:lvl w:ilvl="5">
      <w:start w:val="0"/>
      <w:numFmt w:val="bullet"/>
      <w:lvlText w:val="•"/>
      <w:lvlJc w:val="left"/>
      <w:pPr>
        <w:ind w:left="5793" w:hanging="360"/>
      </w:pPr>
      <w:rPr>
        <w:rFonts w:hint="default"/>
        <w:lang w:val="zh-CN" w:eastAsia="zh-CN" w:bidi="zh-CN"/>
      </w:rPr>
    </w:lvl>
    <w:lvl w:ilvl="6">
      <w:start w:val="0"/>
      <w:numFmt w:val="bullet"/>
      <w:lvlText w:val="•"/>
      <w:lvlJc w:val="left"/>
      <w:pPr>
        <w:ind w:left="6627" w:hanging="360"/>
      </w:pPr>
      <w:rPr>
        <w:rFonts w:hint="default"/>
        <w:lang w:val="zh-CN" w:eastAsia="zh-CN" w:bidi="zh-CN"/>
      </w:rPr>
    </w:lvl>
    <w:lvl w:ilvl="7">
      <w:start w:val="0"/>
      <w:numFmt w:val="bullet"/>
      <w:lvlText w:val="•"/>
      <w:lvlJc w:val="left"/>
      <w:pPr>
        <w:ind w:left="7462" w:hanging="360"/>
      </w:pPr>
      <w:rPr>
        <w:rFonts w:hint="default"/>
        <w:lang w:val="zh-CN" w:eastAsia="zh-CN" w:bidi="zh-CN"/>
      </w:rPr>
    </w:lvl>
    <w:lvl w:ilvl="8">
      <w:start w:val="0"/>
      <w:numFmt w:val="bullet"/>
      <w:lvlText w:val="•"/>
      <w:lvlJc w:val="left"/>
      <w:pPr>
        <w:ind w:left="8296" w:hanging="360"/>
      </w:pPr>
      <w:rPr>
        <w:rFonts w:hint="default"/>
        <w:lang w:val="zh-CN" w:eastAsia="zh-CN" w:bidi="zh-CN"/>
      </w:rPr>
    </w:lvl>
  </w:abstractNum>
  <w:abstractNum w:abstractNumId="11">
    <w:multiLevelType w:val="hybridMultilevel"/>
    <w:lvl w:ilvl="0">
      <w:start w:val="1"/>
      <w:numFmt w:val="decimal"/>
      <w:lvlText w:val="（%1）"/>
      <w:lvlJc w:val="left"/>
      <w:pPr>
        <w:ind w:left="1844" w:hanging="585"/>
        <w:jc w:val="left"/>
      </w:pPr>
      <w:rPr>
        <w:rFonts w:hint="default" w:ascii="Microsoft JhengHei" w:hAnsi="Microsoft JhengHei" w:eastAsia="Microsoft JhengHei" w:cs="Microsoft JhengHei"/>
        <w:b/>
        <w:bCs/>
        <w:w w:val="83"/>
        <w:sz w:val="21"/>
        <w:szCs w:val="21"/>
        <w:lang w:val="zh-CN" w:eastAsia="zh-CN" w:bidi="zh-CN"/>
      </w:rPr>
    </w:lvl>
    <w:lvl w:ilvl="1">
      <w:start w:val="0"/>
      <w:numFmt w:val="bullet"/>
      <w:lvlText w:val="•"/>
      <w:lvlJc w:val="left"/>
      <w:pPr>
        <w:ind w:left="2652" w:hanging="585"/>
      </w:pPr>
      <w:rPr>
        <w:rFonts w:hint="default"/>
        <w:lang w:val="zh-CN" w:eastAsia="zh-CN" w:bidi="zh-CN"/>
      </w:rPr>
    </w:lvl>
    <w:lvl w:ilvl="2">
      <w:start w:val="0"/>
      <w:numFmt w:val="bullet"/>
      <w:lvlText w:val="•"/>
      <w:lvlJc w:val="left"/>
      <w:pPr>
        <w:ind w:left="3465" w:hanging="585"/>
      </w:pPr>
      <w:rPr>
        <w:rFonts w:hint="default"/>
        <w:lang w:val="zh-CN" w:eastAsia="zh-CN" w:bidi="zh-CN"/>
      </w:rPr>
    </w:lvl>
    <w:lvl w:ilvl="3">
      <w:start w:val="0"/>
      <w:numFmt w:val="bullet"/>
      <w:lvlText w:val="•"/>
      <w:lvlJc w:val="left"/>
      <w:pPr>
        <w:ind w:left="4277" w:hanging="585"/>
      </w:pPr>
      <w:rPr>
        <w:rFonts w:hint="default"/>
        <w:lang w:val="zh-CN" w:eastAsia="zh-CN" w:bidi="zh-CN"/>
      </w:rPr>
    </w:lvl>
    <w:lvl w:ilvl="4">
      <w:start w:val="0"/>
      <w:numFmt w:val="bullet"/>
      <w:lvlText w:val="•"/>
      <w:lvlJc w:val="left"/>
      <w:pPr>
        <w:ind w:left="5090" w:hanging="585"/>
      </w:pPr>
      <w:rPr>
        <w:rFonts w:hint="default"/>
        <w:lang w:val="zh-CN" w:eastAsia="zh-CN" w:bidi="zh-CN"/>
      </w:rPr>
    </w:lvl>
    <w:lvl w:ilvl="5">
      <w:start w:val="0"/>
      <w:numFmt w:val="bullet"/>
      <w:lvlText w:val="•"/>
      <w:lvlJc w:val="left"/>
      <w:pPr>
        <w:ind w:left="5903" w:hanging="585"/>
      </w:pPr>
      <w:rPr>
        <w:rFonts w:hint="default"/>
        <w:lang w:val="zh-CN" w:eastAsia="zh-CN" w:bidi="zh-CN"/>
      </w:rPr>
    </w:lvl>
    <w:lvl w:ilvl="6">
      <w:start w:val="0"/>
      <w:numFmt w:val="bullet"/>
      <w:lvlText w:val="•"/>
      <w:lvlJc w:val="left"/>
      <w:pPr>
        <w:ind w:left="6715" w:hanging="585"/>
      </w:pPr>
      <w:rPr>
        <w:rFonts w:hint="default"/>
        <w:lang w:val="zh-CN" w:eastAsia="zh-CN" w:bidi="zh-CN"/>
      </w:rPr>
    </w:lvl>
    <w:lvl w:ilvl="7">
      <w:start w:val="0"/>
      <w:numFmt w:val="bullet"/>
      <w:lvlText w:val="•"/>
      <w:lvlJc w:val="left"/>
      <w:pPr>
        <w:ind w:left="7528" w:hanging="585"/>
      </w:pPr>
      <w:rPr>
        <w:rFonts w:hint="default"/>
        <w:lang w:val="zh-CN" w:eastAsia="zh-CN" w:bidi="zh-CN"/>
      </w:rPr>
    </w:lvl>
    <w:lvl w:ilvl="8">
      <w:start w:val="0"/>
      <w:numFmt w:val="bullet"/>
      <w:lvlText w:val="•"/>
      <w:lvlJc w:val="left"/>
      <w:pPr>
        <w:ind w:left="8340" w:hanging="585"/>
      </w:pPr>
      <w:rPr>
        <w:rFonts w:hint="default"/>
        <w:lang w:val="zh-CN" w:eastAsia="zh-CN" w:bidi="zh-CN"/>
      </w:rPr>
    </w:lvl>
  </w:abstractNum>
  <w:abstractNum w:abstractNumId="10">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7">
    <w:multiLevelType w:val="hybridMultilevel"/>
    <w:lvl w:ilvl="0">
      <w:start w:val="1"/>
      <w:numFmt w:val="decimal"/>
      <w:lvlText w:val="（%1）"/>
      <w:lvlJc w:val="left"/>
      <w:pPr>
        <w:ind w:left="178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7"/>
      </w:pPr>
      <w:rPr>
        <w:rFonts w:hint="default"/>
        <w:lang w:val="zh-CN" w:eastAsia="zh-CN" w:bidi="zh-CN"/>
      </w:rPr>
    </w:lvl>
    <w:lvl w:ilvl="2">
      <w:start w:val="0"/>
      <w:numFmt w:val="bullet"/>
      <w:lvlText w:val="•"/>
      <w:lvlJc w:val="left"/>
      <w:pPr>
        <w:ind w:left="3417" w:hanging="527"/>
      </w:pPr>
      <w:rPr>
        <w:rFonts w:hint="default"/>
        <w:lang w:val="zh-CN" w:eastAsia="zh-CN" w:bidi="zh-CN"/>
      </w:rPr>
    </w:lvl>
    <w:lvl w:ilvl="3">
      <w:start w:val="0"/>
      <w:numFmt w:val="bullet"/>
      <w:lvlText w:val="•"/>
      <w:lvlJc w:val="left"/>
      <w:pPr>
        <w:ind w:left="4235" w:hanging="527"/>
      </w:pPr>
      <w:rPr>
        <w:rFonts w:hint="default"/>
        <w:lang w:val="zh-CN" w:eastAsia="zh-CN" w:bidi="zh-CN"/>
      </w:rPr>
    </w:lvl>
    <w:lvl w:ilvl="4">
      <w:start w:val="0"/>
      <w:numFmt w:val="bullet"/>
      <w:lvlText w:val="•"/>
      <w:lvlJc w:val="left"/>
      <w:pPr>
        <w:ind w:left="5054" w:hanging="527"/>
      </w:pPr>
      <w:rPr>
        <w:rFonts w:hint="default"/>
        <w:lang w:val="zh-CN" w:eastAsia="zh-CN" w:bidi="zh-CN"/>
      </w:rPr>
    </w:lvl>
    <w:lvl w:ilvl="5">
      <w:start w:val="0"/>
      <w:numFmt w:val="bullet"/>
      <w:lvlText w:val="•"/>
      <w:lvlJc w:val="left"/>
      <w:pPr>
        <w:ind w:left="5873" w:hanging="527"/>
      </w:pPr>
      <w:rPr>
        <w:rFonts w:hint="default"/>
        <w:lang w:val="zh-CN" w:eastAsia="zh-CN" w:bidi="zh-CN"/>
      </w:rPr>
    </w:lvl>
    <w:lvl w:ilvl="6">
      <w:start w:val="0"/>
      <w:numFmt w:val="bullet"/>
      <w:lvlText w:val="•"/>
      <w:lvlJc w:val="left"/>
      <w:pPr>
        <w:ind w:left="6691" w:hanging="527"/>
      </w:pPr>
      <w:rPr>
        <w:rFonts w:hint="default"/>
        <w:lang w:val="zh-CN" w:eastAsia="zh-CN" w:bidi="zh-CN"/>
      </w:rPr>
    </w:lvl>
    <w:lvl w:ilvl="7">
      <w:start w:val="0"/>
      <w:numFmt w:val="bullet"/>
      <w:lvlText w:val="•"/>
      <w:lvlJc w:val="left"/>
      <w:pPr>
        <w:ind w:left="7510" w:hanging="527"/>
      </w:pPr>
      <w:rPr>
        <w:rFonts w:hint="default"/>
        <w:lang w:val="zh-CN" w:eastAsia="zh-CN" w:bidi="zh-CN"/>
      </w:rPr>
    </w:lvl>
    <w:lvl w:ilvl="8">
      <w:start w:val="0"/>
      <w:numFmt w:val="bullet"/>
      <w:lvlText w:val="•"/>
      <w:lvlJc w:val="left"/>
      <w:pPr>
        <w:ind w:left="8328" w:hanging="527"/>
      </w:pPr>
      <w:rPr>
        <w:rFonts w:hint="default"/>
        <w:lang w:val="zh-CN" w:eastAsia="zh-CN" w:bidi="zh-CN"/>
      </w:rPr>
    </w:lvl>
  </w:abstractNum>
  <w:abstractNum w:abstractNumId="6">
    <w:multiLevelType w:val="hybridMultilevel"/>
    <w:lvl w:ilvl="0">
      <w:start w:val="1"/>
      <w:numFmt w:val="decimal"/>
      <w:lvlText w:val="(%1)"/>
      <w:lvlJc w:val="left"/>
      <w:pPr>
        <w:ind w:left="174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562" w:hanging="420"/>
      </w:pPr>
      <w:rPr>
        <w:rFonts w:hint="default"/>
        <w:lang w:val="zh-CN" w:eastAsia="zh-CN" w:bidi="zh-CN"/>
      </w:rPr>
    </w:lvl>
    <w:lvl w:ilvl="2">
      <w:start w:val="0"/>
      <w:numFmt w:val="bullet"/>
      <w:lvlText w:val="•"/>
      <w:lvlJc w:val="left"/>
      <w:pPr>
        <w:ind w:left="3385" w:hanging="420"/>
      </w:pPr>
      <w:rPr>
        <w:rFonts w:hint="default"/>
        <w:lang w:val="zh-CN" w:eastAsia="zh-CN" w:bidi="zh-CN"/>
      </w:rPr>
    </w:lvl>
    <w:lvl w:ilvl="3">
      <w:start w:val="0"/>
      <w:numFmt w:val="bullet"/>
      <w:lvlText w:val="•"/>
      <w:lvlJc w:val="left"/>
      <w:pPr>
        <w:ind w:left="4207" w:hanging="420"/>
      </w:pPr>
      <w:rPr>
        <w:rFonts w:hint="default"/>
        <w:lang w:val="zh-CN" w:eastAsia="zh-CN" w:bidi="zh-CN"/>
      </w:rPr>
    </w:lvl>
    <w:lvl w:ilvl="4">
      <w:start w:val="0"/>
      <w:numFmt w:val="bullet"/>
      <w:lvlText w:val="•"/>
      <w:lvlJc w:val="left"/>
      <w:pPr>
        <w:ind w:left="5030" w:hanging="420"/>
      </w:pPr>
      <w:rPr>
        <w:rFonts w:hint="default"/>
        <w:lang w:val="zh-CN" w:eastAsia="zh-CN" w:bidi="zh-CN"/>
      </w:rPr>
    </w:lvl>
    <w:lvl w:ilvl="5">
      <w:start w:val="0"/>
      <w:numFmt w:val="bullet"/>
      <w:lvlText w:val="•"/>
      <w:lvlJc w:val="left"/>
      <w:pPr>
        <w:ind w:left="5853" w:hanging="420"/>
      </w:pPr>
      <w:rPr>
        <w:rFonts w:hint="default"/>
        <w:lang w:val="zh-CN" w:eastAsia="zh-CN" w:bidi="zh-CN"/>
      </w:rPr>
    </w:lvl>
    <w:lvl w:ilvl="6">
      <w:start w:val="0"/>
      <w:numFmt w:val="bullet"/>
      <w:lvlText w:val="•"/>
      <w:lvlJc w:val="left"/>
      <w:pPr>
        <w:ind w:left="6675" w:hanging="420"/>
      </w:pPr>
      <w:rPr>
        <w:rFonts w:hint="default"/>
        <w:lang w:val="zh-CN" w:eastAsia="zh-CN" w:bidi="zh-CN"/>
      </w:rPr>
    </w:lvl>
    <w:lvl w:ilvl="7">
      <w:start w:val="0"/>
      <w:numFmt w:val="bullet"/>
      <w:lvlText w:val="•"/>
      <w:lvlJc w:val="left"/>
      <w:pPr>
        <w:ind w:left="7498" w:hanging="420"/>
      </w:pPr>
      <w:rPr>
        <w:rFonts w:hint="default"/>
        <w:lang w:val="zh-CN" w:eastAsia="zh-CN" w:bidi="zh-CN"/>
      </w:rPr>
    </w:lvl>
    <w:lvl w:ilvl="8">
      <w:start w:val="0"/>
      <w:numFmt w:val="bullet"/>
      <w:lvlText w:val="•"/>
      <w:lvlJc w:val="left"/>
      <w:pPr>
        <w:ind w:left="8320" w:hanging="420"/>
      </w:pPr>
      <w:rPr>
        <w:rFonts w:hint="default"/>
        <w:lang w:val="zh-CN" w:eastAsia="zh-CN" w:bidi="zh-CN"/>
      </w:rPr>
    </w:lvl>
  </w:abstractNum>
  <w:abstractNum w:abstractNumId="5">
    <w:multiLevelType w:val="hybridMultilevel"/>
    <w:lvl w:ilvl="0">
      <w:start w:val="1"/>
      <w:numFmt w:val="decimal"/>
      <w:lvlText w:val="（%1）"/>
      <w:lvlJc w:val="left"/>
      <w:pPr>
        <w:ind w:left="1650"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786" w:hanging="526"/>
        <w:jc w:val="left"/>
      </w:pPr>
      <w:rPr>
        <w:rFonts w:hint="default" w:ascii="宋体" w:hAnsi="宋体" w:eastAsia="宋体" w:cs="宋体"/>
        <w:w w:val="100"/>
        <w:sz w:val="19"/>
        <w:szCs w:val="19"/>
        <w:lang w:val="zh-CN" w:eastAsia="zh-CN" w:bidi="zh-CN"/>
      </w:rPr>
    </w:lvl>
    <w:lvl w:ilvl="2">
      <w:start w:val="0"/>
      <w:numFmt w:val="bullet"/>
      <w:lvlText w:val="•"/>
      <w:lvlJc w:val="left"/>
      <w:pPr>
        <w:ind w:left="2689" w:hanging="526"/>
      </w:pPr>
      <w:rPr>
        <w:rFonts w:hint="default"/>
        <w:lang w:val="zh-CN" w:eastAsia="zh-CN" w:bidi="zh-CN"/>
      </w:rPr>
    </w:lvl>
    <w:lvl w:ilvl="3">
      <w:start w:val="0"/>
      <w:numFmt w:val="bullet"/>
      <w:lvlText w:val="•"/>
      <w:lvlJc w:val="left"/>
      <w:pPr>
        <w:ind w:left="3599" w:hanging="526"/>
      </w:pPr>
      <w:rPr>
        <w:rFonts w:hint="default"/>
        <w:lang w:val="zh-CN" w:eastAsia="zh-CN" w:bidi="zh-CN"/>
      </w:rPr>
    </w:lvl>
    <w:lvl w:ilvl="4">
      <w:start w:val="0"/>
      <w:numFmt w:val="bullet"/>
      <w:lvlText w:val="•"/>
      <w:lvlJc w:val="left"/>
      <w:pPr>
        <w:ind w:left="4508" w:hanging="526"/>
      </w:pPr>
      <w:rPr>
        <w:rFonts w:hint="default"/>
        <w:lang w:val="zh-CN" w:eastAsia="zh-CN" w:bidi="zh-CN"/>
      </w:rPr>
    </w:lvl>
    <w:lvl w:ilvl="5">
      <w:start w:val="0"/>
      <w:numFmt w:val="bullet"/>
      <w:lvlText w:val="•"/>
      <w:lvlJc w:val="left"/>
      <w:pPr>
        <w:ind w:left="5418" w:hanging="526"/>
      </w:pPr>
      <w:rPr>
        <w:rFonts w:hint="default"/>
        <w:lang w:val="zh-CN" w:eastAsia="zh-CN" w:bidi="zh-CN"/>
      </w:rPr>
    </w:lvl>
    <w:lvl w:ilvl="6">
      <w:start w:val="0"/>
      <w:numFmt w:val="bullet"/>
      <w:lvlText w:val="•"/>
      <w:lvlJc w:val="left"/>
      <w:pPr>
        <w:ind w:left="6327" w:hanging="526"/>
      </w:pPr>
      <w:rPr>
        <w:rFonts w:hint="default"/>
        <w:lang w:val="zh-CN" w:eastAsia="zh-CN" w:bidi="zh-CN"/>
      </w:rPr>
    </w:lvl>
    <w:lvl w:ilvl="7">
      <w:start w:val="0"/>
      <w:numFmt w:val="bullet"/>
      <w:lvlText w:val="•"/>
      <w:lvlJc w:val="left"/>
      <w:pPr>
        <w:ind w:left="7237" w:hanging="526"/>
      </w:pPr>
      <w:rPr>
        <w:rFonts w:hint="default"/>
        <w:lang w:val="zh-CN" w:eastAsia="zh-CN" w:bidi="zh-CN"/>
      </w:rPr>
    </w:lvl>
    <w:lvl w:ilvl="8">
      <w:start w:val="0"/>
      <w:numFmt w:val="bullet"/>
      <w:lvlText w:val="•"/>
      <w:lvlJc w:val="left"/>
      <w:pPr>
        <w:ind w:left="8146" w:hanging="526"/>
      </w:pPr>
      <w:rPr>
        <w:rFonts w:hint="default"/>
        <w:lang w:val="zh-CN" w:eastAsia="zh-CN" w:bidi="zh-CN"/>
      </w:rPr>
    </w:lvl>
  </w:abstractNum>
  <w:abstractNum w:abstractNumId="4">
    <w:multiLevelType w:val="hybridMultilevel"/>
    <w:lvl w:ilvl="0">
      <w:start w:val="1"/>
      <w:numFmt w:val="decimal"/>
      <w:lvlText w:val="（%1）"/>
      <w:lvlJc w:val="left"/>
      <w:pPr>
        <w:ind w:left="1650" w:hanging="526"/>
        <w:jc w:val="right"/>
      </w:pPr>
      <w:rPr>
        <w:rFonts w:hint="default" w:ascii="宋体" w:hAnsi="宋体" w:eastAsia="宋体" w:cs="宋体"/>
        <w:w w:val="100"/>
        <w:sz w:val="19"/>
        <w:szCs w:val="19"/>
        <w:lang w:val="zh-CN" w:eastAsia="zh-CN" w:bidi="zh-CN"/>
      </w:rPr>
    </w:lvl>
    <w:lvl w:ilvl="1">
      <w:start w:val="0"/>
      <w:numFmt w:val="bullet"/>
      <w:lvlText w:val="•"/>
      <w:lvlJc w:val="left"/>
      <w:pPr>
        <w:ind w:left="2490" w:hanging="526"/>
      </w:pPr>
      <w:rPr>
        <w:rFonts w:hint="default"/>
        <w:lang w:val="zh-CN" w:eastAsia="zh-CN" w:bidi="zh-CN"/>
      </w:rPr>
    </w:lvl>
    <w:lvl w:ilvl="2">
      <w:start w:val="0"/>
      <w:numFmt w:val="bullet"/>
      <w:lvlText w:val="•"/>
      <w:lvlJc w:val="left"/>
      <w:pPr>
        <w:ind w:left="3321" w:hanging="526"/>
      </w:pPr>
      <w:rPr>
        <w:rFonts w:hint="default"/>
        <w:lang w:val="zh-CN" w:eastAsia="zh-CN" w:bidi="zh-CN"/>
      </w:rPr>
    </w:lvl>
    <w:lvl w:ilvl="3">
      <w:start w:val="0"/>
      <w:numFmt w:val="bullet"/>
      <w:lvlText w:val="•"/>
      <w:lvlJc w:val="left"/>
      <w:pPr>
        <w:ind w:left="4151" w:hanging="526"/>
      </w:pPr>
      <w:rPr>
        <w:rFonts w:hint="default"/>
        <w:lang w:val="zh-CN" w:eastAsia="zh-CN" w:bidi="zh-CN"/>
      </w:rPr>
    </w:lvl>
    <w:lvl w:ilvl="4">
      <w:start w:val="0"/>
      <w:numFmt w:val="bullet"/>
      <w:lvlText w:val="•"/>
      <w:lvlJc w:val="left"/>
      <w:pPr>
        <w:ind w:left="4982" w:hanging="526"/>
      </w:pPr>
      <w:rPr>
        <w:rFonts w:hint="default"/>
        <w:lang w:val="zh-CN" w:eastAsia="zh-CN" w:bidi="zh-CN"/>
      </w:rPr>
    </w:lvl>
    <w:lvl w:ilvl="5">
      <w:start w:val="0"/>
      <w:numFmt w:val="bullet"/>
      <w:lvlText w:val="•"/>
      <w:lvlJc w:val="left"/>
      <w:pPr>
        <w:ind w:left="5813" w:hanging="526"/>
      </w:pPr>
      <w:rPr>
        <w:rFonts w:hint="default"/>
        <w:lang w:val="zh-CN" w:eastAsia="zh-CN" w:bidi="zh-CN"/>
      </w:rPr>
    </w:lvl>
    <w:lvl w:ilvl="6">
      <w:start w:val="0"/>
      <w:numFmt w:val="bullet"/>
      <w:lvlText w:val="•"/>
      <w:lvlJc w:val="left"/>
      <w:pPr>
        <w:ind w:left="6643" w:hanging="526"/>
      </w:pPr>
      <w:rPr>
        <w:rFonts w:hint="default"/>
        <w:lang w:val="zh-CN" w:eastAsia="zh-CN" w:bidi="zh-CN"/>
      </w:rPr>
    </w:lvl>
    <w:lvl w:ilvl="7">
      <w:start w:val="0"/>
      <w:numFmt w:val="bullet"/>
      <w:lvlText w:val="•"/>
      <w:lvlJc w:val="left"/>
      <w:pPr>
        <w:ind w:left="7474" w:hanging="526"/>
      </w:pPr>
      <w:rPr>
        <w:rFonts w:hint="default"/>
        <w:lang w:val="zh-CN" w:eastAsia="zh-CN" w:bidi="zh-CN"/>
      </w:rPr>
    </w:lvl>
    <w:lvl w:ilvl="8">
      <w:start w:val="0"/>
      <w:numFmt w:val="bullet"/>
      <w:lvlText w:val="•"/>
      <w:lvlJc w:val="left"/>
      <w:pPr>
        <w:ind w:left="8304" w:hanging="526"/>
      </w:pPr>
      <w:rPr>
        <w:rFonts w:hint="default"/>
        <w:lang w:val="zh-CN" w:eastAsia="zh-CN" w:bidi="zh-CN"/>
      </w:rPr>
    </w:lvl>
  </w:abstractNum>
  <w:abstractNum w:abstractNumId="3">
    <w:multiLevelType w:val="hybridMultilevel"/>
    <w:lvl w:ilvl="0">
      <w:start w:val="1"/>
      <w:numFmt w:val="decimal"/>
      <w:lvlText w:val="（%1）"/>
      <w:lvlJc w:val="left"/>
      <w:pPr>
        <w:ind w:left="169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840" w:hanging="420"/>
        <w:jc w:val="left"/>
      </w:pPr>
      <w:rPr>
        <w:rFonts w:hint="default" w:ascii="宋体" w:hAnsi="宋体" w:eastAsia="宋体" w:cs="宋体"/>
        <w:spacing w:val="-48"/>
        <w:w w:val="100"/>
        <w:sz w:val="21"/>
        <w:szCs w:val="21"/>
        <w:lang w:val="zh-CN" w:eastAsia="zh-CN" w:bidi="zh-CN"/>
      </w:rPr>
    </w:lvl>
    <w:lvl w:ilvl="2">
      <w:start w:val="0"/>
      <w:numFmt w:val="bullet"/>
      <w:lvlText w:val="•"/>
      <w:lvlJc w:val="left"/>
      <w:pPr>
        <w:ind w:left="2618" w:hanging="420"/>
      </w:pPr>
      <w:rPr>
        <w:rFonts w:hint="default"/>
        <w:lang w:val="zh-CN" w:eastAsia="zh-CN" w:bidi="zh-CN"/>
      </w:rPr>
    </w:lvl>
    <w:lvl w:ilvl="3">
      <w:start w:val="0"/>
      <w:numFmt w:val="bullet"/>
      <w:lvlText w:val="•"/>
      <w:lvlJc w:val="left"/>
      <w:pPr>
        <w:ind w:left="3536" w:hanging="420"/>
      </w:pPr>
      <w:rPr>
        <w:rFonts w:hint="default"/>
        <w:lang w:val="zh-CN" w:eastAsia="zh-CN" w:bidi="zh-CN"/>
      </w:rPr>
    </w:lvl>
    <w:lvl w:ilvl="4">
      <w:start w:val="0"/>
      <w:numFmt w:val="bullet"/>
      <w:lvlText w:val="•"/>
      <w:lvlJc w:val="left"/>
      <w:pPr>
        <w:ind w:left="4455" w:hanging="420"/>
      </w:pPr>
      <w:rPr>
        <w:rFonts w:hint="default"/>
        <w:lang w:val="zh-CN" w:eastAsia="zh-CN" w:bidi="zh-CN"/>
      </w:rPr>
    </w:lvl>
    <w:lvl w:ilvl="5">
      <w:start w:val="0"/>
      <w:numFmt w:val="bullet"/>
      <w:lvlText w:val="•"/>
      <w:lvlJc w:val="left"/>
      <w:pPr>
        <w:ind w:left="5373" w:hanging="420"/>
      </w:pPr>
      <w:rPr>
        <w:rFonts w:hint="default"/>
        <w:lang w:val="zh-CN" w:eastAsia="zh-CN" w:bidi="zh-CN"/>
      </w:rPr>
    </w:lvl>
    <w:lvl w:ilvl="6">
      <w:start w:val="0"/>
      <w:numFmt w:val="bullet"/>
      <w:lvlText w:val="•"/>
      <w:lvlJc w:val="left"/>
      <w:pPr>
        <w:ind w:left="6292" w:hanging="420"/>
      </w:pPr>
      <w:rPr>
        <w:rFonts w:hint="default"/>
        <w:lang w:val="zh-CN" w:eastAsia="zh-CN" w:bidi="zh-CN"/>
      </w:rPr>
    </w:lvl>
    <w:lvl w:ilvl="7">
      <w:start w:val="0"/>
      <w:numFmt w:val="bullet"/>
      <w:lvlText w:val="•"/>
      <w:lvlJc w:val="left"/>
      <w:pPr>
        <w:ind w:left="7210" w:hanging="420"/>
      </w:pPr>
      <w:rPr>
        <w:rFonts w:hint="default"/>
        <w:lang w:val="zh-CN" w:eastAsia="zh-CN" w:bidi="zh-CN"/>
      </w:rPr>
    </w:lvl>
    <w:lvl w:ilvl="8">
      <w:start w:val="0"/>
      <w:numFmt w:val="bullet"/>
      <w:lvlText w:val="•"/>
      <w:lvlJc w:val="left"/>
      <w:pPr>
        <w:ind w:left="8129" w:hanging="420"/>
      </w:pPr>
      <w:rPr>
        <w:rFonts w:hint="default"/>
        <w:lang w:val="zh-CN" w:eastAsia="zh-CN" w:bidi="zh-CN"/>
      </w:rPr>
    </w:lvl>
  </w:abstractNum>
  <w:abstractNum w:abstractNumId="2">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
      <w:ind w:right="828"/>
      <w:jc w:val="right"/>
    </w:pPr>
    <w:rPr>
      <w:rFonts w:ascii="宋体" w:hAnsi="宋体" w:eastAsia="宋体" w:cs="宋体"/>
      <w:sz w:val="24"/>
      <w:szCs w:val="24"/>
      <w:lang w:val="zh-CN" w:eastAsia="zh-CN" w:bidi="zh-CN"/>
    </w:rPr>
  </w:style>
  <w:style w:styleId="TOC2" w:type="paragraph">
    <w:name w:val="TOC 2"/>
    <w:basedOn w:val="Normal"/>
    <w:uiPriority w:val="1"/>
    <w:qFormat/>
    <w:pPr>
      <w:spacing w:before="5"/>
      <w:ind w:left="1160" w:right="828" w:firstLine="480"/>
      <w:jc w:val="right"/>
    </w:pPr>
    <w:rPr>
      <w:rFonts w:ascii="宋体" w:hAnsi="宋体" w:eastAsia="宋体" w:cs="宋体"/>
      <w:sz w:val="24"/>
      <w:szCs w:val="24"/>
      <w:lang w:val="zh-CN" w:eastAsia="zh-CN" w:bidi="zh-CN"/>
    </w:rPr>
  </w:style>
  <w:style w:styleId="BodyText" w:type="paragraph">
    <w:name w:val="Body Text"/>
    <w:basedOn w:val="Normal"/>
    <w:uiPriority w:val="1"/>
    <w:qFormat/>
    <w:pPr>
      <w:ind w:left="1320"/>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1242"/>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840"/>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1260"/>
      <w:outlineLvl w:val="3"/>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spacing w:before="139"/>
      <w:ind w:left="1786" w:hanging="630"/>
    </w:pPr>
    <w:rPr>
      <w:rFonts w:ascii="宋体" w:hAnsi="宋体" w:eastAsia="宋体" w:cs="宋体"/>
      <w:lang w:val="zh-CN" w:eastAsia="zh-CN" w:bidi="zh-CN"/>
    </w:rPr>
  </w:style>
  <w:style w:styleId="TableParagraph" w:type="paragraph">
    <w:name w:val="Table Paragraph"/>
    <w:basedOn w:val="Normal"/>
    <w:uiPriority w:val="1"/>
    <w:qFormat/>
    <w:pPr>
      <w:spacing w:before="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efunds.com.cn/" TargetMode="External"/><Relationship Id="rId7" Type="http://schemas.openxmlformats.org/officeDocument/2006/relationships/hyperlink" Target="http://www.boc.cn/" TargetMode="External"/><Relationship Id="rId8" Type="http://schemas.openxmlformats.org/officeDocument/2006/relationships/hyperlink" Target="http://www.cbhb.com.cn/" TargetMode="External"/><Relationship Id="rId9" Type="http://schemas.openxmlformats.org/officeDocument/2006/relationships/hyperlink" Target="http://www.cgbchina.com.cn/" TargetMode="External"/><Relationship Id="rId10" Type="http://schemas.openxmlformats.org/officeDocument/2006/relationships/hyperlink" Target="http://www.hxb.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ib.com.cn/" TargetMode="External"/><Relationship Id="rId14" Type="http://schemas.openxmlformats.org/officeDocument/2006/relationships/hyperlink" Target="http://www.cmbchina.com/" TargetMode="External"/><Relationship Id="rId15" Type="http://schemas.openxmlformats.org/officeDocument/2006/relationships/hyperlink" Target="http://www.czbank.com/" TargetMode="External"/><Relationship Id="rId16" Type="http://schemas.openxmlformats.org/officeDocument/2006/relationships/hyperlink" Target="http://www.icbc.com.cn/" TargetMode="External"/><Relationship Id="rId17" Type="http://schemas.openxmlformats.org/officeDocument/2006/relationships/hyperlink" Target="http://www.cebbank.com/" TargetMode="External"/><Relationship Id="rId18" Type="http://schemas.openxmlformats.org/officeDocument/2006/relationships/hyperlink" Target="http://www.ccb.com/" TargetMode="External"/><Relationship Id="rId19" Type="http://schemas.openxmlformats.org/officeDocument/2006/relationships/hyperlink" Target="http://www.cmbc.com.cn/" TargetMode="External"/><Relationship Id="rId20" Type="http://schemas.openxmlformats.org/officeDocument/2006/relationships/hyperlink" Target="http://www.abchina.com/" TargetMode="External"/><Relationship Id="rId21" Type="http://schemas.openxmlformats.org/officeDocument/2006/relationships/hyperlink" Target="http://www.psbc.com/" TargetMode="External"/><Relationship Id="rId22" Type="http://schemas.openxmlformats.org/officeDocument/2006/relationships/hyperlink" Target="http://www.bsb.com.cn/" TargetMode="External"/><Relationship Id="rId23" Type="http://schemas.openxmlformats.org/officeDocument/2006/relationships/hyperlink" Target="http://www.bjrcb.com/" TargetMode="External"/><Relationship Id="rId24" Type="http://schemas.openxmlformats.org/officeDocument/2006/relationships/hyperlink" Target="http://www.bankofbeijing.com.cn/" TargetMode="External"/><Relationship Id="rId25" Type="http://schemas.openxmlformats.org/officeDocument/2006/relationships/hyperlink" Target="http://www.ccabchina.com/" TargetMode="External"/><Relationship Id="rId26" Type="http://schemas.openxmlformats.org/officeDocument/2006/relationships/hyperlink" Target="http://www.bankofchangsha.com/" TargetMode="External"/><Relationship Id="rId27" Type="http://schemas.openxmlformats.org/officeDocument/2006/relationships/hyperlink" Target="http://www.cdrcb.com/" TargetMode="External"/><Relationship Id="rId28" Type="http://schemas.openxmlformats.org/officeDocument/2006/relationships/hyperlink" Target="http://www.bankofdl.com/" TargetMode="External"/><Relationship Id="rId29" Type="http://schemas.openxmlformats.org/officeDocument/2006/relationships/hyperlink" Target="http://www.dzbchina.com/" TargetMode="External"/><Relationship Id="rId30" Type="http://schemas.openxmlformats.org/officeDocument/2006/relationships/hyperlink" Target="http://www.drcbank.com/" TargetMode="External"/><Relationship Id="rId31" Type="http://schemas.openxmlformats.org/officeDocument/2006/relationships/hyperlink" Target="http://www.dongguanbank.cn/" TargetMode="External"/><Relationship Id="rId32" Type="http://schemas.openxmlformats.org/officeDocument/2006/relationships/hyperlink" Target="http://www.hkbea.com.cn/" TargetMode="External"/><Relationship Id="rId33" Type="http://schemas.openxmlformats.org/officeDocument/2006/relationships/hyperlink" Target="http://www.foshanbank.cn/" TargetMode="External"/><Relationship Id="rId34" Type="http://schemas.openxmlformats.org/officeDocument/2006/relationships/hyperlink" Target="http://www.fjhxbank.com/" TargetMode="External"/><Relationship Id="rId35" Type="http://schemas.openxmlformats.org/officeDocument/2006/relationships/hyperlink" Target="http://www.fudian-bank.com/" TargetMode="External"/><Relationship Id="rId36" Type="http://schemas.openxmlformats.org/officeDocument/2006/relationships/hyperlink" Target="http://www.fyrcbk.com/" TargetMode="External"/><Relationship Id="rId37" Type="http://schemas.openxmlformats.org/officeDocument/2006/relationships/hyperlink" Target="http://www.ghbank.com.cn/" TargetMode="External"/><Relationship Id="rId38" Type="http://schemas.openxmlformats.org/officeDocument/2006/relationships/hyperlink" Target="http://www.gdnybank.com/" TargetMode="External"/><Relationship Id="rId39" Type="http://schemas.openxmlformats.org/officeDocument/2006/relationships/hyperlink" Target="http://www.grcbank.com/" TargetMode="External"/><Relationship Id="rId40" Type="http://schemas.openxmlformats.org/officeDocument/2006/relationships/hyperlink" Target="http://www.gzcb.com.cn/" TargetMode="External"/><Relationship Id="rId41" Type="http://schemas.openxmlformats.org/officeDocument/2006/relationships/hyperlink" Target="http://www.hrbb.com.cn/" TargetMode="External"/><Relationship Id="rId42" Type="http://schemas.openxmlformats.org/officeDocument/2006/relationships/hyperlink" Target="http://www.urcb.com/" TargetMode="External"/><Relationship Id="rId43" Type="http://schemas.openxmlformats.org/officeDocument/2006/relationships/hyperlink" Target="http://www.hzbank.com.cn/" TargetMode="External"/><Relationship Id="rId44" Type="http://schemas.openxmlformats.org/officeDocument/2006/relationships/hyperlink" Target="http://www.hebbank.com/" TargetMode="External"/><Relationship Id="rId45" Type="http://schemas.openxmlformats.org/officeDocument/2006/relationships/hyperlink" Target="http://www.hrxjbank.com.cn/" TargetMode="External"/><Relationship Id="rId46" Type="http://schemas.openxmlformats.org/officeDocument/2006/relationships/hyperlink" Target="http://www.jlbank.com.cn/" TargetMode="External"/><Relationship Id="rId47" Type="http://schemas.openxmlformats.org/officeDocument/2006/relationships/hyperlink" Target="http://www.bojx.com/" TargetMode="External"/><Relationship Id="rId48" Type="http://schemas.openxmlformats.org/officeDocument/2006/relationships/hyperlink" Target="http://www.jnbank.com.cn/" TargetMode="External"/><Relationship Id="rId49" Type="http://schemas.openxmlformats.org/officeDocument/2006/relationships/hyperlink" Target="http://www.jsbchina.cn/" TargetMode="External"/><Relationship Id="rId50" Type="http://schemas.openxmlformats.org/officeDocument/2006/relationships/hyperlink" Target="http://www.jx-bank.com/" TargetMode="External"/><Relationship Id="rId51" Type="http://schemas.openxmlformats.org/officeDocument/2006/relationships/hyperlink" Target="http://www.jhccb.com.cn/" TargetMode="External"/><Relationship Id="rId52" Type="http://schemas.openxmlformats.org/officeDocument/2006/relationships/hyperlink" Target="http://www.jinzhoubank.com/" TargetMode="External"/><Relationship Id="rId53" Type="http://schemas.openxmlformats.org/officeDocument/2006/relationships/hyperlink" Target="http://www.jshbank.com/" TargetMode="External"/><Relationship Id="rId54" Type="http://schemas.openxmlformats.org/officeDocument/2006/relationships/hyperlink" Target="http://www.jjccb.com/" TargetMode="External"/><Relationship Id="rId55" Type="http://schemas.openxmlformats.org/officeDocument/2006/relationships/hyperlink" Target="http://www.jtnsh.com/" TargetMode="External"/><Relationship Id="rId56" Type="http://schemas.openxmlformats.org/officeDocument/2006/relationships/hyperlink" Target="http://www.klb.cn/" TargetMode="External"/><Relationship Id="rId57" Type="http://schemas.openxmlformats.org/officeDocument/2006/relationships/hyperlink" Target="http://www.ksrcb.com/" TargetMode="External"/><Relationship Id="rId58" Type="http://schemas.openxmlformats.org/officeDocument/2006/relationships/hyperlink" Target="http://www.yqbank.com/" TargetMode="External"/><Relationship Id="rId59" Type="http://schemas.openxmlformats.org/officeDocument/2006/relationships/hyperlink" Target="http://www.lj-bank.com/" TargetMode="External"/><Relationship Id="rId60" Type="http://schemas.openxmlformats.org/officeDocument/2006/relationships/hyperlink" Target="http://www.lwrcb.com/" TargetMode="External"/><Relationship Id="rId61" Type="http://schemas.openxmlformats.org/officeDocument/2006/relationships/hyperlink" Target="http://www.lcrcbank.com/" TargetMode="External"/><Relationship Id="rId62" Type="http://schemas.openxmlformats.org/officeDocument/2006/relationships/hyperlink" Target="http://www.bankofluoyang.com.cn/" TargetMode="External"/><Relationship Id="rId63" Type="http://schemas.openxmlformats.org/officeDocument/2006/relationships/hyperlink" Target="http://www.nanhaibank.com/" TargetMode="External"/><Relationship Id="rId64" Type="http://schemas.openxmlformats.org/officeDocument/2006/relationships/hyperlink" Target="http://www.njcb.com.cn/" TargetMode="External"/><Relationship Id="rId65" Type="http://schemas.openxmlformats.org/officeDocument/2006/relationships/hyperlink" Target="http://www.ncbchina.cn/cn/index.html" TargetMode="External"/><Relationship Id="rId66" Type="http://schemas.openxmlformats.org/officeDocument/2006/relationships/hyperlink" Target="http://www.nbcb.com.cn/" TargetMode="External"/><Relationship Id="rId67" Type="http://schemas.openxmlformats.org/officeDocument/2006/relationships/hyperlink" Target="http://www.pzhccb.com/" TargetMode="External"/><Relationship Id="rId68" Type="http://schemas.openxmlformats.org/officeDocument/2006/relationships/hyperlink" Target="http://www.qsbank.cc/" TargetMode="External"/><Relationship Id="rId69" Type="http://schemas.openxmlformats.org/officeDocument/2006/relationships/hyperlink" Target="http://www.qrcb.com.cn/" TargetMode="External"/><Relationship Id="rId70" Type="http://schemas.openxmlformats.org/officeDocument/2006/relationships/hyperlink" Target="http://www.qdccb.com/" TargetMode="External"/><Relationship Id="rId71" Type="http://schemas.openxmlformats.org/officeDocument/2006/relationships/hyperlink" Target="http://www.qzccbank.com/" TargetMode="External"/><Relationship Id="rId72" Type="http://schemas.openxmlformats.org/officeDocument/2006/relationships/hyperlink" Target="http://www.bankofrizhao.com.cn/" TargetMode="External"/><Relationship Id="rId73" Type="http://schemas.openxmlformats.org/officeDocument/2006/relationships/hyperlink" Target="http://www.borf.cn/" TargetMode="External"/><Relationship Id="rId74" Type="http://schemas.openxmlformats.org/officeDocument/2006/relationships/hyperlink" Target="http://www.srcb.com/" TargetMode="External"/><Relationship Id="rId75" Type="http://schemas.openxmlformats.org/officeDocument/2006/relationships/hyperlink" Target="http://www.bosc.cn/" TargetMode="External"/><Relationship Id="rId76" Type="http://schemas.openxmlformats.org/officeDocument/2006/relationships/hyperlink" Target="http://www.4001961200.com/" TargetMode="External"/><Relationship Id="rId77" Type="http://schemas.openxmlformats.org/officeDocument/2006/relationships/hyperlink" Target="http://www.sdebank.com/" TargetMode="External"/><Relationship Id="rId78" Type="http://schemas.openxmlformats.org/officeDocument/2006/relationships/hyperlink" Target="http://www.tf.cn/" TargetMode="External"/><Relationship Id="rId79" Type="http://schemas.openxmlformats.org/officeDocument/2006/relationships/hyperlink" Target="http://www.suzhoubank.com/" TargetMode="External"/><Relationship Id="rId80" Type="http://schemas.openxmlformats.org/officeDocument/2006/relationships/hyperlink" Target="http://www.bank-of-tianjin.com.cn/" TargetMode="External"/><Relationship Id="rId81" Type="http://schemas.openxmlformats.org/officeDocument/2006/relationships/hyperlink" Target="http://www.whccb.com/" TargetMode="External"/><Relationship Id="rId82" Type="http://schemas.openxmlformats.org/officeDocument/2006/relationships/hyperlink" Target="http://www.whccb.com.cn/" TargetMode="External"/><Relationship Id="rId83" Type="http://schemas.openxmlformats.org/officeDocument/2006/relationships/hyperlink" Target="http://www.webank.com/" TargetMode="External"/><Relationship Id="rId84" Type="http://schemas.openxmlformats.org/officeDocument/2006/relationships/hyperlink" Target="http://www.wfccb.com/" TargetMode="External"/><Relationship Id="rId85" Type="http://schemas.openxmlformats.org/officeDocument/2006/relationships/hyperlink" Target="http://www.uccb.com.cn/" TargetMode="External"/><Relationship Id="rId86" Type="http://schemas.openxmlformats.org/officeDocument/2006/relationships/hyperlink" Target="http://www.whrcbank.com/" TargetMode="External"/><Relationship Id="rId87" Type="http://schemas.openxmlformats.org/officeDocument/2006/relationships/hyperlink" Target="http://www.xmbankonline.com/" TargetMode="External"/><Relationship Id="rId88" Type="http://schemas.openxmlformats.org/officeDocument/2006/relationships/hyperlink" Target="http://www.xacbank.com/" TargetMode="External"/><Relationship Id="rId89" Type="http://schemas.openxmlformats.org/officeDocument/2006/relationships/hyperlink" Target="http://www.zjxsbank.com/" TargetMode="External"/><Relationship Id="rId90" Type="http://schemas.openxmlformats.org/officeDocument/2006/relationships/hyperlink" Target="http://www.yantaibank.net/" TargetMode="External"/><Relationship Id="rId91" Type="http://schemas.openxmlformats.org/officeDocument/2006/relationships/hyperlink" Target="http://www.beeb.com.cn/" TargetMode="External"/><Relationship Id="rId92" Type="http://schemas.openxmlformats.org/officeDocument/2006/relationships/hyperlink" Target="http://www.yhrcb.com/" TargetMode="External"/><Relationship Id="rId93" Type="http://schemas.openxmlformats.org/officeDocument/2006/relationships/hyperlink" Target="http://www.ynhtbank.com/" TargetMode="External"/><Relationship Id="rId94" Type="http://schemas.openxmlformats.org/officeDocument/2006/relationships/hyperlink" Target="http://www.czcb.com.cn/" TargetMode="External"/><Relationship Id="rId95" Type="http://schemas.openxmlformats.org/officeDocument/2006/relationships/hyperlink" Target="http://www.zjtlcb.com/" TargetMode="External"/><Relationship Id="rId96" Type="http://schemas.openxmlformats.org/officeDocument/2006/relationships/hyperlink" Target="http://www.zzbank.cn/" TargetMode="External"/><Relationship Id="rId97" Type="http://schemas.openxmlformats.org/officeDocument/2006/relationships/hyperlink" Target="http://www.zybank.com.cn/" TargetMode="External"/><Relationship Id="rId98" Type="http://schemas.openxmlformats.org/officeDocument/2006/relationships/hyperlink" Target="http://www.cqrcb.com/" TargetMode="External"/><Relationship Id="rId99" Type="http://schemas.openxmlformats.org/officeDocument/2006/relationships/hyperlink" Target="http://www.cqcbank.com.cn/" TargetMode="External"/><Relationship Id="rId100" Type="http://schemas.openxmlformats.org/officeDocument/2006/relationships/hyperlink" Target="http://www.crbank.com.cn/" TargetMode="External"/><Relationship Id="rId101" Type="http://schemas.openxmlformats.org/officeDocument/2006/relationships/hyperlink" Target="http://www.essence.com.cn/" TargetMode="External"/><Relationship Id="rId102" Type="http://schemas.openxmlformats.org/officeDocument/2006/relationships/hyperlink" Target="http://www.ewww.com.cn/" TargetMode="External"/><Relationship Id="rId103" Type="http://schemas.openxmlformats.org/officeDocument/2006/relationships/hyperlink" Target="http://www.s10000.com/" TargetMode="External"/><Relationship Id="rId104" Type="http://schemas.openxmlformats.org/officeDocument/2006/relationships/hyperlink" Target="http://www.ctsec.com/" TargetMode="External"/><Relationship Id="rId105" Type="http://schemas.openxmlformats.org/officeDocument/2006/relationships/hyperlink" Target="http://www.cfzq.com/" TargetMode="External"/><Relationship Id="rId106" Type="http://schemas.openxmlformats.org/officeDocument/2006/relationships/hyperlink" Target="http://www.gwgsc.com/" TargetMode="External"/><Relationship Id="rId107" Type="http://schemas.openxmlformats.org/officeDocument/2006/relationships/hyperlink" Target="http://www.cgws.com/" TargetMode="External"/><Relationship Id="rId108" Type="http://schemas.openxmlformats.org/officeDocument/2006/relationships/hyperlink" Target="http://www.95579.com/" TargetMode="External"/><Relationship Id="rId109" Type="http://schemas.openxmlformats.org/officeDocument/2006/relationships/hyperlink" Target="http://www.cczq.com/" TargetMode="External"/><Relationship Id="rId110" Type="http://schemas.openxmlformats.org/officeDocument/2006/relationships/hyperlink" Target="http://www.daton.com.cn/" TargetMode="External"/><Relationship Id="rId111" Type="http://schemas.openxmlformats.org/officeDocument/2006/relationships/hyperlink" Target="http://www.dtsbc.com.cn/" TargetMode="External"/><Relationship Id="rId112" Type="http://schemas.openxmlformats.org/officeDocument/2006/relationships/hyperlink" Target="http://www.tebon.com.cn/" TargetMode="External"/><Relationship Id="rId113" Type="http://schemas.openxmlformats.org/officeDocument/2006/relationships/hyperlink" Target="http://www.firstcapital.com.cn/" TargetMode="External"/><Relationship Id="rId114" Type="http://schemas.openxmlformats.org/officeDocument/2006/relationships/hyperlink" Target="http://www.nesc.cn/" TargetMode="External"/><Relationship Id="rId115" Type="http://schemas.openxmlformats.org/officeDocument/2006/relationships/hyperlink" Target="http://www.dfzq.com.cn/" TargetMode="External"/><Relationship Id="rId116" Type="http://schemas.openxmlformats.org/officeDocument/2006/relationships/hyperlink" Target="http://www.dgzq.com.cn/" TargetMode="External"/><Relationship Id="rId117" Type="http://schemas.openxmlformats.org/officeDocument/2006/relationships/hyperlink" Target="http://www.longone.com.cn/" TargetMode="External"/><Relationship Id="rId118" Type="http://schemas.openxmlformats.org/officeDocument/2006/relationships/hyperlink" Target="http://www.dwzq.com.cn/" TargetMode="External"/><Relationship Id="rId119" Type="http://schemas.openxmlformats.org/officeDocument/2006/relationships/hyperlink" Target="http://www.dxzq.net/" TargetMode="External"/><Relationship Id="rId120" Type="http://schemas.openxmlformats.org/officeDocument/2006/relationships/hyperlink" Target="http://www.foundersc.com/" TargetMode="External"/><Relationship Id="rId121" Type="http://schemas.openxmlformats.org/officeDocument/2006/relationships/hyperlink" Target="http://www.ebscn.com/" TargetMode="External"/><Relationship Id="rId122" Type="http://schemas.openxmlformats.org/officeDocument/2006/relationships/hyperlink" Target="http://www.gf.com.cn/" TargetMode="External"/><Relationship Id="rId123" Type="http://schemas.openxmlformats.org/officeDocument/2006/relationships/hyperlink" Target="http://www.guodu.com/" TargetMode="External"/><Relationship Id="rId124" Type="http://schemas.openxmlformats.org/officeDocument/2006/relationships/hyperlink" Target="http://www.ghzq.com.cn/" TargetMode="External"/><Relationship Id="rId125" Type="http://schemas.openxmlformats.org/officeDocument/2006/relationships/hyperlink" Target="http://www.gjzq.com.cn/" TargetMode="External"/><Relationship Id="rId126" Type="http://schemas.openxmlformats.org/officeDocument/2006/relationships/hyperlink" Target="http://www.gkzq.com.cn/" TargetMode="External"/><Relationship Id="rId127" Type="http://schemas.openxmlformats.org/officeDocument/2006/relationships/hyperlink" Target="http://www.glsc.com.cn/" TargetMode="External"/><Relationship Id="rId128" Type="http://schemas.openxmlformats.org/officeDocument/2006/relationships/hyperlink" Target="http://www.grzq.com/" TargetMode="External"/><Relationship Id="rId129" Type="http://schemas.openxmlformats.org/officeDocument/2006/relationships/hyperlink" Target="http://www.gszq.com/" TargetMode="External"/><Relationship Id="rId130" Type="http://schemas.openxmlformats.org/officeDocument/2006/relationships/hyperlink" Target="http://www.gtja.com/" TargetMode="External"/><Relationship Id="rId131" Type="http://schemas.openxmlformats.org/officeDocument/2006/relationships/hyperlink" Target="http://www.guosen.com.cn/" TargetMode="External"/><Relationship Id="rId132" Type="http://schemas.openxmlformats.org/officeDocument/2006/relationships/hyperlink" Target="http://www.gyzq.com.cn/" TargetMode="External"/><Relationship Id="rId133" Type="http://schemas.openxmlformats.org/officeDocument/2006/relationships/hyperlink" Target="http://www.htsec.com/" TargetMode="External"/><Relationship Id="rId134" Type="http://schemas.openxmlformats.org/officeDocument/2006/relationships/hyperlink" Target="http://www.cnht.com.cn/" TargetMode="External"/><Relationship Id="rId135" Type="http://schemas.openxmlformats.org/officeDocument/2006/relationships/hyperlink" Target="http://www.hongtastock.com/" TargetMode="External"/><Relationship Id="rId136" Type="http://schemas.openxmlformats.org/officeDocument/2006/relationships/hyperlink" Target="http://www.hazq.com/" TargetMode="External"/><Relationship Id="rId137" Type="http://schemas.openxmlformats.org/officeDocument/2006/relationships/hyperlink" Target="http://www.cnhbstock.com/" TargetMode="External"/><Relationship Id="rId138" Type="http://schemas.openxmlformats.org/officeDocument/2006/relationships/hyperlink" Target="http://www.hfzq.com.cn/" TargetMode="External"/><Relationship Id="rId139" Type="http://schemas.openxmlformats.org/officeDocument/2006/relationships/hyperlink" Target="http://www.huajinsc.cn/" TargetMode="External"/><Relationship Id="rId140" Type="http://schemas.openxmlformats.org/officeDocument/2006/relationships/hyperlink" Target="http://www.chinalin.com/" TargetMode="External"/><Relationship Id="rId141" Type="http://schemas.openxmlformats.org/officeDocument/2006/relationships/hyperlink" Target="http://www.hlzq.com/" TargetMode="External"/><Relationship Id="rId142" Type="http://schemas.openxmlformats.org/officeDocument/2006/relationships/hyperlink" Target="http://www.hrsec.com.cn/" TargetMode="External"/><Relationship Id="rId143" Type="http://schemas.openxmlformats.org/officeDocument/2006/relationships/hyperlink" Target="http://www.htsc.com.cn/" TargetMode="External"/><Relationship Id="rId144" Type="http://schemas.openxmlformats.org/officeDocument/2006/relationships/hyperlink" Target="http://www.hx168.com.cn/" TargetMode="External"/><Relationship Id="rId145" Type="http://schemas.openxmlformats.org/officeDocument/2006/relationships/hyperlink" Target="http://www.cfsc.com.cn/" TargetMode="External"/><Relationship Id="rId146" Type="http://schemas.openxmlformats.org/officeDocument/2006/relationships/hyperlink" Target="http://www.shhxzq.com/" TargetMode="External"/><Relationship Id="rId147" Type="http://schemas.openxmlformats.org/officeDocument/2006/relationships/hyperlink" Target="http://www.jhzq.com.cn/" TargetMode="External"/><Relationship Id="rId148" Type="http://schemas.openxmlformats.org/officeDocument/2006/relationships/hyperlink" Target="http://www.jyzq.cn/" TargetMode="External"/><Relationship Id="rId149" Type="http://schemas.openxmlformats.org/officeDocument/2006/relationships/hyperlink" Target="http://www.jzsec.com/" TargetMode="External"/><Relationship Id="rId150" Type="http://schemas.openxmlformats.org/officeDocument/2006/relationships/hyperlink" Target="http://www.kysec.cn/" TargetMode="External"/><Relationship Id="rId151" Type="http://schemas.openxmlformats.org/officeDocument/2006/relationships/hyperlink" Target="http://www.lczq.com/" TargetMode="External"/><Relationship Id="rId152" Type="http://schemas.openxmlformats.org/officeDocument/2006/relationships/hyperlink" Target="http://www.mszq.com/" TargetMode="External"/><Relationship Id="rId153" Type="http://schemas.openxmlformats.org/officeDocument/2006/relationships/hyperlink" Target="http://www.njzq.com.cn/" TargetMode="External"/><Relationship Id="rId154" Type="http://schemas.openxmlformats.org/officeDocument/2006/relationships/hyperlink" Target="http://www.ubs.com/ubssecurities" TargetMode="External"/><Relationship Id="rId155" Type="http://schemas.openxmlformats.org/officeDocument/2006/relationships/hyperlink" Target="http://www.i618.com.cn/" TargetMode="External"/><Relationship Id="rId156" Type="http://schemas.openxmlformats.org/officeDocument/2006/relationships/hyperlink" Target="http://www.shzq.com/" TargetMode="External"/><Relationship Id="rId157" Type="http://schemas.openxmlformats.org/officeDocument/2006/relationships/hyperlink" Target="http://www.hysec.com/" TargetMode="External"/><Relationship Id="rId158" Type="http://schemas.openxmlformats.org/officeDocument/2006/relationships/hyperlink" Target="http://www.swhysc.com/" TargetMode="External"/><Relationship Id="rId159" Type="http://schemas.openxmlformats.org/officeDocument/2006/relationships/hyperlink" Target="http://www.csco.com.cn/" TargetMode="External"/><Relationship Id="rId160" Type="http://schemas.openxmlformats.org/officeDocument/2006/relationships/hyperlink" Target="http://www.sczq.com.cn/" TargetMode="External"/><Relationship Id="rId161" Type="http://schemas.openxmlformats.org/officeDocument/2006/relationships/hyperlink" Target="http://www.tfzq.com/" TargetMode="External"/><Relationship Id="rId162" Type="http://schemas.openxmlformats.org/officeDocument/2006/relationships/hyperlink" Target="http://www.wlzq.cn/" TargetMode="External"/><Relationship Id="rId163" Type="http://schemas.openxmlformats.org/officeDocument/2006/relationships/hyperlink" Target="http://www.wkzq.com.cn/" TargetMode="External"/><Relationship Id="rId164" Type="http://schemas.openxmlformats.org/officeDocument/2006/relationships/hyperlink" Target="http://www.westsecu.com/" TargetMode="External"/><Relationship Id="rId165" Type="http://schemas.openxmlformats.org/officeDocument/2006/relationships/hyperlink" Target="http://www.swsc.com.cn/" TargetMode="External"/><Relationship Id="rId166" Type="http://schemas.openxmlformats.org/officeDocument/2006/relationships/hyperlink" Target="http://www.xcsc.com/" TargetMode="External"/><Relationship Id="rId167" Type="http://schemas.openxmlformats.org/officeDocument/2006/relationships/hyperlink" Target="http://www.xsdzq.cn/" TargetMode="External"/><Relationship Id="rId168" Type="http://schemas.openxmlformats.org/officeDocument/2006/relationships/hyperlink" Target="http://www.cindasc.com/" TargetMode="External"/><Relationship Id="rId169" Type="http://schemas.openxmlformats.org/officeDocument/2006/relationships/hyperlink" Target="http://www.xyzq.com.cn/" TargetMode="External"/><Relationship Id="rId170" Type="http://schemas.openxmlformats.org/officeDocument/2006/relationships/hyperlink" Target="http://www.chinastock.com.cn/" TargetMode="External"/><Relationship Id="rId171" Type="http://schemas.openxmlformats.org/officeDocument/2006/relationships/hyperlink" Target="http://www.ykzq.com/" TargetMode="External"/><Relationship Id="rId172" Type="http://schemas.openxmlformats.org/officeDocument/2006/relationships/hyperlink" Target="http://www.newone.com.cn/" TargetMode="External"/><Relationship Id="rId173" Type="http://schemas.openxmlformats.org/officeDocument/2006/relationships/hyperlink" Target="http://www.stocke.com.cn/" TargetMode="External"/><Relationship Id="rId174" Type="http://schemas.openxmlformats.org/officeDocument/2006/relationships/hyperlink" Target="http://www.avicsec.com/" TargetMode="External"/><Relationship Id="rId175" Type="http://schemas.openxmlformats.org/officeDocument/2006/relationships/hyperlink" Target="http://www.ciccwm.com/" TargetMode="External"/><Relationship Id="rId176" Type="http://schemas.openxmlformats.org/officeDocument/2006/relationships/hyperlink" Target="http://www.cicc.com.cn/" TargetMode="External"/><Relationship Id="rId177" Type="http://schemas.openxmlformats.org/officeDocument/2006/relationships/hyperlink" Target="http://www.zszq.com/" TargetMode="External"/><Relationship Id="rId178" Type="http://schemas.openxmlformats.org/officeDocument/2006/relationships/hyperlink" Target="http://www.zts.com.cn/" TargetMode="External"/><Relationship Id="rId179" Type="http://schemas.openxmlformats.org/officeDocument/2006/relationships/hyperlink" Target="http://www.iztzq.com/" TargetMode="External"/><Relationship Id="rId180" Type="http://schemas.openxmlformats.org/officeDocument/2006/relationships/hyperlink" Target="http://www.csc108.com/" TargetMode="External"/><Relationship Id="rId181" Type="http://schemas.openxmlformats.org/officeDocument/2006/relationships/hyperlink" Target="http://www.cs.ecitic.com/" TargetMode="External"/><Relationship Id="rId182" Type="http://schemas.openxmlformats.org/officeDocument/2006/relationships/hyperlink" Target="http://www.gzs.com.cn/" TargetMode="External"/><Relationship Id="rId183" Type="http://schemas.openxmlformats.org/officeDocument/2006/relationships/hyperlink" Target="http://sd.citics.com/" TargetMode="External"/><Relationship Id="rId184" Type="http://schemas.openxmlformats.org/officeDocument/2006/relationships/hyperlink" Target="http://www.bocichina.com/" TargetMode="External"/><Relationship Id="rId185" Type="http://schemas.openxmlformats.org/officeDocument/2006/relationships/hyperlink" Target="http://www.cnpsec.com/" TargetMode="External"/><Relationship Id="rId186" Type="http://schemas.openxmlformats.org/officeDocument/2006/relationships/hyperlink" Target="http://www.ccnew.com/" TargetMode="External"/><Relationship Id="rId187" Type="http://schemas.openxmlformats.org/officeDocument/2006/relationships/hyperlink" Target="http://www.baiyingfund.com/" TargetMode="External"/><Relationship Id="rId188" Type="http://schemas.openxmlformats.org/officeDocument/2006/relationships/hyperlink" Target="http://www.erichfund.com/" TargetMode="External"/><Relationship Id="rId189" Type="http://schemas.openxmlformats.org/officeDocument/2006/relationships/hyperlink" Target="http://www.998fund.com/" TargetMode="External"/><Relationship Id="rId190" Type="http://schemas.openxmlformats.org/officeDocument/2006/relationships/hyperlink" Target="http://www.5irich.com/" TargetMode="External"/><Relationship Id="rId191" Type="http://schemas.openxmlformats.org/officeDocument/2006/relationships/hyperlink" Target="http://www.dtfunds.com/" TargetMode="External"/><Relationship Id="rId192" Type="http://schemas.openxmlformats.org/officeDocument/2006/relationships/hyperlink" Target="http://www.wg.com.cn/" TargetMode="External"/><Relationship Id="rId193" Type="http://schemas.openxmlformats.org/officeDocument/2006/relationships/hyperlink" Target="http://www.9ifund.com/" TargetMode="External"/><Relationship Id="rId194" Type="http://schemas.openxmlformats.org/officeDocument/2006/relationships/hyperlink" Target="http://www.dzqh.com.cn/" TargetMode="External"/><Relationship Id="rId195" Type="http://schemas.openxmlformats.org/officeDocument/2006/relationships/hyperlink" Target="http://www.puyifund.com/" TargetMode="External"/><Relationship Id="rId196" Type="http://schemas.openxmlformats.org/officeDocument/2006/relationships/hyperlink" Target="http://www.fujifund.cn/" TargetMode="External"/><Relationship Id="rId197" Type="http://schemas.openxmlformats.org/officeDocument/2006/relationships/hyperlink" Target="http://www.fundhaiyin.com/" TargetMode="External"/><Relationship Id="rId198" Type="http://schemas.openxmlformats.org/officeDocument/2006/relationships/hyperlink" Target="http://www.ehowbuy.com/" TargetMode="External"/><Relationship Id="rId199" Type="http://schemas.openxmlformats.org/officeDocument/2006/relationships/hyperlink" Target="http://www.hx-sales.com/" TargetMode="External"/><Relationship Id="rId200" Type="http://schemas.openxmlformats.org/officeDocument/2006/relationships/hyperlink" Target="http://licaike.hexun.com/" TargetMode="External"/><Relationship Id="rId201" Type="http://schemas.openxmlformats.org/officeDocument/2006/relationships/hyperlink" Target="http://www.chtwm.com/" TargetMode="External"/><Relationship Id="rId202" Type="http://schemas.openxmlformats.org/officeDocument/2006/relationships/hyperlink" Target="http://www.ftol.com.cn/" TargetMode="External"/><Relationship Id="rId203" Type="http://schemas.openxmlformats.org/officeDocument/2006/relationships/hyperlink" Target="http://www.hongdianfund.com/" TargetMode="External"/><Relationship Id="rId204" Type="http://schemas.openxmlformats.org/officeDocument/2006/relationships/hyperlink" Target="http://www.huaruisales.com/" TargetMode="External"/><Relationship Id="rId205" Type="http://schemas.openxmlformats.org/officeDocument/2006/relationships/hyperlink" Target="http://www.amcfortune.com/" TargetMode="External"/><Relationship Id="rId206" Type="http://schemas.openxmlformats.org/officeDocument/2006/relationships/hyperlink" Target="http://www.hsqh.net/" TargetMode="External"/><Relationship Id="rId207" Type="http://schemas.openxmlformats.org/officeDocument/2006/relationships/hyperlink" Target="http://www.hcjijin.com/" TargetMode="External"/><Relationship Id="rId208" Type="http://schemas.openxmlformats.org/officeDocument/2006/relationships/hyperlink" Target="http://www.hotjijin.com/" TargetMode="External"/><Relationship Id="rId209" Type="http://schemas.openxmlformats.org/officeDocument/2006/relationships/hyperlink" Target="http://www.jianfortune.com/" TargetMode="External"/><Relationship Id="rId210" Type="http://schemas.openxmlformats.org/officeDocument/2006/relationships/hyperlink" Target="http://www.bzfunds.com/" TargetMode="External"/><Relationship Id="rId211" Type="http://schemas.openxmlformats.org/officeDocument/2006/relationships/hyperlink" Target="http://www.harvestwm.cn/" TargetMode="External"/><Relationship Id="rId212" Type="http://schemas.openxmlformats.org/officeDocument/2006/relationships/hyperlink" Target="http://www.jsjbl.com/" TargetMode="External"/><Relationship Id="rId213" Type="http://schemas.openxmlformats.org/officeDocument/2006/relationships/hyperlink" Target="http://www.jincheng-fund.com/" TargetMode="External"/><Relationship Id="rId214" Type="http://schemas.openxmlformats.org/officeDocument/2006/relationships/hyperlink" Target="http://www.jfcta.com/" TargetMode="External"/><Relationship Id="rId215" Type="http://schemas.openxmlformats.org/officeDocument/2006/relationships/hyperlink" Target="http://www.vstonewealth.com/" TargetMode="External"/><Relationship Id="rId216" Type="http://schemas.openxmlformats.org/officeDocument/2006/relationships/hyperlink" Target="http://fund.jd.com/" TargetMode="External"/><Relationship Id="rId217" Type="http://schemas.openxmlformats.org/officeDocument/2006/relationships/hyperlink" Target="http://www.leadfund.com.cn/" TargetMode="External"/><Relationship Id="rId218" Type="http://schemas.openxmlformats.org/officeDocument/2006/relationships/hyperlink" Target="http://www.66zichan.com/" TargetMode="External"/><Relationship Id="rId219" Type="http://schemas.openxmlformats.org/officeDocument/2006/relationships/hyperlink" Target="http://www.lufunds.com/" TargetMode="External"/><Relationship Id="rId220" Type="http://schemas.openxmlformats.org/officeDocument/2006/relationships/hyperlink" Target="http://www.fund123.cn/" TargetMode="External"/><Relationship Id="rId221" Type="http://schemas.openxmlformats.org/officeDocument/2006/relationships/hyperlink" Target="http://www.msftec.com/" TargetMode="External"/><Relationship Id="rId222" Type="http://schemas.openxmlformats.org/officeDocument/2006/relationships/hyperlink" Target="http://www.noah-fund.com/" TargetMode="External"/><Relationship Id="rId223" Type="http://schemas.openxmlformats.org/officeDocument/2006/relationships/hyperlink" Target="http://www.zscffund.com/" TargetMode="External"/><Relationship Id="rId224" Type="http://schemas.openxmlformats.org/officeDocument/2006/relationships/hyperlink" Target="http://www.qianjing.com/" TargetMode="External"/><Relationship Id="rId225" Type="http://schemas.openxmlformats.org/officeDocument/2006/relationships/hyperlink" Target="http://8.jrj.com.cn/" TargetMode="External"/><Relationship Id="rId226" Type="http://schemas.openxmlformats.org/officeDocument/2006/relationships/hyperlink" Target="http://www.shengshiview.com/" TargetMode="External"/><Relationship Id="rId227" Type="http://schemas.openxmlformats.org/officeDocument/2006/relationships/hyperlink" Target="http://www.snjijin.com/" TargetMode="External"/><Relationship Id="rId228" Type="http://schemas.openxmlformats.org/officeDocument/2006/relationships/hyperlink" Target="http://www.txfund.com/" TargetMode="External"/><Relationship Id="rId229" Type="http://schemas.openxmlformats.org/officeDocument/2006/relationships/hyperlink" Target="http://www.1234567.com.cn/" TargetMode="External"/><Relationship Id="rId230" Type="http://schemas.openxmlformats.org/officeDocument/2006/relationships/hyperlink" Target="http://www.tonghuafund.com/" TargetMode="External"/><Relationship Id="rId231" Type="http://schemas.openxmlformats.org/officeDocument/2006/relationships/hyperlink" Target="http://www.5ifund.com/" TargetMode="External"/><Relationship Id="rId232" Type="http://schemas.openxmlformats.org/officeDocument/2006/relationships/hyperlink" Target="http://jr.tuniu.com/" TargetMode="External"/><Relationship Id="rId233" Type="http://schemas.openxmlformats.org/officeDocument/2006/relationships/hyperlink" Target="http://www.wacaijijin.com/" TargetMode="External"/><Relationship Id="rId234" Type="http://schemas.openxmlformats.org/officeDocument/2006/relationships/hyperlink" Target="http://www.520fund.com.cn/" TargetMode="External"/><Relationship Id="rId235" Type="http://schemas.openxmlformats.org/officeDocument/2006/relationships/hyperlink" Target="http://www.wanjiawealth.com/" TargetMode="External"/><Relationship Id="rId236" Type="http://schemas.openxmlformats.org/officeDocument/2006/relationships/hyperlink" Target="http://www.xincai.com/" TargetMode="External"/><Relationship Id="rId237" Type="http://schemas.openxmlformats.org/officeDocument/2006/relationships/hyperlink" Target="http://www.xds.com.cn/" TargetMode="External"/><Relationship Id="rId238" Type="http://schemas.openxmlformats.org/officeDocument/2006/relationships/hyperlink" Target="http://fund.sinosig.com/" TargetMode="External"/><Relationship Id="rId239" Type="http://schemas.openxmlformats.org/officeDocument/2006/relationships/hyperlink" Target="http://www.yilucaifu.com/" TargetMode="External"/><Relationship Id="rId240" Type="http://schemas.openxmlformats.org/officeDocument/2006/relationships/hyperlink" Target="http://www.yitfund.com/" TargetMode="External"/><Relationship Id="rId241" Type="http://schemas.openxmlformats.org/officeDocument/2006/relationships/hyperlink" Target="http://www.yixinfund.com/" TargetMode="External"/><Relationship Id="rId242" Type="http://schemas.openxmlformats.org/officeDocument/2006/relationships/hyperlink" Target="http://www.ifastps.com.cn/" TargetMode="External"/><Relationship Id="rId243" Type="http://schemas.openxmlformats.org/officeDocument/2006/relationships/hyperlink" Target="http://www.yingmi.cn/" TargetMode="External"/><Relationship Id="rId244" Type="http://schemas.openxmlformats.org/officeDocument/2006/relationships/hyperlink" Target="http://www.zhengtongfunds.com/" TargetMode="External"/><Relationship Id="rId245" Type="http://schemas.openxmlformats.org/officeDocument/2006/relationships/hyperlink" Target="http://www.zcvc.com.cn/" TargetMode="External"/><Relationship Id="rId246" Type="http://schemas.openxmlformats.org/officeDocument/2006/relationships/hyperlink" Target="http://www.myfund.com/" TargetMode="External"/><Relationship Id="rId247" Type="http://schemas.openxmlformats.org/officeDocument/2006/relationships/hyperlink" Target="http://www.cifco.net/" TargetMode="External"/><Relationship Id="rId248" Type="http://schemas.openxmlformats.org/officeDocument/2006/relationships/hyperlink" Target="http://www.qiangungun.com/" TargetMode="External"/><Relationship Id="rId249" Type="http://schemas.openxmlformats.org/officeDocument/2006/relationships/hyperlink" Target="http://www.jrtoo.com/" TargetMode="External"/><Relationship Id="rId250" Type="http://schemas.openxmlformats.org/officeDocument/2006/relationships/hyperlink" Target="http://www.cfc108.com/" TargetMode="External"/><Relationship Id="rId251" Type="http://schemas.openxmlformats.org/officeDocument/2006/relationships/hyperlink" Target="http://www.citicsf.com/" TargetMode="External"/><Relationship Id="rId252" Type="http://schemas.openxmlformats.org/officeDocument/2006/relationships/hyperlink" Target="http://www.zhongzhengfund.com/" TargetMode="External"/><Relationship Id="rId253" Type="http://schemas.openxmlformats.org/officeDocument/2006/relationships/hyperlink" Target="http://www.jnlc.com/" TargetMode="External"/><Relationship Id="rId254" Type="http://schemas.openxmlformats.org/officeDocument/2006/relationships/hyperlink" Target="http://www.zlfund.cn/" TargetMode="External"/><Relationship Id="rId255" Type="http://schemas.openxmlformats.org/officeDocument/2006/relationships/hyperlink" Target="http://www.jjmmw.com/" TargetMode="External"/><Relationship Id="rId256" Type="http://schemas.openxmlformats.org/officeDocument/2006/relationships/hyperlink" Target="mailto:service@efunds.com.cn" TargetMode="External"/><Relationship Id="rId2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2020-11-18T05:55:23Z</dcterms:created>
  <dcterms:modified xsi:type="dcterms:W3CDTF">2020-11-18T05:55:23Z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