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P="00397616" w:rsidR="00F13451" w:rsidRDefault="00F13451" w:rsidRPr="00820253">
      <w:pPr>
        <w:autoSpaceDE w:val="0"/>
        <w:autoSpaceDN w:val="0"/>
        <w:adjustRightInd w:val="0"/>
        <w:spacing w:line="360" w:lineRule="auto"/>
        <w:jc w:val="left"/>
        <w:rPr>
          <w:rFonts w:ascii="宋体" w:cs="Arial"/>
          <w:color w:val="000000"/>
          <w:kern w:val="0"/>
          <w:sz w:val="24"/>
        </w:rPr>
      </w:pPr>
    </w:p>
    <w:p w:rsidP="00397616" w:rsidR="00F13451" w:rsidRDefault="00F13451" w:rsidRPr="00820253">
      <w:pPr>
        <w:autoSpaceDE w:val="0"/>
        <w:autoSpaceDN w:val="0"/>
        <w:adjustRightInd w:val="0"/>
        <w:spacing w:line="360" w:lineRule="auto"/>
        <w:jc w:val="left"/>
        <w:rPr>
          <w:rFonts w:ascii="宋体" w:cs="Arial"/>
          <w:color w:val="000000"/>
          <w:kern w:val="0"/>
          <w:sz w:val="24"/>
        </w:rPr>
      </w:pPr>
    </w:p>
    <w:p w:rsidP="00397616" w:rsidR="00F13451" w:rsidRDefault="00F13451" w:rsidRPr="00820253">
      <w:pPr>
        <w:autoSpaceDE w:val="0"/>
        <w:autoSpaceDN w:val="0"/>
        <w:adjustRightInd w:val="0"/>
        <w:spacing w:line="360" w:lineRule="auto"/>
        <w:jc w:val="left"/>
        <w:rPr>
          <w:rFonts w:ascii="宋体" w:cs="Arial"/>
          <w:color w:val="000000"/>
          <w:kern w:val="0"/>
          <w:sz w:val="24"/>
        </w:rPr>
      </w:pPr>
    </w:p>
    <w:p w:rsidP="00397616" w:rsidR="00F13451" w:rsidRDefault="00F13451" w:rsidRPr="00820253">
      <w:pPr>
        <w:autoSpaceDE w:val="0"/>
        <w:autoSpaceDN w:val="0"/>
        <w:adjustRightInd w:val="0"/>
        <w:spacing w:line="360" w:lineRule="auto"/>
        <w:jc w:val="left"/>
        <w:rPr>
          <w:rFonts w:ascii="宋体" w:cs="Arial"/>
          <w:color w:val="000000"/>
          <w:kern w:val="0"/>
          <w:sz w:val="24"/>
        </w:rPr>
      </w:pPr>
    </w:p>
    <w:p w:rsidP="004A355B" w:rsidR="00F13451" w:rsidRDefault="00F13451" w:rsidRPr="00820253">
      <w:pPr>
        <w:autoSpaceDE w:val="0"/>
        <w:autoSpaceDN w:val="0"/>
        <w:adjustRightInd w:val="0"/>
        <w:spacing w:line="360" w:lineRule="auto"/>
        <w:jc w:val="left"/>
        <w:rPr>
          <w:rFonts w:ascii="宋体" w:cs="Arial"/>
          <w:color w:val="000000"/>
          <w:kern w:val="0"/>
          <w:sz w:val="24"/>
        </w:rPr>
      </w:pPr>
    </w:p>
    <w:p w:rsidP="001A149A" w:rsidR="00F13451" w:rsidRDefault="00F13451" w:rsidRPr="00820253">
      <w:pPr>
        <w:spacing w:line="360" w:lineRule="auto"/>
        <w:jc w:val="center"/>
        <w:rPr>
          <w:rFonts w:ascii="宋体" w:hAnsi="宋体"/>
          <w:b/>
          <w:sz w:val="36"/>
          <w:szCs w:val="36"/>
        </w:rPr>
      </w:pPr>
      <w:r w:rsidRPr="00820253">
        <w:rPr>
          <w:rFonts w:ascii="宋体"/>
          <w:b/>
          <w:sz w:val="36"/>
          <w:szCs w:val="36"/>
        </w:rPr>
        <w:t/>
      </w:r>
      <w:proofErr w:type="spellStart"/>
      <w:proofErr w:type="gramStart"/>
      <w:r w:rsidRPr="00820253">
        <w:rPr>
          <w:rFonts w:ascii="宋体" w:hAnsi="宋体"/>
          <w:b/>
          <w:sz w:val="36"/>
          <w:szCs w:val="36"/>
        </w:rPr>
        <w:t/>
      </w:r>
      <w:proofErr w:type="spellEnd"/>
      <w:proofErr w:type="gramEnd"/>
      <w:r w:rsidRPr="00820253">
        <w:rPr>
          <w:rFonts w:ascii="宋体" w:hAnsi="宋体"/>
          <w:b/>
          <w:sz w:val="36"/>
          <w:szCs w:val="36"/>
        </w:rPr>
        <w:t>易方达标普信息科技指数证券投资基金（LOF）</w:t>
      </w:r>
    </w:p>
    <w:p w:rsidP="001A149A" w:rsidR="00F13451" w:rsidRDefault="00F13451" w:rsidRPr="00820253">
      <w:pPr>
        <w:spacing w:line="360" w:lineRule="auto"/>
        <w:jc w:val="center"/>
        <w:rPr>
          <w:rFonts w:ascii="宋体" w:hAnsi="宋体"/>
          <w:b/>
          <w:sz w:val="36"/>
          <w:szCs w:val="36"/>
        </w:rPr>
      </w:pPr>
      <w:r w:rsidRPr="00820253">
        <w:rPr>
          <w:rFonts w:ascii="宋体" w:hAnsi="宋体"/>
          <w:b/>
          <w:sz w:val="36"/>
          <w:szCs w:val="36"/>
        </w:rPr>
        <w:t/>
      </w:r>
      <w:proofErr w:type="spellStart"/>
      <w:r w:rsidRPr="00820253">
        <w:rPr>
          <w:rFonts w:ascii="宋体" w:hAnsi="宋体"/>
          <w:b/>
          <w:sz w:val="36"/>
          <w:szCs w:val="36"/>
        </w:rPr>
        <w:t/>
      </w:r>
      <w:proofErr w:type="spellEnd"/>
      <w:r w:rsidRPr="00820253">
        <w:rPr>
          <w:rFonts w:ascii="宋体" w:hAnsi="宋体"/>
          <w:b/>
          <w:sz w:val="36"/>
          <w:szCs w:val="36"/>
        </w:rPr>
        <w:t>2020年第3季度报告</w:t>
      </w:r>
    </w:p>
    <w:p w:rsidP="001A149A" w:rsidR="00F13451" w:rsidRDefault="00F13451" w:rsidRPr="005771AC">
      <w:pPr>
        <w:spacing w:line="360" w:lineRule="auto"/>
        <w:jc w:val="center"/>
        <w:rPr>
          <w:rFonts w:ascii="宋体" w:hAnsi="宋体"/>
          <w:b/>
          <w:sz w:val="24"/>
          <w:szCs w:val="36"/>
        </w:rPr>
      </w:pPr>
      <w:r w:rsidRPr="005771AC">
        <w:rPr>
          <w:rFonts w:ascii="宋体"/>
          <w:b/>
          <w:sz w:val="24"/>
          <w:szCs w:val="36"/>
        </w:rPr>
        <w:t/>
      </w:r>
      <w:proofErr w:type="spellStart"/>
      <w:proofErr w:type="gramStart"/>
      <w:r w:rsidRPr="005771AC">
        <w:rPr>
          <w:rFonts w:ascii="宋体" w:hAnsi="宋体"/>
          <w:b/>
          <w:sz w:val="24"/>
          <w:szCs w:val="36"/>
        </w:rPr>
        <w:t/>
      </w:r>
      <w:proofErr w:type="spellEnd"/>
      <w:proofErr w:type="gramEnd"/>
      <w:r w:rsidRPr="005771AC">
        <w:rPr>
          <w:rFonts w:ascii="宋体" w:hAnsi="宋体"/>
          <w:b/>
          <w:sz w:val="24"/>
          <w:szCs w:val="36"/>
        </w:rPr>
        <w:t>2020年9月30日</w:t>
      </w:r>
    </w:p>
    <w:p w:rsidP="00397616" w:rsidR="00F13451" w:rsidRDefault="00F13451" w:rsidRPr="00820253">
      <w:pPr>
        <w:spacing w:line="360" w:lineRule="auto"/>
        <w:jc w:val="center"/>
        <w:rPr>
          <w:rFonts w:ascii="宋体"/>
          <w:b/>
          <w:color w:val="000000"/>
          <w:sz w:val="24"/>
        </w:rPr>
      </w:pPr>
    </w:p>
    <w:p w:rsidP="00397616" w:rsidR="00F13451" w:rsidRDefault="00F13451" w:rsidRPr="00820253">
      <w:pPr>
        <w:spacing w:line="360" w:lineRule="auto"/>
        <w:jc w:val="center"/>
        <w:rPr>
          <w:rFonts w:ascii="宋体"/>
          <w:b/>
          <w:color w:val="000000"/>
          <w:sz w:val="24"/>
        </w:rPr>
      </w:pPr>
    </w:p>
    <w:p w:rsidP="00397616" w:rsidR="00F13451" w:rsidRDefault="00F13451" w:rsidRPr="00820253">
      <w:pPr>
        <w:spacing w:line="360" w:lineRule="auto"/>
        <w:jc w:val="center"/>
        <w:rPr>
          <w:rFonts w:ascii="宋体"/>
          <w:b/>
          <w:color w:val="000000"/>
          <w:sz w:val="24"/>
        </w:rPr>
      </w:pPr>
    </w:p>
    <w:p w:rsidP="00397616" w:rsidR="00F13451" w:rsidRDefault="00F13451" w:rsidRPr="00820253">
      <w:pPr>
        <w:spacing w:line="360" w:lineRule="auto"/>
        <w:jc w:val="center"/>
        <w:rPr>
          <w:rFonts w:ascii="宋体"/>
          <w:b/>
          <w:color w:val="000000"/>
          <w:sz w:val="24"/>
        </w:rPr>
      </w:pPr>
    </w:p>
    <w:p w:rsidP="00397616" w:rsidR="00F13451" w:rsidRDefault="00F13451" w:rsidRPr="00820253">
      <w:pPr>
        <w:spacing w:line="360" w:lineRule="auto"/>
        <w:jc w:val="center"/>
        <w:rPr>
          <w:rFonts w:ascii="宋体"/>
          <w:b/>
          <w:color w:val="000000"/>
          <w:sz w:val="24"/>
        </w:rPr>
      </w:pPr>
    </w:p>
    <w:p w:rsidP="00397616" w:rsidR="00F13451" w:rsidRDefault="00F13451" w:rsidRPr="00820253">
      <w:pPr>
        <w:spacing w:line="360" w:lineRule="auto"/>
        <w:jc w:val="center"/>
        <w:rPr>
          <w:rFonts w:ascii="宋体"/>
          <w:b/>
          <w:color w:val="000000"/>
          <w:sz w:val="24"/>
        </w:rPr>
      </w:pPr>
    </w:p>
    <w:p w:rsidP="00397616" w:rsidR="00F13451" w:rsidRDefault="00F13451" w:rsidRPr="00820253">
      <w:pPr>
        <w:spacing w:line="360" w:lineRule="auto"/>
        <w:jc w:val="center"/>
        <w:rPr>
          <w:rFonts w:ascii="宋体"/>
          <w:b/>
          <w:color w:val="000000"/>
          <w:sz w:val="24"/>
        </w:rPr>
      </w:pPr>
    </w:p>
    <w:p w:rsidP="00397616" w:rsidR="00F13451" w:rsidRDefault="00F13451" w:rsidRPr="00820253">
      <w:pPr>
        <w:spacing w:line="360" w:lineRule="auto"/>
        <w:jc w:val="center"/>
        <w:rPr>
          <w:rFonts w:ascii="宋体"/>
          <w:b/>
          <w:color w:val="000000"/>
          <w:sz w:val="24"/>
        </w:rPr>
      </w:pPr>
    </w:p>
    <w:p w:rsidP="00397616" w:rsidR="00F13451" w:rsidRDefault="00F13451" w:rsidRPr="00820253">
      <w:pPr>
        <w:spacing w:line="360" w:lineRule="auto"/>
        <w:jc w:val="center"/>
        <w:rPr>
          <w:rFonts w:ascii="宋体"/>
          <w:b/>
          <w:color w:val="000000"/>
          <w:sz w:val="24"/>
        </w:rPr>
      </w:pPr>
    </w:p>
    <w:p w:rsidP="00397616" w:rsidR="00F13451" w:rsidRDefault="00F13451" w:rsidRPr="00820253">
      <w:pPr>
        <w:spacing w:line="360" w:lineRule="auto"/>
        <w:jc w:val="center"/>
        <w:rPr>
          <w:rFonts w:ascii="宋体"/>
          <w:b/>
          <w:color w:val="000000"/>
          <w:sz w:val="24"/>
        </w:rPr>
      </w:pPr>
    </w:p>
    <w:p w:rsidP="00397616" w:rsidR="00F13451" w:rsidRDefault="00F13451" w:rsidRPr="00820253">
      <w:pPr>
        <w:spacing w:line="360" w:lineRule="auto"/>
        <w:jc w:val="center"/>
        <w:rPr>
          <w:rFonts w:ascii="宋体"/>
          <w:b/>
          <w:color w:val="000000"/>
          <w:sz w:val="24"/>
        </w:rPr>
      </w:pPr>
    </w:p>
    <w:p w:rsidP="00397616" w:rsidR="00F13451" w:rsidRDefault="00F13451" w:rsidRPr="00820253">
      <w:pPr>
        <w:spacing w:line="360" w:lineRule="auto"/>
        <w:jc w:val="center"/>
        <w:rPr>
          <w:rFonts w:ascii="宋体"/>
          <w:b/>
          <w:color w:val="000000"/>
          <w:sz w:val="24"/>
        </w:rPr>
      </w:pPr>
    </w:p>
    <w:p w:rsidP="00397616" w:rsidR="00F13451" w:rsidRDefault="00F13451" w:rsidRPr="00820253">
      <w:pPr>
        <w:spacing w:line="360" w:lineRule="auto"/>
        <w:jc w:val="center"/>
        <w:rPr>
          <w:rFonts w:ascii="宋体"/>
          <w:b/>
          <w:color w:val="000000"/>
          <w:sz w:val="24"/>
        </w:rPr>
      </w:pPr>
    </w:p>
    <w:p w:rsidP="00397616" w:rsidR="00F13451" w:rsidRDefault="00F13451" w:rsidRPr="00820253">
      <w:pPr>
        <w:spacing w:line="360" w:lineRule="auto"/>
        <w:jc w:val="center"/>
        <w:rPr>
          <w:rFonts w:ascii="宋体"/>
          <w:b/>
          <w:color w:val="000000"/>
          <w:sz w:val="24"/>
        </w:rPr>
      </w:pPr>
    </w:p>
    <w:p w:rsidP="00397616" w:rsidR="00F13451" w:rsidRDefault="00F13451" w:rsidRPr="00820253">
      <w:pPr>
        <w:spacing w:line="360" w:lineRule="auto"/>
        <w:rPr>
          <w:rFonts w:ascii="宋体"/>
          <w:b/>
          <w:color w:val="000000"/>
          <w:sz w:val="24"/>
        </w:rPr>
      </w:pPr>
    </w:p>
    <w:p w:rsidP="00476756" w:rsidR="00F13451" w:rsidRDefault="00F13451" w:rsidRPr="00820253">
      <w:pPr>
        <w:spacing w:line="360" w:lineRule="auto"/>
        <w:ind w:firstLine="2168" w:firstLineChars="900"/>
        <w:rPr>
          <w:rFonts w:ascii="宋体" w:hAnsi="宋体"/>
          <w:b/>
          <w:color w:val="000000"/>
          <w:sz w:val="24"/>
        </w:rPr>
      </w:pPr>
      <w:r w:rsidRPr="00820253">
        <w:rPr>
          <w:rFonts w:ascii="宋体" w:hAnsi="宋体" w:hint="eastAsia"/>
          <w:b/>
          <w:color w:val="000000"/>
          <w:sz w:val="24"/>
        </w:rPr>
        <w:t>基金管理人：</w:t>
      </w:r>
      <w:r w:rsidRPr="00820253">
        <w:rPr>
          <w:rFonts w:ascii="宋体"/>
          <w:b/>
          <w:color w:val="000000"/>
          <w:sz w:val="24"/>
        </w:rPr>
        <w:t/>
      </w:r>
      <w:proofErr w:type="spellStart"/>
      <w:proofErr w:type="gramStart"/>
      <w:r w:rsidRPr="00820253">
        <w:rPr>
          <w:rFonts w:ascii="宋体" w:hAnsi="宋体"/>
          <w:b/>
          <w:color w:val="000000"/>
          <w:sz w:val="24"/>
        </w:rPr>
        <w:t/>
      </w:r>
      <w:proofErr w:type="spellEnd"/>
      <w:proofErr w:type="gramEnd"/>
      <w:r w:rsidRPr="00820253">
        <w:rPr>
          <w:rFonts w:ascii="宋体" w:hAnsi="宋体"/>
          <w:b/>
          <w:color w:val="000000"/>
          <w:sz w:val="24"/>
        </w:rPr>
        <w:t>易方达基金管理有限公司</w:t>
      </w:r>
    </w:p>
    <w:p w:rsidP="00476756" w:rsidR="00F13451" w:rsidRDefault="00F13451" w:rsidRPr="00820253">
      <w:pPr>
        <w:spacing w:line="360" w:lineRule="auto"/>
        <w:ind w:firstLine="2168" w:firstLineChars="900"/>
        <w:rPr>
          <w:rFonts w:ascii="宋体" w:hAnsi="宋体"/>
          <w:b/>
          <w:color w:val="000000"/>
          <w:sz w:val="24"/>
        </w:rPr>
      </w:pPr>
      <w:r w:rsidRPr="00820253">
        <w:rPr>
          <w:rFonts w:ascii="宋体" w:hAnsi="宋体" w:hint="eastAsia"/>
          <w:b/>
          <w:color w:val="000000"/>
          <w:sz w:val="24"/>
        </w:rPr>
        <w:t>基金托管人：</w:t>
      </w:r>
      <w:r w:rsidRPr="00820253">
        <w:rPr>
          <w:rFonts w:ascii="宋体"/>
          <w:b/>
          <w:color w:val="000000"/>
          <w:sz w:val="24"/>
        </w:rPr>
        <w:t/>
      </w:r>
      <w:proofErr w:type="spellStart"/>
      <w:proofErr w:type="gramStart"/>
      <w:r w:rsidRPr="00820253">
        <w:rPr>
          <w:rFonts w:ascii="宋体" w:hAnsi="宋体"/>
          <w:b/>
          <w:color w:val="000000"/>
          <w:sz w:val="24"/>
        </w:rPr>
        <w:t/>
      </w:r>
      <w:proofErr w:type="spellEnd"/>
      <w:proofErr w:type="gramEnd"/>
      <w:r w:rsidRPr="00820253">
        <w:rPr>
          <w:rFonts w:ascii="宋体" w:hAnsi="宋体"/>
          <w:b/>
          <w:color w:val="000000"/>
          <w:sz w:val="24"/>
        </w:rPr>
        <w:t>中国建设银行股份有限公司</w:t>
      </w:r>
    </w:p>
    <w:p w:rsidP="00476756" w:rsidR="00F13451" w:rsidRDefault="00F13451" w:rsidRPr="00820253">
      <w:pPr>
        <w:spacing w:line="360" w:lineRule="auto"/>
        <w:ind w:firstLine="2168" w:firstLineChars="900"/>
        <w:rPr>
          <w:rFonts w:ascii="宋体" w:hAnsi="宋体"/>
          <w:b/>
          <w:color w:val="000000"/>
          <w:sz w:val="24"/>
        </w:rPr>
        <w:sectPr w:rsidR="00F13451" w:rsidRPr="00820253" w:rsidSect="00D6226F">
          <w:headerReference r:id="rId8" w:type="default"/>
          <w:footerReference r:id="rId9" w:type="default"/>
          <w:pgSz w:h="15840" w:w="11926"/>
          <w:pgMar w:bottom="851" w:footer="992" w:gutter="0" w:header="851" w:left="1418" w:right="1418" w:top="1418"/>
          <w:cols w:space="720"/>
          <w:noEndnote/>
        </w:sectPr>
      </w:pPr>
      <w:r w:rsidRPr="00820253">
        <w:rPr>
          <w:rFonts w:ascii="宋体" w:hAnsi="宋体" w:hint="eastAsia"/>
          <w:b/>
          <w:color w:val="000000"/>
          <w:sz w:val="24"/>
        </w:rPr>
        <w:t>报告送出日期：</w:t>
      </w:r>
      <w:r w:rsidRPr="00820253">
        <w:rPr>
          <w:rFonts w:ascii="宋体"/>
          <w:b/>
          <w:color w:val="000000"/>
          <w:sz w:val="24"/>
        </w:rPr>
        <w:t/>
      </w:r>
      <w:proofErr w:type="spellStart"/>
      <w:proofErr w:type="gramStart"/>
      <w:r w:rsidRPr="00820253">
        <w:rPr>
          <w:rFonts w:ascii="宋体" w:hAnsi="宋体"/>
          <w:b/>
          <w:color w:val="000000"/>
          <w:sz w:val="24"/>
        </w:rPr>
        <w:t/>
      </w:r>
      <w:proofErr w:type="spellEnd"/>
      <w:proofErr w:type="gramEnd"/>
      <w:r w:rsidRPr="00820253">
        <w:rPr>
          <w:rFonts w:ascii="宋体" w:hAnsi="宋体"/>
          <w:b/>
          <w:color w:val="000000"/>
          <w:sz w:val="24"/>
        </w:rPr>
        <w:t>二〇二〇年十月二十八日</w:t>
      </w:r>
    </w:p>
    <w:p w:rsidP="008B041C" w:rsidR="00F13451" w:rsidRDefault="00F13451" w:rsidRPr="00820253">
      <w:pPr>
        <w:pStyle w:val="1"/>
        <w:spacing w:after="312" w:afterLines="100" w:before="312" w:beforeLines="100" w:line="360" w:lineRule="auto"/>
        <w:jc w:val="center"/>
        <w:rPr>
          <w:rFonts w:ascii="宋体" w:cs="Arial"/>
          <w:b w:val="0"/>
          <w:color w:val="000000"/>
          <w:kern w:val="0"/>
          <w:sz w:val="24"/>
          <w:szCs w:val="24"/>
        </w:rPr>
      </w:pPr>
      <w:r w:rsidRPr="00820253">
        <w:rPr>
          <w:rFonts w:ascii="宋体" w:cs="Arial" w:hAnsi="宋体" w:hint="eastAsia"/>
          <w:color w:val="000000"/>
          <w:kern w:val="0"/>
          <w:sz w:val="24"/>
          <w:szCs w:val="24"/>
        </w:rPr>
        <w:lastRenderedPageBreak/>
        <w:t>§</w:t>
      </w:r>
      <w:r w:rsidRPr="00820253">
        <w:rPr>
          <w:rFonts w:ascii="宋体" w:cs="Arial" w:hAnsi="宋体"/>
          <w:color w:val="000000"/>
          <w:kern w:val="0"/>
          <w:sz w:val="24"/>
          <w:szCs w:val="24"/>
        </w:rPr>
        <w:t xml:space="preserve">1  </w:t>
      </w:r>
      <w:r w:rsidRPr="00820253">
        <w:rPr>
          <w:rFonts w:ascii="宋体" w:cs="Arial" w:hAnsi="宋体" w:hint="eastAsia"/>
          <w:color w:val="000000"/>
          <w:kern w:val="0"/>
          <w:sz w:val="24"/>
          <w:szCs w:val="24"/>
        </w:rPr>
        <w:t>重要提示</w:t>
      </w:r>
    </w:p>
    <w:p>
      <w:pPr>
        <w:spacing w:line="360" w:lineRule="auto"/>
        <w:ind w:firstLine="480" w:firstLineChars="200"/>
        <w:rPr>
          <w:color w:val="000000"/>
          <w:sz w:val="24"/>
        </w:rPr>
      </w:pPr>
      <w:r>
        <w:rPr>
          <w:color w:val="000000"/>
          <w:sz w:val="24"/>
        </w:rPr>
        <w:t xml:space="preserve">基金管理人的董事会及董事保证本报告所载资料不存在虚假记载、误导性陈述或重大遗漏，并对其内容的真实性、准确性和完整性承担个别及连带责任。 </w:t>
      </w:r>
    </w:p>
    <w:p>
      <w:pPr>
        <w:spacing w:line="360" w:lineRule="auto"/>
        <w:ind w:firstLine="480" w:firstLineChars="200"/>
        <w:rPr>
          <w:color w:val="000000"/>
          <w:sz w:val="24"/>
        </w:rPr>
      </w:pPr>
      <w:r>
        <w:rPr>
          <w:color w:val="000000"/>
          <w:sz w:val="24"/>
        </w:rPr>
        <w:t xml:space="preserve">基金托管人中国建设银行股份有限公司根据本基金合同规定，于2020年10月26日复核了本报告中的财务指标、净值表现和投资组合报告等内容，保证复核内容不存在虚假记载、误导性陈述或者重大遗漏。 </w:t>
      </w:r>
    </w:p>
    <w:p>
      <w:pPr>
        <w:spacing w:line="360" w:lineRule="auto"/>
        <w:ind w:firstLine="480" w:firstLineChars="200"/>
        <w:rPr>
          <w:color w:val="000000"/>
          <w:sz w:val="24"/>
        </w:rPr>
      </w:pPr>
      <w:r>
        <w:rPr>
          <w:color w:val="000000"/>
          <w:sz w:val="24"/>
        </w:rPr>
        <w:t xml:space="preserve">基金管理人承诺以诚实信用、勤勉尽责的原则管理和运用基金资产，但不保证基金一定盈利。 </w:t>
      </w:r>
    </w:p>
    <w:p>
      <w:pPr>
        <w:spacing w:line="360" w:lineRule="auto"/>
        <w:ind w:firstLine="480" w:firstLineChars="200"/>
        <w:rPr>
          <w:color w:val="000000"/>
          <w:sz w:val="24"/>
        </w:rPr>
      </w:pPr>
      <w:r>
        <w:rPr>
          <w:color w:val="000000"/>
          <w:sz w:val="24"/>
        </w:rPr>
        <w:t xml:space="preserve">基金的过往业绩并不代表其未来表现。投资有风险，投资者在作出投资决策前应仔细阅读本基金的招募说明书。 </w:t>
      </w:r>
    </w:p>
    <w:p>
      <w:pPr>
        <w:spacing w:line="360" w:lineRule="auto"/>
        <w:ind w:firstLine="480" w:firstLineChars="200"/>
        <w:rPr>
          <w:color w:val="000000"/>
          <w:sz w:val="24"/>
        </w:rPr>
      </w:pPr>
      <w:r>
        <w:rPr>
          <w:color w:val="000000"/>
          <w:sz w:val="24"/>
        </w:rPr>
        <w:t>本报告中财务资料未经审计。</w:t>
      </w:r>
    </w:p>
    <w:p w:rsidP="00476756" w:rsidR="00F13451" w:rsidRDefault="00F13451" w:rsidRPr="0040658E">
      <w:pPr>
        <w:spacing w:line="360" w:lineRule="auto"/>
        <w:ind w:firstLine="480" w:firstLineChars="200"/>
        <w:rPr>
          <w:color w:val="000000"/>
          <w:sz w:val="24"/>
        </w:rPr>
      </w:pPr>
      <w:r w:rsidRPr="0040658E">
        <w:rPr>
          <w:color w:val="000000"/>
          <w:sz w:val="24"/>
        </w:rPr>
        <w:t/>
      </w:r>
      <w:proofErr w:type="spellStart"/>
      <w:proofErr w:type="gramStart"/>
      <w:r w:rsidRPr="0040658E">
        <w:rPr>
          <w:color w:val="000000"/>
          <w:sz w:val="24"/>
        </w:rPr>
        <w:t/>
      </w:r>
      <w:proofErr w:type="spellEnd"/>
      <w:proofErr w:type="gramEnd"/>
      <w:r w:rsidRPr="0040658E">
        <w:rPr>
          <w:color w:val="000000"/>
          <w:sz w:val="24"/>
        </w:rPr>
        <w:t>本报告期自2020年7月1日起至9月30日止。</w:t>
      </w:r>
    </w:p>
    <w:p w:rsidP="008B041C" w:rsidR="00F13451" w:rsidRDefault="00F13451" w:rsidRPr="00820253">
      <w:pPr>
        <w:pStyle w:val="1"/>
        <w:spacing w:after="312" w:afterLines="100" w:before="312" w:beforeLines="100" w:line="360" w:lineRule="auto"/>
        <w:jc w:val="center"/>
        <w:rPr>
          <w:rFonts w:ascii="宋体" w:cs="Arial"/>
          <w:color w:val="000000"/>
          <w:kern w:val="0"/>
          <w:sz w:val="24"/>
          <w:szCs w:val="24"/>
        </w:rPr>
      </w:pPr>
      <w:r w:rsidRPr="00820253">
        <w:rPr>
          <w:rFonts w:ascii="宋体" w:cs="Arial" w:hAnsi="宋体" w:hint="eastAsia"/>
          <w:color w:val="000000"/>
          <w:kern w:val="0"/>
          <w:sz w:val="24"/>
          <w:szCs w:val="24"/>
        </w:rPr>
        <w:t>§</w:t>
      </w:r>
      <w:r w:rsidRPr="00820253">
        <w:rPr>
          <w:rFonts w:ascii="宋体" w:cs="Arial" w:hAnsi="宋体"/>
          <w:color w:val="000000"/>
          <w:kern w:val="0"/>
          <w:sz w:val="24"/>
          <w:szCs w:val="24"/>
        </w:rPr>
        <w:t xml:space="preserve">2  </w:t>
      </w:r>
      <w:r w:rsidRPr="00820253">
        <w:rPr>
          <w:rFonts w:ascii="宋体" w:cs="Arial" w:hAnsi="宋体" w:hint="eastAsia"/>
          <w:color w:val="000000"/>
          <w:kern w:val="0"/>
          <w:sz w:val="24"/>
          <w:szCs w:val="24"/>
        </w:rPr>
        <w:t>基金产品概况</w:t>
      </w:r>
    </w:p>
    <w:tbl>
      <w:tblPr>
        <w:tblW w:type="dxa" w:w="8364"/>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2977"/>
        <w:gridCol w:w="2597"/>
        <w:gridCol w:w="2790"/>
      </w:tblGrid>
      <w:tr w:rsidR="00F13451" w:rsidRPr="00820253" w:rsidTr="00780E33">
        <w:tc>
          <w:tcPr>
            <w:tcW w:type="dxa" w:w="2977"/>
            <w:vAlign w:val="center"/>
          </w:tcPr>
          <w:p w:rsidP="00CA3C4F" w:rsidR="00F13451" w:rsidRDefault="00F13451" w:rsidRPr="0040658E">
            <w:pPr>
              <w:adjustRightInd w:val="0"/>
              <w:spacing w:before="29" w:line="360" w:lineRule="auto"/>
              <w:ind w:left="17"/>
              <w:jc w:val="left"/>
              <w:rPr>
                <w:kern w:val="0"/>
                <w:sz w:val="24"/>
              </w:rPr>
            </w:pPr>
            <w:r w:rsidRPr="0040658E">
              <w:rPr>
                <w:kern w:val="0"/>
                <w:sz w:val="24"/>
              </w:rPr>
              <w:t>基金简称</w:t>
            </w:r>
          </w:p>
        </w:tc>
        <w:tc>
          <w:tcPr>
            <w:tcW w:type="dxa" w:w="5387"/>
            <w:gridSpan w:val="2"/>
            <w:vAlign w:val="center"/>
          </w:tcPr>
          <w:p w:rsidP="00CA3C4F" w:rsidR="00F13451" w:rsidRDefault="00F13451" w:rsidRPr="0040658E">
            <w:pPr>
              <w:adjustRightInd w:val="0"/>
              <w:spacing w:before="29" w:line="360" w:lineRule="auto"/>
              <w:ind w:left="17"/>
              <w:jc w:val="left"/>
              <w:rPr>
                <w:color w:val="000000"/>
                <w:kern w:val="0"/>
                <w:sz w:val="24"/>
              </w:rPr>
            </w:pPr>
            <w:r w:rsidRPr="0040658E">
              <w:rPr>
                <w:color w:val="000000"/>
                <w:kern w:val="0"/>
                <w:sz w:val="24"/>
              </w:rPr>
              <w:t/>
            </w:r>
            <w:proofErr w:type="spellStart"/>
            <w:r w:rsidRPr="0040658E">
              <w:rPr>
                <w:color w:val="000000"/>
                <w:kern w:val="0"/>
                <w:sz w:val="24"/>
              </w:rPr>
              <w:t/>
            </w:r>
            <w:proofErr w:type="spellEnd"/>
            <w:r w:rsidRPr="0040658E">
              <w:rPr>
                <w:color w:val="000000"/>
                <w:kern w:val="0"/>
                <w:sz w:val="24"/>
              </w:rPr>
              <w:t>易方达标普信息科技指数（QDII-LOF）</w:t>
            </w:r>
          </w:p>
        </w:tc>
      </w:tr>
      <w:tr w:rsidR="00C81A11" w:rsidRPr="00820253" w:rsidTr="0024781E">
        <w:tc>
          <w:tcPr>
            <w:tcW w:type="dxa" w:w="2977"/>
            <w:vAlign w:val="center"/>
          </w:tcPr>
          <w:p w:rsidP="00AF756E" w:rsidR="00C81A11" w:rsidRDefault="00C81A11" w:rsidRPr="0040658E">
            <w:pPr>
              <w:adjustRightInd w:val="0"/>
              <w:spacing w:before="29" w:line="360" w:lineRule="auto"/>
              <w:ind w:left="17"/>
              <w:jc w:val="left"/>
              <w:rPr>
                <w:kern w:val="0"/>
                <w:sz w:val="24"/>
              </w:rPr>
            </w:pPr>
            <w:r w:rsidRPr="0040658E">
              <w:rPr>
                <w:kern w:val="0"/>
                <w:sz w:val="24"/>
              </w:rPr>
              <w:t>场内简称</w:t>
            </w:r>
          </w:p>
        </w:tc>
        <w:tc>
          <w:tcPr>
            <w:tcW w:type="dxa" w:w="5387"/>
            <w:gridSpan w:val="2"/>
            <w:vAlign w:val="center"/>
          </w:tcPr>
          <w:p w:rsidP="00AF756E" w:rsidR="00C81A11" w:rsidRDefault="00C81A11" w:rsidRPr="0040658E">
            <w:pPr>
              <w:adjustRightInd w:val="0"/>
              <w:spacing w:before="29" w:line="360" w:lineRule="auto"/>
              <w:ind w:left="17"/>
              <w:jc w:val="left"/>
              <w:rPr>
                <w:kern w:val="0"/>
                <w:sz w:val="24"/>
              </w:rPr>
            </w:pPr>
            <w:r w:rsidRPr="0040658E">
              <w:rPr>
                <w:kern w:val="0"/>
                <w:sz w:val="24"/>
              </w:rPr>
              <w:t/>
            </w:r>
            <w:proofErr w:type="spellStart"/>
            <w:r w:rsidRPr="0040658E">
              <w:rPr>
                <w:kern w:val="0"/>
                <w:sz w:val="24"/>
              </w:rPr>
              <w:t/>
            </w:r>
            <w:proofErr w:type="spellEnd"/>
            <w:r w:rsidRPr="0040658E">
              <w:rPr>
                <w:kern w:val="0"/>
                <w:sz w:val="24"/>
              </w:rPr>
              <w:t/>
            </w:r>
            <w:proofErr w:type="spellStart"/>
            <w:r w:rsidRPr="0040658E">
              <w:rPr>
                <w:kern w:val="0"/>
                <w:sz w:val="24"/>
              </w:rPr>
              <w:t/>
            </w:r>
            <w:proofErr w:type="spellEnd"/>
            <w:r w:rsidRPr="0040658E">
              <w:rPr>
                <w:kern w:val="0"/>
                <w:sz w:val="24"/>
              </w:rPr>
              <w:t>标普科技</w:t>
            </w:r>
          </w:p>
        </w:tc>
      </w:tr>
      <w:tr w:rsidR="00F13451" w:rsidRPr="00820253" w:rsidTr="00780E33">
        <w:tc>
          <w:tcPr>
            <w:tcW w:type="dxa" w:w="2977"/>
          </w:tcPr>
          <w:p w:rsidR="00F13451" w:rsidRDefault="00F13451" w:rsidRPr="0040658E">
            <w:pPr>
              <w:adjustRightInd w:val="0"/>
              <w:spacing w:before="29" w:line="360" w:lineRule="auto"/>
              <w:ind w:left="17"/>
              <w:jc w:val="left"/>
              <w:rPr>
                <w:kern w:val="0"/>
                <w:sz w:val="24"/>
              </w:rPr>
            </w:pPr>
            <w:r w:rsidRPr="0040658E">
              <w:rPr>
                <w:kern w:val="0"/>
                <w:sz w:val="24"/>
              </w:rPr>
              <w:t>基金主代码</w:t>
            </w:r>
          </w:p>
        </w:tc>
        <w:tc>
          <w:tcPr>
            <w:tcW w:type="dxa" w:w="5387"/>
            <w:gridSpan w:val="2"/>
          </w:tcPr>
          <w:p w:rsidR="00F13451" w:rsidRDefault="00F13451" w:rsidRPr="0040658E">
            <w:pPr>
              <w:adjustRightInd w:val="0"/>
              <w:spacing w:before="29" w:line="360" w:lineRule="auto"/>
              <w:ind w:left="17"/>
              <w:jc w:val="left"/>
              <w:rPr>
                <w:color w:val="000000"/>
                <w:kern w:val="0"/>
                <w:sz w:val="24"/>
              </w:rPr>
            </w:pPr>
            <w:r w:rsidRPr="0040658E">
              <w:rPr>
                <w:color w:val="000000"/>
                <w:kern w:val="0"/>
                <w:sz w:val="24"/>
              </w:rPr>
              <w:t/>
            </w:r>
            <w:proofErr w:type="spellStart"/>
            <w:r w:rsidRPr="0040658E">
              <w:rPr>
                <w:color w:val="000000"/>
                <w:kern w:val="0"/>
                <w:sz w:val="24"/>
              </w:rPr>
              <w:t/>
            </w:r>
            <w:proofErr w:type="spellEnd"/>
            <w:r w:rsidRPr="0040658E">
              <w:rPr>
                <w:color w:val="000000"/>
                <w:kern w:val="0"/>
                <w:sz w:val="24"/>
              </w:rPr>
              <w:t>161128</w:t>
            </w:r>
          </w:p>
        </w:tc>
      </w:tr>
      <w:tr w:rsidR="00F13451" w:rsidRPr="00820253" w:rsidTr="00780E33">
        <w:tc>
          <w:tcPr>
            <w:tcW w:type="dxa" w:w="2977"/>
          </w:tcPr>
          <w:p w:rsidR="00F13451" w:rsidRDefault="00F13451" w:rsidRPr="0040658E">
            <w:pPr>
              <w:adjustRightInd w:val="0"/>
              <w:spacing w:before="29" w:line="360" w:lineRule="auto"/>
              <w:ind w:left="17"/>
              <w:jc w:val="left"/>
              <w:rPr>
                <w:kern w:val="0"/>
                <w:sz w:val="24"/>
              </w:rPr>
            </w:pPr>
            <w:r w:rsidRPr="0040658E">
              <w:rPr>
                <w:kern w:val="0"/>
                <w:sz w:val="24"/>
              </w:rPr>
              <w:t>交易代码</w:t>
            </w:r>
          </w:p>
        </w:tc>
        <w:tc>
          <w:tcPr>
            <w:tcW w:type="dxa" w:w="5387"/>
            <w:gridSpan w:val="2"/>
          </w:tcPr>
          <w:p w:rsidR="00F13451" w:rsidRDefault="00F13451" w:rsidRPr="0040658E">
            <w:pPr>
              <w:adjustRightInd w:val="0"/>
              <w:spacing w:before="29" w:line="360" w:lineRule="auto"/>
              <w:ind w:left="17"/>
              <w:jc w:val="left"/>
              <w:rPr>
                <w:color w:val="000000"/>
                <w:kern w:val="0"/>
                <w:sz w:val="24"/>
              </w:rPr>
            </w:pPr>
            <w:r w:rsidRPr="0040658E">
              <w:rPr>
                <w:kern w:val="0"/>
                <w:sz w:val="24"/>
              </w:rPr>
              <w:t/>
            </w:r>
            <w:proofErr w:type="spellStart"/>
            <w:r w:rsidRPr="0040658E">
              <w:rPr>
                <w:kern w:val="0"/>
                <w:sz w:val="24"/>
              </w:rPr>
              <w:t/>
            </w:r>
            <w:proofErr w:type="spellEnd"/>
            <w:r w:rsidRPr="0040658E">
              <w:rPr>
                <w:kern w:val="0"/>
                <w:sz w:val="24"/>
              </w:rPr>
              <w:t/>
            </w:r>
            <w:proofErr w:type="spellStart"/>
            <w:r w:rsidRPr="0040658E">
              <w:rPr>
                <w:kern w:val="0"/>
                <w:sz w:val="24"/>
              </w:rPr>
              <w:t/>
            </w:r>
            <w:proofErr w:type="spellEnd"/>
            <w:r w:rsidRPr="0040658E">
              <w:rPr>
                <w:kern w:val="0"/>
                <w:sz w:val="24"/>
              </w:rPr>
              <w:t/>
            </w:r>
            <w:proofErr w:type="spellStart"/>
            <w:r w:rsidRPr="0040658E">
              <w:rPr>
                <w:kern w:val="0"/>
                <w:sz w:val="24"/>
              </w:rPr>
              <w:t/>
            </w:r>
            <w:proofErr w:type="spellEnd"/>
            <w:r w:rsidRPr="0040658E">
              <w:rPr>
                <w:kern w:val="0"/>
                <w:sz w:val="24"/>
              </w:rPr>
              <w:t>161128</w:t>
            </w:r>
          </w:p>
        </w:tc>
      </w:tr>
      <w:tr w:rsidR="00F13451" w:rsidRPr="00820253" w:rsidTr="00780E33">
        <w:tc>
          <w:tcPr>
            <w:tcW w:type="dxa" w:w="2977"/>
            <w:vAlign w:val="center"/>
          </w:tcPr>
          <w:p w:rsidP="00CA3C4F" w:rsidR="00F13451" w:rsidRDefault="00F13451" w:rsidRPr="0040658E">
            <w:pPr>
              <w:adjustRightInd w:val="0"/>
              <w:spacing w:before="29" w:line="360" w:lineRule="auto"/>
              <w:ind w:left="17"/>
              <w:jc w:val="left"/>
              <w:rPr>
                <w:sz w:val="24"/>
              </w:rPr>
            </w:pPr>
            <w:r w:rsidRPr="0040658E">
              <w:rPr>
                <w:kern w:val="0"/>
                <w:sz w:val="24"/>
              </w:rPr>
              <w:t>基金运作方式</w:t>
            </w:r>
          </w:p>
        </w:tc>
        <w:tc>
          <w:tcPr>
            <w:tcW w:type="dxa" w:w="5387"/>
            <w:gridSpan w:val="2"/>
            <w:vAlign w:val="center"/>
          </w:tcPr>
          <w:p w:rsidP="00CA3C4F" w:rsidR="00F13451" w:rsidRDefault="00F13451" w:rsidRPr="0040658E">
            <w:pPr>
              <w:adjustRightInd w:val="0"/>
              <w:spacing w:before="29" w:line="360" w:lineRule="auto"/>
              <w:ind w:left="17"/>
              <w:jc w:val="left"/>
              <w:rPr>
                <w:color w:val="000000"/>
                <w:sz w:val="24"/>
              </w:rPr>
            </w:pPr>
            <w:r w:rsidRPr="0040658E">
              <w:rPr>
                <w:color w:val="000000"/>
                <w:kern w:val="0"/>
                <w:sz w:val="24"/>
              </w:rPr>
              <w:t/>
            </w:r>
            <w:proofErr w:type="spellStart"/>
            <w:r w:rsidRPr="0040658E">
              <w:rPr>
                <w:color w:val="000000"/>
                <w:kern w:val="0"/>
                <w:sz w:val="24"/>
              </w:rPr>
              <w:t/>
            </w:r>
            <w:proofErr w:type="spellEnd"/>
            <w:r w:rsidRPr="0040658E">
              <w:rPr>
                <w:color w:val="000000"/>
                <w:kern w:val="0"/>
                <w:sz w:val="24"/>
              </w:rPr>
              <w:t>契约型、上市开放式（LOF）</w:t>
            </w:r>
          </w:p>
        </w:tc>
      </w:tr>
      <w:tr w:rsidR="00F13451" w:rsidRPr="00820253" w:rsidTr="00780E33">
        <w:tc>
          <w:tcPr>
            <w:tcW w:type="dxa" w:w="2977"/>
            <w:vAlign w:val="center"/>
          </w:tcPr>
          <w:p w:rsidP="00CA3C4F" w:rsidR="00F13451" w:rsidRDefault="00F13451" w:rsidRPr="0040658E">
            <w:pPr>
              <w:adjustRightInd w:val="0"/>
              <w:spacing w:before="29" w:line="360" w:lineRule="auto"/>
              <w:ind w:left="17"/>
              <w:jc w:val="left"/>
              <w:rPr>
                <w:sz w:val="24"/>
              </w:rPr>
            </w:pPr>
            <w:r w:rsidRPr="0040658E">
              <w:rPr>
                <w:kern w:val="0"/>
                <w:sz w:val="24"/>
              </w:rPr>
              <w:t>基金合同生效日</w:t>
            </w:r>
          </w:p>
        </w:tc>
        <w:tc>
          <w:tcPr>
            <w:tcW w:type="dxa" w:w="5387"/>
            <w:gridSpan w:val="2"/>
            <w:vAlign w:val="center"/>
          </w:tcPr>
          <w:p w:rsidP="00CA3C4F" w:rsidR="00F13451" w:rsidRDefault="00F13451" w:rsidRPr="0040658E">
            <w:pPr>
              <w:adjustRightInd w:val="0"/>
              <w:spacing w:before="29" w:line="360" w:lineRule="auto"/>
              <w:ind w:left="17"/>
              <w:jc w:val="left"/>
              <w:rPr>
                <w:color w:val="000000"/>
                <w:kern w:val="0"/>
                <w:sz w:val="24"/>
              </w:rPr>
            </w:pPr>
            <w:r w:rsidRPr="0040658E">
              <w:rPr>
                <w:color w:val="000000"/>
                <w:kern w:val="0"/>
                <w:sz w:val="24"/>
              </w:rPr>
              <w:t/>
            </w:r>
            <w:proofErr w:type="spellStart"/>
            <w:r w:rsidRPr="0040658E">
              <w:rPr>
                <w:color w:val="000000"/>
                <w:kern w:val="0"/>
                <w:sz w:val="24"/>
              </w:rPr>
              <w:t/>
            </w:r>
            <w:proofErr w:type="spellEnd"/>
            <w:r w:rsidRPr="0040658E">
              <w:rPr>
                <w:color w:val="000000"/>
                <w:kern w:val="0"/>
                <w:sz w:val="24"/>
              </w:rPr>
              <w:t>2016年12月13日</w:t>
            </w:r>
          </w:p>
        </w:tc>
      </w:tr>
      <w:tr w:rsidR="00F13451" w:rsidRPr="00820253" w:rsidTr="00780E33">
        <w:tc>
          <w:tcPr>
            <w:tcW w:type="dxa" w:w="2977"/>
            <w:vAlign w:val="center"/>
          </w:tcPr>
          <w:p w:rsidP="00CA3C4F" w:rsidR="00F13451" w:rsidRDefault="00F13451" w:rsidRPr="0040658E">
            <w:pPr>
              <w:adjustRightInd w:val="0"/>
              <w:spacing w:before="29" w:line="360" w:lineRule="auto"/>
              <w:ind w:left="17"/>
              <w:jc w:val="left"/>
              <w:rPr>
                <w:sz w:val="24"/>
              </w:rPr>
            </w:pPr>
            <w:r w:rsidRPr="0040658E">
              <w:rPr>
                <w:kern w:val="0"/>
                <w:sz w:val="24"/>
              </w:rPr>
              <w:t>报告期末基金份额总额</w:t>
            </w:r>
          </w:p>
        </w:tc>
        <w:tc>
          <w:tcPr>
            <w:tcW w:type="dxa" w:w="5387"/>
            <w:gridSpan w:val="2"/>
            <w:vAlign w:val="center"/>
          </w:tcPr>
          <w:p w:rsidP="00CA3C4F" w:rsidR="00F13451" w:rsidRDefault="00F13451" w:rsidRPr="0040658E">
            <w:pPr>
              <w:adjustRightInd w:val="0"/>
              <w:spacing w:before="29" w:line="360" w:lineRule="auto"/>
              <w:ind w:left="17"/>
              <w:jc w:val="left"/>
              <w:rPr>
                <w:color w:val="000000"/>
                <w:sz w:val="24"/>
              </w:rPr>
            </w:pPr>
            <w:r w:rsidRPr="0040658E">
              <w:rPr>
                <w:color w:val="000000"/>
                <w:kern w:val="0"/>
                <w:sz w:val="24"/>
              </w:rPr>
              <w:t/>
            </w:r>
            <w:proofErr w:type="spellStart"/>
            <w:r w:rsidRPr="0040658E">
              <w:rPr>
                <w:color w:val="000000"/>
                <w:kern w:val="0"/>
                <w:sz w:val="24"/>
              </w:rPr>
              <w:t/>
            </w:r>
            <w:proofErr w:type="spellEnd"/>
            <w:r w:rsidRPr="0040658E">
              <w:rPr>
                <w:color w:val="000000"/>
                <w:kern w:val="0"/>
                <w:sz w:val="24"/>
              </w:rPr>
              <w:t>375,048,218.70</w:t>
            </w:r>
            <w:r w:rsidRPr="0040658E">
              <w:rPr>
                <w:color w:val="000000"/>
                <w:kern w:val="0"/>
                <w:sz w:val="24"/>
              </w:rPr>
              <w:t>份</w:t>
            </w:r>
          </w:p>
        </w:tc>
      </w:tr>
      <w:tr w:rsidR="00F13451" w:rsidRPr="00820253" w:rsidTr="00780E33">
        <w:tc>
          <w:tcPr>
            <w:tcW w:type="dxa" w:w="2977"/>
            <w:vAlign w:val="center"/>
          </w:tcPr>
          <w:p w:rsidP="00CA3C4F" w:rsidR="00F13451" w:rsidRDefault="00F13451" w:rsidRPr="0040658E">
            <w:pPr>
              <w:adjustRightInd w:val="0"/>
              <w:spacing w:before="29" w:line="360" w:lineRule="auto"/>
              <w:ind w:left="17"/>
              <w:jc w:val="left"/>
              <w:rPr>
                <w:sz w:val="24"/>
              </w:rPr>
            </w:pPr>
            <w:r w:rsidRPr="0040658E">
              <w:rPr>
                <w:kern w:val="0"/>
                <w:sz w:val="24"/>
              </w:rPr>
              <w:t>投资目标</w:t>
            </w:r>
          </w:p>
        </w:tc>
        <w:tc>
          <w:tcPr>
            <w:tcW w:type="dxa" w:w="5387"/>
            <w:gridSpan w:val="2"/>
            <w:vAlign w:val="center"/>
          </w:tcPr>
          <w:p w:rsidP="00CA3C4F" w:rsidR="00F13451" w:rsidRDefault="00F13451" w:rsidRPr="0040658E">
            <w:pPr>
              <w:adjustRightInd w:val="0"/>
              <w:spacing w:before="29" w:line="360" w:lineRule="auto"/>
              <w:ind w:left="17"/>
              <w:jc w:val="left"/>
              <w:rPr>
                <w:color w:val="000000"/>
                <w:sz w:val="24"/>
              </w:rPr>
            </w:pPr>
            <w:r w:rsidRPr="0040658E">
              <w:rPr>
                <w:color w:val="000000"/>
                <w:kern w:val="0"/>
                <w:sz w:val="24"/>
              </w:rPr>
              <w:t/>
            </w:r>
            <w:proofErr w:type="spellStart"/>
            <w:r w:rsidRPr="0040658E">
              <w:rPr>
                <w:color w:val="000000"/>
                <w:kern w:val="0"/>
                <w:sz w:val="24"/>
              </w:rPr>
              <w:t/>
            </w:r>
            <w:proofErr w:type="spellEnd"/>
            <w:r w:rsidRPr="0040658E">
              <w:rPr>
                <w:color w:val="000000"/>
                <w:kern w:val="0"/>
                <w:sz w:val="24"/>
              </w:rPr>
              <w:t>紧密跟踪业绩比较基准，追求跟踪偏离度及跟踪误差的最小化。</w:t>
            </w:r>
          </w:p>
        </w:tc>
      </w:tr>
      <w:tr w:rsidR="00F13451" w:rsidRPr="00820253" w:rsidTr="00780E33">
        <w:tc>
          <w:tcPr>
            <w:tcW w:type="dxa" w:w="2977"/>
            <w:vAlign w:val="center"/>
          </w:tcPr>
          <w:p w:rsidP="00CA3C4F" w:rsidR="00F13451" w:rsidRDefault="00F13451" w:rsidRPr="0040658E">
            <w:pPr>
              <w:adjustRightInd w:val="0"/>
              <w:spacing w:before="29" w:line="360" w:lineRule="auto"/>
              <w:ind w:left="17"/>
              <w:jc w:val="left"/>
              <w:rPr>
                <w:sz w:val="24"/>
              </w:rPr>
            </w:pPr>
            <w:r w:rsidRPr="0040658E">
              <w:rPr>
                <w:kern w:val="0"/>
                <w:sz w:val="24"/>
              </w:rPr>
              <w:t>投资策略</w:t>
            </w:r>
          </w:p>
        </w:tc>
        <w:tc>
          <w:tcPr>
            <w:tcW w:type="dxa" w:w="5387"/>
            <w:gridSpan w:val="2"/>
            <w:vAlign w:val="center"/>
          </w:tcPr>
          <w:p w:rsidP="00CA3C4F" w:rsidR="00F13451" w:rsidRDefault="00F13451" w:rsidRPr="0040658E">
            <w:pPr>
              <w:adjustRightInd w:val="0"/>
              <w:spacing w:before="29" w:line="360" w:lineRule="auto"/>
              <w:ind w:left="17"/>
              <w:jc w:val="left"/>
              <w:rPr>
                <w:color w:val="000000"/>
                <w:sz w:val="24"/>
              </w:rPr>
            </w:pPr>
            <w:r w:rsidRPr="0040658E">
              <w:rPr>
                <w:color w:val="000000"/>
                <w:kern w:val="0"/>
                <w:sz w:val="24"/>
              </w:rPr>
              <w:t/>
            </w:r>
            <w:proofErr w:type="spellStart"/>
            <w:r w:rsidRPr="0040658E">
              <w:rPr>
                <w:color w:val="000000"/>
                <w:kern w:val="0"/>
                <w:sz w:val="24"/>
              </w:rPr>
              <w:t/>
            </w:r>
            <w:proofErr w:type="spellEnd"/>
            <w:r w:rsidRPr="0040658E">
              <w:rPr>
                <w:color w:val="000000"/>
                <w:kern w:val="0"/>
                <w:sz w:val="24"/>
              </w:rPr>
              <w:t>作为追踪标普信息指数的被动式海外指数基金，本基金采用完全复制法，力求追踪误差最小化。</w:t>
            </w:r>
          </w:p>
        </w:tc>
      </w:tr>
      <w:tr w:rsidR="00F13451" w:rsidRPr="00820253" w:rsidTr="00780E33">
        <w:tc>
          <w:tcPr>
            <w:tcW w:type="dxa" w:w="2977"/>
            <w:vAlign w:val="center"/>
          </w:tcPr>
          <w:p w:rsidP="00CA3C4F" w:rsidR="00F13451" w:rsidRDefault="00F13451" w:rsidRPr="0040658E">
            <w:pPr>
              <w:adjustRightInd w:val="0"/>
              <w:spacing w:before="29" w:line="360" w:lineRule="auto"/>
              <w:ind w:left="17"/>
              <w:jc w:val="left"/>
              <w:rPr>
                <w:sz w:val="24"/>
              </w:rPr>
            </w:pPr>
            <w:r w:rsidRPr="0040658E">
              <w:rPr>
                <w:kern w:val="0"/>
                <w:sz w:val="24"/>
              </w:rPr>
              <w:t>业绩比较基准</w:t>
            </w:r>
          </w:p>
        </w:tc>
        <w:tc>
          <w:tcPr>
            <w:tcW w:type="dxa" w:w="5387"/>
            <w:gridSpan w:val="2"/>
            <w:vAlign w:val="center"/>
          </w:tcPr>
          <w:p w:rsidP="00CA3C4F" w:rsidR="00F13451" w:rsidRDefault="00F13451" w:rsidRPr="0040658E">
            <w:pPr>
              <w:adjustRightInd w:val="0"/>
              <w:spacing w:before="29" w:line="360" w:lineRule="auto"/>
              <w:ind w:left="17"/>
              <w:jc w:val="left"/>
              <w:rPr>
                <w:color w:val="000000"/>
                <w:sz w:val="24"/>
              </w:rPr>
            </w:pPr>
            <w:r w:rsidRPr="0040658E">
              <w:rPr>
                <w:color w:val="000000"/>
                <w:kern w:val="0"/>
                <w:sz w:val="24"/>
              </w:rPr>
              <w:t/>
            </w:r>
            <w:proofErr w:type="spellStart"/>
            <w:r w:rsidRPr="0040658E">
              <w:rPr>
                <w:color w:val="000000"/>
                <w:kern w:val="0"/>
                <w:sz w:val="24"/>
              </w:rPr>
              <w:t/>
            </w:r>
            <w:proofErr w:type="spellEnd"/>
            <w:r w:rsidRPr="0040658E">
              <w:rPr>
                <w:color w:val="000000"/>
                <w:kern w:val="0"/>
                <w:sz w:val="24"/>
              </w:rPr>
              <w:t>标普500信息科技指数收益率（使用估值汇率折算）×95%+活期存款利率（税后）×5%</w:t>
            </w:r>
          </w:p>
        </w:tc>
      </w:tr>
      <w:tr w:rsidR="00F13451" w:rsidRPr="00820253" w:rsidTr="00780E33">
        <w:tc>
          <w:tcPr>
            <w:tcW w:type="dxa" w:w="2977"/>
            <w:vAlign w:val="center"/>
          </w:tcPr>
          <w:p w:rsidP="00CA3C4F" w:rsidR="00F13451" w:rsidRDefault="00F13451" w:rsidRPr="0040658E">
            <w:pPr>
              <w:adjustRightInd w:val="0"/>
              <w:spacing w:before="29" w:line="360" w:lineRule="auto"/>
              <w:ind w:left="17"/>
              <w:jc w:val="left"/>
              <w:rPr>
                <w:sz w:val="24"/>
              </w:rPr>
            </w:pPr>
            <w:r w:rsidRPr="0040658E">
              <w:rPr>
                <w:kern w:val="0"/>
                <w:sz w:val="24"/>
              </w:rPr>
              <w:t>风险收益特征</w:t>
            </w:r>
          </w:p>
        </w:tc>
        <w:tc>
          <w:tcPr>
            <w:tcW w:type="dxa" w:w="5387"/>
            <w:gridSpan w:val="2"/>
            <w:vAlign w:val="center"/>
          </w:tcPr>
          <w:p w:rsidP="00CA3C4F" w:rsidR="00F13451" w:rsidRDefault="00F13451" w:rsidRPr="0040658E">
            <w:pPr>
              <w:adjustRightInd w:val="0"/>
              <w:spacing w:before="29" w:line="360" w:lineRule="auto"/>
              <w:ind w:left="17"/>
              <w:jc w:val="left"/>
              <w:rPr>
                <w:color w:val="000000"/>
                <w:sz w:val="24"/>
              </w:rPr>
            </w:pPr>
            <w:r w:rsidRPr="0040658E">
              <w:rPr>
                <w:color w:val="000000"/>
                <w:kern w:val="0"/>
                <w:sz w:val="24"/>
              </w:rPr>
              <w:t/>
            </w:r>
            <w:proofErr w:type="spellStart"/>
            <w:r w:rsidRPr="0040658E">
              <w:rPr>
                <w:color w:val="000000"/>
                <w:kern w:val="0"/>
                <w:sz w:val="24"/>
              </w:rPr>
              <w:t/>
            </w:r>
            <w:proofErr w:type="spellEnd"/>
            <w:r w:rsidRPr="0040658E">
              <w:rPr>
                <w:color w:val="000000"/>
                <w:kern w:val="0"/>
                <w:sz w:val="24"/>
              </w:rPr>
              <w:t>本基金属股票指数基金，预期风险与收益水平高于混合基金、债券基金与货币市场基金。本基金主要采用组合复制策略和适当的替代性策略实现对标的指数的紧密跟踪，具有与标的指数相似的风险收益特征。 本基金主要投资美国证券市场，需承担汇率风险以及境外市场的风险。</w:t>
            </w:r>
          </w:p>
        </w:tc>
      </w:tr>
      <w:tr w:rsidR="00F13451" w:rsidRPr="00820253" w:rsidTr="00780E33">
        <w:tc>
          <w:tcPr>
            <w:tcW w:type="dxa" w:w="2977"/>
            <w:vAlign w:val="center"/>
          </w:tcPr>
          <w:p w:rsidP="00CA3C4F" w:rsidR="00F13451" w:rsidRDefault="00F13451" w:rsidRPr="0040658E">
            <w:pPr>
              <w:adjustRightInd w:val="0"/>
              <w:spacing w:before="29" w:line="360" w:lineRule="auto"/>
              <w:ind w:left="17"/>
              <w:jc w:val="left"/>
              <w:rPr>
                <w:sz w:val="24"/>
              </w:rPr>
            </w:pPr>
            <w:r w:rsidRPr="0040658E">
              <w:rPr>
                <w:kern w:val="0"/>
                <w:sz w:val="24"/>
              </w:rPr>
              <w:t>基金管理人</w:t>
            </w:r>
          </w:p>
        </w:tc>
        <w:tc>
          <w:tcPr>
            <w:tcW w:type="dxa" w:w="5387"/>
            <w:gridSpan w:val="2"/>
            <w:vAlign w:val="center"/>
          </w:tcPr>
          <w:p w:rsidP="00CA3C4F" w:rsidR="00F13451" w:rsidRDefault="00F13451" w:rsidRPr="0040658E">
            <w:pPr>
              <w:adjustRightInd w:val="0"/>
              <w:spacing w:before="29" w:line="360" w:lineRule="auto"/>
              <w:ind w:left="17"/>
              <w:jc w:val="left"/>
              <w:rPr>
                <w:color w:val="000000"/>
                <w:sz w:val="24"/>
              </w:rPr>
            </w:pPr>
            <w:r w:rsidRPr="0040658E">
              <w:rPr>
                <w:color w:val="000000"/>
                <w:kern w:val="0"/>
                <w:sz w:val="24"/>
              </w:rPr>
              <w:t/>
            </w:r>
            <w:proofErr w:type="spellStart"/>
            <w:r w:rsidRPr="0040658E">
              <w:rPr>
                <w:color w:val="000000"/>
                <w:kern w:val="0"/>
                <w:sz w:val="24"/>
              </w:rPr>
              <w:t/>
            </w:r>
            <w:proofErr w:type="spellEnd"/>
            <w:r w:rsidRPr="0040658E">
              <w:rPr>
                <w:color w:val="000000"/>
                <w:kern w:val="0"/>
                <w:sz w:val="24"/>
              </w:rPr>
              <w:t>易方达基金管理有限公司</w:t>
            </w:r>
          </w:p>
        </w:tc>
      </w:tr>
      <w:tr w:rsidR="00F13451" w:rsidRPr="00820253" w:rsidTr="00780E33">
        <w:tc>
          <w:tcPr>
            <w:tcW w:type="dxa" w:w="2977"/>
            <w:vAlign w:val="center"/>
          </w:tcPr>
          <w:p w:rsidP="00CA3C4F" w:rsidR="00F13451" w:rsidRDefault="00F13451" w:rsidRPr="0040658E">
            <w:pPr>
              <w:adjustRightInd w:val="0"/>
              <w:spacing w:before="29" w:line="360" w:lineRule="auto"/>
              <w:ind w:left="17"/>
              <w:jc w:val="left"/>
              <w:rPr>
                <w:sz w:val="24"/>
              </w:rPr>
            </w:pPr>
            <w:r w:rsidRPr="0040658E">
              <w:rPr>
                <w:kern w:val="0"/>
                <w:sz w:val="24"/>
              </w:rPr>
              <w:t>基金托管人</w:t>
            </w:r>
          </w:p>
        </w:tc>
        <w:tc>
          <w:tcPr>
            <w:tcW w:type="dxa" w:w="5387"/>
            <w:gridSpan w:val="2"/>
            <w:vAlign w:val="center"/>
          </w:tcPr>
          <w:p w:rsidP="00CA3C4F" w:rsidR="00F13451" w:rsidRDefault="00F13451" w:rsidRPr="0040658E">
            <w:pPr>
              <w:adjustRightInd w:val="0"/>
              <w:spacing w:before="29" w:line="360" w:lineRule="auto"/>
              <w:ind w:left="17"/>
              <w:jc w:val="left"/>
              <w:rPr>
                <w:color w:val="000000"/>
                <w:sz w:val="24"/>
              </w:rPr>
            </w:pPr>
            <w:r w:rsidRPr="0040658E">
              <w:rPr>
                <w:color w:val="000000"/>
                <w:kern w:val="0"/>
                <w:sz w:val="24"/>
              </w:rPr>
              <w:t/>
            </w:r>
            <w:proofErr w:type="spellStart"/>
            <w:r w:rsidRPr="0040658E">
              <w:rPr>
                <w:color w:val="000000"/>
                <w:kern w:val="0"/>
                <w:sz w:val="24"/>
              </w:rPr>
              <w:t/>
            </w:r>
            <w:proofErr w:type="spellEnd"/>
            <w:r w:rsidRPr="0040658E">
              <w:rPr>
                <w:color w:val="000000"/>
                <w:kern w:val="0"/>
                <w:sz w:val="24"/>
              </w:rPr>
              <w:t>中国建设银行股份有限公司</w:t>
            </w:r>
          </w:p>
        </w:tc>
      </w:tr>
      <w:tr w:rsidR="00E83302" w:rsidRPr="00820253" w:rsidTr="00780E33">
        <w:tc>
          <w:tcPr>
            <w:tcW w:type="dxa" w:w="2977"/>
            <w:vMerge w:val="restart"/>
            <w:vAlign w:val="center"/>
          </w:tcPr>
          <w:p w:rsidP="00510BB5" w:rsidR="00E83302" w:rsidRDefault="00E83302" w:rsidRPr="0040658E">
            <w:pPr>
              <w:adjustRightInd w:val="0"/>
              <w:spacing w:before="29" w:line="360" w:lineRule="auto"/>
              <w:ind w:left="17"/>
              <w:jc w:val="left"/>
              <w:rPr>
                <w:kern w:val="0"/>
                <w:sz w:val="24"/>
              </w:rPr>
            </w:pPr>
            <w:r w:rsidRPr="0040658E">
              <w:rPr>
                <w:kern w:val="0"/>
                <w:sz w:val="24"/>
              </w:rPr>
              <w:t>境外投资顾问</w:t>
            </w:r>
          </w:p>
        </w:tc>
        <w:tc>
          <w:tcPr>
            <w:tcW w:type="dxa" w:w="5387"/>
            <w:gridSpan w:val="2"/>
            <w:vAlign w:val="center"/>
          </w:tcPr>
          <w:p w:rsidP="000C6F3E" w:rsidR="00E83302" w:rsidRDefault="00E83302" w:rsidRPr="0040658E">
            <w:pPr>
              <w:adjustRightInd w:val="0"/>
              <w:spacing w:before="29" w:line="360" w:lineRule="auto"/>
              <w:ind w:left="17"/>
              <w:jc w:val="left"/>
              <w:rPr>
                <w:kern w:val="0"/>
                <w:sz w:val="24"/>
              </w:rPr>
            </w:pPr>
            <w:r w:rsidRPr="0040658E">
              <w:rPr>
                <w:kern w:val="0"/>
                <w:sz w:val="24"/>
              </w:rPr>
              <w:t>英文名称</w:t>
            </w:r>
            <w:r>
              <w:rPr>
                <w:rFonts w:hint="eastAsia"/>
                <w:kern w:val="0"/>
                <w:sz w:val="24"/>
              </w:rPr>
              <w:t>：</w:t>
            </w:r>
            <w:r w:rsidRPr="0040658E">
              <w:rPr>
                <w:color w:val="000000"/>
                <w:kern w:val="0"/>
                <w:sz w:val="24"/>
              </w:rPr>
              <w:t/>
            </w:r>
            <w:proofErr w:type="spellStart"/>
            <w:r w:rsidRPr="0040658E">
              <w:rPr>
                <w:color w:val="000000"/>
                <w:kern w:val="0"/>
                <w:sz w:val="24"/>
              </w:rPr>
              <w:t/>
            </w:r>
            <w:proofErr w:type="spellEnd"/>
            <w:r w:rsidRPr="0040658E">
              <w:rPr>
                <w:color w:val="000000"/>
                <w:kern w:val="0"/>
                <w:sz w:val="24"/>
              </w:rPr>
              <w:t>无</w:t>
            </w:r>
          </w:p>
        </w:tc>
      </w:tr>
      <w:tr w:rsidR="00E83302" w:rsidRPr="00820253" w:rsidTr="00780E33">
        <w:tc>
          <w:tcPr>
            <w:tcW w:type="dxa" w:w="2977"/>
            <w:vMerge/>
            <w:vAlign w:val="center"/>
          </w:tcPr>
          <w:p w:rsidP="00510BB5" w:rsidR="00E83302" w:rsidRDefault="00E83302" w:rsidRPr="0040658E">
            <w:pPr>
              <w:adjustRightInd w:val="0"/>
              <w:spacing w:before="29" w:line="360" w:lineRule="auto"/>
              <w:ind w:left="17"/>
              <w:jc w:val="left"/>
              <w:rPr>
                <w:kern w:val="0"/>
                <w:sz w:val="24"/>
              </w:rPr>
            </w:pPr>
          </w:p>
        </w:tc>
        <w:tc>
          <w:tcPr>
            <w:tcW w:type="dxa" w:w="5387"/>
            <w:gridSpan w:val="2"/>
            <w:vAlign w:val="center"/>
          </w:tcPr>
          <w:p w:rsidP="000C6F3E" w:rsidR="00E83302" w:rsidRDefault="00E83302" w:rsidRPr="0040658E">
            <w:pPr>
              <w:adjustRightInd w:val="0"/>
              <w:spacing w:before="29" w:line="360" w:lineRule="auto"/>
              <w:ind w:left="17"/>
              <w:jc w:val="left"/>
              <w:rPr>
                <w:kern w:val="0"/>
                <w:sz w:val="24"/>
              </w:rPr>
            </w:pPr>
            <w:r w:rsidRPr="0040658E">
              <w:rPr>
                <w:kern w:val="0"/>
                <w:sz w:val="24"/>
              </w:rPr>
              <w:t>中文名称</w:t>
            </w:r>
            <w:r>
              <w:rPr>
                <w:rFonts w:hint="eastAsia"/>
                <w:kern w:val="0"/>
                <w:sz w:val="24"/>
              </w:rPr>
              <w:t>：</w:t>
            </w:r>
            <w:r w:rsidRPr="0040658E">
              <w:rPr>
                <w:color w:val="000000"/>
                <w:kern w:val="0"/>
                <w:sz w:val="24"/>
              </w:rPr>
              <w:t/>
            </w:r>
            <w:proofErr w:type="spellStart"/>
            <w:r w:rsidRPr="0040658E">
              <w:rPr>
                <w:color w:val="000000"/>
                <w:kern w:val="0"/>
                <w:sz w:val="24"/>
              </w:rPr>
              <w:t/>
            </w:r>
            <w:proofErr w:type="spellEnd"/>
            <w:r w:rsidRPr="0040658E">
              <w:rPr>
                <w:color w:val="000000"/>
                <w:kern w:val="0"/>
                <w:sz w:val="24"/>
              </w:rPr>
              <w:t>无</w:t>
            </w:r>
          </w:p>
        </w:tc>
      </w:tr>
      <w:tr w:rsidR="000C6F3E" w:rsidRPr="00820253" w:rsidTr="00780E33">
        <w:tc>
          <w:tcPr>
            <w:tcW w:type="dxa" w:w="2977"/>
            <w:vMerge w:val="restart"/>
            <w:vAlign w:val="center"/>
          </w:tcPr>
          <w:p w:rsidP="00510BB5" w:rsidR="000C6F3E" w:rsidRDefault="000C6F3E" w:rsidRPr="0040658E">
            <w:pPr>
              <w:adjustRightInd w:val="0"/>
              <w:spacing w:before="29" w:line="360" w:lineRule="auto"/>
              <w:ind w:left="17"/>
              <w:jc w:val="left"/>
              <w:rPr>
                <w:kern w:val="0"/>
                <w:sz w:val="24"/>
              </w:rPr>
            </w:pPr>
            <w:r w:rsidRPr="0040658E">
              <w:rPr>
                <w:kern w:val="0"/>
                <w:sz w:val="24"/>
              </w:rPr>
              <w:t>境外资产托管人</w:t>
            </w:r>
          </w:p>
        </w:tc>
        <w:tc>
          <w:tcPr>
            <w:tcW w:type="dxa" w:w="5387"/>
            <w:gridSpan w:val="2"/>
            <w:vAlign w:val="center"/>
          </w:tcPr>
          <w:p w:rsidP="000C6F3E" w:rsidR="000C6F3E" w:rsidRDefault="000C6F3E" w:rsidRPr="0040658E">
            <w:pPr>
              <w:adjustRightInd w:val="0"/>
              <w:spacing w:before="29" w:line="360" w:lineRule="auto"/>
              <w:ind w:left="17"/>
              <w:jc w:val="left"/>
              <w:rPr>
                <w:color w:val="000000"/>
                <w:kern w:val="0"/>
                <w:sz w:val="24"/>
              </w:rPr>
            </w:pPr>
            <w:r w:rsidRPr="0040658E">
              <w:rPr>
                <w:kern w:val="0"/>
                <w:sz w:val="24"/>
              </w:rPr>
              <w:t>英文名称</w:t>
            </w:r>
            <w:r>
              <w:rPr>
                <w:rFonts w:hint="eastAsia"/>
                <w:color w:val="000000"/>
                <w:kern w:val="0"/>
                <w:sz w:val="24"/>
              </w:rPr>
              <w:t>：</w:t>
            </w:r>
            <w:r w:rsidRPr="0040658E">
              <w:rPr>
                <w:color w:val="000000"/>
                <w:kern w:val="0"/>
                <w:sz w:val="24"/>
              </w:rPr>
              <w:t/>
            </w:r>
            <w:proofErr w:type="spellStart"/>
            <w:r w:rsidRPr="0040658E">
              <w:rPr>
                <w:color w:val="000000"/>
                <w:kern w:val="0"/>
                <w:sz w:val="24"/>
              </w:rPr>
              <w:t/>
            </w:r>
            <w:proofErr w:type="spellEnd"/>
            <w:r w:rsidRPr="0040658E">
              <w:rPr>
                <w:color w:val="000000"/>
                <w:kern w:val="0"/>
                <w:sz w:val="24"/>
              </w:rPr>
              <w:t>State Street Bank and Trust Company</w:t>
            </w:r>
          </w:p>
        </w:tc>
      </w:tr>
      <w:tr w:rsidR="000C6F3E" w:rsidRPr="00820253" w:rsidTr="00780E33">
        <w:tc>
          <w:tcPr>
            <w:tcW w:type="dxa" w:w="2977"/>
            <w:vMerge/>
            <w:vAlign w:val="center"/>
          </w:tcPr>
          <w:p w:rsidP="00CA3C4F" w:rsidR="000C6F3E" w:rsidRDefault="000C6F3E" w:rsidRPr="0040658E">
            <w:pPr>
              <w:adjustRightInd w:val="0"/>
              <w:spacing w:before="29" w:line="360" w:lineRule="auto"/>
              <w:ind w:left="17"/>
              <w:jc w:val="left"/>
              <w:rPr>
                <w:kern w:val="0"/>
                <w:sz w:val="24"/>
              </w:rPr>
            </w:pPr>
          </w:p>
        </w:tc>
        <w:tc>
          <w:tcPr>
            <w:tcW w:type="dxa" w:w="5387"/>
            <w:gridSpan w:val="2"/>
            <w:vAlign w:val="center"/>
          </w:tcPr>
          <w:p w:rsidP="000C6F3E" w:rsidR="000C6F3E" w:rsidRDefault="000C6F3E" w:rsidRPr="0040658E">
            <w:pPr>
              <w:adjustRightInd w:val="0"/>
              <w:spacing w:before="29" w:line="360" w:lineRule="auto"/>
              <w:ind w:left="17"/>
              <w:jc w:val="left"/>
              <w:rPr>
                <w:color w:val="000000"/>
                <w:kern w:val="0"/>
                <w:sz w:val="24"/>
              </w:rPr>
            </w:pPr>
            <w:r w:rsidRPr="0040658E">
              <w:rPr>
                <w:kern w:val="0"/>
                <w:sz w:val="24"/>
              </w:rPr>
              <w:t>中文名称</w:t>
            </w:r>
            <w:r>
              <w:rPr>
                <w:rFonts w:hint="eastAsia"/>
                <w:kern w:val="0"/>
                <w:sz w:val="24"/>
              </w:rPr>
              <w:t>：</w:t>
            </w:r>
            <w:r w:rsidRPr="0040658E">
              <w:rPr>
                <w:color w:val="000000"/>
                <w:kern w:val="0"/>
                <w:sz w:val="24"/>
              </w:rPr>
              <w:t xml:space="preserve"> </w:t>
            </w:r>
            <w:proofErr w:type="spellStart"/>
            <w:r w:rsidRPr="0040658E">
              <w:rPr>
                <w:color w:val="000000"/>
                <w:kern w:val="0"/>
                <w:sz w:val="24"/>
              </w:rPr>
              <w:t/>
            </w:r>
            <w:proofErr w:type="spellEnd"/>
            <w:r w:rsidRPr="0040658E">
              <w:rPr>
                <w:color w:val="000000"/>
                <w:kern w:val="0"/>
                <w:sz w:val="24"/>
              </w:rPr>
              <w:t>道富银行</w:t>
            </w:r>
          </w:p>
        </w:tc>
      </w:tr>
    </w:tbl>
    <w:p w:rsidP="0040658E" w:rsidR="00F13451" w:rsidRDefault="00F13451" w:rsidRPr="0040658E">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
      </w:r>
      <w:proofErr w:type="spellStart"/>
      <w:proofErr w:type="gramStart"/>
      <w:r w:rsidRPr="0040658E">
        <w:rPr>
          <w:color w:val="000000"/>
          <w:sz w:val="24"/>
        </w:rPr>
        <w:t/>
      </w:r>
      <w:proofErr w:type="spellEnd"/>
      <w:proofErr w:type="gramEnd"/>
      <w:r w:rsidRPr="0040658E">
        <w:rPr>
          <w:color w:val="000000"/>
          <w:sz w:val="24"/>
        </w:rPr>
        <w:t>注：易方达标普信息科技指数（QDII-LOF）含人民币份额（份额代码：161128）及美元现汇份额（份额代码：003721），交易代码仅列示人民币份额代码。</w:t>
      </w:r>
    </w:p>
    <w:p w:rsidP="008B041C" w:rsidR="00F13451" w:rsidRDefault="00F13451" w:rsidRPr="00820253">
      <w:pPr>
        <w:pStyle w:val="1"/>
        <w:spacing w:after="312" w:afterLines="100" w:before="312" w:beforeLines="100" w:line="360" w:lineRule="auto"/>
        <w:jc w:val="center"/>
        <w:rPr>
          <w:rFonts w:ascii="宋体" w:cs="Arial"/>
          <w:color w:val="000000"/>
          <w:kern w:val="0"/>
          <w:sz w:val="24"/>
          <w:szCs w:val="24"/>
        </w:rPr>
      </w:pPr>
      <w:r w:rsidRPr="00820253">
        <w:rPr>
          <w:rFonts w:ascii="宋体" w:cs="Arial" w:hAnsi="宋体" w:hint="eastAsia"/>
          <w:color w:val="000000"/>
          <w:kern w:val="0"/>
          <w:sz w:val="24"/>
          <w:szCs w:val="24"/>
        </w:rPr>
        <w:t>§</w:t>
      </w:r>
      <w:r w:rsidRPr="00820253">
        <w:rPr>
          <w:rFonts w:ascii="宋体" w:cs="Arial" w:hAnsi="宋体"/>
          <w:color w:val="000000"/>
          <w:kern w:val="0"/>
          <w:sz w:val="24"/>
          <w:szCs w:val="24"/>
        </w:rPr>
        <w:t xml:space="preserve">3  </w:t>
      </w:r>
      <w:r w:rsidRPr="00820253">
        <w:rPr>
          <w:rFonts w:ascii="宋体" w:cs="Arial" w:hAnsi="宋体" w:hint="eastAsia"/>
          <w:color w:val="000000"/>
          <w:kern w:val="0"/>
          <w:sz w:val="24"/>
          <w:szCs w:val="24"/>
        </w:rPr>
        <w:t>主要财务指标和基金净值表现</w:t>
      </w:r>
    </w:p>
    <w:p w:rsidP="0029671E" w:rsidR="00F13451" w:rsidRDefault="00F13451" w:rsidRPr="00820253">
      <w:pPr>
        <w:autoSpaceDE w:val="0"/>
        <w:autoSpaceDN w:val="0"/>
        <w:adjustRightInd w:val="0"/>
        <w:spacing w:line="360" w:lineRule="auto"/>
        <w:jc w:val="left"/>
        <w:rPr>
          <w:rFonts w:ascii="宋体" w:cs="Arial"/>
          <w:b/>
          <w:color w:val="000000"/>
          <w:kern w:val="0"/>
          <w:sz w:val="24"/>
        </w:rPr>
      </w:pPr>
      <w:r w:rsidRPr="00820253">
        <w:rPr>
          <w:rFonts w:ascii="宋体" w:cs="Arial" w:hAnsi="宋体"/>
          <w:b/>
          <w:color w:val="000000"/>
          <w:kern w:val="0"/>
          <w:sz w:val="24"/>
        </w:rPr>
        <w:t xml:space="preserve">3.1 </w:t>
      </w:r>
      <w:r w:rsidRPr="00820253">
        <w:rPr>
          <w:rFonts w:ascii="宋体" w:cs="Arial" w:hAnsi="宋体" w:hint="eastAsia"/>
          <w:b/>
          <w:color w:val="000000"/>
          <w:kern w:val="0"/>
          <w:sz w:val="24"/>
        </w:rPr>
        <w:t>主要财务指标</w:t>
      </w:r>
    </w:p>
    <w:p w:rsidP="00B41C16" w:rsidR="00B41C16" w:rsidRDefault="00B41C16" w:rsidRPr="006506EF">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type="dxa" w:w="8364"/>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402"/>
        <w:gridCol w:w="2552"/>
        <w:gridCol w:w="2410"/>
      </w:tblGrid>
      <w:tr w:rsidR="00B41C16" w:rsidRPr="006506EF" w:rsidTr="00C3442A">
        <w:tc>
          <w:tcPr>
            <w:tcW w:type="dxa" w:w="3402"/>
            <w:vAlign w:val="center"/>
          </w:tcPr>
          <w:p w:rsidP="00C3442A" w:rsidR="00B41C16" w:rsidRDefault="00B41C16" w:rsidRPr="006506EF">
            <w:pPr>
              <w:adjustRightInd w:val="0"/>
              <w:spacing w:before="29" w:line="360" w:lineRule="auto"/>
              <w:ind w:left="17"/>
              <w:jc w:val="center"/>
              <w:rPr>
                <w:kern w:val="0"/>
                <w:sz w:val="24"/>
              </w:rPr>
            </w:pPr>
            <w:r w:rsidRPr="006506EF">
              <w:rPr>
                <w:kern w:val="0"/>
                <w:sz w:val="24"/>
              </w:rPr>
              <w:t>主要财务指标</w:t>
            </w:r>
            <w:r w:rsidRPr="006506EF">
              <w:rPr>
                <w:kern w:val="0"/>
                <w:sz w:val="24"/>
              </w:rPr>
              <w:t/>
            </w:r>
            <w:proofErr w:type="spellStart"/>
            <w:r w:rsidRPr="006506EF">
              <w:rPr>
                <w:kern w:val="0"/>
                <w:sz w:val="24"/>
              </w:rPr>
              <w:t/>
            </w:r>
            <w:proofErr w:type="spellEnd"/>
            <w:r w:rsidRPr="006506EF">
              <w:rPr>
                <w:kern w:val="0"/>
                <w:sz w:val="24"/>
              </w:rPr>
              <w:t/>
            </w:r>
          </w:p>
        </w:tc>
        <w:tc>
          <w:tcPr>
            <w:tcW w:type="dxa" w:w="4962"/>
            <w:hMerge w:val="restart"/>
            <w:vAlign w:val="center"/>
          </w:tcPr>
          <w:p w:rsidP="00C3442A" w:rsidR="00B41C16" w:rsidRDefault="00B41C16" w:rsidRPr="006506EF">
            <w:pPr>
              <w:adjustRightInd w:val="0"/>
              <w:spacing w:before="29" w:line="360" w:lineRule="auto"/>
              <w:ind w:left="17"/>
              <w:jc w:val="center"/>
              <w:rPr>
                <w:color w:val="000000"/>
                <w:sz w:val="24"/>
              </w:rPr>
            </w:pPr>
            <w:r w:rsidRPr="006506EF">
              <w:rPr>
                <w:color w:val="000000"/>
                <w:sz w:val="24"/>
              </w:rPr>
              <w:t>报告期</w:t>
            </w:r>
          </w:p>
          <w:p w:rsidP="00C3442A" w:rsidR="00B41C16" w:rsidRDefault="00B41C16" w:rsidRPr="006506EF">
            <w:pPr>
              <w:adjustRightInd w:val="0"/>
              <w:spacing w:before="29" w:line="360" w:lineRule="auto"/>
              <w:ind w:left="17"/>
              <w:jc w:val="center"/>
              <w:rPr>
                <w:color w:val="000000"/>
                <w:sz w:val="24"/>
              </w:rPr>
            </w:pPr>
            <w:r w:rsidRPr="006506EF">
              <w:rPr>
                <w:color w:val="000000"/>
                <w:sz w:val="24"/>
              </w:rPr>
              <w:t>(</w:t>
            </w:r>
            <w:proofErr w:type="spellStart"/>
            <w:r w:rsidRPr="006506EF">
              <w:rPr>
                <w:color w:val="000000"/>
                <w:sz w:val="24"/>
              </w:rPr>
              <w:t/>
            </w:r>
            <w:proofErr w:type="spellEnd"/>
            <w:r w:rsidRPr="006506EF">
              <w:rPr>
                <w:color w:val="000000"/>
                <w:sz w:val="24"/>
              </w:rPr>
              <w:t>2020年7月1日-</w:t>
            </w:r>
            <w:proofErr w:type="spellStart"/>
            <w:r w:rsidRPr="006506EF">
              <w:rPr>
                <w:color w:val="000000"/>
                <w:sz w:val="24"/>
              </w:rPr>
              <w:t/>
            </w:r>
            <w:proofErr w:type="spellEnd"/>
            <w:r w:rsidRPr="006506EF">
              <w:rPr>
                <w:color w:val="000000"/>
                <w:sz w:val="24"/>
              </w:rPr>
              <w:t>2020年9月30日)</w:t>
            </w:r>
          </w:p>
        </w:tc>
        <w:tc>
          <w:tcPr>
            <w:tcW w:type="dxa" w:w="2410"/>
            <w:hMerge/>
          </w:tcPr>
          <w:p w:rsidP="00C3442A" w:rsidR="00B41C16" w:rsidRDefault="00B41C16" w:rsidRPr="006506EF">
            <w:pPr>
              <w:adjustRightInd w:val="0"/>
              <w:spacing w:before="29" w:line="360" w:lineRule="auto"/>
              <w:ind w:left="17"/>
              <w:jc w:val="center"/>
              <w:rPr>
                <w:color w:val="000000"/>
                <w:sz w:val="24"/>
              </w:rPr>
            </w:pPr>
            <w:r w:rsidRPr="006506EF">
              <w:rPr>
                <w:color w:val="000000"/>
                <w:sz w:val="24"/>
              </w:rPr>
              <w:t>上期金额</w:t>
            </w:r>
            <w:r w:rsidRPr="006506EF">
              <w:rPr>
                <w:color w:val="000000"/>
                <w:sz w:val="24"/>
              </w:rPr>
              <w:t/>
            </w:r>
            <w:proofErr w:type="spellStart"/>
            <w:r w:rsidRPr="006506EF">
              <w:rPr>
                <w:color w:val="000000"/>
                <w:sz w:val="24"/>
              </w:rPr>
              <w:t/>
            </w:r>
            <w:proofErr w:type="spellEnd"/>
            <w:r w:rsidRPr="006506EF">
              <w:rPr>
                <w:color w:val="000000"/>
                <w:sz w:val="24"/>
              </w:rPr>
              <w:t/>
            </w:r>
          </w:p>
        </w:tc>
      </w:tr>
      <w:tr w:rsidR="00B41C16" w:rsidRPr="006506EF" w:rsidTr="00C3442A">
        <w:tc>
          <w:tcPr>
            <w:tcW w:type="dxa" w:w="3402"/>
          </w:tcPr>
          <w:p w:rsidP="00C3442A" w:rsidR="00B41C16" w:rsidRDefault="00B41C16" w:rsidRPr="006506EF">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type="dxa" w:w="4962"/>
            <w:hMerge w:val="restart"/>
            <w:vAlign w:val="bottom"/>
          </w:tcPr>
          <w:p w:rsidP="00C3442A" w:rsidR="00B41C16" w:rsidRDefault="00B41C16" w:rsidRPr="006506EF">
            <w:pPr>
              <w:adjustRightInd w:val="0"/>
              <w:spacing w:before="29" w:line="360" w:lineRule="auto"/>
              <w:ind w:left="17"/>
              <w:jc w:val="right"/>
              <w:rPr>
                <w:color w:val="000000"/>
                <w:sz w:val="24"/>
              </w:rPr>
            </w:pPr>
            <w:r w:rsidRPr="006506EF">
              <w:rPr>
                <w:color w:val="000000"/>
                <w:sz w:val="24"/>
              </w:rPr>
              <w:t>31,942,450.08</w:t>
            </w:r>
          </w:p>
        </w:tc>
        <w:tc>
          <w:tcPr>
            <w:tcW w:type="dxa" w:w="2410"/>
            <w:hMerge/>
            <w:vAlign w:val="bottom"/>
          </w:tcPr>
          <w:p w:rsidP="00C3442A" w:rsidR="00B41C16" w:rsidRDefault="00B41C16" w:rsidRPr="006506EF">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type="dxa" w:w="3402"/>
          </w:tcPr>
          <w:p w:rsidP="00C3442A" w:rsidR="00B41C16" w:rsidRDefault="00B41C16" w:rsidRPr="006506EF">
            <w:pPr>
              <w:adjustRightInd w:val="0"/>
              <w:spacing w:before="29" w:line="360" w:lineRule="auto"/>
              <w:ind w:left="17"/>
              <w:rPr>
                <w:kern w:val="0"/>
                <w:sz w:val="24"/>
              </w:rPr>
            </w:pPr>
            <w:r w:rsidRPr="006506EF">
              <w:rPr>
                <w:kern w:val="0"/>
                <w:sz w:val="24"/>
              </w:rPr>
              <w:t>2.</w:t>
            </w:r>
            <w:r w:rsidRPr="006506EF">
              <w:rPr>
                <w:kern w:val="0"/>
                <w:sz w:val="24"/>
              </w:rPr>
              <w:t>本期利润</w:t>
            </w:r>
          </w:p>
        </w:tc>
        <w:tc>
          <w:tcPr>
            <w:tcW w:type="dxa" w:w="4962"/>
            <w:hMerge w:val="restart"/>
            <w:vAlign w:val="bottom"/>
          </w:tcPr>
          <w:p w:rsidP="00C3442A" w:rsidR="00B41C16" w:rsidRDefault="00B41C16" w:rsidRPr="006506EF">
            <w:pPr>
              <w:adjustRightInd w:val="0"/>
              <w:spacing w:before="29" w:line="360" w:lineRule="auto"/>
              <w:ind w:left="17"/>
              <w:jc w:val="right"/>
              <w:rPr>
                <w:color w:val="000000"/>
                <w:sz w:val="24"/>
              </w:rPr>
            </w:pPr>
            <w:r w:rsidRPr="006506EF">
              <w:rPr>
                <w:color w:val="000000"/>
                <w:sz w:val="24"/>
              </w:rPr>
              <w:t/>
            </w:r>
            <w:proofErr w:type="spellStart"/>
            <w:r w:rsidRPr="006506EF">
              <w:rPr>
                <w:color w:val="000000"/>
                <w:sz w:val="24"/>
              </w:rPr>
              <w:t/>
            </w:r>
            <w:proofErr w:type="spellEnd"/>
            <w:r w:rsidRPr="006506EF">
              <w:rPr>
                <w:color w:val="000000"/>
                <w:sz w:val="24"/>
              </w:rPr>
              <w:t>55,271,589.72</w:t>
            </w:r>
          </w:p>
        </w:tc>
        <w:tc>
          <w:tcPr>
            <w:tcW w:type="dxa" w:w="2410"/>
            <w:hMerge/>
            <w:vAlign w:val="bottom"/>
          </w:tcPr>
          <w:p w:rsidP="00C3442A" w:rsidR="00B41C16" w:rsidRDefault="00B41C16" w:rsidRPr="006506EF">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type="dxa" w:w="3402"/>
          </w:tcPr>
          <w:p w:rsidP="00C3442A" w:rsidR="00B41C16" w:rsidRDefault="00B41C16" w:rsidRPr="006506EF">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type="dxa" w:w="4962"/>
            <w:hMerge w:val="restart"/>
            <w:vAlign w:val="bottom"/>
          </w:tcPr>
          <w:p w:rsidP="00C3442A" w:rsidR="00B41C16" w:rsidRDefault="00B41C16" w:rsidRPr="006506EF">
            <w:pPr>
              <w:adjustRightInd w:val="0"/>
              <w:spacing w:before="29" w:line="360" w:lineRule="auto"/>
              <w:ind w:left="17"/>
              <w:jc w:val="right"/>
              <w:rPr>
                <w:color w:val="000000"/>
                <w:sz w:val="24"/>
              </w:rPr>
            </w:pPr>
            <w:r w:rsidRPr="006506EF">
              <w:rPr>
                <w:color w:val="000000"/>
                <w:sz w:val="24"/>
              </w:rPr>
              <w:t/>
            </w:r>
            <w:proofErr w:type="spellStart"/>
            <w:r w:rsidRPr="006506EF">
              <w:rPr>
                <w:color w:val="000000"/>
                <w:sz w:val="24"/>
              </w:rPr>
              <w:t/>
            </w:r>
            <w:proofErr w:type="spellEnd"/>
            <w:r w:rsidRPr="006506EF">
              <w:rPr>
                <w:color w:val="000000"/>
                <w:sz w:val="24"/>
              </w:rPr>
              <w:t>0.1420</w:t>
            </w:r>
          </w:p>
        </w:tc>
        <w:tc>
          <w:tcPr>
            <w:tcW w:type="dxa" w:w="2410"/>
            <w:hMerge/>
            <w:vAlign w:val="bottom"/>
          </w:tcPr>
          <w:p w:rsidP="00C3442A" w:rsidR="00B41C16" w:rsidRDefault="00B41C16" w:rsidRPr="006506EF">
            <w:pPr>
              <w:adjustRightInd w:val="0"/>
              <w:spacing w:before="29" w:line="360" w:lineRule="auto"/>
              <w:ind w:left="17"/>
              <w:jc w:val="right"/>
              <w:rPr>
                <w:color w:val="000000"/>
                <w:sz w:val="24"/>
              </w:rPr>
            </w:pPr>
            <w:r w:rsidRPr="006506EF">
              <w:rPr>
                <w:color w:val="000000"/>
                <w:sz w:val="24"/>
              </w:rPr>
              <w:t>-</w:t>
            </w:r>
          </w:p>
        </w:tc>
      </w:tr>
      <w:tr w:rsidR="00B41C16" w:rsidRPr="006506EF" w:rsidTr="00C3442A">
        <w:tc>
          <w:tcPr>
            <w:tcW w:type="dxa" w:w="3402"/>
          </w:tcPr>
          <w:p w:rsidP="00C3442A" w:rsidR="00B41C16" w:rsidRDefault="00B41C16" w:rsidRPr="006506EF">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type="dxa" w:w="4962"/>
            <w:hMerge w:val="restart"/>
          </w:tcPr>
          <w:p w:rsidP="00C3442A" w:rsidR="00B41C16" w:rsidRDefault="00B41C16" w:rsidRPr="006506EF">
            <w:pPr>
              <w:adjustRightInd w:val="0"/>
              <w:spacing w:before="29" w:line="360" w:lineRule="auto"/>
              <w:ind w:left="17"/>
              <w:jc w:val="right"/>
              <w:rPr>
                <w:color w:val="000000"/>
                <w:sz w:val="24"/>
              </w:rPr>
            </w:pPr>
            <w:r w:rsidRPr="006506EF">
              <w:rPr>
                <w:color w:val="000000"/>
                <w:sz w:val="24"/>
              </w:rPr>
              <w:t/>
            </w:r>
            <w:proofErr w:type="spellStart"/>
            <w:r w:rsidRPr="006506EF">
              <w:rPr>
                <w:color w:val="000000"/>
                <w:sz w:val="24"/>
              </w:rPr>
              <w:t/>
            </w:r>
            <w:r w:rsidRPr="006506EF">
              <w:rPr>
                <w:color w:val="000000"/>
                <w:sz w:val="24"/>
              </w:rPr>
              <w:lastRenderedPageBreak/>
              <w:t/>
            </w:r>
            <w:proofErr w:type="spellEnd"/>
            <w:r w:rsidRPr="006506EF">
              <w:rPr>
                <w:color w:val="000000"/>
                <w:sz w:val="24"/>
              </w:rPr>
              <w:t>835,205,551.68</w:t>
            </w:r>
          </w:p>
        </w:tc>
        <w:tc>
          <w:tcPr>
            <w:tcW w:type="dxa" w:w="2410"/>
            <w:hMerge/>
          </w:tcPr>
          <w:p w:rsidP="00C3442A" w:rsidR="00B41C16" w:rsidRDefault="00B41C16" w:rsidRPr="006506EF">
            <w:pPr>
              <w:adjustRightInd w:val="0"/>
              <w:spacing w:before="29" w:line="360" w:lineRule="auto"/>
              <w:ind w:left="17"/>
              <w:jc w:val="right"/>
              <w:rPr>
                <w:color w:val="000000"/>
                <w:sz w:val="24"/>
              </w:rPr>
            </w:pPr>
            <w:r w:rsidRPr="006506EF">
              <w:rPr>
                <w:color w:val="000000"/>
                <w:sz w:val="24"/>
              </w:rPr>
              <w:lastRenderedPageBreak/>
              <w:t/>
            </w:r>
            <w:r w:rsidRPr="006506EF">
              <w:rPr>
                <w:color w:val="000000"/>
                <w:sz w:val="24"/>
              </w:rPr>
              <w:lastRenderedPageBreak/>
              <w:t>-</w:t>
            </w:r>
          </w:p>
        </w:tc>
      </w:tr>
      <w:tr w:rsidR="00B41C16" w:rsidRPr="006506EF" w:rsidTr="00C3442A">
        <w:trPr>
          <w:trHeight w:val="158"/>
        </w:trPr>
        <w:tc>
          <w:tcPr>
            <w:tcW w:type="dxa" w:w="3402"/>
          </w:tcPr>
          <w:p w:rsidP="00C3442A" w:rsidR="00B41C16" w:rsidRDefault="00B41C16" w:rsidRPr="006506EF">
            <w:pPr>
              <w:adjustRightInd w:val="0"/>
              <w:spacing w:before="29" w:line="360" w:lineRule="auto"/>
              <w:ind w:left="17"/>
              <w:rPr>
                <w:kern w:val="0"/>
                <w:sz w:val="24"/>
              </w:rPr>
            </w:pPr>
            <w:r w:rsidRPr="006506EF">
              <w:rPr>
                <w:kern w:val="0"/>
                <w:sz w:val="24"/>
              </w:rPr>
              <w:lastRenderedPageBreak/>
              <w:t>5.</w:t>
            </w:r>
            <w:r w:rsidRPr="006506EF">
              <w:rPr>
                <w:kern w:val="0"/>
                <w:sz w:val="24"/>
              </w:rPr>
              <w:t>期末基金份额净值</w:t>
            </w:r>
          </w:p>
        </w:tc>
        <w:tc>
          <w:tcPr>
            <w:tcW w:type="dxa" w:w="4962"/>
            <w:hMerge w:val="restart"/>
          </w:tcPr>
          <w:p w:rsidP="00C3442A" w:rsidR="00B41C16" w:rsidRDefault="00B41C16" w:rsidRPr="006506EF">
            <w:pPr>
              <w:adjustRightInd w:val="0"/>
              <w:spacing w:before="29" w:line="360" w:lineRule="auto"/>
              <w:ind w:left="17"/>
              <w:jc w:val="right"/>
              <w:rPr>
                <w:color w:val="000000"/>
                <w:sz w:val="24"/>
              </w:rPr>
            </w:pPr>
            <w:r w:rsidRPr="006506EF">
              <w:rPr>
                <w:color w:val="000000"/>
                <w:sz w:val="24"/>
              </w:rPr>
              <w:t/>
            </w:r>
            <w:proofErr w:type="spellStart"/>
            <w:r w:rsidRPr="006506EF">
              <w:rPr>
                <w:color w:val="000000"/>
                <w:sz w:val="24"/>
              </w:rPr>
              <w:t/>
            </w:r>
            <w:proofErr w:type="spellEnd"/>
            <w:r w:rsidRPr="006506EF">
              <w:rPr>
                <w:color w:val="000000"/>
                <w:sz w:val="24"/>
              </w:rPr>
              <w:t>2.2269</w:t>
            </w:r>
          </w:p>
        </w:tc>
        <w:tc>
          <w:tcPr>
            <w:tcW w:type="dxa" w:w="2410"/>
            <w:hMerge/>
          </w:tcPr>
          <w:p w:rsidP="00C3442A" w:rsidR="00B41C16" w:rsidRDefault="00B41C16" w:rsidRPr="006506EF">
            <w:pPr>
              <w:adjustRightInd w:val="0"/>
              <w:spacing w:before="29" w:line="360" w:lineRule="auto"/>
              <w:ind w:left="17"/>
              <w:jc w:val="right"/>
              <w:rPr>
                <w:color w:val="000000"/>
                <w:sz w:val="24"/>
              </w:rPr>
            </w:pPr>
            <w:r w:rsidRPr="006506EF">
              <w:rPr>
                <w:color w:val="000000"/>
                <w:sz w:val="24"/>
              </w:rPr>
              <w:t>-</w:t>
            </w:r>
          </w:p>
        </w:tc>
      </w:tr>
    </w:tbl>
    <w:p>
      <w:pPr>
        <w:spacing w:line="360" w:lineRule="auto"/>
        <w:ind w:firstLine="480" w:firstLineChars="200"/>
        <w:rPr>
          <w:color w:val="000000"/>
          <w:sz w:val="24"/>
        </w:rPr>
      </w:pPr>
      <w:r>
        <w:rPr>
          <w:color w:val="000000"/>
          <w:sz w:val="24"/>
        </w:rPr>
        <w:t>注：1.所述基金业绩指标不包括持有人认购或交易基金的各项费用，计入费用后实际收益水平要低于所列数字。</w:t>
      </w:r>
    </w:p>
    <w:p w:rsidP="008B041C" w:rsidR="00F13451" w:rsidRDefault="00B41C16" w:rsidRPr="008B041C">
      <w:pPr>
        <w:spacing w:line="360" w:lineRule="auto"/>
        <w:ind w:firstLine="480" w:firstLineChars="200"/>
        <w:rPr>
          <w:color w:val="000000"/>
          <w:sz w:val="24"/>
        </w:rPr>
      </w:pPr>
      <w:r w:rsidRPr="006506EF">
        <w:rPr>
          <w:color w:val="000000"/>
          <w:sz w:val="24"/>
        </w:rPr>
        <w:t/>
      </w:r>
      <w:proofErr w:type="spellStart"/>
      <w:r w:rsidRPr="006506EF">
        <w:rPr>
          <w:color w:val="000000"/>
          <w:sz w:val="24"/>
        </w:rPr>
        <w:t/>
      </w:r>
      <w:proofErr w:type="spellEnd"/>
      <w:r w:rsidRPr="006506EF">
        <w:rPr>
          <w:color w:val="000000"/>
          <w:sz w:val="24"/>
        </w:rPr>
        <w:t/>
      </w:r>
      <w:proofErr w:type="spellStart"/>
      <w:proofErr w:type="gramStart"/>
      <w:r w:rsidRPr="006506EF">
        <w:rPr>
          <w:color w:val="000000"/>
          <w:sz w:val="24"/>
        </w:rPr>
        <w:t/>
      </w:r>
      <w:proofErr w:type="spellEnd"/>
      <w:proofErr w:type="gramEnd"/>
      <w:r w:rsidRPr="006506EF">
        <w:rPr>
          <w:color w:val="000000"/>
          <w:sz w:val="24"/>
        </w:rPr>
        <w:t>2.本期已实现收益指基金本期利息收入、投资收益、其他收入（不含公允价值变动收益）扣除相关费用后的余额，本期利润为本期已实现收益加上本期公允价值变动收益。</w:t>
      </w:r>
    </w:p>
    <w:p w:rsidP="0029671E" w:rsidR="00F13451" w:rsidRDefault="00F13451" w:rsidRPr="00820253">
      <w:pPr>
        <w:autoSpaceDE w:val="0"/>
        <w:autoSpaceDN w:val="0"/>
        <w:adjustRightInd w:val="0"/>
        <w:spacing w:line="360" w:lineRule="auto"/>
        <w:jc w:val="left"/>
        <w:rPr>
          <w:rFonts w:ascii="宋体" w:cs="Arial"/>
          <w:b/>
          <w:color w:val="000000"/>
          <w:kern w:val="0"/>
          <w:sz w:val="24"/>
        </w:rPr>
      </w:pPr>
      <w:r w:rsidRPr="00820253">
        <w:rPr>
          <w:rFonts w:ascii="宋体" w:cs="Arial" w:hAnsi="宋体"/>
          <w:b/>
          <w:color w:val="000000"/>
          <w:kern w:val="0"/>
          <w:sz w:val="24"/>
        </w:rPr>
        <w:t xml:space="preserve">3.2 </w:t>
      </w:r>
      <w:r w:rsidRPr="00820253">
        <w:rPr>
          <w:rFonts w:ascii="宋体" w:cs="Arial" w:hAnsi="宋体" w:hint="eastAsia"/>
          <w:b/>
          <w:color w:val="000000"/>
          <w:kern w:val="0"/>
          <w:sz w:val="24"/>
        </w:rPr>
        <w:t>基金净值表现</w:t>
      </w:r>
    </w:p>
    <w:p w:rsidP="0029671E" w:rsidR="00F13451" w:rsidRDefault="00F13451" w:rsidRPr="00820253">
      <w:pPr>
        <w:autoSpaceDE w:val="0"/>
        <w:autoSpaceDN w:val="0"/>
        <w:adjustRightInd w:val="0"/>
        <w:spacing w:line="360" w:lineRule="auto"/>
        <w:jc w:val="left"/>
        <w:rPr>
          <w:rFonts w:ascii="宋体" w:cs="Arial"/>
          <w:b/>
          <w:color w:val="000000"/>
          <w:kern w:val="0"/>
          <w:sz w:val="24"/>
        </w:rPr>
      </w:pPr>
      <w:smartTag w:element="chsdate" w:uri="urn:schemas-microsoft-com:office:smarttags">
        <w:smartTagPr>
          <w:attr w:name="IsROCDate" w:val="False"/>
          <w:attr w:name="IsLunarDate" w:val="False"/>
          <w:attr w:name="Day" w:val="30"/>
          <w:attr w:name="Month" w:val="12"/>
          <w:attr w:name="Year" w:val="1899"/>
        </w:smartTagPr>
        <w:r w:rsidRPr="00820253">
          <w:rPr>
            <w:rFonts w:ascii="宋体" w:cs="Arial" w:hAnsi="宋体"/>
            <w:b/>
            <w:color w:val="000000"/>
            <w:kern w:val="0"/>
            <w:sz w:val="24"/>
          </w:rPr>
          <w:t>3.2.1</w:t>
        </w:r>
      </w:smartTag>
      <w:r w:rsidRPr="00820253">
        <w:rPr>
          <w:rFonts w:ascii="宋体" w:cs="Arial" w:hAnsi="宋体" w:hint="eastAsia"/>
          <w:b/>
          <w:color w:val="000000"/>
          <w:kern w:val="0"/>
          <w:sz w:val="24"/>
        </w:rPr>
        <w:t>本报告</w:t>
      </w:r>
      <w:proofErr w:type="gramStart"/>
      <w:r w:rsidRPr="00820253">
        <w:rPr>
          <w:rFonts w:ascii="宋体" w:cs="Arial" w:hAnsi="宋体" w:hint="eastAsia"/>
          <w:b/>
          <w:color w:val="000000"/>
          <w:kern w:val="0"/>
          <w:sz w:val="24"/>
        </w:rPr>
        <w:t>期基金</w:t>
      </w:r>
      <w:proofErr w:type="gramEnd"/>
      <w:r w:rsidRPr="00820253">
        <w:rPr>
          <w:rFonts w:ascii="宋体" w:cs="Arial" w:hAnsi="宋体" w:hint="eastAsia"/>
          <w:b/>
          <w:color w:val="000000"/>
          <w:kern w:val="0"/>
          <w:sz w:val="24"/>
        </w:rPr>
        <w:t>份额净值增长率及其与同期业绩比较基准收益率的比较</w:t>
      </w: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1395"/>
        <w:gridCol w:w="1092"/>
        <w:gridCol w:w="1161"/>
        <w:gridCol w:w="1181"/>
        <w:gridCol w:w="1188"/>
        <w:gridCol w:w="1199"/>
        <w:gridCol w:w="1204"/>
      </w:tblGrid>
      <w:tr w:rsidR="00F13451" w:rsidRPr="00820253" w:rsidTr="00E35496">
        <w:tc>
          <w:tcPr>
            <w:tcW w:type="dxa" w:w="1395"/>
            <w:vAlign w:val="center"/>
          </w:tcPr>
          <w:p w:rsidP="00E35496" w:rsidR="00F13451" w:rsidRDefault="00F13451" w:rsidRPr="00431EE1">
            <w:pPr>
              <w:autoSpaceDE w:val="0"/>
              <w:autoSpaceDN w:val="0"/>
              <w:adjustRightInd w:val="0"/>
              <w:spacing w:before="29" w:line="360" w:lineRule="auto"/>
              <w:ind w:left="17"/>
              <w:jc w:val="center"/>
              <w:rPr>
                <w:color w:val="000000"/>
                <w:sz w:val="24"/>
              </w:rPr>
            </w:pPr>
            <w:r w:rsidRPr="00431EE1">
              <w:rPr>
                <w:color w:val="000000"/>
                <w:sz w:val="24"/>
              </w:rPr>
              <w:t>阶段</w:t>
            </w:r>
            <w:r w:rsidRPr="00431EE1">
              <w:rPr>
                <w:color w:val="000000"/>
                <w:sz w:val="24"/>
              </w:rPr>
              <w:t/>
            </w:r>
            <w:proofErr w:type="spellStart"/>
            <w:r w:rsidRPr="00431EE1">
              <w:rPr>
                <w:color w:val="000000"/>
                <w:sz w:val="24"/>
              </w:rPr>
              <w:t/>
            </w:r>
            <w:proofErr w:type="spellEnd"/>
            <w:r w:rsidRPr="00431EE1">
              <w:rPr>
                <w:color w:val="000000"/>
                <w:sz w:val="24"/>
              </w:rPr>
              <w:t/>
            </w:r>
          </w:p>
        </w:tc>
        <w:tc>
          <w:tcPr>
            <w:tcW w:type="dxa" w:w="1092"/>
            <w:vAlign w:val="center"/>
          </w:tcPr>
          <w:p w:rsidP="00E35496" w:rsidR="00F13451" w:rsidRDefault="00F13451" w:rsidRPr="00431EE1">
            <w:pPr>
              <w:autoSpaceDE w:val="0"/>
              <w:autoSpaceDN w:val="0"/>
              <w:adjustRightInd w:val="0"/>
              <w:spacing w:before="29" w:line="360" w:lineRule="auto"/>
              <w:ind w:left="17"/>
              <w:jc w:val="center"/>
              <w:rPr>
                <w:color w:val="000000"/>
                <w:sz w:val="24"/>
              </w:rPr>
            </w:pPr>
            <w:r w:rsidRPr="00431EE1">
              <w:rPr>
                <w:color w:val="000000"/>
                <w:sz w:val="24"/>
              </w:rPr>
              <w:t>净值增长率</w:t>
            </w:r>
            <w:r w:rsidRPr="00431EE1">
              <w:rPr>
                <w:rFonts w:ascii="宋体" w:cs="宋体" w:hAnsi="宋体" w:hint="eastAsia"/>
                <w:color w:val="000000"/>
                <w:sz w:val="24"/>
              </w:rPr>
              <w:t>①</w:t>
            </w:r>
          </w:p>
        </w:tc>
        <w:tc>
          <w:tcPr>
            <w:tcW w:type="dxa" w:w="1161"/>
            <w:vAlign w:val="center"/>
          </w:tcPr>
          <w:p w:rsidP="00E35496" w:rsidR="00F13451" w:rsidRDefault="00F13451" w:rsidRPr="00431EE1">
            <w:pPr>
              <w:autoSpaceDE w:val="0"/>
              <w:autoSpaceDN w:val="0"/>
              <w:adjustRightInd w:val="0"/>
              <w:spacing w:before="29" w:line="360" w:lineRule="auto"/>
              <w:ind w:left="17"/>
              <w:jc w:val="center"/>
              <w:rPr>
                <w:color w:val="000000"/>
                <w:sz w:val="24"/>
              </w:rPr>
            </w:pPr>
            <w:r w:rsidRPr="00431EE1">
              <w:rPr>
                <w:color w:val="000000"/>
                <w:sz w:val="24"/>
              </w:rPr>
              <w:t>净值增长率标准差</w:t>
            </w:r>
            <w:r w:rsidRPr="00431EE1">
              <w:rPr>
                <w:rFonts w:ascii="宋体" w:cs="宋体" w:hAnsi="宋体" w:hint="eastAsia"/>
                <w:color w:val="000000"/>
                <w:sz w:val="24"/>
              </w:rPr>
              <w:t>②</w:t>
            </w:r>
          </w:p>
        </w:tc>
        <w:tc>
          <w:tcPr>
            <w:tcW w:type="dxa" w:w="1181"/>
            <w:vAlign w:val="center"/>
          </w:tcPr>
          <w:p w:rsidP="00E35496" w:rsidR="00F13451" w:rsidRDefault="00F13451" w:rsidRPr="00431EE1">
            <w:pPr>
              <w:autoSpaceDE w:val="0"/>
              <w:autoSpaceDN w:val="0"/>
              <w:adjustRightInd w:val="0"/>
              <w:spacing w:before="29" w:line="360" w:lineRule="auto"/>
              <w:ind w:left="17"/>
              <w:jc w:val="center"/>
              <w:rPr>
                <w:color w:val="000000"/>
                <w:sz w:val="24"/>
              </w:rPr>
            </w:pPr>
            <w:r w:rsidRPr="00431EE1">
              <w:rPr>
                <w:color w:val="000000"/>
                <w:sz w:val="24"/>
              </w:rPr>
              <w:t>业绩比较基准收益率</w:t>
            </w:r>
            <w:r w:rsidRPr="00431EE1">
              <w:rPr>
                <w:rFonts w:ascii="宋体" w:cs="宋体" w:hAnsi="宋体" w:hint="eastAsia"/>
                <w:color w:val="000000"/>
                <w:sz w:val="24"/>
              </w:rPr>
              <w:t>③</w:t>
            </w:r>
          </w:p>
        </w:tc>
        <w:tc>
          <w:tcPr>
            <w:tcW w:type="dxa" w:w="1188"/>
            <w:vAlign w:val="center"/>
          </w:tcPr>
          <w:p w:rsidP="00E35496" w:rsidR="00F13451" w:rsidRDefault="00F13451" w:rsidRPr="00431EE1">
            <w:pPr>
              <w:autoSpaceDE w:val="0"/>
              <w:autoSpaceDN w:val="0"/>
              <w:adjustRightInd w:val="0"/>
              <w:spacing w:before="29" w:line="360" w:lineRule="auto"/>
              <w:ind w:left="17"/>
              <w:jc w:val="center"/>
              <w:rPr>
                <w:color w:val="000000"/>
                <w:sz w:val="24"/>
              </w:rPr>
            </w:pPr>
            <w:r w:rsidRPr="00431EE1">
              <w:rPr>
                <w:color w:val="000000"/>
                <w:sz w:val="24"/>
              </w:rPr>
              <w:t>业绩比较基准收益率标准差</w:t>
            </w:r>
            <w:r w:rsidRPr="00431EE1">
              <w:rPr>
                <w:rFonts w:ascii="宋体" w:cs="宋体" w:hAnsi="宋体" w:hint="eastAsia"/>
                <w:color w:val="000000"/>
                <w:sz w:val="24"/>
              </w:rPr>
              <w:t>④</w:t>
            </w:r>
          </w:p>
        </w:tc>
        <w:tc>
          <w:tcPr>
            <w:tcW w:type="dxa" w:w="1199"/>
            <w:vAlign w:val="center"/>
          </w:tcPr>
          <w:p w:rsidP="00E35496" w:rsidR="00F13451" w:rsidRDefault="00F13451" w:rsidRPr="00431EE1">
            <w:pPr>
              <w:autoSpaceDE w:val="0"/>
              <w:autoSpaceDN w:val="0"/>
              <w:adjustRightInd w:val="0"/>
              <w:spacing w:before="29" w:line="360" w:lineRule="auto"/>
              <w:ind w:left="17"/>
              <w:jc w:val="center"/>
              <w:rPr>
                <w:color w:val="000000"/>
                <w:sz w:val="24"/>
              </w:rPr>
            </w:pPr>
            <w:r w:rsidRPr="00431EE1">
              <w:rPr>
                <w:rFonts w:ascii="宋体" w:cs="宋体" w:hAnsi="宋体" w:hint="eastAsia"/>
                <w:color w:val="000000"/>
                <w:sz w:val="24"/>
              </w:rPr>
              <w:t>①</w:t>
            </w:r>
            <w:r w:rsidRPr="00431EE1">
              <w:rPr>
                <w:color w:val="000000"/>
                <w:sz w:val="24"/>
              </w:rPr>
              <w:t>-</w:t>
            </w:r>
            <w:r w:rsidRPr="00431EE1">
              <w:rPr>
                <w:rFonts w:ascii="宋体" w:cs="宋体" w:hAnsi="宋体" w:hint="eastAsia"/>
                <w:color w:val="000000"/>
                <w:sz w:val="24"/>
              </w:rPr>
              <w:t>③</w:t>
            </w:r>
          </w:p>
        </w:tc>
        <w:tc>
          <w:tcPr>
            <w:tcW w:type="dxa" w:w="1204"/>
            <w:vAlign w:val="center"/>
          </w:tcPr>
          <w:p w:rsidP="00E35496" w:rsidR="00F13451" w:rsidRDefault="00F13451" w:rsidRPr="00431EE1">
            <w:pPr>
              <w:autoSpaceDE w:val="0"/>
              <w:autoSpaceDN w:val="0"/>
              <w:adjustRightInd w:val="0"/>
              <w:spacing w:before="29" w:line="360" w:lineRule="auto"/>
              <w:ind w:left="17"/>
              <w:jc w:val="center"/>
              <w:rPr>
                <w:color w:val="000000"/>
                <w:sz w:val="24"/>
              </w:rPr>
            </w:pPr>
            <w:r w:rsidRPr="00431EE1">
              <w:rPr>
                <w:rFonts w:ascii="宋体" w:cs="宋体" w:hAnsi="宋体" w:hint="eastAsia"/>
                <w:color w:val="000000"/>
                <w:sz w:val="24"/>
              </w:rPr>
              <w:t>②</w:t>
            </w:r>
            <w:r w:rsidRPr="00431EE1">
              <w:rPr>
                <w:color w:val="000000"/>
                <w:sz w:val="24"/>
              </w:rPr>
              <w:t>-</w:t>
            </w:r>
            <w:r w:rsidRPr="00431EE1">
              <w:rPr>
                <w:rFonts w:ascii="宋体" w:cs="宋体" w:hAnsi="宋体" w:hint="eastAsia"/>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6.87%</w:t>
            </w:r>
          </w:p>
        </w:tc>
        <w:tc>
          <w:tcPr>
            <w:vAlign w:val="center"/>
          </w:tcPr>
          <w:p>
            <w:pPr>
              <w:jc w:val="center"/>
            </w:pPr>
            <w:r>
              <w:rPr>
                <w:color w:val="000000"/>
                <w:sz w:val="24"/>
              </w:rPr>
              <w:t>1.61%</w:t>
            </w:r>
          </w:p>
        </w:tc>
        <w:tc>
          <w:tcPr>
            <w:vAlign w:val="center"/>
          </w:tcPr>
          <w:p>
            <w:pPr>
              <w:jc w:val="center"/>
            </w:pPr>
            <w:r>
              <w:rPr>
                <w:color w:val="000000"/>
                <w:sz w:val="24"/>
              </w:rPr>
              <w:t>7.08%</w:t>
            </w:r>
          </w:p>
        </w:tc>
        <w:tc>
          <w:tcPr>
            <w:vAlign w:val="center"/>
          </w:tcPr>
          <w:p>
            <w:pPr>
              <w:jc w:val="center"/>
            </w:pPr>
            <w:r>
              <w:rPr>
                <w:color w:val="000000"/>
                <w:sz w:val="24"/>
              </w:rPr>
              <w:t>1.63%</w:t>
            </w:r>
          </w:p>
        </w:tc>
        <w:tc>
          <w:tcPr>
            <w:vAlign w:val="center"/>
          </w:tcPr>
          <w:p>
            <w:pPr>
              <w:jc w:val="center"/>
            </w:pPr>
            <w:r>
              <w:rPr>
                <w:color w:val="000000"/>
                <w:sz w:val="24"/>
              </w:rPr>
              <w:t>-0.21%</w:t>
            </w:r>
          </w:p>
        </w:tc>
        <w:tc>
          <w:tcPr>
            <w:vAlign w:val="center"/>
          </w:tcPr>
          <w:p>
            <w:pPr>
              <w:jc w:val="center"/>
            </w:pPr>
            <w:r>
              <w:rPr>
                <w:color w:val="000000"/>
                <w:sz w:val="24"/>
              </w:rPr>
              <w:t>-0.02%</w:t>
            </w:r>
          </w:p>
        </w:tc>
      </w:tr>
      <w:tr>
        <w:tc>
          <w:tcPr>
            <w:vAlign w:val="center"/>
          </w:tcPr>
          <w:p>
            <w:pPr>
              <w:jc w:val="left"/>
            </w:pPr>
            <w:r>
              <w:rPr>
                <w:color w:val="000000"/>
                <w:sz w:val="24"/>
              </w:rPr>
              <w:t>过去六个月</w:t>
            </w:r>
          </w:p>
        </w:tc>
        <w:tc>
          <w:tcPr>
            <w:vAlign w:val="center"/>
          </w:tcPr>
          <w:p>
            <w:pPr>
              <w:jc w:val="center"/>
            </w:pPr>
            <w:r>
              <w:rPr>
                <w:color w:val="000000"/>
                <w:sz w:val="24"/>
              </w:rPr>
              <w:t>37.37%</w:t>
            </w:r>
          </w:p>
        </w:tc>
        <w:tc>
          <w:tcPr>
            <w:vAlign w:val="center"/>
          </w:tcPr>
          <w:p>
            <w:pPr>
              <w:jc w:val="center"/>
            </w:pPr>
            <w:r>
              <w:rPr>
                <w:color w:val="000000"/>
                <w:sz w:val="24"/>
              </w:rPr>
              <w:t>1.83%</w:t>
            </w:r>
          </w:p>
        </w:tc>
        <w:tc>
          <w:tcPr>
            <w:vAlign w:val="center"/>
          </w:tcPr>
          <w:p>
            <w:pPr>
              <w:jc w:val="center"/>
            </w:pPr>
            <w:r>
              <w:rPr>
                <w:color w:val="000000"/>
                <w:sz w:val="24"/>
              </w:rPr>
              <w:t>37.48%</w:t>
            </w:r>
          </w:p>
        </w:tc>
        <w:tc>
          <w:tcPr>
            <w:vAlign w:val="center"/>
          </w:tcPr>
          <w:p>
            <w:pPr>
              <w:jc w:val="center"/>
            </w:pPr>
            <w:r>
              <w:rPr>
                <w:color w:val="000000"/>
                <w:sz w:val="24"/>
              </w:rPr>
              <w:t>1.84%</w:t>
            </w:r>
          </w:p>
        </w:tc>
        <w:tc>
          <w:tcPr>
            <w:vAlign w:val="center"/>
          </w:tcPr>
          <w:p>
            <w:pPr>
              <w:jc w:val="center"/>
            </w:pPr>
            <w:r>
              <w:rPr>
                <w:color w:val="000000"/>
                <w:sz w:val="24"/>
              </w:rPr>
              <w:t>-0.11%</w:t>
            </w:r>
          </w:p>
        </w:tc>
        <w:tc>
          <w:tcPr>
            <w:vAlign w:val="center"/>
          </w:tcPr>
          <w:p>
            <w:pPr>
              <w:jc w:val="center"/>
            </w:pPr>
            <w:r>
              <w:rPr>
                <w:color w:val="000000"/>
                <w:sz w:val="24"/>
              </w:rPr>
              <w:t>-0.01%</w:t>
            </w:r>
          </w:p>
        </w:tc>
      </w:tr>
      <w:tr>
        <w:tc>
          <w:tcPr>
            <w:vAlign w:val="center"/>
          </w:tcPr>
          <w:p>
            <w:pPr>
              <w:jc w:val="left"/>
            </w:pPr>
            <w:r>
              <w:rPr>
                <w:color w:val="000000"/>
                <w:sz w:val="24"/>
              </w:rPr>
              <w:t>过去一年</w:t>
            </w:r>
          </w:p>
        </w:tc>
        <w:tc>
          <w:tcPr>
            <w:vAlign w:val="center"/>
          </w:tcPr>
          <w:p>
            <w:pPr>
              <w:jc w:val="center"/>
            </w:pPr>
            <w:r>
              <w:rPr>
                <w:color w:val="000000"/>
                <w:sz w:val="24"/>
              </w:rPr>
              <w:t>35.26%</w:t>
            </w:r>
          </w:p>
        </w:tc>
        <w:tc>
          <w:tcPr>
            <w:vAlign w:val="center"/>
          </w:tcPr>
          <w:p>
            <w:pPr>
              <w:jc w:val="center"/>
            </w:pPr>
            <w:r>
              <w:rPr>
                <w:color w:val="000000"/>
                <w:sz w:val="24"/>
              </w:rPr>
              <w:t>2.40%</w:t>
            </w:r>
          </w:p>
        </w:tc>
        <w:tc>
          <w:tcPr>
            <w:vAlign w:val="center"/>
          </w:tcPr>
          <w:p>
            <w:pPr>
              <w:jc w:val="center"/>
            </w:pPr>
            <w:r>
              <w:rPr>
                <w:color w:val="000000"/>
                <w:sz w:val="24"/>
              </w:rPr>
              <w:t>38.16%</w:t>
            </w:r>
          </w:p>
        </w:tc>
        <w:tc>
          <w:tcPr>
            <w:vAlign w:val="center"/>
          </w:tcPr>
          <w:p>
            <w:pPr>
              <w:jc w:val="center"/>
            </w:pPr>
            <w:r>
              <w:rPr>
                <w:color w:val="000000"/>
                <w:sz w:val="24"/>
              </w:rPr>
              <w:t>2.38%</w:t>
            </w:r>
          </w:p>
        </w:tc>
        <w:tc>
          <w:tcPr>
            <w:vAlign w:val="center"/>
          </w:tcPr>
          <w:p>
            <w:pPr>
              <w:jc w:val="center"/>
            </w:pPr>
            <w:r>
              <w:rPr>
                <w:color w:val="000000"/>
                <w:sz w:val="24"/>
              </w:rPr>
              <w:t>-2.90%</w:t>
            </w:r>
          </w:p>
        </w:tc>
        <w:tc>
          <w:tcPr>
            <w:vAlign w:val="center"/>
          </w:tcPr>
          <w:p>
            <w:pPr>
              <w:jc w:val="center"/>
            </w:pPr>
            <w:r>
              <w:rPr>
                <w:color w:val="000000"/>
                <w:sz w:val="24"/>
              </w:rPr>
              <w:t>0.02%</w:t>
            </w:r>
          </w:p>
        </w:tc>
      </w:tr>
      <w:tr>
        <w:tc>
          <w:tcPr>
            <w:vAlign w:val="center"/>
          </w:tcPr>
          <w:p>
            <w:pPr>
              <w:jc w:val="left"/>
            </w:pPr>
            <w:r>
              <w:rPr>
                <w:color w:val="000000"/>
                <w:sz w:val="24"/>
              </w:rPr>
              <w:t>过去三年</w:t>
            </w:r>
          </w:p>
        </w:tc>
        <w:tc>
          <w:tcPr>
            <w:vAlign w:val="center"/>
          </w:tcPr>
          <w:p>
            <w:pPr>
              <w:jc w:val="center"/>
            </w:pPr>
            <w:r>
              <w:rPr>
                <w:color w:val="000000"/>
                <w:sz w:val="24"/>
              </w:rPr>
              <w:t>96.81%</w:t>
            </w:r>
          </w:p>
        </w:tc>
        <w:tc>
          <w:tcPr>
            <w:vAlign w:val="center"/>
          </w:tcPr>
          <w:p>
            <w:pPr>
              <w:jc w:val="center"/>
            </w:pPr>
            <w:r>
              <w:rPr>
                <w:color w:val="000000"/>
                <w:sz w:val="24"/>
              </w:rPr>
              <w:t>1.76%</w:t>
            </w:r>
          </w:p>
        </w:tc>
        <w:tc>
          <w:tcPr>
            <w:vAlign w:val="center"/>
          </w:tcPr>
          <w:p>
            <w:pPr>
              <w:jc w:val="center"/>
            </w:pPr>
            <w:r>
              <w:rPr>
                <w:color w:val="000000"/>
                <w:sz w:val="24"/>
              </w:rPr>
              <w:t>100.94%</w:t>
            </w:r>
          </w:p>
        </w:tc>
        <w:tc>
          <w:tcPr>
            <w:vAlign w:val="center"/>
          </w:tcPr>
          <w:p>
            <w:pPr>
              <w:jc w:val="center"/>
            </w:pPr>
            <w:r>
              <w:rPr>
                <w:color w:val="000000"/>
                <w:sz w:val="24"/>
              </w:rPr>
              <w:t>1.75%</w:t>
            </w:r>
          </w:p>
        </w:tc>
        <w:tc>
          <w:tcPr>
            <w:vAlign w:val="center"/>
          </w:tcPr>
          <w:p>
            <w:pPr>
              <w:jc w:val="center"/>
            </w:pPr>
            <w:r>
              <w:rPr>
                <w:color w:val="000000"/>
                <w:sz w:val="24"/>
              </w:rPr>
              <w:t>-4.13%</w:t>
            </w:r>
          </w:p>
        </w:tc>
        <w:tc>
          <w:tcPr>
            <w:vAlign w:val="center"/>
          </w:tcPr>
          <w:p>
            <w:pPr>
              <w:jc w:val="center"/>
            </w:pPr>
            <w:r>
              <w:rPr>
                <w:color w:val="000000"/>
                <w:sz w:val="24"/>
              </w:rPr>
              <w:t>0.01%</w:t>
            </w:r>
          </w:p>
        </w:tc>
      </w:tr>
      <w:tr>
        <w:tc>
          <w:tcPr>
            <w:vAlign w:val="center"/>
          </w:tcPr>
          <w:p>
            <w:pPr>
              <w:jc w:val="left"/>
            </w:pPr>
            <w:r>
              <w:rPr>
                <w:color w:val="000000"/>
                <w:sz w:val="24"/>
              </w:rPr>
              <w:t>过去五年</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c>
          <w:tcPr>
            <w:vAlign w:val="center"/>
          </w:tcPr>
          <w:p>
            <w:pPr>
              <w:jc w:val="center"/>
            </w:pPr>
            <w:r>
              <w:rPr>
                <w:color w:val="000000"/>
                <w:sz w:val="24"/>
              </w:rPr>
              <w:t>-</w:t>
            </w:r>
          </w:p>
        </w:tc>
      </w:tr>
      <w:tr>
        <w:tc>
          <w:tcPr>
            <w:vAlign w:val="center"/>
          </w:tcPr>
          <w:p>
            <w:pPr>
              <w:jc w:val="left"/>
            </w:pPr>
            <w:r>
              <w:rPr>
                <w:color w:val="000000"/>
                <w:sz w:val="24"/>
              </w:rPr>
              <w:t>自基金合同生效起至今</w:t>
            </w:r>
          </w:p>
        </w:tc>
        <w:tc>
          <w:tcPr>
            <w:vAlign w:val="center"/>
          </w:tcPr>
          <w:p>
            <w:pPr>
              <w:jc w:val="center"/>
            </w:pPr>
            <w:r>
              <w:rPr>
                <w:color w:val="000000"/>
                <w:sz w:val="24"/>
              </w:rPr>
              <w:t>122.69%</w:t>
            </w:r>
          </w:p>
        </w:tc>
        <w:tc>
          <w:tcPr>
            <w:vAlign w:val="center"/>
          </w:tcPr>
          <w:p>
            <w:pPr>
              <w:jc w:val="center"/>
            </w:pPr>
            <w:r>
              <w:rPr>
                <w:color w:val="000000"/>
                <w:sz w:val="24"/>
              </w:rPr>
              <w:t>1.59%</w:t>
            </w:r>
          </w:p>
        </w:tc>
        <w:tc>
          <w:tcPr>
            <w:vAlign w:val="center"/>
          </w:tcPr>
          <w:p>
            <w:pPr>
              <w:jc w:val="center"/>
            </w:pPr>
            <w:r>
              <w:rPr>
                <w:color w:val="000000"/>
                <w:sz w:val="24"/>
              </w:rPr>
              <w:t>140.18%</w:t>
            </w:r>
          </w:p>
        </w:tc>
        <w:tc>
          <w:tcPr>
            <w:vAlign w:val="center"/>
          </w:tcPr>
          <w:p>
            <w:pPr>
              <w:jc w:val="center"/>
            </w:pPr>
            <w:r>
              <w:rPr>
                <w:color w:val="000000"/>
                <w:sz w:val="24"/>
              </w:rPr>
              <w:t>1.58%</w:t>
            </w:r>
          </w:p>
        </w:tc>
        <w:tc>
          <w:tcPr>
            <w:vAlign w:val="center"/>
          </w:tcPr>
          <w:p>
            <w:pPr>
              <w:jc w:val="center"/>
            </w:pPr>
            <w:r>
              <w:rPr>
                <w:color w:val="000000"/>
                <w:sz w:val="24"/>
              </w:rPr>
              <w:t>-17.49%</w:t>
            </w:r>
          </w:p>
        </w:tc>
        <w:tc>
          <w:tcPr>
            <w:vAlign w:val="center"/>
          </w:tcPr>
          <w:p>
            <w:pPr>
              <w:jc w:val="center"/>
            </w:pPr>
            <w:r>
              <w:rPr>
                <w:color w:val="000000"/>
                <w:sz w:val="24"/>
              </w:rPr>
              <w:t>0.01%</w:t>
            </w:r>
          </w:p>
        </w:tc>
      </w:tr>
    </w:tbl>
    <w:p w:rsidP="0029671E" w:rsidR="00F13451" w:rsidRDefault="00F13451" w:rsidRPr="00820253">
      <w:pPr>
        <w:autoSpaceDE w:val="0"/>
        <w:autoSpaceDN w:val="0"/>
        <w:adjustRightInd w:val="0"/>
        <w:spacing w:line="360" w:lineRule="auto"/>
        <w:jc w:val="left"/>
        <w:rPr>
          <w:rFonts w:ascii="宋体" w:cs="Arial"/>
          <w:b/>
          <w:color w:val="000000"/>
          <w:kern w:val="0"/>
          <w:sz w:val="24"/>
        </w:rPr>
      </w:pPr>
      <w:smartTag w:element="chsdate" w:uri="urn:schemas-microsoft-com:office:smarttags">
        <w:smartTagPr>
          <w:attr w:name="IsROCDate" w:val="False"/>
          <w:attr w:name="IsLunarDate" w:val="False"/>
          <w:attr w:name="Day" w:val="30"/>
          <w:attr w:name="Month" w:val="12"/>
          <w:attr w:name="Year" w:val="1899"/>
        </w:smartTagPr>
        <w:r w:rsidRPr="00820253">
          <w:rPr>
            <w:rFonts w:ascii="宋体" w:cs="Arial" w:hAnsi="宋体"/>
            <w:b/>
            <w:color w:val="000000"/>
            <w:kern w:val="0"/>
            <w:sz w:val="24"/>
          </w:rPr>
          <w:t>3.2.2</w:t>
        </w:r>
        <w:r w:rsidRPr="00820253">
          <w:rPr>
            <w:rFonts w:ascii="宋体" w:cs="Arial" w:hAnsi="宋体" w:hint="eastAsia"/>
            <w:b/>
            <w:color w:val="000000"/>
            <w:kern w:val="0"/>
            <w:sz w:val="24"/>
          </w:rPr>
          <w:t xml:space="preserve">　</w:t>
        </w:r>
        <w:r w:rsidR="001A4814" w:rsidRPr="00370BEA">
          <w:rPr>
            <w:rStyle w:val="af8"/>
            <w:rFonts w:hint="eastAsia"/>
            <w:color w:val="000000"/>
            <w:sz w:val="24"/>
            <w:shd w:color="auto" w:fill="FFFFFF" w:val="clear"/>
          </w:rPr>
          <w:t/>
        </w:r>
        <w:proofErr w:type="spellStart"/>
        <w:r w:rsidR="001A4814" w:rsidRPr="00370BEA">
          <w:rPr>
            <w:rStyle w:val="af8"/>
            <w:rFonts w:hint="eastAsia"/>
            <w:color w:val="000000"/>
            <w:sz w:val="24"/>
            <w:shd w:color="auto" w:fill="FFFFFF" w:val="clear"/>
          </w:rPr>
          <w:t/>
        </w:r>
        <w:proofErr w:type="spellEnd"/>
        <w:r w:rsidR="001A4814" w:rsidRPr="00370BEA">
          <w:rPr>
            <w:rStyle w:val="af8"/>
            <w:rFonts w:hint="eastAsia"/>
            <w:color w:val="000000"/>
            <w:sz w:val="24"/>
            <w:shd w:color="auto" w:fill="FFFFFF" w:val="clear"/>
          </w:rPr>
          <w:t>自基金合同生效以来</w:t>
        </w:r>
      </w:smartTag>
      <w:r w:rsidRPr="00820253">
        <w:rPr>
          <w:rFonts w:ascii="宋体" w:cs="Arial" w:hAnsi="宋体" w:hint="eastAsia"/>
          <w:b/>
          <w:color w:val="000000"/>
          <w:kern w:val="0"/>
          <w:sz w:val="24"/>
        </w:rPr>
        <w:t>基金累计</w:t>
      </w:r>
      <w:r w:rsidR="00CD5FBA" w:rsidRPr="00CD5FBA">
        <w:rPr>
          <w:rFonts w:ascii="宋体" w:cs="Arial" w:hAnsi="宋体" w:hint="eastAsia"/>
          <w:b/>
          <w:color w:val="000000"/>
          <w:kern w:val="0"/>
          <w:sz w:val="24"/>
        </w:rPr>
        <w:t>份额</w:t>
      </w:r>
      <w:r w:rsidRPr="00820253">
        <w:rPr>
          <w:rFonts w:ascii="宋体" w:cs="Arial" w:hAnsi="宋体" w:hint="eastAsia"/>
          <w:b/>
          <w:color w:val="000000"/>
          <w:kern w:val="0"/>
          <w:sz w:val="24"/>
        </w:rPr>
        <w:t>净值增长率变动及其与同期业绩比较基准收益率变动的比较</w:t>
      </w:r>
    </w:p>
    <w:p w:rsidP="0029671E" w:rsidR="00F13451" w:rsidRDefault="00F13451" w:rsidRPr="00431EE1">
      <w:pPr>
        <w:spacing w:line="360" w:lineRule="auto"/>
        <w:jc w:val="center"/>
        <w:rPr>
          <w:sz w:val="24"/>
        </w:rPr>
      </w:pPr>
      <w:r w:rsidRPr="00431EE1">
        <w:rPr>
          <w:sz w:val="24"/>
        </w:rPr>
        <w:t/>
      </w:r>
      <w:proofErr w:type="spellStart"/>
      <w:r w:rsidRPr="00431EE1">
        <w:rPr>
          <w:sz w:val="24"/>
        </w:rPr>
        <w:t/>
      </w:r>
      <w:proofErr w:type="spellEnd"/>
      <w:r w:rsidRPr="00431EE1">
        <w:rPr>
          <w:sz w:val="24"/>
        </w:rPr>
        <w:t>易方达标普信息科技指数证券投资基金（LOF）</w:t>
      </w:r>
    </w:p>
    <w:p w:rsidP="0029671E" w:rsidR="00F13451" w:rsidRDefault="00F13451" w:rsidRPr="00431EE1">
      <w:pPr>
        <w:pStyle w:val="a5"/>
        <w:snapToGrid w:val="0"/>
        <w:spacing w:line="360" w:lineRule="auto"/>
        <w:jc w:val="center"/>
        <w:rPr>
          <w:rFonts w:ascii="Times New Roman" w:hAnsi="Times New Roman"/>
          <w:sz w:val="24"/>
          <w:szCs w:val="24"/>
        </w:rPr>
      </w:pPr>
      <w:r w:rsidRPr="00431EE1">
        <w:rPr>
          <w:rFonts w:ascii="Times New Roman" w:hAnsi="Times New Roman"/>
          <w:sz w:val="24"/>
          <w:szCs w:val="24"/>
        </w:rPr>
        <w:t>累计净值增长率与业绩比较基准收益率的历史走势对比图</w:t>
      </w:r>
    </w:p>
    <w:p w:rsidP="0029671E" w:rsidR="00F13451" w:rsidRDefault="00F13451" w:rsidRPr="00431EE1">
      <w:pPr>
        <w:spacing w:line="360" w:lineRule="auto"/>
        <w:jc w:val="center"/>
        <w:rPr>
          <w:sz w:val="24"/>
        </w:rPr>
      </w:pPr>
      <w:r w:rsidRPr="00431EE1">
        <w:rPr>
          <w:color w:val="000000"/>
          <w:kern w:val="0"/>
          <w:sz w:val="24"/>
        </w:rPr>
        <w:t xml:space="preserve"> (</w:t>
      </w:r>
      <w:proofErr w:type="spellStart"/>
      <w:r w:rsidRPr="00431EE1">
        <w:rPr>
          <w:color w:val="000000"/>
          <w:kern w:val="0"/>
          <w:sz w:val="24"/>
        </w:rPr>
        <w:t/>
      </w:r>
      <w:proofErr w:type="spellEnd"/>
      <w:r w:rsidRPr="00431EE1">
        <w:rPr>
          <w:color w:val="000000"/>
          <w:kern w:val="0"/>
          <w:sz w:val="24"/>
        </w:rPr>
        <w:t>2016年12月13日</w:t>
      </w:r>
      <w:r w:rsidRPr="00431EE1">
        <w:rPr>
          <w:color w:val="000000"/>
          <w:kern w:val="0"/>
          <w:sz w:val="24"/>
        </w:rPr>
        <w:t>至</w:t>
      </w:r>
      <w:r w:rsidRPr="00431EE1">
        <w:rPr>
          <w:color w:val="000000"/>
          <w:kern w:val="0"/>
          <w:sz w:val="24"/>
        </w:rPr>
        <w:t/>
      </w:r>
      <w:proofErr w:type="spellStart"/>
      <w:r w:rsidRPr="00431EE1">
        <w:rPr>
          <w:color w:val="000000"/>
          <w:kern w:val="0"/>
          <w:sz w:val="24"/>
        </w:rPr>
        <w:t/>
      </w:r>
      <w:proofErr w:type="spellEnd"/>
      <w:r w:rsidRPr="00431EE1">
        <w:rPr>
          <w:color w:val="000000"/>
          <w:kern w:val="0"/>
          <w:sz w:val="24"/>
        </w:rPr>
        <w:t>2020年9月30日)</w:t>
      </w:r>
    </w:p>
    <w:p w:rsidP="00A726E0" w:rsidR="00F13451" w:rsidRDefault="003B43E5" w:rsidRPr="00820253">
      <w:pPr>
        <w:tabs>
          <w:tab w:pos="1800" w:val="left"/>
        </w:tabs>
        <w:spacing w:line="360" w:lineRule="auto"/>
        <w:jc w:val="center"/>
        <w:rPr>
          <w:rFonts w:ascii="宋体"/>
          <w:color w:val="000000"/>
          <w:sz w:val="24"/>
        </w:rPr>
      </w:pPr>
      <w:r>
        <w:rPr>
          <w:rFonts w:ascii="宋体"/>
          <w:noProof/>
          <w:color w:val="000000"/>
          <w:sz w:val="24"/>
        </w:rPr>
        <w:lastRenderedPageBreak/>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图片 2" o:spid="_x0000_i1025" style="width:411.4pt;height:241.5pt;visibility:visible" type="#_x0000_t75">
            <v:imagedata o:title="" r:id="rId10"/>
          </v:shape>
        </w:pict>
      </w:r>
    </w:p>
    <w:p>
      <w:pPr>
        <w:spacing w:line="360" w:lineRule="auto"/>
        <w:ind w:firstLine="480" w:firstLineChars="200"/>
        <w:rPr>
          <w:color w:val="000000"/>
          <w:sz w:val="24"/>
        </w:rPr>
      </w:pPr>
      <w:r>
        <w:rPr>
          <w:color w:val="000000"/>
          <w:sz w:val="24"/>
        </w:rPr>
        <w:t>注：1.本基金的业绩比较基准已经转换为以人民币计价。</w:t>
      </w:r>
    </w:p>
    <w:p w:rsidP="0040658E" w:rsidR="00F13451" w:rsidRDefault="00F13451" w:rsidRPr="0040658E">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
      </w:r>
      <w:proofErr w:type="spellStart"/>
      <w:r w:rsidRPr="0040658E">
        <w:rPr>
          <w:color w:val="000000"/>
          <w:sz w:val="24"/>
        </w:rPr>
        <w:t/>
      </w:r>
      <w:proofErr w:type="spellEnd"/>
      <w:r w:rsidRPr="0040658E">
        <w:rPr>
          <w:color w:val="000000"/>
          <w:sz w:val="24"/>
        </w:rPr>
        <w:t>2.自基金合同生效至报告期末，基金份额净值增长率为122.69%，同期业绩比较基准收益率为140.18%。</w:t>
      </w:r>
    </w:p>
    <w:p w:rsidP="008B041C" w:rsidR="00F13451" w:rsidRDefault="00F13451" w:rsidRPr="00820253">
      <w:pPr>
        <w:pStyle w:val="1"/>
        <w:spacing w:after="312" w:afterLines="100" w:before="312" w:beforeLines="100" w:line="360" w:lineRule="auto"/>
        <w:jc w:val="center"/>
        <w:rPr>
          <w:rFonts w:ascii="宋体" w:cs="Arial"/>
          <w:color w:val="000000"/>
          <w:kern w:val="0"/>
          <w:sz w:val="24"/>
          <w:szCs w:val="24"/>
        </w:rPr>
      </w:pPr>
      <w:r w:rsidRPr="00820253">
        <w:rPr>
          <w:rFonts w:ascii="宋体" w:cs="Arial" w:hAnsi="宋体" w:hint="eastAsia"/>
          <w:color w:val="000000"/>
          <w:kern w:val="0"/>
          <w:sz w:val="24"/>
          <w:szCs w:val="24"/>
        </w:rPr>
        <w:t>§</w:t>
      </w:r>
      <w:r w:rsidRPr="00820253">
        <w:rPr>
          <w:rFonts w:ascii="宋体" w:cs="Arial" w:hAnsi="宋体"/>
          <w:color w:val="000000"/>
          <w:kern w:val="0"/>
          <w:sz w:val="24"/>
          <w:szCs w:val="24"/>
        </w:rPr>
        <w:t xml:space="preserve">4  </w:t>
      </w:r>
      <w:r w:rsidRPr="00820253">
        <w:rPr>
          <w:rFonts w:ascii="宋体" w:cs="Arial" w:hAnsi="宋体" w:hint="eastAsia"/>
          <w:color w:val="000000"/>
          <w:kern w:val="0"/>
          <w:sz w:val="24"/>
          <w:szCs w:val="24"/>
        </w:rPr>
        <w:t>管理人报告</w:t>
      </w:r>
    </w:p>
    <w:p w:rsidP="0029671E" w:rsidR="00F13451" w:rsidRDefault="00F13451" w:rsidRPr="00820253">
      <w:pPr>
        <w:autoSpaceDE w:val="0"/>
        <w:autoSpaceDN w:val="0"/>
        <w:adjustRightInd w:val="0"/>
        <w:spacing w:line="360" w:lineRule="auto"/>
        <w:jc w:val="left"/>
        <w:rPr>
          <w:rFonts w:ascii="宋体" w:cs="Arial"/>
          <w:b/>
          <w:color w:val="000000"/>
          <w:kern w:val="0"/>
          <w:sz w:val="24"/>
        </w:rPr>
      </w:pPr>
      <w:r w:rsidRPr="00820253">
        <w:rPr>
          <w:rFonts w:ascii="宋体" w:cs="Arial" w:hAnsi="宋体"/>
          <w:b/>
          <w:color w:val="000000"/>
          <w:kern w:val="0"/>
          <w:sz w:val="24"/>
        </w:rPr>
        <w:t>4.</w:t>
      </w:r>
      <w:r>
        <w:rPr>
          <w:rFonts w:ascii="宋体" w:cs="Arial"/>
          <w:b/>
          <w:color w:val="000000"/>
          <w:kern w:val="0"/>
          <w:sz w:val="24"/>
        </w:rPr>
        <w:t/>
      </w:r>
      <w:r>
        <w:rPr>
          <w:rFonts w:ascii="宋体" w:cs="Arial" w:hAnsi="宋体"/>
          <w:b/>
          <w:color w:val="000000"/>
          <w:kern w:val="0"/>
          <w:sz w:val="24"/>
        </w:rPr>
        <w:t>1</w:t>
      </w:r>
      <w:r w:rsidRPr="00820253">
        <w:rPr>
          <w:rFonts w:ascii="宋体" w:cs="Arial" w:hAnsi="宋体" w:hint="eastAsia"/>
          <w:b/>
          <w:color w:val="000000"/>
          <w:kern w:val="0"/>
          <w:sz w:val="24"/>
        </w:rPr>
        <w:t>基金经理（或基金经理小组）简介</w:t>
      </w:r>
    </w:p>
    <w:tbl>
      <w:tblPr>
        <w:tblW w:type="dxa" w:w="8931"/>
        <w:jc w:val="center"/>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51"/>
        <w:gridCol w:w="3260"/>
        <w:gridCol w:w="1276"/>
        <w:gridCol w:w="1276"/>
        <w:gridCol w:w="850"/>
        <w:gridCol w:w="1418"/>
      </w:tblGrid>
      <w:tr w:rsidR="00F13451" w:rsidRPr="00820253" w:rsidTr="00C2237F">
        <w:trPr>
          <w:cantSplit/>
          <w:trHeight w:val="292"/>
          <w:jc w:val="center"/>
        </w:trPr>
        <w:tc>
          <w:tcPr>
            <w:tcW w:type="dxa" w:w="851"/>
            <w:vMerge w:val="restart"/>
            <w:vAlign w:val="center"/>
          </w:tcPr>
          <w:p w:rsidP="00CA3C4F" w:rsidR="00F13451" w:rsidRDefault="00F13451" w:rsidRPr="00431EE1">
            <w:pPr>
              <w:widowControl/>
              <w:spacing w:before="29" w:line="360" w:lineRule="auto"/>
              <w:ind w:left="17"/>
              <w:jc w:val="center"/>
              <w:rPr>
                <w:color w:val="000000"/>
                <w:kern w:val="0"/>
                <w:sz w:val="24"/>
              </w:rPr>
            </w:pPr>
            <w:r w:rsidRPr="00431EE1">
              <w:rPr>
                <w:color w:val="000000"/>
                <w:kern w:val="0"/>
                <w:sz w:val="24"/>
              </w:rPr>
              <w:t>姓名</w:t>
            </w:r>
          </w:p>
        </w:tc>
        <w:tc>
          <w:tcPr>
            <w:tcW w:type="dxa" w:w="3260"/>
            <w:vMerge w:val="restart"/>
            <w:vAlign w:val="center"/>
          </w:tcPr>
          <w:p w:rsidP="00CA3C4F" w:rsidR="00F13451" w:rsidRDefault="00F13451" w:rsidRPr="00431EE1">
            <w:pPr>
              <w:widowControl/>
              <w:spacing w:before="29" w:line="360" w:lineRule="auto"/>
              <w:ind w:left="17"/>
              <w:jc w:val="center"/>
              <w:rPr>
                <w:color w:val="000000"/>
                <w:kern w:val="0"/>
                <w:sz w:val="24"/>
              </w:rPr>
            </w:pPr>
            <w:r w:rsidRPr="00431EE1">
              <w:rPr>
                <w:color w:val="000000"/>
                <w:kern w:val="0"/>
                <w:sz w:val="24"/>
              </w:rPr>
              <w:t>职务</w:t>
            </w:r>
          </w:p>
        </w:tc>
        <w:tc>
          <w:tcPr>
            <w:tcW w:type="dxa" w:w="2552"/>
            <w:gridSpan w:val="2"/>
            <w:vAlign w:val="center"/>
          </w:tcPr>
          <w:p w:rsidP="00CA3C4F" w:rsidR="00F13451" w:rsidRDefault="00F13451" w:rsidRPr="00431EE1">
            <w:pPr>
              <w:autoSpaceDE w:val="0"/>
              <w:autoSpaceDN w:val="0"/>
              <w:adjustRightInd w:val="0"/>
              <w:spacing w:before="29" w:line="360" w:lineRule="auto"/>
              <w:ind w:left="17"/>
              <w:jc w:val="center"/>
              <w:rPr>
                <w:color w:val="000000"/>
                <w:kern w:val="0"/>
                <w:sz w:val="24"/>
              </w:rPr>
            </w:pPr>
            <w:r w:rsidRPr="00431EE1">
              <w:rPr>
                <w:color w:val="000000"/>
                <w:kern w:val="0"/>
                <w:sz w:val="24"/>
              </w:rPr>
              <w:t>任本基金的基金经理期限</w:t>
            </w:r>
          </w:p>
        </w:tc>
        <w:tc>
          <w:tcPr>
            <w:tcW w:type="dxa" w:w="850"/>
            <w:vMerge w:val="restart"/>
            <w:vAlign w:val="center"/>
          </w:tcPr>
          <w:p w:rsidP="00CA3C4F" w:rsidR="00F13451" w:rsidRDefault="00F13451" w:rsidRPr="00431EE1">
            <w:pPr>
              <w:autoSpaceDE w:val="0"/>
              <w:autoSpaceDN w:val="0"/>
              <w:adjustRightInd w:val="0"/>
              <w:spacing w:before="29" w:line="360" w:lineRule="auto"/>
              <w:ind w:left="17"/>
              <w:jc w:val="center"/>
              <w:rPr>
                <w:color w:val="000000"/>
                <w:kern w:val="0"/>
                <w:sz w:val="24"/>
              </w:rPr>
            </w:pPr>
            <w:r w:rsidRPr="00431EE1">
              <w:rPr>
                <w:color w:val="000000"/>
                <w:kern w:val="0"/>
                <w:sz w:val="24"/>
              </w:rPr>
              <w:t>证券从业年限</w:t>
            </w:r>
          </w:p>
        </w:tc>
        <w:tc>
          <w:tcPr>
            <w:tcW w:type="dxa" w:w="1418"/>
            <w:vMerge w:val="restart"/>
            <w:vAlign w:val="center"/>
          </w:tcPr>
          <w:p w:rsidP="00CA3C4F" w:rsidR="00F13451" w:rsidRDefault="00F13451" w:rsidRPr="00431EE1">
            <w:pPr>
              <w:widowControl/>
              <w:spacing w:before="29" w:line="360" w:lineRule="auto"/>
              <w:ind w:left="17"/>
              <w:jc w:val="center"/>
              <w:rPr>
                <w:color w:val="000000"/>
                <w:kern w:val="0"/>
                <w:sz w:val="24"/>
              </w:rPr>
            </w:pPr>
            <w:r w:rsidRPr="00431EE1">
              <w:rPr>
                <w:color w:val="000000"/>
                <w:kern w:val="0"/>
                <w:sz w:val="24"/>
              </w:rPr>
              <w:t>说明</w:t>
            </w:r>
          </w:p>
        </w:tc>
      </w:tr>
      <w:tr w:rsidR="00F13451" w:rsidRPr="00820253" w:rsidTr="00C2237F">
        <w:trPr>
          <w:cantSplit/>
          <w:jc w:val="center"/>
        </w:trPr>
        <w:tc>
          <w:tcPr>
            <w:tcW w:type="dxa" w:w="851"/>
            <w:vMerge/>
            <w:vAlign w:val="center"/>
          </w:tcPr>
          <w:p w:rsidP="00CA3C4F" w:rsidR="00F13451" w:rsidRDefault="00F13451" w:rsidRPr="00431EE1">
            <w:pPr>
              <w:widowControl/>
              <w:spacing w:line="360" w:lineRule="auto"/>
              <w:jc w:val="left"/>
              <w:rPr>
                <w:color w:val="000000"/>
                <w:kern w:val="0"/>
                <w:sz w:val="24"/>
              </w:rPr>
            </w:pPr>
          </w:p>
        </w:tc>
        <w:tc>
          <w:tcPr>
            <w:tcW w:type="dxa" w:w="3260"/>
            <w:vMerge/>
            <w:vAlign w:val="center"/>
          </w:tcPr>
          <w:p w:rsidP="00CA3C4F" w:rsidR="00F13451" w:rsidRDefault="00F13451" w:rsidRPr="00431EE1">
            <w:pPr>
              <w:widowControl/>
              <w:spacing w:line="360" w:lineRule="auto"/>
              <w:jc w:val="left"/>
              <w:rPr>
                <w:color w:val="000000"/>
                <w:kern w:val="0"/>
                <w:sz w:val="24"/>
              </w:rPr>
            </w:pPr>
          </w:p>
        </w:tc>
        <w:tc>
          <w:tcPr>
            <w:tcW w:type="dxa" w:w="1276"/>
            <w:vAlign w:val="center"/>
          </w:tcPr>
          <w:p w:rsidP="00CA3C4F" w:rsidR="00F13451" w:rsidRDefault="00F13451" w:rsidRPr="00431EE1">
            <w:pPr>
              <w:autoSpaceDE w:val="0"/>
              <w:autoSpaceDN w:val="0"/>
              <w:adjustRightInd w:val="0"/>
              <w:spacing w:before="29" w:line="360" w:lineRule="auto"/>
              <w:ind w:left="17"/>
              <w:jc w:val="center"/>
              <w:rPr>
                <w:color w:val="000000"/>
                <w:kern w:val="0"/>
                <w:sz w:val="24"/>
              </w:rPr>
            </w:pPr>
            <w:r w:rsidRPr="00431EE1">
              <w:rPr>
                <w:color w:val="000000"/>
                <w:kern w:val="0"/>
                <w:sz w:val="24"/>
              </w:rPr>
              <w:t>任职日期</w:t>
            </w:r>
          </w:p>
        </w:tc>
        <w:tc>
          <w:tcPr>
            <w:tcW w:type="dxa" w:w="1276"/>
            <w:vAlign w:val="center"/>
          </w:tcPr>
          <w:p w:rsidP="00CA3C4F" w:rsidR="00F13451" w:rsidRDefault="00F13451" w:rsidRPr="00431EE1">
            <w:pPr>
              <w:autoSpaceDE w:val="0"/>
              <w:autoSpaceDN w:val="0"/>
              <w:adjustRightInd w:val="0"/>
              <w:spacing w:before="29" w:line="360" w:lineRule="auto"/>
              <w:ind w:left="17"/>
              <w:jc w:val="center"/>
              <w:rPr>
                <w:color w:val="000000"/>
                <w:kern w:val="0"/>
                <w:sz w:val="24"/>
              </w:rPr>
            </w:pPr>
            <w:r w:rsidRPr="00431EE1">
              <w:rPr>
                <w:color w:val="000000"/>
                <w:kern w:val="0"/>
                <w:sz w:val="24"/>
              </w:rPr>
              <w:t>离任日期</w:t>
            </w:r>
          </w:p>
        </w:tc>
        <w:tc>
          <w:tcPr>
            <w:tcW w:type="dxa" w:w="850"/>
            <w:vMerge/>
            <w:vAlign w:val="center"/>
          </w:tcPr>
          <w:p w:rsidP="00CA3C4F" w:rsidR="00F13451" w:rsidRDefault="00F13451" w:rsidRPr="00431EE1">
            <w:pPr>
              <w:widowControl/>
              <w:spacing w:line="360" w:lineRule="auto"/>
              <w:jc w:val="left"/>
              <w:rPr>
                <w:color w:val="000000"/>
                <w:kern w:val="0"/>
                <w:sz w:val="24"/>
              </w:rPr>
            </w:pPr>
          </w:p>
        </w:tc>
        <w:tc>
          <w:tcPr>
            <w:tcW w:type="dxa" w:w="1418"/>
            <w:vMerge/>
            <w:vAlign w:val="center"/>
          </w:tcPr>
          <w:p w:rsidP="00CA3C4F" w:rsidR="00F13451" w:rsidRDefault="00F13451" w:rsidRPr="00431EE1">
            <w:pPr>
              <w:widowControl/>
              <w:spacing w:line="360" w:lineRule="auto"/>
              <w:jc w:val="left"/>
              <w:rPr>
                <w:color w:val="000000"/>
                <w:kern w:val="0"/>
                <w:sz w:val="24"/>
              </w:rPr>
            </w:pPr>
          </w:p>
        </w:tc>
      </w:tr>
      <w:tr>
        <w:tc>
          <w:tcPr>
            <w:vAlign w:val="center"/>
          </w:tcPr>
          <w:p>
            <w:pPr>
              <w:jc w:val="center"/>
            </w:pPr>
            <w:r>
              <w:rPr>
                <w:color w:val="000000"/>
                <w:sz w:val="24"/>
              </w:rPr>
              <w:t>FAN BING（范冰）</w:t>
            </w:r>
          </w:p>
        </w:tc>
        <w:tc>
          <w:tcPr>
            <w:vAlign w:val="center"/>
          </w:tcPr>
          <w:p>
            <w:pPr>
              <w:jc w:val="left"/>
            </w:pPr>
            <w:r>
              <w:rPr>
                <w:color w:val="000000"/>
                <w:sz w:val="24"/>
              </w:rPr>
              <w:t>本基金的基金经理、易方达黄金交易型开放式证券投资基金联接基金的基金经理、易方达原油证券投资基金（QDII）的基金经理、易方达标普生物科技指数证券投资基金（LOF）的基金经理、易方达中证海外中国互联网50交易型开放式指数证券投资基金的基金经理、易方达标普医疗保健指数证券投资基金（LOF）的基金经理、易方达标普500指数证券投资基金（LOF）的基金经理、易方达黄金交易型开放式证券投资基金的基金经理、易方达纳斯达克100指数证券投资基金（LOF）的基金经理、易方达MSCI中国A股国际通交易型开放式指数证券投资基金的基金经理、易方达中证海外中国互联网50交易型开放式指数证券投资基金联接基金的基金经理、易方达MSCI中国A股国际通交易型开放式指数证券投资基金发起式联接基金的基金经理、易方达日兴资管日经225交易型开放式指数证券投资基金（QDII）的基金经理、易方达中证香港证券投资主题交易型开放式指数证券投资基金的基金经理</w:t>
            </w:r>
          </w:p>
        </w:tc>
        <w:tc>
          <w:tcPr>
            <w:vAlign w:val="center"/>
          </w:tcPr>
          <w:p>
            <w:pPr>
              <w:jc w:val="center"/>
            </w:pPr>
            <w:r>
              <w:rPr>
                <w:color w:val="000000"/>
                <w:sz w:val="24"/>
              </w:rPr>
              <w:t>2017-03-25</w:t>
            </w:r>
          </w:p>
        </w:tc>
        <w:tc>
          <w:tcPr>
            <w:vAlign w:val="center"/>
          </w:tcPr>
          <w:p>
            <w:pPr>
              <w:jc w:val="center"/>
            </w:pPr>
            <w:r>
              <w:rPr>
                <w:color w:val="000000"/>
                <w:sz w:val="24"/>
              </w:rPr>
              <w:t>-</w:t>
            </w:r>
          </w:p>
        </w:tc>
        <w:tc>
          <w:tcPr>
            <w:vAlign w:val="center"/>
          </w:tcPr>
          <w:p>
            <w:pPr>
              <w:jc w:val="center"/>
            </w:pPr>
            <w:r>
              <w:rPr>
                <w:color w:val="000000"/>
                <w:sz w:val="24"/>
              </w:rPr>
              <w:t>15年</w:t>
            </w:r>
          </w:p>
        </w:tc>
        <w:tc>
          <w:tcPr>
            <w:vAlign w:val="center"/>
          </w:tcPr>
          <w:p>
            <w:pPr>
              <w:jc w:val="both"/>
            </w:pPr>
            <w:r>
              <w:rPr>
                <w:color w:val="000000"/>
                <w:sz w:val="24"/>
              </w:rPr>
              <w:t>新加坡籍，硕士研究生，具有基金从业资格。曾任皇家加拿大银行托管部核算专员，美国道富集团中台交易支持专员，巴克莱资产管理公司悉尼金融数据部高级金融数据分析员、悉尼金融数据部主管、新加坡金融数据部主管，贝莱德集团金融数据运营部部门经理、风险控制与咨询部客户经理、亚太股票指数基金部基金经理，易方达基金管理有限公司易方达标普全球高端消费品指数增强型证券投资基金基金经理。</w:t>
            </w:r>
          </w:p>
        </w:tc>
      </w:tr>
    </w:tbl>
    <w:p>
      <w:pPr>
        <w:tabs>
          <w:tab w:pos="426" w:val="left"/>
        </w:tabs>
        <w:spacing w:line="360" w:lineRule="auto"/>
        <w:ind w:firstLine="480" w:firstLineChars="200"/>
        <w:rPr>
          <w:kern w:val="0"/>
        </w:rPr>
      </w:pPr>
      <w:r>
        <w:rPr>
          <w:color w:val="000000"/>
          <w:sz w:val="24"/>
        </w:rPr>
        <w:t>注：1.对基金的首任基金经理，其“任职日期”为基金合同生效日，“离任日期”为根据公司决定确定的解聘日期；对此后的非首任基金经理，“任职日期”和“离任日期”分别指根据公司决定确定的聘任日期和解聘日期。</w:t>
      </w:r>
    </w:p>
    <w:p w:rsidP="0039323A" w:rsidR="0039323A" w:rsidRDefault="00F13451" w:rsidRPr="00AF5C11">
      <w:pPr>
        <w:tabs>
          <w:tab w:pos="426" w:val="left"/>
        </w:tabs>
        <w:spacing w:line="360" w:lineRule="auto"/>
        <w:ind w:firstLine="480" w:firstLineChars="200"/>
        <w:rPr>
          <w:kern w:val="0"/>
        </w:rPr>
      </w:pPr>
      <w:r w:rsidRPr="0040658E">
        <w:rPr>
          <w:color w:val="000000"/>
          <w:sz w:val="24"/>
        </w:rPr>
        <w:t/>
      </w:r>
      <w:proofErr w:type="gramStart"/>
      <w:r w:rsidRPr="0040658E">
        <w:rPr>
          <w:color w:val="000000"/>
          <w:sz w:val="24"/>
        </w:rPr>
        <w:t/>
      </w:r>
      <w:proofErr w:type="gramEnd"/>
      <w:r w:rsidRPr="0040658E">
        <w:rPr>
          <w:color w:val="000000"/>
          <w:sz w:val="24"/>
        </w:rPr>
        <w:t>2.证券从业的含义遵从《证券业从业人员资格管理办法》的相关规定。</w:t>
      </w:r>
    </w:p>
    <w:p w:rsidP="0029671E" w:rsidR="00F13451" w:rsidRDefault="00F13451" w:rsidRPr="00820253">
      <w:pPr>
        <w:adjustRightInd w:val="0"/>
        <w:snapToGrid w:val="0"/>
        <w:spacing w:line="360" w:lineRule="auto"/>
        <w:rPr>
          <w:rFonts w:ascii="宋体"/>
          <w:b/>
          <w:bCs/>
          <w:color w:val="000000"/>
          <w:sz w:val="24"/>
        </w:rPr>
      </w:pPr>
      <w:r w:rsidRPr="00820253">
        <w:rPr>
          <w:rFonts w:ascii="宋体" w:hAnsi="宋体"/>
          <w:b/>
          <w:bCs/>
          <w:color w:val="000000"/>
          <w:sz w:val="24"/>
        </w:rPr>
        <w:t>4.</w:t>
      </w:r>
      <w:r>
        <w:rPr>
          <w:rFonts w:ascii="宋体" w:hAnsi="宋体"/>
          <w:b/>
          <w:bCs/>
          <w:color w:val="000000"/>
          <w:sz w:val="24"/>
        </w:rPr>
        <w:t/>
      </w:r>
      <w:r w:rsidRPr="00820253">
        <w:rPr>
          <w:rFonts w:ascii="宋体"/>
          <w:b/>
          <w:bCs/>
          <w:color w:val="000000"/>
          <w:sz w:val="24"/>
        </w:rPr>
        <w:t>2</w:t>
      </w:r>
      <w:r>
        <w:rPr>
          <w:rFonts w:ascii="宋体" w:cs="Arial"/>
          <w:b/>
          <w:color w:val="000000"/>
          <w:kern w:val="0"/>
          <w:sz w:val="24"/>
        </w:rPr>
        <w:t/>
      </w:r>
      <w:proofErr w:type="spellStart"/>
      <w:r>
        <w:rPr>
          <w:rFonts w:ascii="宋体" w:cs="Arial" w:hAnsi="宋体"/>
          <w:b/>
          <w:color w:val="000000"/>
          <w:kern w:val="0"/>
          <w:sz w:val="24"/>
        </w:rPr>
        <w:t/>
      </w:r>
      <w:r w:rsidRPr="00820253">
        <w:rPr>
          <w:rFonts w:ascii="宋体" w:cs="Arial" w:hAnsi="宋体"/>
          <w:b/>
          <w:color w:val="000000"/>
          <w:kern w:val="0"/>
          <w:sz w:val="24"/>
        </w:rPr>
        <w:t/>
      </w:r>
      <w:proofErr w:type="spellEnd"/>
      <w:r w:rsidRPr="00820253">
        <w:rPr>
          <w:rFonts w:ascii="宋体" w:cs="Arial" w:hAnsi="宋体"/>
          <w:b/>
          <w:color w:val="000000"/>
          <w:kern w:val="0"/>
          <w:sz w:val="24"/>
        </w:rPr>
        <w:t/>
      </w:r>
      <w:r w:rsidRPr="00820253">
        <w:rPr>
          <w:rFonts w:ascii="宋体" w:hAnsi="宋体" w:hint="eastAsia"/>
          <w:b/>
          <w:bCs/>
          <w:color w:val="000000"/>
          <w:sz w:val="24"/>
        </w:rPr>
        <w:t>境外投资顾问为本基金提供投资建议的主要成员简介</w:t>
      </w:r>
    </w:p>
    <w:p w:rsidP="00431EE1" w:rsidR="00F13451" w:rsidRDefault="00F13451" w:rsidRPr="00431EE1">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
      </w:r>
      <w:proofErr w:type="spellStart"/>
      <w:r w:rsidRPr="0040658E">
        <w:rPr>
          <w:color w:val="000000"/>
          <w:sz w:val="24"/>
        </w:rPr>
        <w:t/>
      </w:r>
      <w:proofErr w:type="spellEnd"/>
      <w:r w:rsidRPr="0040658E">
        <w:rPr>
          <w:color w:val="000000"/>
          <w:sz w:val="24"/>
        </w:rPr>
        <w:t>本基金未聘请境外投资顾问。</w:t>
      </w:r>
    </w:p>
    <w:p w:rsidP="0029671E" w:rsidR="00F13451" w:rsidRDefault="00F13451" w:rsidRPr="00820253">
      <w:pPr>
        <w:autoSpaceDE w:val="0"/>
        <w:autoSpaceDN w:val="0"/>
        <w:adjustRightInd w:val="0"/>
        <w:spacing w:line="360" w:lineRule="auto"/>
        <w:jc w:val="left"/>
        <w:rPr>
          <w:rFonts w:ascii="宋体" w:cs="Arial"/>
          <w:b/>
          <w:color w:val="000000"/>
          <w:kern w:val="0"/>
          <w:sz w:val="24"/>
        </w:rPr>
      </w:pPr>
      <w:r w:rsidRPr="00820253">
        <w:rPr>
          <w:rFonts w:ascii="宋体" w:cs="Arial" w:hAnsi="宋体"/>
          <w:b/>
          <w:color w:val="000000"/>
          <w:kern w:val="0"/>
          <w:sz w:val="24"/>
        </w:rPr>
        <w:t>4.3</w:t>
      </w:r>
      <w:r w:rsidRPr="00820253">
        <w:rPr>
          <w:rFonts w:ascii="宋体" w:cs="Arial" w:hAnsi="宋体" w:hint="eastAsia"/>
          <w:b/>
          <w:color w:val="000000"/>
          <w:kern w:val="0"/>
          <w:sz w:val="24"/>
        </w:rPr>
        <w:t>报告期内本基金运作遵规守信情况说明</w:t>
      </w:r>
    </w:p>
    <w:p w:rsidP="00431EE1" w:rsidR="00F13451" w:rsidRDefault="00F13451" w:rsidRPr="00431EE1">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P="0029671E" w:rsidR="00F13451" w:rsidRDefault="00F13451" w:rsidRPr="00820253">
      <w:pPr>
        <w:autoSpaceDE w:val="0"/>
        <w:autoSpaceDN w:val="0"/>
        <w:adjustRightInd w:val="0"/>
        <w:spacing w:line="360" w:lineRule="auto"/>
        <w:jc w:val="left"/>
        <w:rPr>
          <w:rFonts w:ascii="宋体" w:cs="Arial"/>
          <w:b/>
          <w:color w:val="000000"/>
          <w:kern w:val="0"/>
          <w:sz w:val="24"/>
        </w:rPr>
      </w:pPr>
      <w:r w:rsidRPr="00820253">
        <w:rPr>
          <w:rFonts w:ascii="宋体" w:cs="Arial" w:hAnsi="宋体"/>
          <w:b/>
          <w:color w:val="000000"/>
          <w:kern w:val="0"/>
          <w:sz w:val="24"/>
        </w:rPr>
        <w:t>4.4</w:t>
      </w:r>
      <w:r w:rsidRPr="00820253">
        <w:rPr>
          <w:rFonts w:ascii="宋体" w:cs="Arial" w:hAnsi="宋体" w:hint="eastAsia"/>
          <w:b/>
          <w:color w:val="000000"/>
          <w:kern w:val="0"/>
          <w:sz w:val="24"/>
        </w:rPr>
        <w:t>公平交易专项说明</w:t>
      </w:r>
    </w:p>
    <w:p w:rsidP="0029671E" w:rsidR="00F13451" w:rsidRDefault="00F13451" w:rsidRPr="00820253">
      <w:pPr>
        <w:spacing w:line="360" w:lineRule="auto"/>
        <w:rPr>
          <w:rFonts w:ascii="宋体"/>
          <w:sz w:val="24"/>
        </w:rPr>
      </w:pPr>
      <w:r w:rsidRPr="00820253">
        <w:rPr>
          <w:rFonts w:ascii="宋体" w:cs="Arial" w:hAnsi="宋体"/>
          <w:b/>
          <w:color w:val="000000"/>
          <w:kern w:val="0"/>
          <w:sz w:val="24"/>
        </w:rPr>
        <w:t>4.4</w:t>
      </w:r>
      <w:r w:rsidRPr="00820253">
        <w:rPr>
          <w:rFonts w:ascii="宋体" w:hAnsi="宋体"/>
          <w:sz w:val="24"/>
        </w:rPr>
        <w:t>.</w:t>
      </w:r>
      <w:r w:rsidRPr="00820253">
        <w:rPr>
          <w:rFonts w:ascii="宋体" w:cs="Arial"/>
          <w:b/>
          <w:color w:val="000000"/>
          <w:kern w:val="0"/>
          <w:sz w:val="24"/>
        </w:rPr>
        <w:t/>
      </w:r>
      <w:r w:rsidRPr="00820253">
        <w:rPr>
          <w:rFonts w:ascii="宋体" w:cs="Arial" w:hAnsi="宋体"/>
          <w:b/>
          <w:color w:val="000000"/>
          <w:kern w:val="0"/>
          <w:sz w:val="24"/>
        </w:rPr>
        <w:t>1</w:t>
      </w:r>
      <w:r w:rsidRPr="00820253">
        <w:rPr>
          <w:rFonts w:ascii="宋体" w:hAnsi="宋体" w:hint="eastAsia"/>
          <w:sz w:val="24"/>
        </w:rPr>
        <w:t>公平交易制度的执行情况</w:t>
      </w:r>
    </w:p>
    <w:p w:rsidP="00476756" w:rsidR="00F13451" w:rsidRDefault="00F13451" w:rsidRPr="0040658E">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P="0029671E" w:rsidR="00F13451" w:rsidRDefault="00F13451" w:rsidRPr="00820253">
      <w:pPr>
        <w:spacing w:line="360" w:lineRule="auto"/>
        <w:rPr>
          <w:rFonts w:ascii="宋体"/>
          <w:sz w:val="24"/>
        </w:rPr>
      </w:pPr>
      <w:r w:rsidRPr="00820253">
        <w:rPr>
          <w:rFonts w:ascii="宋体" w:cs="Arial" w:hAnsi="宋体"/>
          <w:b/>
          <w:color w:val="000000"/>
          <w:kern w:val="0"/>
          <w:sz w:val="24"/>
        </w:rPr>
        <w:lastRenderedPageBreak/>
        <w:t>4.4</w:t>
      </w:r>
      <w:r w:rsidRPr="00820253">
        <w:rPr>
          <w:rFonts w:ascii="宋体" w:hAnsi="宋体"/>
          <w:sz w:val="24"/>
        </w:rPr>
        <w:t>.</w:t>
      </w:r>
      <w:r w:rsidRPr="00820253">
        <w:rPr>
          <w:rFonts w:ascii="宋体" w:cs="Arial"/>
          <w:b/>
          <w:color w:val="000000"/>
          <w:kern w:val="0"/>
          <w:sz w:val="24"/>
        </w:rPr>
        <w:t/>
      </w:r>
      <w:r w:rsidRPr="00820253">
        <w:rPr>
          <w:rFonts w:ascii="宋体" w:cs="Arial" w:hAnsi="宋体"/>
          <w:b/>
          <w:color w:val="000000"/>
          <w:kern w:val="0"/>
          <w:sz w:val="24"/>
        </w:rPr>
        <w:t>2</w:t>
      </w:r>
      <w:r w:rsidRPr="00820253">
        <w:rPr>
          <w:rFonts w:ascii="宋体" w:hAnsi="宋体" w:hint="eastAsia"/>
          <w:sz w:val="24"/>
        </w:rPr>
        <w:t>异常交易行为的专项说明</w:t>
      </w:r>
    </w:p>
    <w:p>
      <w:pPr>
        <w:spacing w:line="360" w:lineRule="auto"/>
        <w:ind w:firstLine="480" w:firstLineChars="200"/>
        <w:rPr>
          <w:color w:val="000000"/>
          <w:sz w:val="24"/>
        </w:rPr>
      </w:pPr>
      <w:r>
        <w:rPr>
          <w:color w:val="000000"/>
          <w:sz w:val="24"/>
        </w:rPr>
        <w:t>本报告期内，公司旗下所有投资组合参与的交易所公开竞价交易中，同日反向交易成交较少的单边交易量超过该证券当日成交量的5%的交易共8次，均为指数量化投资组合因投资策略需要和其他组合发生的反向交易。</w:t>
      </w:r>
    </w:p>
    <w:p w:rsidP="00431EE1" w:rsidR="00F13451" w:rsidRDefault="00F13451" w:rsidRPr="00431EE1">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本报告期内，未发现本基金有可能导致不公平交易和利益输送的异常交易。</w:t>
      </w:r>
    </w:p>
    <w:p w:rsidP="003E3A5C" w:rsidR="003E3A5C" w:rsidRDefault="00F13451">
      <w:pPr>
        <w:autoSpaceDE w:val="0"/>
        <w:autoSpaceDN w:val="0"/>
        <w:adjustRightInd w:val="0"/>
        <w:spacing w:line="360" w:lineRule="auto"/>
        <w:jc w:val="left"/>
        <w:rPr>
          <w:sz w:val="24"/>
        </w:rPr>
      </w:pPr>
      <w:r w:rsidRPr="00820253">
        <w:rPr>
          <w:rFonts w:ascii="宋体" w:cs="Arial" w:hAnsi="宋体"/>
          <w:b/>
          <w:color w:val="000000"/>
          <w:kern w:val="0"/>
          <w:sz w:val="24"/>
        </w:rPr>
        <w:t>4.5</w:t>
      </w:r>
      <w:r w:rsidR="003E3A5C">
        <w:rPr>
          <w:rFonts w:hint="eastAsia"/>
          <w:b/>
          <w:color w:val="000000"/>
          <w:kern w:val="0"/>
          <w:sz w:val="24"/>
        </w:rPr>
        <w:t>报告期内基金的投资策略和业绩表现说明</w:t>
      </w:r>
    </w:p>
    <w:p>
      <w:pPr>
        <w:spacing w:line="360" w:lineRule="auto"/>
        <w:ind w:firstLine="480" w:firstLineChars="200"/>
        <w:rPr>
          <w:color w:val="000000"/>
          <w:sz w:val="24"/>
        </w:rPr>
      </w:pPr>
      <w:r>
        <w:rPr>
          <w:color w:val="000000"/>
          <w:sz w:val="24"/>
        </w:rPr>
        <w:t>回顾2020年三季度，在宽松的政策刺激及流动性的推动下，美股延续涨势，标普500指数在9月初创出历史新高。美国二季度GDP环比萎缩32.9%，创史上最大跌幅，全球疫情出现再次扩散，美国共和党和民主党就新一轮财政救助的谈判处于僵局。美联储维持利率水平不变，并公布新的货币政策框架，把充分就业放在核心，市场预期当前的低利率水平将维持到2022年。进一步财政刺激政策未能落地，叠加美国大选前的避险情绪，导致美股在9月份出现明显回调，波动加大。经济复苏的不确定性加上充沛的流动性，继续有利于成长风格的股票，标普信息科技板块的表现也再次跑赢美股大盘的表现。</w:t>
      </w:r>
    </w:p>
    <w:p>
      <w:pPr>
        <w:spacing w:line="360" w:lineRule="auto"/>
        <w:ind w:firstLine="480" w:firstLineChars="200"/>
        <w:rPr>
          <w:color w:val="000000"/>
          <w:sz w:val="24"/>
        </w:rPr>
      </w:pPr>
      <w:r>
        <w:rPr>
          <w:color w:val="000000"/>
          <w:sz w:val="24"/>
        </w:rPr>
        <w:t>作为追踪标普信息科技指数的被动式海外指数基金，本基金采用完全复制法，力求追踪误差最小化。</w:t>
      </w:r>
    </w:p>
    <w:p w:rsidP="00F95B9D" w:rsidR="00F13451" w:rsidRDefault="003E3A5C" w:rsidRPr="00431EE1">
      <w:pPr>
        <w:spacing w:line="360" w:lineRule="auto"/>
        <w:ind w:firstLine="480" w:firstLineChars="200"/>
        <w:rPr>
          <w:color w:val="000000"/>
          <w:sz w:val="24"/>
        </w:rPr>
      </w:pPr>
      <w:r>
        <w:rPr>
          <w:color w:val="000000"/>
          <w:sz w:val="24"/>
        </w:rPr>
        <w:t/>
      </w:r>
      <w:proofErr w:type="spellStart"/>
      <w:r>
        <w:rPr>
          <w:color w:val="000000"/>
          <w:sz w:val="24"/>
        </w:rPr>
        <w:t/>
      </w:r>
      <w:proofErr w:type="spellEnd"/>
      <w:r>
        <w:rPr>
          <w:color w:val="000000"/>
          <w:sz w:val="24"/>
        </w:rPr>
        <w:t>截至报告期末，本基金份额净值为2.2269元，本报告期份额净值增长率为6.87%，同期业绩比较基准收益率为7.08%，年化跟踪误差0.40%，在合同规定的目标控制范围之内。</w:t>
      </w:r>
    </w:p>
    <w:p w:rsidP="008B041C" w:rsidR="00F13451" w:rsidRDefault="00F13451" w:rsidRPr="00820253">
      <w:pPr>
        <w:pStyle w:val="1"/>
        <w:spacing w:after="312" w:afterLines="100" w:before="312" w:beforeLines="100" w:line="360" w:lineRule="auto"/>
        <w:jc w:val="center"/>
        <w:rPr>
          <w:rFonts w:ascii="宋体" w:cs="Arial"/>
          <w:color w:val="000000"/>
          <w:kern w:val="0"/>
          <w:sz w:val="24"/>
          <w:szCs w:val="24"/>
        </w:rPr>
      </w:pPr>
      <w:r w:rsidRPr="00820253">
        <w:rPr>
          <w:rFonts w:ascii="宋体" w:cs="Arial" w:hAnsi="宋体" w:hint="eastAsia"/>
          <w:color w:val="000000"/>
          <w:kern w:val="0"/>
          <w:sz w:val="24"/>
          <w:szCs w:val="24"/>
        </w:rPr>
        <w:t>§</w:t>
      </w:r>
      <w:r w:rsidRPr="00820253">
        <w:rPr>
          <w:rFonts w:ascii="宋体" w:cs="Arial" w:hAnsi="宋体"/>
          <w:color w:val="000000"/>
          <w:kern w:val="0"/>
          <w:sz w:val="24"/>
          <w:szCs w:val="24"/>
        </w:rPr>
        <w:t xml:space="preserve">5  </w:t>
      </w:r>
      <w:r w:rsidRPr="00820253">
        <w:rPr>
          <w:rFonts w:ascii="宋体" w:cs="Arial" w:hAnsi="宋体" w:hint="eastAsia"/>
          <w:color w:val="000000"/>
          <w:kern w:val="0"/>
          <w:sz w:val="24"/>
          <w:szCs w:val="24"/>
        </w:rPr>
        <w:t>投资组合报告</w:t>
      </w:r>
    </w:p>
    <w:p w:rsidP="0029671E" w:rsidR="00F13451" w:rsidRDefault="00F13451" w:rsidRPr="00820253">
      <w:pPr>
        <w:autoSpaceDE w:val="0"/>
        <w:autoSpaceDN w:val="0"/>
        <w:adjustRightInd w:val="0"/>
        <w:spacing w:line="360" w:lineRule="auto"/>
        <w:jc w:val="left"/>
        <w:rPr>
          <w:rFonts w:ascii="宋体" w:cs="Arial"/>
          <w:b/>
          <w:color w:val="000000"/>
          <w:kern w:val="0"/>
          <w:sz w:val="24"/>
        </w:rPr>
      </w:pPr>
      <w:r w:rsidRPr="00820253">
        <w:rPr>
          <w:rFonts w:ascii="宋体" w:cs="Arial" w:hAnsi="宋体"/>
          <w:b/>
          <w:color w:val="000000"/>
          <w:kern w:val="0"/>
          <w:sz w:val="24"/>
        </w:rPr>
        <w:t xml:space="preserve">5.1 </w:t>
      </w:r>
      <w:r w:rsidRPr="00820253">
        <w:rPr>
          <w:rFonts w:ascii="宋体" w:cs="Arial" w:hAnsi="宋体" w:hint="eastAsia"/>
          <w:b/>
          <w:color w:val="000000"/>
          <w:kern w:val="0"/>
          <w:sz w:val="24"/>
        </w:rPr>
        <w:t>报告期末基金资产组合情况</w:t>
      </w:r>
    </w:p>
    <w:tbl>
      <w:tblPr>
        <w:tblW w:type="dxa" w:w="8506"/>
        <w:tblInd w:type="dxa" w:w="-34"/>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51"/>
        <w:gridCol w:w="2552"/>
        <w:gridCol w:w="3402"/>
        <w:gridCol w:w="1701"/>
      </w:tblGrid>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r w:rsidRPr="00431EE1">
              <w:rPr>
                <w:color w:val="000000"/>
                <w:sz w:val="24"/>
              </w:rPr>
              <w:t>序号</w:t>
            </w:r>
          </w:p>
        </w:tc>
        <w:tc>
          <w:tcPr>
            <w:tcW w:type="dxa" w:w="2552"/>
            <w:vAlign w:val="center"/>
          </w:tcPr>
          <w:p w:rsidP="00780E33" w:rsidR="00F13451" w:rsidRDefault="00F13451" w:rsidRPr="00431EE1">
            <w:pPr>
              <w:spacing w:before="29" w:line="360" w:lineRule="auto"/>
              <w:ind w:left="17"/>
              <w:jc w:val="center"/>
              <w:rPr>
                <w:color w:val="000000"/>
                <w:sz w:val="24"/>
              </w:rPr>
            </w:pPr>
            <w:r w:rsidRPr="00431EE1">
              <w:rPr>
                <w:color w:val="000000"/>
                <w:sz w:val="24"/>
              </w:rPr>
              <w:t>项目</w:t>
            </w:r>
          </w:p>
        </w:tc>
        <w:tc>
          <w:tcPr>
            <w:tcW w:type="dxa" w:w="3402"/>
            <w:vAlign w:val="center"/>
          </w:tcPr>
          <w:p w:rsidP="00284EC5" w:rsidR="00F13451" w:rsidRDefault="00F13451" w:rsidRPr="00431EE1">
            <w:pPr>
              <w:spacing w:before="29" w:line="360" w:lineRule="auto"/>
              <w:ind w:left="17"/>
              <w:jc w:val="center"/>
              <w:rPr>
                <w:color w:val="000000"/>
                <w:sz w:val="24"/>
              </w:rPr>
            </w:pPr>
            <w:r w:rsidRPr="00431EE1">
              <w:rPr>
                <w:color w:val="000000"/>
                <w:sz w:val="24"/>
              </w:rPr>
              <w:t>金额</w:t>
            </w:r>
            <w:r w:rsidR="00284EC5" w:rsidRPr="00431EE1">
              <w:rPr>
                <w:color w:val="000000"/>
                <w:sz w:val="24"/>
              </w:rPr>
              <w:t>（</w:t>
            </w:r>
            <w:r w:rsidR="00284EC5" w:rsidRPr="00431EE1">
              <w:rPr>
                <w:color w:val="000000"/>
                <w:kern w:val="0"/>
                <w:sz w:val="24"/>
              </w:rPr>
              <w:t>人民币元</w:t>
            </w:r>
            <w:r w:rsidR="00284EC5" w:rsidRPr="00431EE1">
              <w:rPr>
                <w:color w:val="000000"/>
                <w:sz w:val="24"/>
              </w:rPr>
              <w:t>）</w:t>
            </w:r>
          </w:p>
        </w:tc>
        <w:tc>
          <w:tcPr>
            <w:tcW w:type="dxa" w:w="1701"/>
            <w:vAlign w:val="center"/>
          </w:tcPr>
          <w:p w:rsidP="00284EC5" w:rsidR="00F13451" w:rsidRDefault="00F13451" w:rsidRPr="00431EE1">
            <w:pPr>
              <w:spacing w:before="29" w:line="360" w:lineRule="auto"/>
              <w:ind w:left="17"/>
              <w:jc w:val="center"/>
              <w:rPr>
                <w:color w:val="000000"/>
                <w:sz w:val="24"/>
              </w:rPr>
            </w:pPr>
            <w:r w:rsidRPr="00431EE1">
              <w:rPr>
                <w:color w:val="000000"/>
                <w:sz w:val="24"/>
              </w:rPr>
              <w:t>占基金总资产的比例</w:t>
            </w:r>
            <w:r w:rsidR="00284EC5" w:rsidRPr="00431EE1">
              <w:rPr>
                <w:color w:val="000000"/>
                <w:sz w:val="24"/>
              </w:rPr>
              <w:t>（</w:t>
            </w:r>
            <w:r w:rsidR="00284EC5" w:rsidRPr="00431EE1">
              <w:rPr>
                <w:color w:val="000000"/>
                <w:sz w:val="24"/>
              </w:rPr>
              <w:t>%</w:t>
            </w:r>
            <w:r w:rsidR="00284EC5" w:rsidRPr="00431EE1">
              <w:rPr>
                <w:color w:val="000000"/>
                <w:sz w:val="24"/>
              </w:rPr>
              <w:t>）</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r w:rsidRPr="00431EE1">
              <w:rPr>
                <w:color w:val="000000"/>
                <w:sz w:val="24"/>
              </w:rPr>
              <w:t>1</w:t>
            </w:r>
          </w:p>
        </w:tc>
        <w:tc>
          <w:tcPr>
            <w:tcW w:type="dxa" w:w="2552"/>
            <w:vAlign w:val="center"/>
          </w:tcPr>
          <w:p w:rsidP="00780E33" w:rsidR="00F13451" w:rsidRDefault="00F13451" w:rsidRPr="00431EE1">
            <w:pPr>
              <w:spacing w:before="29" w:line="360" w:lineRule="auto"/>
              <w:ind w:left="17"/>
              <w:jc w:val="left"/>
              <w:rPr>
                <w:sz w:val="24"/>
              </w:rPr>
            </w:pPr>
            <w:r w:rsidRPr="00431EE1">
              <w:rPr>
                <w:color w:val="000000"/>
                <w:sz w:val="24"/>
              </w:rPr>
              <w:t>权益投资</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784,610,054.41</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92.90</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p>
        </w:tc>
        <w:tc>
          <w:tcPr>
            <w:tcW w:type="dxa" w:w="2552"/>
            <w:vAlign w:val="center"/>
          </w:tcPr>
          <w:p w:rsidP="00780E33" w:rsidR="00F13451" w:rsidRDefault="00F13451" w:rsidRPr="00431EE1">
            <w:pPr>
              <w:spacing w:before="29" w:line="360" w:lineRule="auto"/>
              <w:ind w:left="17"/>
              <w:jc w:val="left"/>
              <w:rPr>
                <w:sz w:val="24"/>
              </w:rPr>
            </w:pPr>
            <w:r w:rsidRPr="00431EE1">
              <w:rPr>
                <w:color w:val="000000"/>
                <w:sz w:val="24"/>
              </w:rPr>
              <w:t>其中：普通股</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784,610,054.41</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92.90</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p>
        </w:tc>
        <w:tc>
          <w:tcPr>
            <w:tcW w:type="dxa" w:w="2552"/>
            <w:vAlign w:val="center"/>
          </w:tcPr>
          <w:p w:rsidP="00780E33" w:rsidR="00F13451" w:rsidRDefault="00F13451" w:rsidRPr="00431EE1">
            <w:pPr>
              <w:spacing w:before="29" w:line="360" w:lineRule="auto"/>
              <w:ind w:left="17"/>
              <w:jc w:val="left"/>
              <w:rPr>
                <w:color w:val="000000"/>
                <w:sz w:val="24"/>
              </w:rPr>
            </w:pPr>
            <w:r w:rsidRPr="00431EE1">
              <w:rPr>
                <w:color w:val="000000"/>
                <w:sz w:val="24"/>
              </w:rPr>
              <w:t>存托凭证</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r w:rsidRPr="00431EE1">
              <w:rPr>
                <w:color w:val="000000"/>
                <w:sz w:val="24"/>
              </w:rPr>
              <w:lastRenderedPageBreak/>
              <w:t>-</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p>
        </w:tc>
        <w:tc>
          <w:tcPr>
            <w:tcW w:type="dxa" w:w="2552"/>
            <w:vAlign w:val="center"/>
          </w:tcPr>
          <w:p w:rsidP="00780E33" w:rsidR="00F13451" w:rsidRDefault="00F13451" w:rsidRPr="00431EE1">
            <w:pPr>
              <w:spacing w:before="29" w:line="360" w:lineRule="auto"/>
              <w:ind w:left="17"/>
              <w:jc w:val="left"/>
              <w:rPr>
                <w:color w:val="000000"/>
                <w:sz w:val="24"/>
              </w:rPr>
            </w:pPr>
            <w:r w:rsidRPr="00431EE1">
              <w:rPr>
                <w:color w:val="000000"/>
                <w:sz w:val="24"/>
              </w:rPr>
              <w:t>优先股</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p>
        </w:tc>
        <w:tc>
          <w:tcPr>
            <w:tcW w:type="dxa" w:w="2552"/>
            <w:vAlign w:val="center"/>
          </w:tcPr>
          <w:p w:rsidP="00780E33" w:rsidR="00F13451" w:rsidRDefault="00F13451" w:rsidRPr="00431EE1">
            <w:pPr>
              <w:spacing w:before="29" w:line="360" w:lineRule="auto"/>
              <w:ind w:left="17"/>
              <w:jc w:val="left"/>
              <w:rPr>
                <w:color w:val="000000"/>
                <w:sz w:val="24"/>
              </w:rPr>
            </w:pPr>
            <w:r w:rsidRPr="00431EE1">
              <w:rPr>
                <w:color w:val="000000"/>
                <w:sz w:val="24"/>
              </w:rPr>
              <w:t>房地产信托</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w:t>
            </w:r>
          </w:p>
        </w:tc>
      </w:tr>
      <w:tr w:rsidR="00F13451" w:rsidRPr="00820253" w:rsidTr="00AF41C5">
        <w:tc>
          <w:tcPr>
            <w:tcW w:type="dxa" w:w="851"/>
          </w:tcPr>
          <w:p w:rsidP="00780E33" w:rsidR="00F13451" w:rsidRDefault="00F13451" w:rsidRPr="00431EE1">
            <w:pPr>
              <w:adjustRightInd w:val="0"/>
              <w:snapToGrid w:val="0"/>
              <w:spacing w:line="400" w:lineRule="exact"/>
              <w:jc w:val="center"/>
              <w:rPr>
                <w:color w:val="000000"/>
                <w:sz w:val="24"/>
              </w:rPr>
            </w:pPr>
            <w:r w:rsidRPr="00431EE1">
              <w:rPr>
                <w:color w:val="000000"/>
                <w:sz w:val="24"/>
              </w:rPr>
              <w:t>2</w:t>
            </w:r>
          </w:p>
        </w:tc>
        <w:tc>
          <w:tcPr>
            <w:tcW w:type="dxa" w:w="2552"/>
          </w:tcPr>
          <w:p w:rsidP="00780E33" w:rsidR="00F13451" w:rsidRDefault="00F13451" w:rsidRPr="00431EE1">
            <w:pPr>
              <w:adjustRightInd w:val="0"/>
              <w:snapToGrid w:val="0"/>
              <w:spacing w:line="400" w:lineRule="exact"/>
              <w:rPr>
                <w:color w:val="000000"/>
                <w:sz w:val="24"/>
              </w:rPr>
            </w:pPr>
            <w:r w:rsidRPr="00431EE1">
              <w:rPr>
                <w:color w:val="000000"/>
                <w:sz w:val="24"/>
              </w:rPr>
              <w:t>基金投资</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r w:rsidRPr="00431EE1">
              <w:rPr>
                <w:color w:val="000000"/>
                <w:sz w:val="24"/>
              </w:rPr>
              <w:t>3</w:t>
            </w:r>
          </w:p>
        </w:tc>
        <w:tc>
          <w:tcPr>
            <w:tcW w:type="dxa" w:w="2552"/>
            <w:vAlign w:val="center"/>
          </w:tcPr>
          <w:p w:rsidP="00780E33" w:rsidR="00F13451" w:rsidRDefault="00F13451" w:rsidRPr="00431EE1">
            <w:pPr>
              <w:spacing w:before="29" w:line="360" w:lineRule="auto"/>
              <w:ind w:left="17"/>
              <w:jc w:val="left"/>
              <w:rPr>
                <w:sz w:val="24"/>
              </w:rPr>
            </w:pPr>
            <w:r w:rsidRPr="00431EE1">
              <w:rPr>
                <w:color w:val="000000"/>
                <w:sz w:val="24"/>
              </w:rPr>
              <w:t>固定收益投资</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p>
        </w:tc>
        <w:tc>
          <w:tcPr>
            <w:tcW w:type="dxa" w:w="2552"/>
            <w:vAlign w:val="center"/>
          </w:tcPr>
          <w:p w:rsidP="00780E33" w:rsidR="00F13451" w:rsidRDefault="00F13451" w:rsidRPr="00431EE1">
            <w:pPr>
              <w:spacing w:before="29" w:line="360" w:lineRule="auto"/>
              <w:ind w:left="17"/>
              <w:jc w:val="left"/>
              <w:rPr>
                <w:sz w:val="24"/>
              </w:rPr>
            </w:pPr>
            <w:r w:rsidRPr="00431EE1">
              <w:rPr>
                <w:color w:val="000000"/>
                <w:sz w:val="24"/>
              </w:rPr>
              <w:t>其中：债券</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r w:rsidRPr="00431EE1">
              <w:rPr>
                <w:color w:val="000000"/>
                <w:sz w:val="24"/>
              </w:rPr>
              <w:lastRenderedPageBreak/>
              <w:t>-</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p>
        </w:tc>
        <w:tc>
          <w:tcPr>
            <w:tcW w:type="dxa" w:w="2552"/>
            <w:vAlign w:val="center"/>
          </w:tcPr>
          <w:p w:rsidP="00476756" w:rsidR="00F13451" w:rsidRDefault="00F13451" w:rsidRPr="00431EE1">
            <w:pPr>
              <w:autoSpaceDE w:val="0"/>
              <w:autoSpaceDN w:val="0"/>
              <w:adjustRightInd w:val="0"/>
              <w:spacing w:before="29" w:line="360" w:lineRule="auto"/>
              <w:ind w:firstLine="720" w:firstLineChars="300" w:left="17"/>
              <w:jc w:val="left"/>
              <w:rPr>
                <w:color w:val="000000"/>
                <w:sz w:val="24"/>
              </w:rPr>
            </w:pPr>
            <w:r w:rsidRPr="00431EE1">
              <w:rPr>
                <w:color w:val="000000"/>
                <w:sz w:val="24"/>
              </w:rPr>
              <w:t>资产支持证券</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r w:rsidRPr="00431EE1">
              <w:rPr>
                <w:color w:val="000000"/>
                <w:sz w:val="24"/>
              </w:rPr>
              <w:t>4</w:t>
            </w:r>
          </w:p>
        </w:tc>
        <w:tc>
          <w:tcPr>
            <w:tcW w:type="dxa" w:w="2552"/>
            <w:vAlign w:val="center"/>
          </w:tcPr>
          <w:p w:rsidP="00780E33" w:rsidR="00F13451" w:rsidRDefault="00F13451" w:rsidRPr="00431EE1">
            <w:pPr>
              <w:spacing w:before="29" w:line="360" w:lineRule="auto"/>
              <w:ind w:left="17"/>
              <w:jc w:val="left"/>
              <w:rPr>
                <w:sz w:val="24"/>
              </w:rPr>
            </w:pPr>
            <w:r w:rsidRPr="00431EE1">
              <w:rPr>
                <w:color w:val="000000"/>
                <w:sz w:val="24"/>
              </w:rPr>
              <w:t>金融衍生品投资</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p>
        </w:tc>
        <w:tc>
          <w:tcPr>
            <w:tcW w:type="dxa" w:w="2552"/>
          </w:tcPr>
          <w:p w:rsidP="00780E33" w:rsidR="00F13451" w:rsidRDefault="00F13451" w:rsidRPr="00431EE1">
            <w:pPr>
              <w:adjustRightInd w:val="0"/>
              <w:snapToGrid w:val="0"/>
              <w:spacing w:line="400" w:lineRule="exact"/>
              <w:rPr>
                <w:color w:val="000000"/>
                <w:sz w:val="24"/>
              </w:rPr>
            </w:pPr>
            <w:r w:rsidRPr="00431EE1">
              <w:rPr>
                <w:color w:val="000000"/>
                <w:sz w:val="24"/>
              </w:rPr>
              <w:t>其中：远期</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p>
        </w:tc>
        <w:tc>
          <w:tcPr>
            <w:tcW w:type="dxa" w:w="2552"/>
          </w:tcPr>
          <w:p w:rsidDel="00455464" w:rsidP="00476756" w:rsidR="00F13451" w:rsidRDefault="00F13451" w:rsidRPr="00431EE1">
            <w:pPr>
              <w:adjustRightInd w:val="0"/>
              <w:snapToGrid w:val="0"/>
              <w:spacing w:line="400" w:lineRule="exact"/>
              <w:ind w:firstLine="720" w:firstLineChars="300"/>
              <w:rPr>
                <w:color w:val="000000"/>
                <w:sz w:val="24"/>
              </w:rPr>
            </w:pPr>
            <w:r w:rsidRPr="00431EE1">
              <w:rPr>
                <w:color w:val="000000"/>
                <w:sz w:val="24"/>
              </w:rPr>
              <w:t>期货</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p>
        </w:tc>
        <w:tc>
          <w:tcPr>
            <w:tcW w:type="dxa" w:w="2552"/>
          </w:tcPr>
          <w:p w:rsidP="00476756" w:rsidR="00F13451" w:rsidRDefault="00F13451" w:rsidRPr="00431EE1">
            <w:pPr>
              <w:adjustRightInd w:val="0"/>
              <w:snapToGrid w:val="0"/>
              <w:spacing w:line="400" w:lineRule="exact"/>
              <w:ind w:firstLine="720" w:firstLineChars="300"/>
              <w:rPr>
                <w:color w:val="000000"/>
                <w:sz w:val="24"/>
              </w:rPr>
            </w:pPr>
            <w:r w:rsidRPr="00431EE1">
              <w:rPr>
                <w:color w:val="000000"/>
                <w:sz w:val="24"/>
              </w:rPr>
              <w:t>期权</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r w:rsidRPr="00431EE1">
              <w:rPr>
                <w:color w:val="000000"/>
                <w:sz w:val="24"/>
              </w:rPr>
              <w:lastRenderedPageBreak/>
              <w:t/>
            </w:r>
            <w:proofErr w:type="spellEnd"/>
            <w:r w:rsidRPr="00431EE1">
              <w:rPr>
                <w:color w:val="000000"/>
                <w:sz w:val="24"/>
              </w:rPr>
              <w:t>-</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p>
        </w:tc>
        <w:tc>
          <w:tcPr>
            <w:tcW w:type="dxa" w:w="2552"/>
          </w:tcPr>
          <w:p w:rsidP="00476756" w:rsidR="00F13451" w:rsidRDefault="00F13451" w:rsidRPr="00431EE1">
            <w:pPr>
              <w:adjustRightInd w:val="0"/>
              <w:snapToGrid w:val="0"/>
              <w:spacing w:line="400" w:lineRule="exact"/>
              <w:ind w:firstLine="715" w:firstLineChars="298"/>
              <w:rPr>
                <w:color w:val="000000"/>
                <w:sz w:val="24"/>
              </w:rPr>
            </w:pPr>
            <w:r w:rsidRPr="00431EE1">
              <w:rPr>
                <w:color w:val="000000"/>
                <w:sz w:val="24"/>
              </w:rPr>
              <w:t>权证</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r w:rsidRPr="00431EE1">
              <w:rPr>
                <w:color w:val="000000"/>
                <w:sz w:val="24"/>
              </w:rPr>
              <w:t>5</w:t>
            </w:r>
          </w:p>
        </w:tc>
        <w:tc>
          <w:tcPr>
            <w:tcW w:type="dxa" w:w="2552"/>
            <w:vAlign w:val="center"/>
          </w:tcPr>
          <w:p w:rsidP="00780E33" w:rsidR="00F13451" w:rsidRDefault="00F13451" w:rsidRPr="00431EE1">
            <w:pPr>
              <w:spacing w:before="29" w:line="360" w:lineRule="auto"/>
              <w:ind w:left="17"/>
              <w:jc w:val="left"/>
              <w:rPr>
                <w:sz w:val="24"/>
              </w:rPr>
            </w:pPr>
            <w:r w:rsidRPr="00431EE1">
              <w:rPr>
                <w:color w:val="000000"/>
                <w:sz w:val="24"/>
              </w:rPr>
              <w:t>买入返售金融资产</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p>
        </w:tc>
        <w:tc>
          <w:tcPr>
            <w:tcW w:type="dxa" w:w="2552"/>
            <w:vAlign w:val="center"/>
          </w:tcPr>
          <w:p w:rsidP="00780E33" w:rsidR="00F13451" w:rsidRDefault="00F13451" w:rsidRPr="00431EE1">
            <w:pPr>
              <w:spacing w:before="29" w:line="360" w:lineRule="auto"/>
              <w:ind w:left="17"/>
              <w:jc w:val="left"/>
              <w:rPr>
                <w:sz w:val="24"/>
              </w:rPr>
            </w:pPr>
            <w:r w:rsidRPr="00431EE1">
              <w:rPr>
                <w:color w:val="000000"/>
                <w:sz w:val="24"/>
              </w:rPr>
              <w:t>其中：买断式回购的买入返售金融资产</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w:t>
            </w:r>
          </w:p>
        </w:tc>
      </w:tr>
      <w:tr w:rsidR="00F13451" w:rsidRPr="00820253" w:rsidTr="00AF41C5">
        <w:tc>
          <w:tcPr>
            <w:tcW w:type="dxa" w:w="851"/>
          </w:tcPr>
          <w:p w:rsidP="00780E33" w:rsidR="00F13451" w:rsidRDefault="00F13451" w:rsidRPr="00431EE1">
            <w:pPr>
              <w:adjustRightInd w:val="0"/>
              <w:snapToGrid w:val="0"/>
              <w:spacing w:line="400" w:lineRule="exact"/>
              <w:jc w:val="center"/>
              <w:rPr>
                <w:color w:val="000000"/>
                <w:sz w:val="24"/>
              </w:rPr>
            </w:pPr>
            <w:r w:rsidRPr="00431EE1">
              <w:rPr>
                <w:color w:val="000000"/>
                <w:sz w:val="24"/>
              </w:rPr>
              <w:t>6</w:t>
            </w:r>
          </w:p>
        </w:tc>
        <w:tc>
          <w:tcPr>
            <w:tcW w:type="dxa" w:w="2552"/>
          </w:tcPr>
          <w:p w:rsidP="00780E33" w:rsidR="00F13451" w:rsidRDefault="00F13451" w:rsidRPr="00431EE1">
            <w:pPr>
              <w:adjustRightInd w:val="0"/>
              <w:snapToGrid w:val="0"/>
              <w:spacing w:line="400" w:lineRule="exact"/>
              <w:rPr>
                <w:color w:val="000000"/>
                <w:sz w:val="24"/>
              </w:rPr>
            </w:pPr>
            <w:r w:rsidRPr="00431EE1">
              <w:rPr>
                <w:color w:val="000000"/>
                <w:sz w:val="24"/>
              </w:rPr>
              <w:t>货币市场工具</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r w:rsidRPr="00431EE1">
              <w:rPr>
                <w:color w:val="000000"/>
                <w:sz w:val="24"/>
              </w:rPr>
              <w:lastRenderedPageBreak/>
              <w:t>-</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r w:rsidRPr="00431EE1">
              <w:rPr>
                <w:color w:val="000000"/>
                <w:sz w:val="24"/>
              </w:rPr>
              <w:lastRenderedPageBreak/>
              <w:t>7</w:t>
            </w:r>
          </w:p>
        </w:tc>
        <w:tc>
          <w:tcPr>
            <w:tcW w:type="dxa" w:w="2552"/>
            <w:vAlign w:val="center"/>
          </w:tcPr>
          <w:p w:rsidP="00780E33" w:rsidR="00F13451" w:rsidRDefault="00F13451" w:rsidRPr="00431EE1">
            <w:pPr>
              <w:spacing w:before="29" w:line="360" w:lineRule="auto"/>
              <w:ind w:left="17"/>
              <w:jc w:val="left"/>
              <w:rPr>
                <w:sz w:val="24"/>
              </w:rPr>
            </w:pPr>
            <w:r w:rsidRPr="00431EE1">
              <w:rPr>
                <w:color w:val="000000"/>
                <w:sz w:val="24"/>
              </w:rPr>
              <w:t>银行存款和结算备付金合计</w:t>
            </w:r>
          </w:p>
        </w:tc>
        <w:tc>
          <w:tcPr>
            <w:tcW w:type="dxa" w:w="3402"/>
            <w:vAlign w:val="center"/>
          </w:tcPr>
          <w:p w:rsidP="00780E33" w:rsidR="00F13451" w:rsidRDefault="00F13451" w:rsidRPr="00431EE1">
            <w:pPr>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56,816,689.28</w:t>
            </w:r>
          </w:p>
        </w:tc>
        <w:tc>
          <w:tcPr>
            <w:tcW w:type="dxa" w:w="1701"/>
            <w:vAlign w:val="center"/>
          </w:tcPr>
          <w:p w:rsidP="00780E33" w:rsidR="00F13451" w:rsidRDefault="00F13451" w:rsidRPr="00431EE1">
            <w:pPr>
              <w:spacing w:before="29" w:line="360" w:lineRule="auto"/>
              <w:ind w:left="17"/>
              <w:jc w:val="right"/>
              <w:rPr>
                <w:color w:val="000000"/>
                <w:sz w:val="24"/>
              </w:rPr>
            </w:pPr>
            <w:r w:rsidRPr="00431EE1">
              <w:rPr>
                <w:color w:val="000000"/>
                <w:sz w:val="24"/>
              </w:rPr>
              <w:t>6.73</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r w:rsidRPr="00431EE1">
              <w:rPr>
                <w:color w:val="000000"/>
                <w:sz w:val="24"/>
              </w:rPr>
              <w:t>8</w:t>
            </w:r>
          </w:p>
        </w:tc>
        <w:tc>
          <w:tcPr>
            <w:tcW w:type="dxa" w:w="2552"/>
            <w:vAlign w:val="center"/>
          </w:tcPr>
          <w:p w:rsidP="00780E33" w:rsidR="00F13451" w:rsidRDefault="00F13451" w:rsidRPr="00431EE1">
            <w:pPr>
              <w:jc w:val="left"/>
              <w:rPr>
                <w:sz w:val="24"/>
              </w:rPr>
            </w:pPr>
            <w:r w:rsidRPr="00431EE1">
              <w:rPr>
                <w:color w:val="000000"/>
                <w:sz w:val="24"/>
              </w:rPr>
              <w:t>其他资产</w:t>
            </w:r>
          </w:p>
        </w:tc>
        <w:tc>
          <w:tcPr>
            <w:tcW w:type="dxa" w:w="3402"/>
            <w:vAlign w:val="center"/>
          </w:tcPr>
          <w:p w:rsidP="00780E33" w:rsidR="00F13451" w:rsidRDefault="00F13451" w:rsidRPr="00431EE1">
            <w:pPr>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3,183,600.08</w:t>
            </w:r>
          </w:p>
        </w:tc>
        <w:tc>
          <w:tcPr>
            <w:tcW w:type="dxa" w:w="1701"/>
            <w:vAlign w:val="center"/>
          </w:tcPr>
          <w:p w:rsidP="00780E33" w:rsidR="00F13451" w:rsidRDefault="00F13451" w:rsidRPr="00431EE1">
            <w:pPr>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0.38</w:t>
            </w:r>
          </w:p>
        </w:tc>
      </w:tr>
      <w:tr w:rsidR="00F13451" w:rsidRPr="00820253" w:rsidTr="00AF41C5">
        <w:tc>
          <w:tcPr>
            <w:tcW w:type="dxa" w:w="851"/>
            <w:vAlign w:val="center"/>
          </w:tcPr>
          <w:p w:rsidP="00780E33" w:rsidR="00F13451" w:rsidRDefault="00F13451" w:rsidRPr="00431EE1">
            <w:pPr>
              <w:spacing w:before="29" w:line="360" w:lineRule="auto"/>
              <w:ind w:left="17"/>
              <w:jc w:val="center"/>
              <w:rPr>
                <w:color w:val="000000"/>
                <w:sz w:val="24"/>
              </w:rPr>
            </w:pPr>
            <w:r w:rsidRPr="00431EE1">
              <w:rPr>
                <w:color w:val="000000"/>
                <w:sz w:val="24"/>
              </w:rPr>
              <w:t>9</w:t>
            </w:r>
          </w:p>
        </w:tc>
        <w:tc>
          <w:tcPr>
            <w:tcW w:type="dxa" w:w="2552"/>
            <w:vAlign w:val="center"/>
          </w:tcPr>
          <w:p w:rsidP="00780E33" w:rsidR="00F13451" w:rsidRDefault="00F13451" w:rsidRPr="00431EE1">
            <w:pPr>
              <w:jc w:val="left"/>
              <w:rPr>
                <w:sz w:val="24"/>
              </w:rPr>
            </w:pPr>
            <w:r w:rsidRPr="00431EE1">
              <w:rPr>
                <w:color w:val="000000"/>
                <w:sz w:val="24"/>
              </w:rPr>
              <w:t>合计</w:t>
            </w:r>
          </w:p>
        </w:tc>
        <w:tc>
          <w:tcPr>
            <w:tcW w:type="dxa" w:w="3402"/>
            <w:vAlign w:val="center"/>
          </w:tcPr>
          <w:p w:rsidP="00780E33" w:rsidR="00F13451" w:rsidRDefault="00F13451" w:rsidRPr="00431EE1">
            <w:pPr>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844,610,343.77</w:t>
            </w:r>
          </w:p>
        </w:tc>
        <w:tc>
          <w:tcPr>
            <w:tcW w:type="dxa" w:w="1701"/>
            <w:vAlign w:val="center"/>
          </w:tcPr>
          <w:p w:rsidP="00780E33" w:rsidR="00F13451" w:rsidRDefault="00F13451" w:rsidRPr="00431EE1">
            <w:pPr>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100.00</w:t>
            </w:r>
          </w:p>
        </w:tc>
      </w:tr>
    </w:tbl>
    <w:p w:rsidP="0029671E" w:rsidR="00F13451" w:rsidRDefault="00F13451" w:rsidRPr="00820253">
      <w:pPr>
        <w:autoSpaceDE w:val="0"/>
        <w:autoSpaceDN w:val="0"/>
        <w:adjustRightInd w:val="0"/>
        <w:spacing w:line="360" w:lineRule="auto"/>
        <w:jc w:val="left"/>
        <w:rPr>
          <w:rFonts w:ascii="宋体" w:cs="Arial"/>
          <w:b/>
          <w:color w:val="000000"/>
          <w:kern w:val="0"/>
          <w:sz w:val="24"/>
        </w:rPr>
      </w:pPr>
      <w:r w:rsidRPr="00820253">
        <w:rPr>
          <w:rFonts w:ascii="宋体" w:cs="Arial" w:hAnsi="宋体"/>
          <w:b/>
          <w:color w:val="000000"/>
          <w:kern w:val="0"/>
          <w:sz w:val="24"/>
        </w:rPr>
        <w:t xml:space="preserve">5.2 </w:t>
      </w:r>
      <w:r w:rsidRPr="00820253">
        <w:rPr>
          <w:rFonts w:ascii="宋体" w:cs="Arial" w:hAnsi="宋体" w:hint="eastAsia"/>
          <w:b/>
          <w:color w:val="000000"/>
          <w:kern w:val="0"/>
          <w:sz w:val="24"/>
        </w:rPr>
        <w:t>报告期末在各个国家（地区）证券市场的股票及存托凭证投资分布</w:t>
      </w:r>
    </w:p>
    <w:tbl>
      <w:tblPr>
        <w:tblW w:type="dxa" w:w="8604"/>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2410"/>
        <w:gridCol w:w="3118"/>
        <w:gridCol w:w="3076"/>
      </w:tblGrid>
      <w:tr w:rsidR="00F13451" w:rsidTr="00E35496">
        <w:trPr>
          <w:jc w:val="center"/>
        </w:trPr>
        <w:tc>
          <w:tcPr>
            <w:tcW w:type="dxa" w:w="2410"/>
            <w:vAlign w:val="center"/>
          </w:tcPr>
          <w:p w:rsidP="00E35496" w:rsidR="00F13451" w:rsidRDefault="00F13451" w:rsidRPr="00431EE1">
            <w:pPr>
              <w:autoSpaceDE w:val="0"/>
              <w:autoSpaceDN w:val="0"/>
              <w:adjustRightInd w:val="0"/>
              <w:spacing w:before="29" w:line="360" w:lineRule="auto"/>
              <w:ind w:left="15"/>
              <w:jc w:val="center"/>
              <w:rPr>
                <w:color w:val="000000"/>
                <w:kern w:val="0"/>
                <w:sz w:val="24"/>
              </w:rPr>
            </w:pPr>
            <w:r w:rsidRPr="00431EE1">
              <w:rPr>
                <w:color w:val="000000"/>
                <w:kern w:val="0"/>
                <w:sz w:val="24"/>
              </w:rPr>
              <w:t>国家（地区）</w:t>
            </w:r>
          </w:p>
        </w:tc>
        <w:tc>
          <w:tcPr>
            <w:tcW w:type="dxa" w:w="3118"/>
            <w:vAlign w:val="center"/>
          </w:tcPr>
          <w:p w:rsidP="00284EC5" w:rsidR="00F13451" w:rsidRDefault="00F13451" w:rsidRPr="00431EE1">
            <w:pPr>
              <w:autoSpaceDE w:val="0"/>
              <w:autoSpaceDN w:val="0"/>
              <w:adjustRightInd w:val="0"/>
              <w:spacing w:before="29" w:line="360" w:lineRule="auto"/>
              <w:ind w:left="15"/>
              <w:jc w:val="center"/>
              <w:rPr>
                <w:color w:val="000000"/>
                <w:kern w:val="0"/>
                <w:sz w:val="24"/>
              </w:rPr>
            </w:pPr>
            <w:r w:rsidRPr="00431EE1">
              <w:rPr>
                <w:color w:val="000000"/>
                <w:kern w:val="0"/>
                <w:sz w:val="24"/>
              </w:rPr>
              <w:t>公允价值</w:t>
            </w:r>
            <w:r w:rsidR="00284EC5" w:rsidRPr="00431EE1">
              <w:rPr>
                <w:color w:val="000000"/>
                <w:kern w:val="0"/>
                <w:sz w:val="24"/>
              </w:rPr>
              <w:t>（人民币元）</w:t>
            </w:r>
          </w:p>
        </w:tc>
        <w:tc>
          <w:tcPr>
            <w:tcW w:type="dxa" w:w="3076"/>
            <w:vAlign w:val="center"/>
          </w:tcPr>
          <w:p w:rsidP="00E35496" w:rsidR="00F13451" w:rsidRDefault="00F13451" w:rsidRPr="00431EE1">
            <w:pPr>
              <w:autoSpaceDE w:val="0"/>
              <w:autoSpaceDN w:val="0"/>
              <w:adjustRightInd w:val="0"/>
              <w:spacing w:before="29" w:line="360" w:lineRule="auto"/>
              <w:ind w:left="15"/>
              <w:jc w:val="center"/>
              <w:rPr>
                <w:color w:val="000000"/>
                <w:kern w:val="0"/>
                <w:sz w:val="24"/>
              </w:rPr>
            </w:pPr>
            <w:r w:rsidRPr="00431EE1">
              <w:rPr>
                <w:color w:val="000000"/>
                <w:kern w:val="0"/>
                <w:sz w:val="24"/>
              </w:rPr>
              <w:t>占基金资产净值比例（％）</w:t>
            </w:r>
          </w:p>
        </w:tc>
      </w:tr>
      <w:tr>
        <w:tc>
          <w:tcPr>
            <w:vAlign w:val="center"/>
          </w:tcPr>
          <w:p>
            <w:pPr>
              <w:jc w:val="left"/>
            </w:pPr>
            <w:r>
              <w:rPr>
                <w:color w:val="000000"/>
                <w:sz w:val="24"/>
              </w:rPr>
              <w:t>美国</w:t>
            </w:r>
          </w:p>
        </w:tc>
        <w:tc>
          <w:tcPr>
            <w:vAlign w:val="center"/>
          </w:tcPr>
          <w:p>
            <w:pPr>
              <w:jc w:val="right"/>
            </w:pPr>
            <w:r>
              <w:rPr>
                <w:color w:val="000000"/>
                <w:sz w:val="24"/>
              </w:rPr>
              <w:t>784,610,054.41</w:t>
            </w:r>
          </w:p>
        </w:tc>
        <w:tc>
          <w:tcPr>
            <w:vAlign w:val="center"/>
          </w:tcPr>
          <w:p>
            <w:pPr>
              <w:jc w:val="right"/>
            </w:pPr>
            <w:r>
              <w:rPr>
                <w:color w:val="000000"/>
                <w:sz w:val="24"/>
              </w:rPr>
              <w:t>93.94</w:t>
            </w:r>
          </w:p>
        </w:tc>
      </w:tr>
      <w:tr w:rsidR="00F13451" w:rsidTr="00E35496">
        <w:trPr>
          <w:jc w:val="center"/>
        </w:trPr>
        <w:tc>
          <w:tcPr>
            <w:tcW w:type="dxa" w:w="2410"/>
          </w:tcPr>
          <w:p w:rsidP="00E35496" w:rsidR="00F13451" w:rsidRDefault="00F13451" w:rsidRPr="00431EE1">
            <w:pPr>
              <w:autoSpaceDE w:val="0"/>
              <w:autoSpaceDN w:val="0"/>
              <w:adjustRightInd w:val="0"/>
              <w:spacing w:before="29" w:line="360" w:lineRule="auto"/>
              <w:jc w:val="center"/>
              <w:rPr>
                <w:color w:val="000000"/>
                <w:sz w:val="24"/>
              </w:rPr>
            </w:pPr>
            <w:r w:rsidRPr="00431EE1">
              <w:rPr>
                <w:color w:val="000000"/>
                <w:sz w:val="24"/>
              </w:rPr>
              <w:t>合计</w:t>
            </w:r>
          </w:p>
        </w:tc>
        <w:tc>
          <w:tcPr>
            <w:tcW w:type="dxa" w:w="3118"/>
          </w:tcPr>
          <w:p w:rsidP="00E35496" w:rsidR="00F13451" w:rsidRDefault="00F13451" w:rsidRPr="00431EE1">
            <w:pPr>
              <w:autoSpaceDE w:val="0"/>
              <w:autoSpaceDN w:val="0"/>
              <w:adjustRightInd w:val="0"/>
              <w:spacing w:before="29" w:line="360" w:lineRule="auto"/>
              <w:jc w:val="right"/>
              <w:rPr>
                <w:color w:val="000000"/>
                <w:sz w:val="24"/>
              </w:rPr>
            </w:pPr>
            <w:r w:rsidRPr="00431EE1">
              <w:rPr>
                <w:color w:val="000000"/>
                <w:sz w:val="24"/>
              </w:rPr>
              <w:t/>
            </w:r>
            <w:proofErr w:type="spellStart"/>
            <w:r w:rsidRPr="00431EE1">
              <w:rPr>
                <w:color w:val="000000"/>
                <w:sz w:val="24"/>
              </w:rPr>
              <w:t/>
            </w:r>
            <w:r w:rsidRPr="00431EE1">
              <w:rPr>
                <w:color w:val="000000"/>
                <w:sz w:val="24"/>
              </w:rPr>
              <w:lastRenderedPageBreak/>
              <w:t/>
            </w:r>
            <w:proofErr w:type="spellEnd"/>
            <w:r w:rsidRPr="00431EE1">
              <w:rPr>
                <w:color w:val="000000"/>
                <w:sz w:val="24"/>
              </w:rPr>
              <w:t>784,610,054.41</w:t>
            </w:r>
          </w:p>
        </w:tc>
        <w:tc>
          <w:tcPr>
            <w:tcW w:type="dxa" w:w="3076"/>
          </w:tcPr>
          <w:p w:rsidP="00E35496" w:rsidR="00F13451" w:rsidRDefault="00F13451" w:rsidRPr="00431EE1">
            <w:pPr>
              <w:autoSpaceDE w:val="0"/>
              <w:autoSpaceDN w:val="0"/>
              <w:adjustRightInd w:val="0"/>
              <w:spacing w:before="29" w:line="360" w:lineRule="auto"/>
              <w:jc w:val="right"/>
              <w:rPr>
                <w:color w:val="000000"/>
                <w:sz w:val="24"/>
              </w:rPr>
            </w:pPr>
            <w:r w:rsidRPr="00431EE1">
              <w:rPr>
                <w:color w:val="000000"/>
                <w:sz w:val="24"/>
              </w:rPr>
              <w:lastRenderedPageBreak/>
              <w:t/>
            </w:r>
            <w:r w:rsidRPr="00431EE1">
              <w:rPr>
                <w:color w:val="000000"/>
                <w:sz w:val="24"/>
              </w:rPr>
              <w:lastRenderedPageBreak/>
              <w:t>93.94</w:t>
            </w:r>
          </w:p>
        </w:tc>
      </w:tr>
    </w:tbl>
    <w:p>
      <w:pPr>
        <w:spacing w:line="360" w:lineRule="auto"/>
        <w:ind w:firstLine="480" w:firstLineChars="200"/>
        <w:rPr>
          <w:color w:val="000000"/>
          <w:sz w:val="24"/>
        </w:rPr>
      </w:pPr>
      <w:r>
        <w:rPr>
          <w:color w:val="000000"/>
          <w:sz w:val="24"/>
        </w:rPr>
        <w:t>注：1.国家（地区）类别根据其所在的证券交易所确定。</w:t>
      </w:r>
    </w:p>
    <w:p w:rsidP="00431EE1" w:rsidR="00F13451" w:rsidRDefault="00F13451" w:rsidRPr="00431EE1">
      <w:pPr>
        <w:spacing w:line="360" w:lineRule="auto"/>
        <w:ind w:firstLine="480" w:firstLineChars="200"/>
        <w:rPr>
          <w:color w:val="000000"/>
          <w:sz w:val="24"/>
        </w:rPr>
      </w:pPr>
      <w:r w:rsidRPr="0040658E">
        <w:rPr>
          <w:color w:val="000000"/>
          <w:sz w:val="24"/>
        </w:rPr>
        <w:lastRenderedPageBreak/>
        <w:t/>
      </w:r>
      <w:proofErr w:type="spellStart"/>
      <w:r w:rsidRPr="0040658E">
        <w:rPr>
          <w:color w:val="000000"/>
          <w:sz w:val="24"/>
        </w:rPr>
        <w:t/>
      </w:r>
      <w:proofErr w:type="spellEnd"/>
      <w:r w:rsidRPr="0040658E">
        <w:rPr>
          <w:color w:val="000000"/>
          <w:sz w:val="24"/>
        </w:rPr>
        <w:t/>
      </w:r>
      <w:proofErr w:type="spellStart"/>
      <w:r w:rsidRPr="0040658E">
        <w:rPr>
          <w:color w:val="000000"/>
          <w:sz w:val="24"/>
        </w:rPr>
        <w:t/>
      </w:r>
      <w:proofErr w:type="spellEnd"/>
      <w:r w:rsidRPr="0040658E">
        <w:rPr>
          <w:color w:val="000000"/>
          <w:sz w:val="24"/>
        </w:rPr>
        <w:t>2.ADR、GDR按照存托凭证本身挂牌的证券交易所确定。</w:t>
      </w:r>
    </w:p>
    <w:p w:rsidP="00F33530" w:rsidR="00F33530" w:rsidRDefault="00F33530" w:rsidRPr="002149AE">
      <w:pPr>
        <w:autoSpaceDE w:val="0"/>
        <w:autoSpaceDN w:val="0"/>
        <w:adjustRightInd w:val="0"/>
        <w:spacing w:line="360" w:lineRule="auto"/>
        <w:jc w:val="left"/>
        <w:rPr>
          <w:rFonts w:ascii="宋体" w:cs="Arial"/>
          <w:b/>
          <w:color w:val="000000"/>
          <w:kern w:val="0"/>
          <w:sz w:val="24"/>
        </w:rPr>
      </w:pPr>
      <w:r w:rsidRPr="002149AE">
        <w:rPr>
          <w:rFonts w:ascii="宋体" w:cs="Arial" w:hAnsi="宋体"/>
          <w:b/>
          <w:color w:val="000000"/>
          <w:kern w:val="0"/>
          <w:sz w:val="24"/>
        </w:rPr>
        <w:t xml:space="preserve">5.3 </w:t>
      </w:r>
      <w:r w:rsidRPr="002149AE">
        <w:rPr>
          <w:rFonts w:ascii="宋体" w:cs="Arial" w:hAnsi="宋体" w:hint="eastAsia"/>
          <w:b/>
          <w:color w:val="000000"/>
          <w:kern w:val="0"/>
          <w:sz w:val="24"/>
        </w:rPr>
        <w:t>报告期末按行业分类的股票及存托凭证投资组合</w:t>
      </w:r>
    </w:p>
    <w:tbl>
      <w:tblPr>
        <w:tblW w:type="auto" w:w="0"/>
        <w:tblInd w:type="dxa" w:w="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2787"/>
        <w:gridCol w:w="2551"/>
        <w:gridCol w:w="3175"/>
      </w:tblGrid>
      <w:tr w:rsidR="00F33530" w:rsidRPr="002149AE" w:rsidTr="006D780B">
        <w:tc>
          <w:tcPr>
            <w:tcW w:type="dxa" w:w="2787"/>
            <w:vAlign w:val="center"/>
          </w:tcPr>
          <w:p w:rsidP="006D780B" w:rsidR="00F33530" w:rsidRDefault="00F33530" w:rsidRPr="00A70EAB">
            <w:pPr>
              <w:autoSpaceDE w:val="0"/>
              <w:autoSpaceDN w:val="0"/>
              <w:adjustRightInd w:val="0"/>
              <w:spacing w:before="29" w:line="360" w:lineRule="auto"/>
              <w:ind w:left="15"/>
              <w:jc w:val="center"/>
              <w:rPr>
                <w:color w:val="000000"/>
                <w:kern w:val="0"/>
                <w:sz w:val="24"/>
              </w:rPr>
            </w:pPr>
            <w:r w:rsidRPr="00A70EAB">
              <w:rPr>
                <w:color w:val="000000"/>
                <w:kern w:val="0"/>
                <w:sz w:val="24"/>
              </w:rPr>
              <w:t>行业类别</w:t>
            </w:r>
            <w:r w:rsidRPr="00A70EAB">
              <w:rPr>
                <w:color w:val="000000"/>
                <w:kern w:val="0"/>
                <w:sz w:val="24"/>
              </w:rPr>
              <w:t/>
            </w:r>
            <w:proofErr w:type="spellStart"/>
            <w:r w:rsidRPr="00A70EAB">
              <w:rPr>
                <w:color w:val="000000"/>
                <w:kern w:val="0"/>
                <w:sz w:val="24"/>
              </w:rPr>
              <w:t/>
            </w:r>
            <w:proofErr w:type="spellEnd"/>
            <w:r w:rsidRPr="00A70EAB">
              <w:rPr>
                <w:color w:val="000000"/>
                <w:kern w:val="0"/>
                <w:sz w:val="24"/>
              </w:rPr>
              <w:t/>
            </w:r>
          </w:p>
        </w:tc>
        <w:tc>
          <w:tcPr>
            <w:tcW w:type="dxa" w:w="2551"/>
            <w:vAlign w:val="center"/>
          </w:tcPr>
          <w:p w:rsidP="006D780B" w:rsidR="00F33530" w:rsidRDefault="00F33530" w:rsidRPr="00A70EAB">
            <w:pPr>
              <w:autoSpaceDE w:val="0"/>
              <w:autoSpaceDN w:val="0"/>
              <w:adjustRightInd w:val="0"/>
              <w:spacing w:before="29" w:line="360" w:lineRule="auto"/>
              <w:ind w:left="15"/>
              <w:jc w:val="center"/>
              <w:rPr>
                <w:color w:val="000000"/>
                <w:kern w:val="0"/>
                <w:sz w:val="24"/>
              </w:rPr>
            </w:pPr>
            <w:r w:rsidRPr="00A70EAB">
              <w:rPr>
                <w:color w:val="000000"/>
                <w:kern w:val="0"/>
                <w:sz w:val="24"/>
              </w:rPr>
              <w:t>公允价值（人民币元）</w:t>
            </w:r>
          </w:p>
        </w:tc>
        <w:tc>
          <w:tcPr>
            <w:tcW w:type="dxa" w:w="3175"/>
            <w:vAlign w:val="center"/>
          </w:tcPr>
          <w:p w:rsidP="006D780B" w:rsidR="00F33530" w:rsidRDefault="00F33530" w:rsidRPr="00A70EAB">
            <w:pPr>
              <w:autoSpaceDE w:val="0"/>
              <w:autoSpaceDN w:val="0"/>
              <w:adjustRightInd w:val="0"/>
              <w:spacing w:before="29" w:line="360" w:lineRule="auto"/>
              <w:ind w:left="15"/>
              <w:jc w:val="center"/>
              <w:rPr>
                <w:color w:val="000000"/>
                <w:kern w:val="0"/>
                <w:sz w:val="24"/>
              </w:rPr>
            </w:pPr>
            <w:r w:rsidRPr="00A70EAB">
              <w:rPr>
                <w:color w:val="000000"/>
                <w:kern w:val="0"/>
                <w:sz w:val="24"/>
              </w:rPr>
              <w:t>占基金资产净值比例（％）</w:t>
            </w:r>
          </w:p>
        </w:tc>
      </w:tr>
      <w:tr>
        <w:tc>
          <w:tcPr>
            <w:vAlign w:val="center"/>
          </w:tcPr>
          <w:p>
            <w:pPr>
              <w:jc w:val="left"/>
            </w:pPr>
            <w:r>
              <w:rPr>
                <w:color w:val="000000"/>
                <w:sz w:val="24"/>
              </w:rPr>
              <w:t>能源</w:t>
            </w:r>
          </w:p>
        </w:tc>
        <w:tc>
          <w:tcPr>
            <w:vAlign w:val="center"/>
          </w:tcPr>
          <w:p>
            <w:pPr>
              <w:jc w:val="right"/>
            </w:pPr>
            <w:r>
              <w:rPr>
                <w:color w:val="000000"/>
                <w:sz w:val="24"/>
              </w:rPr>
              <w:t>-</w:t>
            </w:r>
          </w:p>
        </w:tc>
        <w:tc>
          <w:tcPr>
            <w:vAlign w:val="center"/>
          </w:tcPr>
          <w:p>
            <w:pPr>
              <w:jc w:val="right"/>
            </w:pPr>
            <w:r>
              <w:rPr>
                <w:color w:val="000000"/>
                <w:sz w:val="24"/>
              </w:rPr>
              <w:t>-</w:t>
            </w:r>
          </w:p>
        </w:tc>
      </w:tr>
      <w:tr>
        <w:tc>
          <w:tcPr>
            <w:vAlign w:val="center"/>
          </w:tcPr>
          <w:p>
            <w:pPr>
              <w:jc w:val="left"/>
            </w:pPr>
            <w:r>
              <w:rPr>
                <w:color w:val="000000"/>
                <w:sz w:val="24"/>
              </w:rPr>
              <w:t>材料</w:t>
            </w:r>
          </w:p>
        </w:tc>
        <w:tc>
          <w:tcPr>
            <w:vAlign w:val="center"/>
          </w:tcPr>
          <w:p>
            <w:pPr>
              <w:jc w:val="right"/>
            </w:pPr>
            <w:r>
              <w:rPr>
                <w:color w:val="000000"/>
                <w:sz w:val="24"/>
              </w:rPr>
              <w:t>-</w:t>
            </w:r>
          </w:p>
        </w:tc>
        <w:tc>
          <w:tcPr>
            <w:vAlign w:val="center"/>
          </w:tcPr>
          <w:p>
            <w:pPr>
              <w:jc w:val="right"/>
            </w:pPr>
            <w:r>
              <w:rPr>
                <w:color w:val="000000"/>
                <w:sz w:val="24"/>
              </w:rPr>
              <w:t>-</w:t>
            </w:r>
          </w:p>
        </w:tc>
      </w:tr>
      <w:tr>
        <w:tc>
          <w:tcPr>
            <w:vAlign w:val="center"/>
          </w:tcPr>
          <w:p>
            <w:pPr>
              <w:jc w:val="left"/>
            </w:pPr>
            <w:r>
              <w:rPr>
                <w:color w:val="000000"/>
                <w:sz w:val="24"/>
              </w:rPr>
              <w:t>工业</w:t>
            </w:r>
          </w:p>
        </w:tc>
        <w:tc>
          <w:tcPr>
            <w:vAlign w:val="center"/>
          </w:tcPr>
          <w:p>
            <w:pPr>
              <w:jc w:val="right"/>
            </w:pPr>
            <w:r>
              <w:rPr>
                <w:color w:val="000000"/>
                <w:sz w:val="24"/>
              </w:rPr>
              <w:t>-</w:t>
            </w:r>
          </w:p>
        </w:tc>
        <w:tc>
          <w:tcPr>
            <w:vAlign w:val="center"/>
          </w:tcPr>
          <w:p>
            <w:pPr>
              <w:jc w:val="right"/>
            </w:pPr>
            <w:r>
              <w:rPr>
                <w:color w:val="000000"/>
                <w:sz w:val="24"/>
              </w:rPr>
              <w:t>-</w:t>
            </w:r>
          </w:p>
        </w:tc>
      </w:tr>
      <w:tr>
        <w:tc>
          <w:tcPr>
            <w:vAlign w:val="center"/>
          </w:tcPr>
          <w:p>
            <w:pPr>
              <w:jc w:val="left"/>
            </w:pPr>
            <w:r>
              <w:rPr>
                <w:color w:val="000000"/>
                <w:sz w:val="24"/>
              </w:rPr>
              <w:t>非必需消费品</w:t>
            </w:r>
          </w:p>
        </w:tc>
        <w:tc>
          <w:tcPr>
            <w:vAlign w:val="center"/>
          </w:tcPr>
          <w:p>
            <w:pPr>
              <w:jc w:val="right"/>
            </w:pPr>
            <w:r>
              <w:rPr>
                <w:color w:val="000000"/>
                <w:sz w:val="24"/>
              </w:rPr>
              <w:t>-</w:t>
            </w:r>
          </w:p>
        </w:tc>
        <w:tc>
          <w:tcPr>
            <w:vAlign w:val="center"/>
          </w:tcPr>
          <w:p>
            <w:pPr>
              <w:jc w:val="right"/>
            </w:pPr>
            <w:r>
              <w:rPr>
                <w:color w:val="000000"/>
                <w:sz w:val="24"/>
              </w:rPr>
              <w:t>-</w:t>
            </w:r>
          </w:p>
        </w:tc>
      </w:tr>
      <w:tr>
        <w:tc>
          <w:tcPr>
            <w:vAlign w:val="center"/>
          </w:tcPr>
          <w:p>
            <w:pPr>
              <w:jc w:val="left"/>
            </w:pPr>
            <w:r>
              <w:rPr>
                <w:color w:val="000000"/>
                <w:sz w:val="24"/>
              </w:rPr>
              <w:t>必需消费品</w:t>
            </w:r>
          </w:p>
        </w:tc>
        <w:tc>
          <w:tcPr>
            <w:vAlign w:val="center"/>
          </w:tcPr>
          <w:p>
            <w:pPr>
              <w:jc w:val="right"/>
            </w:pPr>
            <w:r>
              <w:rPr>
                <w:color w:val="000000"/>
                <w:sz w:val="24"/>
              </w:rPr>
              <w:t>-</w:t>
            </w:r>
          </w:p>
        </w:tc>
        <w:tc>
          <w:tcPr>
            <w:vAlign w:val="center"/>
          </w:tcPr>
          <w:p>
            <w:pPr>
              <w:jc w:val="right"/>
            </w:pPr>
            <w:r>
              <w:rPr>
                <w:color w:val="000000"/>
                <w:sz w:val="24"/>
              </w:rPr>
              <w:t>-</w:t>
            </w:r>
          </w:p>
        </w:tc>
      </w:tr>
      <w:tr>
        <w:tc>
          <w:tcPr>
            <w:vAlign w:val="center"/>
          </w:tcPr>
          <w:p>
            <w:pPr>
              <w:jc w:val="left"/>
            </w:pPr>
            <w:r>
              <w:rPr>
                <w:color w:val="000000"/>
                <w:sz w:val="24"/>
              </w:rPr>
              <w:t>保健</w:t>
            </w:r>
          </w:p>
        </w:tc>
        <w:tc>
          <w:tcPr>
            <w:vAlign w:val="center"/>
          </w:tcPr>
          <w:p>
            <w:pPr>
              <w:jc w:val="right"/>
            </w:pPr>
            <w:r>
              <w:rPr>
                <w:color w:val="000000"/>
                <w:sz w:val="24"/>
              </w:rPr>
              <w:t>-</w:t>
            </w:r>
          </w:p>
        </w:tc>
        <w:tc>
          <w:tcPr>
            <w:vAlign w:val="center"/>
          </w:tcPr>
          <w:p>
            <w:pPr>
              <w:jc w:val="right"/>
            </w:pPr>
            <w:r>
              <w:rPr>
                <w:color w:val="000000"/>
                <w:sz w:val="24"/>
              </w:rPr>
              <w:t>-</w:t>
            </w:r>
          </w:p>
        </w:tc>
      </w:tr>
      <w:tr>
        <w:tc>
          <w:tcPr>
            <w:vAlign w:val="center"/>
          </w:tcPr>
          <w:p>
            <w:pPr>
              <w:jc w:val="left"/>
            </w:pPr>
            <w:r>
              <w:rPr>
                <w:color w:val="000000"/>
                <w:sz w:val="24"/>
              </w:rPr>
              <w:t>金融</w:t>
            </w:r>
          </w:p>
        </w:tc>
        <w:tc>
          <w:tcPr>
            <w:vAlign w:val="center"/>
          </w:tcPr>
          <w:p>
            <w:pPr>
              <w:jc w:val="right"/>
            </w:pPr>
            <w:r>
              <w:rPr>
                <w:color w:val="000000"/>
                <w:sz w:val="24"/>
              </w:rPr>
              <w:t>-</w:t>
            </w:r>
          </w:p>
        </w:tc>
        <w:tc>
          <w:tcPr>
            <w:vAlign w:val="center"/>
          </w:tcPr>
          <w:p>
            <w:pPr>
              <w:jc w:val="right"/>
            </w:pPr>
            <w:r>
              <w:rPr>
                <w:color w:val="000000"/>
                <w:sz w:val="24"/>
              </w:rPr>
              <w:t>-</w:t>
            </w:r>
          </w:p>
        </w:tc>
      </w:tr>
      <w:tr>
        <w:tc>
          <w:tcPr>
            <w:vAlign w:val="center"/>
          </w:tcPr>
          <w:p>
            <w:pPr>
              <w:jc w:val="left"/>
            </w:pPr>
            <w:r>
              <w:rPr>
                <w:color w:val="000000"/>
                <w:sz w:val="24"/>
              </w:rPr>
              <w:t>信息技术</w:t>
            </w:r>
          </w:p>
        </w:tc>
        <w:tc>
          <w:tcPr>
            <w:vAlign w:val="center"/>
          </w:tcPr>
          <w:p>
            <w:pPr>
              <w:jc w:val="right"/>
            </w:pPr>
            <w:r>
              <w:rPr>
                <w:color w:val="000000"/>
                <w:sz w:val="24"/>
              </w:rPr>
              <w:t>784,610,054.41</w:t>
            </w:r>
          </w:p>
        </w:tc>
        <w:tc>
          <w:tcPr>
            <w:vAlign w:val="center"/>
          </w:tcPr>
          <w:p>
            <w:pPr>
              <w:jc w:val="right"/>
            </w:pPr>
            <w:r>
              <w:rPr>
                <w:color w:val="000000"/>
                <w:sz w:val="24"/>
              </w:rPr>
              <w:t>93.94</w:t>
            </w:r>
          </w:p>
        </w:tc>
      </w:tr>
      <w:tr>
        <w:tc>
          <w:tcPr>
            <w:vAlign w:val="center"/>
          </w:tcPr>
          <w:p>
            <w:pPr>
              <w:jc w:val="left"/>
            </w:pPr>
            <w:r>
              <w:rPr>
                <w:color w:val="000000"/>
                <w:sz w:val="24"/>
              </w:rPr>
              <w:t>电信服务</w:t>
            </w:r>
          </w:p>
        </w:tc>
        <w:tc>
          <w:tcPr>
            <w:vAlign w:val="center"/>
          </w:tcPr>
          <w:p>
            <w:pPr>
              <w:jc w:val="right"/>
            </w:pPr>
            <w:r>
              <w:rPr>
                <w:color w:val="000000"/>
                <w:sz w:val="24"/>
              </w:rPr>
              <w:t>-</w:t>
            </w:r>
          </w:p>
        </w:tc>
        <w:tc>
          <w:tcPr>
            <w:vAlign w:val="center"/>
          </w:tcPr>
          <w:p>
            <w:pPr>
              <w:jc w:val="right"/>
            </w:pPr>
            <w:r>
              <w:rPr>
                <w:color w:val="000000"/>
                <w:sz w:val="24"/>
              </w:rPr>
              <w:t>-</w:t>
            </w:r>
          </w:p>
        </w:tc>
      </w:tr>
      <w:tr>
        <w:tc>
          <w:tcPr>
            <w:vAlign w:val="center"/>
          </w:tcPr>
          <w:p>
            <w:pPr>
              <w:jc w:val="left"/>
            </w:pPr>
            <w:r>
              <w:rPr>
                <w:color w:val="000000"/>
                <w:sz w:val="24"/>
              </w:rPr>
              <w:t>公用事业</w:t>
            </w:r>
          </w:p>
        </w:tc>
        <w:tc>
          <w:tcPr>
            <w:vAlign w:val="center"/>
          </w:tcPr>
          <w:p>
            <w:pPr>
              <w:jc w:val="right"/>
            </w:pPr>
            <w:r>
              <w:rPr>
                <w:color w:val="000000"/>
                <w:sz w:val="24"/>
              </w:rPr>
              <w:t>-</w:t>
            </w:r>
          </w:p>
        </w:tc>
        <w:tc>
          <w:tcPr>
            <w:vAlign w:val="center"/>
          </w:tcPr>
          <w:p>
            <w:pPr>
              <w:jc w:val="right"/>
            </w:pPr>
            <w:r>
              <w:rPr>
                <w:color w:val="000000"/>
                <w:sz w:val="24"/>
              </w:rPr>
              <w:t>-</w:t>
            </w:r>
          </w:p>
        </w:tc>
      </w:tr>
      <w:tr>
        <w:tc>
          <w:tcPr>
            <w:vAlign w:val="center"/>
          </w:tcPr>
          <w:p>
            <w:pPr>
              <w:jc w:val="left"/>
            </w:pPr>
            <w:r>
              <w:rPr>
                <w:color w:val="000000"/>
                <w:sz w:val="24"/>
              </w:rPr>
              <w:t>房地产</w:t>
            </w:r>
          </w:p>
        </w:tc>
        <w:tc>
          <w:tcPr>
            <w:vAlign w:val="center"/>
          </w:tcPr>
          <w:p>
            <w:pPr>
              <w:jc w:val="right"/>
            </w:pPr>
            <w:r>
              <w:rPr>
                <w:color w:val="000000"/>
                <w:sz w:val="24"/>
              </w:rPr>
              <w:t>-</w:t>
            </w:r>
          </w:p>
        </w:tc>
        <w:tc>
          <w:tcPr>
            <w:vAlign w:val="center"/>
          </w:tcPr>
          <w:p>
            <w:pPr>
              <w:jc w:val="right"/>
            </w:pPr>
            <w:r>
              <w:rPr>
                <w:color w:val="000000"/>
                <w:sz w:val="24"/>
              </w:rPr>
              <w:t>-</w:t>
            </w:r>
          </w:p>
        </w:tc>
      </w:tr>
      <w:tr w:rsidR="00F33530" w:rsidRPr="002149AE" w:rsidTr="006D780B">
        <w:tc>
          <w:tcPr>
            <w:tcW w:type="dxa" w:w="2787"/>
            <w:vAlign w:val="center"/>
          </w:tcPr>
          <w:p w:rsidP="006D780B" w:rsidR="00F33530" w:rsidRDefault="00F33530" w:rsidRPr="00A70EAB">
            <w:pPr>
              <w:autoSpaceDE w:val="0"/>
              <w:autoSpaceDN w:val="0"/>
              <w:adjustRightInd w:val="0"/>
              <w:spacing w:before="29" w:line="360" w:lineRule="auto"/>
              <w:ind w:left="15"/>
              <w:jc w:val="center"/>
              <w:rPr>
                <w:color w:val="000000"/>
                <w:sz w:val="24"/>
              </w:rPr>
            </w:pPr>
            <w:r w:rsidRPr="00A70EAB">
              <w:rPr>
                <w:color w:val="000000"/>
                <w:sz w:val="24"/>
              </w:rPr>
              <w:t>合计</w:t>
            </w:r>
          </w:p>
        </w:tc>
        <w:tc>
          <w:tcPr>
            <w:tcW w:type="dxa" w:w="2551"/>
            <w:vAlign w:val="center"/>
          </w:tcPr>
          <w:p w:rsidP="006D780B" w:rsidR="00F33530" w:rsidRDefault="00F33530" w:rsidRPr="00A70EAB">
            <w:pPr>
              <w:autoSpaceDE w:val="0"/>
              <w:autoSpaceDN w:val="0"/>
              <w:adjustRightInd w:val="0"/>
              <w:spacing w:before="29" w:line="360" w:lineRule="auto"/>
              <w:ind w:left="15"/>
              <w:jc w:val="right"/>
              <w:rPr>
                <w:color w:val="000000"/>
                <w:sz w:val="24"/>
              </w:rPr>
            </w:pPr>
            <w:r w:rsidRPr="00A70EAB">
              <w:rPr>
                <w:color w:val="000000"/>
                <w:sz w:val="24"/>
              </w:rPr>
              <w:t/>
            </w:r>
            <w:proofErr w:type="spellStart"/>
            <w:r w:rsidRPr="00A70EAB">
              <w:rPr>
                <w:color w:val="000000"/>
                <w:sz w:val="24"/>
              </w:rPr>
              <w:t/>
            </w:r>
            <w:proofErr w:type="spellEnd"/>
            <w:r w:rsidRPr="00A70EAB">
              <w:rPr>
                <w:color w:val="000000"/>
                <w:sz w:val="24"/>
              </w:rPr>
              <w:t>784,610,054.41</w:t>
            </w:r>
          </w:p>
        </w:tc>
        <w:tc>
          <w:tcPr>
            <w:tcW w:type="dxa" w:w="3175"/>
            <w:vAlign w:val="center"/>
          </w:tcPr>
          <w:p w:rsidP="006D780B" w:rsidR="00F33530" w:rsidRDefault="00F33530" w:rsidRPr="00A70EAB">
            <w:pPr>
              <w:autoSpaceDE w:val="0"/>
              <w:autoSpaceDN w:val="0"/>
              <w:adjustRightInd w:val="0"/>
              <w:spacing w:before="29" w:line="360" w:lineRule="auto"/>
              <w:ind w:left="15"/>
              <w:jc w:val="right"/>
              <w:rPr>
                <w:color w:val="000000"/>
                <w:sz w:val="24"/>
              </w:rPr>
            </w:pPr>
            <w:r w:rsidRPr="00A70EAB">
              <w:rPr>
                <w:color w:val="000000"/>
                <w:sz w:val="24"/>
              </w:rPr>
              <w:t>93.94</w:t>
            </w:r>
          </w:p>
        </w:tc>
      </w:tr>
    </w:tbl>
    <w:p w:rsidP="00F33530" w:rsidR="00F33530" w:rsidRDefault="00F33530" w:rsidRPr="00A70EAB">
      <w:pPr>
        <w:spacing w:line="360" w:lineRule="auto"/>
        <w:ind w:firstLine="480" w:firstLineChars="200"/>
        <w:rPr>
          <w:color w:val="000000"/>
          <w:sz w:val="24"/>
        </w:rPr>
      </w:pPr>
      <w:r w:rsidRPr="00DB3360">
        <w:rPr>
          <w:color w:val="000000"/>
          <w:sz w:val="24"/>
        </w:rPr>
        <w:t/>
      </w:r>
      <w:proofErr w:type="spellStart"/>
      <w:r w:rsidRPr="00DB3360">
        <w:rPr>
          <w:color w:val="000000"/>
          <w:sz w:val="24"/>
        </w:rPr>
        <w:t/>
      </w:r>
      <w:proofErr w:type="spellEnd"/>
      <w:r w:rsidRPr="00DB3360">
        <w:rPr>
          <w:color w:val="000000"/>
          <w:sz w:val="24"/>
        </w:rPr>
        <w:t/>
      </w:r>
      <w:proofErr w:type="spellStart"/>
      <w:r w:rsidRPr="00DB3360">
        <w:rPr>
          <w:color w:val="000000"/>
          <w:sz w:val="24"/>
        </w:rPr>
        <w:t/>
      </w:r>
      <w:proofErr w:type="spellEnd"/>
      <w:r w:rsidRPr="00DB3360">
        <w:rPr>
          <w:color w:val="000000"/>
          <w:sz w:val="24"/>
        </w:rPr>
        <w:t>注：以上分类采用全球行业分类标准（GICS）。</w:t>
      </w:r>
    </w:p>
    <w:p w:rsidP="00F33530" w:rsidR="00F33530" w:rsidRDefault="00F33530" w:rsidRPr="002149AE">
      <w:pPr>
        <w:autoSpaceDE w:val="0"/>
        <w:autoSpaceDN w:val="0"/>
        <w:adjustRightInd w:val="0"/>
        <w:spacing w:line="360" w:lineRule="auto"/>
        <w:jc w:val="left"/>
        <w:rPr>
          <w:rFonts w:ascii="宋体" w:cs="Arial"/>
          <w:b/>
          <w:color w:val="000000"/>
          <w:kern w:val="0"/>
          <w:sz w:val="24"/>
        </w:rPr>
      </w:pPr>
      <w:r w:rsidRPr="002149AE">
        <w:rPr>
          <w:rFonts w:ascii="宋体" w:cs="Arial" w:hAnsi="宋体"/>
          <w:b/>
          <w:color w:val="000000"/>
          <w:kern w:val="0"/>
          <w:sz w:val="24"/>
        </w:rPr>
        <w:t xml:space="preserve">5.4 </w:t>
      </w:r>
      <w:r w:rsidRPr="002149AE">
        <w:rPr>
          <w:rFonts w:ascii="宋体" w:cs="Arial" w:hAnsi="宋体" w:hint="eastAsia"/>
          <w:b/>
          <w:color w:val="000000"/>
          <w:kern w:val="0"/>
          <w:sz w:val="24"/>
        </w:rPr>
        <w:t>报告期末按公允价值占基金资产净值比例大小排序的前十名股票及存托凭证投资明细</w:t>
      </w:r>
    </w:p>
    <w:tbl>
      <w:tblPr>
        <w:tblW w:type="auto" w:w="0"/>
        <w:tblInd w:type="dxa" w:w="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0" w:val="00A0"/>
      </w:tblPr>
      <w:tblGrid>
        <w:gridCol w:w="761"/>
        <w:gridCol w:w="967"/>
        <w:gridCol w:w="984"/>
        <w:gridCol w:w="716"/>
        <w:gridCol w:w="760"/>
        <w:gridCol w:w="974"/>
        <w:gridCol w:w="1188"/>
        <w:gridCol w:w="974"/>
        <w:gridCol w:w="1189"/>
      </w:tblGrid>
      <w:tr w:rsidR="00F33530" w:rsidRPr="002149AE" w:rsidTr="006D780B">
        <w:tc>
          <w:tcPr>
            <w:tcW w:type="dxa" w:w="794"/>
            <w:vAlign w:val="center"/>
          </w:tcPr>
          <w:p w:rsidP="006D780B" w:rsidR="00F33530" w:rsidRDefault="00F33530" w:rsidRPr="00A70EAB">
            <w:pPr>
              <w:autoSpaceDE w:val="0"/>
              <w:autoSpaceDN w:val="0"/>
              <w:adjustRightInd w:val="0"/>
              <w:spacing w:before="29" w:line="360" w:lineRule="auto"/>
              <w:ind w:left="15"/>
              <w:jc w:val="center"/>
              <w:rPr>
                <w:color w:val="000000"/>
                <w:kern w:val="0"/>
                <w:sz w:val="24"/>
              </w:rPr>
            </w:pPr>
            <w:r w:rsidRPr="00A70EAB">
              <w:rPr>
                <w:color w:val="000000"/>
                <w:kern w:val="0"/>
                <w:sz w:val="24"/>
              </w:rPr>
              <w:t>序号</w:t>
            </w:r>
          </w:p>
        </w:tc>
        <w:tc>
          <w:tcPr>
            <w:tcW w:type="dxa" w:w="974"/>
            <w:vAlign w:val="center"/>
          </w:tcPr>
          <w:p w:rsidP="006D780B" w:rsidR="00F33530" w:rsidRDefault="00F33530" w:rsidRPr="00A70EAB">
            <w:pPr>
              <w:adjustRightInd w:val="0"/>
              <w:snapToGrid w:val="0"/>
              <w:spacing w:line="400" w:lineRule="exact"/>
              <w:jc w:val="center"/>
              <w:rPr>
                <w:color w:val="000000"/>
                <w:kern w:val="0"/>
                <w:sz w:val="24"/>
              </w:rPr>
            </w:pPr>
            <w:r w:rsidRPr="00A70EAB">
              <w:rPr>
                <w:color w:val="000000"/>
                <w:kern w:val="0"/>
                <w:sz w:val="24"/>
              </w:rPr>
              <w:t>公司名称（英文）</w:t>
            </w:r>
          </w:p>
        </w:tc>
        <w:tc>
          <w:tcPr>
            <w:tcW w:type="dxa" w:w="1019"/>
            <w:vAlign w:val="center"/>
          </w:tcPr>
          <w:p w:rsidP="006D780B" w:rsidR="00F33530" w:rsidRDefault="00F33530" w:rsidRPr="00A70EAB">
            <w:pPr>
              <w:adjustRightInd w:val="0"/>
              <w:snapToGrid w:val="0"/>
              <w:spacing w:line="400" w:lineRule="exact"/>
              <w:jc w:val="center"/>
              <w:rPr>
                <w:color w:val="000000"/>
                <w:kern w:val="0"/>
                <w:sz w:val="24"/>
              </w:rPr>
            </w:pPr>
            <w:r w:rsidRPr="00A70EAB">
              <w:rPr>
                <w:color w:val="000000"/>
                <w:kern w:val="0"/>
                <w:sz w:val="24"/>
              </w:rPr>
              <w:t>公司名称（中文）</w:t>
            </w:r>
          </w:p>
        </w:tc>
        <w:tc>
          <w:tcPr>
            <w:tcW w:type="dxa" w:w="703"/>
            <w:vAlign w:val="center"/>
          </w:tcPr>
          <w:p w:rsidP="006D780B" w:rsidR="00F33530" w:rsidRDefault="00F33530" w:rsidRPr="00A70EAB">
            <w:pPr>
              <w:adjustRightInd w:val="0"/>
              <w:snapToGrid w:val="0"/>
              <w:spacing w:line="400" w:lineRule="exact"/>
              <w:jc w:val="center"/>
              <w:rPr>
                <w:color w:val="000000"/>
                <w:kern w:val="0"/>
                <w:sz w:val="24"/>
              </w:rPr>
            </w:pPr>
            <w:r w:rsidRPr="00A70EAB">
              <w:rPr>
                <w:color w:val="000000"/>
                <w:kern w:val="0"/>
                <w:sz w:val="24"/>
              </w:rPr>
              <w:t>证券代码</w:t>
            </w:r>
          </w:p>
        </w:tc>
        <w:tc>
          <w:tcPr>
            <w:tcW w:type="dxa" w:w="793"/>
            <w:vAlign w:val="center"/>
          </w:tcPr>
          <w:p w:rsidP="006D780B" w:rsidR="00F33530" w:rsidRDefault="00F33530" w:rsidRPr="00A70EAB">
            <w:pPr>
              <w:autoSpaceDE w:val="0"/>
              <w:autoSpaceDN w:val="0"/>
              <w:adjustRightInd w:val="0"/>
              <w:spacing w:before="29" w:line="360" w:lineRule="auto"/>
              <w:ind w:left="15"/>
              <w:jc w:val="center"/>
              <w:rPr>
                <w:color w:val="000000"/>
                <w:kern w:val="0"/>
                <w:sz w:val="24"/>
              </w:rPr>
            </w:pPr>
            <w:r w:rsidRPr="00A70EAB">
              <w:rPr>
                <w:color w:val="000000"/>
                <w:kern w:val="0"/>
                <w:sz w:val="24"/>
              </w:rPr>
              <w:t>所在证</w:t>
            </w:r>
          </w:p>
          <w:p w:rsidP="006D780B" w:rsidR="00F33530" w:rsidRDefault="00F33530" w:rsidRPr="00A70EAB">
            <w:pPr>
              <w:autoSpaceDE w:val="0"/>
              <w:autoSpaceDN w:val="0"/>
              <w:adjustRightInd w:val="0"/>
              <w:spacing w:before="29" w:line="360" w:lineRule="auto"/>
              <w:ind w:left="15"/>
              <w:jc w:val="center"/>
              <w:rPr>
                <w:color w:val="000000"/>
                <w:kern w:val="0"/>
                <w:sz w:val="24"/>
              </w:rPr>
            </w:pPr>
            <w:r w:rsidRPr="00A70EAB">
              <w:rPr>
                <w:color w:val="000000"/>
                <w:kern w:val="0"/>
                <w:sz w:val="24"/>
              </w:rPr>
              <w:t>券市场</w:t>
            </w:r>
          </w:p>
        </w:tc>
        <w:tc>
          <w:tcPr>
            <w:tcW w:type="dxa" w:w="969"/>
            <w:vAlign w:val="center"/>
          </w:tcPr>
          <w:p w:rsidP="006D780B" w:rsidR="00F33530" w:rsidRDefault="00F33530" w:rsidRPr="00A70EAB">
            <w:pPr>
              <w:autoSpaceDE w:val="0"/>
              <w:autoSpaceDN w:val="0"/>
              <w:adjustRightInd w:val="0"/>
              <w:spacing w:before="29" w:line="360" w:lineRule="auto"/>
              <w:ind w:left="15"/>
              <w:jc w:val="center"/>
              <w:rPr>
                <w:color w:val="000000"/>
                <w:kern w:val="0"/>
                <w:sz w:val="24"/>
              </w:rPr>
            </w:pPr>
            <w:r w:rsidRPr="00A70EAB">
              <w:rPr>
                <w:color w:val="000000"/>
                <w:kern w:val="0"/>
                <w:sz w:val="24"/>
              </w:rPr>
              <w:t>所属国家</w:t>
            </w:r>
          </w:p>
          <w:p w:rsidP="006D780B" w:rsidR="00F33530" w:rsidRDefault="00F33530" w:rsidRPr="00A70EAB">
            <w:pPr>
              <w:autoSpaceDE w:val="0"/>
              <w:autoSpaceDN w:val="0"/>
              <w:adjustRightInd w:val="0"/>
              <w:spacing w:before="29" w:line="360" w:lineRule="auto"/>
              <w:ind w:left="15"/>
              <w:jc w:val="center"/>
              <w:rPr>
                <w:color w:val="000000"/>
                <w:kern w:val="0"/>
                <w:sz w:val="24"/>
              </w:rPr>
            </w:pPr>
            <w:r w:rsidRPr="00A70EAB">
              <w:rPr>
                <w:color w:val="000000"/>
                <w:kern w:val="0"/>
                <w:sz w:val="24"/>
              </w:rPr>
              <w:t>（地区</w:t>
            </w:r>
            <w:r w:rsidRPr="00A70EAB">
              <w:rPr>
                <w:color w:val="000000"/>
                <w:kern w:val="0"/>
                <w:sz w:val="24"/>
              </w:rPr>
              <w:t>)</w:t>
            </w:r>
          </w:p>
        </w:tc>
        <w:tc>
          <w:tcPr>
            <w:tcW w:type="dxa" w:w="1146"/>
            <w:vAlign w:val="center"/>
          </w:tcPr>
          <w:p w:rsidP="006D780B" w:rsidR="00F33530" w:rsidRDefault="00F33530" w:rsidRPr="00A70EAB">
            <w:pPr>
              <w:autoSpaceDE w:val="0"/>
              <w:autoSpaceDN w:val="0"/>
              <w:adjustRightInd w:val="0"/>
              <w:spacing w:before="29" w:line="360" w:lineRule="auto"/>
              <w:ind w:left="15"/>
              <w:jc w:val="center"/>
              <w:rPr>
                <w:color w:val="000000"/>
                <w:kern w:val="0"/>
                <w:sz w:val="24"/>
              </w:rPr>
            </w:pPr>
            <w:r w:rsidRPr="00A70EAB">
              <w:rPr>
                <w:color w:val="000000"/>
                <w:kern w:val="0"/>
                <w:sz w:val="24"/>
              </w:rPr>
              <w:t>数量</w:t>
            </w:r>
          </w:p>
          <w:p w:rsidP="006D780B" w:rsidR="00F33530" w:rsidRDefault="00F33530" w:rsidRPr="00A70EAB">
            <w:pPr>
              <w:autoSpaceDE w:val="0"/>
              <w:autoSpaceDN w:val="0"/>
              <w:adjustRightInd w:val="0"/>
              <w:spacing w:before="29" w:line="360" w:lineRule="auto"/>
              <w:ind w:left="15"/>
              <w:jc w:val="center"/>
              <w:rPr>
                <w:color w:val="000000"/>
                <w:kern w:val="0"/>
                <w:sz w:val="24"/>
              </w:rPr>
            </w:pPr>
            <w:r w:rsidRPr="00A70EAB">
              <w:rPr>
                <w:color w:val="000000"/>
                <w:kern w:val="0"/>
                <w:sz w:val="24"/>
              </w:rPr>
              <w:t>（股）</w:t>
            </w:r>
          </w:p>
        </w:tc>
        <w:tc>
          <w:tcPr>
            <w:tcW w:type="dxa" w:w="969"/>
            <w:vAlign w:val="center"/>
          </w:tcPr>
          <w:p w:rsidP="006D780B" w:rsidR="00F33530" w:rsidRDefault="00F33530" w:rsidRPr="00A70EAB">
            <w:pPr>
              <w:autoSpaceDE w:val="0"/>
              <w:autoSpaceDN w:val="0"/>
              <w:adjustRightInd w:val="0"/>
              <w:spacing w:before="29" w:line="360" w:lineRule="auto"/>
              <w:ind w:left="15"/>
              <w:jc w:val="center"/>
              <w:rPr>
                <w:color w:val="000000"/>
                <w:kern w:val="0"/>
                <w:sz w:val="24"/>
              </w:rPr>
            </w:pPr>
            <w:r w:rsidRPr="00A70EAB">
              <w:rPr>
                <w:color w:val="000000"/>
                <w:kern w:val="0"/>
                <w:sz w:val="24"/>
              </w:rPr>
              <w:t>公允价值（人民币元）</w:t>
            </w:r>
          </w:p>
        </w:tc>
        <w:tc>
          <w:tcPr>
            <w:tcW w:type="dxa" w:w="1146"/>
            <w:vAlign w:val="center"/>
          </w:tcPr>
          <w:p w:rsidP="006D780B" w:rsidR="00F33530" w:rsidRDefault="00F33530" w:rsidRPr="00A70EAB">
            <w:pPr>
              <w:autoSpaceDE w:val="0"/>
              <w:autoSpaceDN w:val="0"/>
              <w:adjustRightInd w:val="0"/>
              <w:spacing w:before="29" w:line="360" w:lineRule="auto"/>
              <w:ind w:left="15"/>
              <w:jc w:val="center"/>
              <w:rPr>
                <w:color w:val="000000"/>
                <w:kern w:val="0"/>
                <w:sz w:val="24"/>
              </w:rPr>
            </w:pPr>
            <w:r w:rsidRPr="00A70EAB">
              <w:rPr>
                <w:color w:val="000000"/>
                <w:kern w:val="0"/>
                <w:sz w:val="24"/>
              </w:rPr>
              <w:t>占基金资产净值比例（％）</w:t>
            </w:r>
          </w:p>
        </w:tc>
      </w:tr>
      <w:tr>
        <w:tc>
          <w:tcPr>
            <w:vAlign w:val="center"/>
          </w:tcPr>
          <w:p>
            <w:pPr>
              <w:jc w:val="center"/>
            </w:pPr>
            <w:r>
              <w:rPr>
                <w:color w:val="000000"/>
                <w:sz w:val="24"/>
              </w:rPr>
              <w:t>1</w:t>
            </w:r>
          </w:p>
        </w:tc>
        <w:tc>
          <w:tcPr>
            <w:vAlign w:val="center"/>
          </w:tcPr>
          <w:p>
            <w:pPr>
              <w:jc w:val="center"/>
            </w:pPr>
            <w:r>
              <w:rPr>
                <w:color w:val="000000"/>
                <w:sz w:val="24"/>
              </w:rPr>
              <w:t>Apple Inc</w:t>
            </w:r>
          </w:p>
        </w:tc>
        <w:tc>
          <w:tcPr>
            <w:vAlign w:val="center"/>
          </w:tcPr>
          <w:p>
            <w:pPr>
              <w:jc w:val="center"/>
            </w:pPr>
            <w:r>
              <w:rPr>
                <w:color w:val="000000"/>
                <w:sz w:val="24"/>
              </w:rPr>
              <w:t>-</w:t>
            </w:r>
          </w:p>
        </w:tc>
        <w:tc>
          <w:tcPr>
            <w:vAlign w:val="center"/>
          </w:tcPr>
          <w:p>
            <w:pPr>
              <w:jc w:val="center"/>
            </w:pPr>
            <w:r>
              <w:rPr>
                <w:color w:val="000000"/>
                <w:sz w:val="24"/>
              </w:rPr>
              <w:t>AAPL US</w:t>
            </w:r>
          </w:p>
        </w:tc>
        <w:tc>
          <w:tcPr>
            <w:vAlign w:val="center"/>
          </w:tcPr>
          <w:p>
            <w:pPr>
              <w:jc w:val="center"/>
            </w:pPr>
            <w:r>
              <w:rPr>
                <w:color w:val="000000"/>
                <w:sz w:val="24"/>
              </w:rPr>
              <w:t>纳斯达克证券交易所</w:t>
            </w:r>
          </w:p>
        </w:tc>
        <w:tc>
          <w:tcPr>
            <w:vAlign w:val="center"/>
          </w:tcPr>
          <w:p>
            <w:pPr>
              <w:jc w:val="center"/>
            </w:pPr>
            <w:r>
              <w:rPr>
                <w:color w:val="000000"/>
                <w:sz w:val="24"/>
              </w:rPr>
              <w:t>美国</w:t>
            </w:r>
          </w:p>
        </w:tc>
        <w:tc>
          <w:tcPr>
            <w:vAlign w:val="center"/>
          </w:tcPr>
          <w:p>
            <w:pPr>
              <w:jc w:val="right"/>
            </w:pPr>
            <w:r>
              <w:rPr>
                <w:color w:val="000000"/>
                <w:sz w:val="24"/>
              </w:rPr>
              <w:t>236,393</w:t>
            </w:r>
          </w:p>
        </w:tc>
        <w:tc>
          <w:tcPr>
            <w:vAlign w:val="center"/>
          </w:tcPr>
          <w:p>
            <w:pPr>
              <w:jc w:val="right"/>
            </w:pPr>
            <w:r>
              <w:rPr>
                <w:color w:val="000000"/>
                <w:sz w:val="24"/>
              </w:rPr>
              <w:t>186,437,883.04</w:t>
            </w:r>
          </w:p>
        </w:tc>
        <w:tc>
          <w:tcPr>
            <w:vAlign w:val="center"/>
          </w:tcPr>
          <w:p>
            <w:pPr>
              <w:jc w:val="right"/>
            </w:pPr>
            <w:r>
              <w:rPr>
                <w:color w:val="000000"/>
                <w:sz w:val="24"/>
              </w:rPr>
              <w:t>22.32</w:t>
            </w:r>
          </w:p>
        </w:tc>
      </w:tr>
      <w:tr>
        <w:tc>
          <w:tcPr>
            <w:vAlign w:val="center"/>
          </w:tcPr>
          <w:p>
            <w:pPr>
              <w:jc w:val="center"/>
            </w:pPr>
            <w:r>
              <w:rPr>
                <w:color w:val="000000"/>
                <w:sz w:val="24"/>
              </w:rPr>
              <w:t>2</w:t>
            </w:r>
          </w:p>
        </w:tc>
        <w:tc>
          <w:tcPr>
            <w:vAlign w:val="center"/>
          </w:tcPr>
          <w:p>
            <w:pPr>
              <w:jc w:val="center"/>
            </w:pPr>
            <w:r>
              <w:rPr>
                <w:color w:val="000000"/>
                <w:sz w:val="24"/>
              </w:rPr>
              <w:t>Microsoft Corp</w:t>
            </w:r>
          </w:p>
        </w:tc>
        <w:tc>
          <w:tcPr>
            <w:vAlign w:val="center"/>
          </w:tcPr>
          <w:p>
            <w:pPr>
              <w:jc w:val="center"/>
            </w:pPr>
            <w:r>
              <w:rPr>
                <w:color w:val="000000"/>
                <w:sz w:val="24"/>
              </w:rPr>
              <w:t>-</w:t>
            </w:r>
          </w:p>
        </w:tc>
        <w:tc>
          <w:tcPr>
            <w:vAlign w:val="center"/>
          </w:tcPr>
          <w:p>
            <w:pPr>
              <w:jc w:val="center"/>
            </w:pPr>
            <w:r>
              <w:rPr>
                <w:color w:val="000000"/>
                <w:sz w:val="24"/>
              </w:rPr>
              <w:t>MSFT US</w:t>
            </w:r>
          </w:p>
        </w:tc>
        <w:tc>
          <w:tcPr>
            <w:vAlign w:val="center"/>
          </w:tcPr>
          <w:p>
            <w:pPr>
              <w:jc w:val="center"/>
            </w:pPr>
            <w:r>
              <w:rPr>
                <w:color w:val="000000"/>
                <w:sz w:val="24"/>
              </w:rPr>
              <w:t>纳斯达克证券交易所</w:t>
            </w:r>
          </w:p>
        </w:tc>
        <w:tc>
          <w:tcPr>
            <w:vAlign w:val="center"/>
          </w:tcPr>
          <w:p>
            <w:pPr>
              <w:jc w:val="center"/>
            </w:pPr>
            <w:r>
              <w:rPr>
                <w:color w:val="000000"/>
                <w:sz w:val="24"/>
              </w:rPr>
              <w:t>美国</w:t>
            </w:r>
          </w:p>
        </w:tc>
        <w:tc>
          <w:tcPr>
            <w:vAlign w:val="center"/>
          </w:tcPr>
          <w:p>
            <w:pPr>
              <w:jc w:val="right"/>
            </w:pPr>
            <w:r>
              <w:rPr>
                <w:color w:val="000000"/>
                <w:sz w:val="24"/>
              </w:rPr>
              <w:t>111,277</w:t>
            </w:r>
          </w:p>
        </w:tc>
        <w:tc>
          <w:tcPr>
            <w:vAlign w:val="center"/>
          </w:tcPr>
          <w:p>
            <w:pPr>
              <w:jc w:val="right"/>
            </w:pPr>
            <w:r>
              <w:rPr>
                <w:color w:val="000000"/>
                <w:sz w:val="24"/>
              </w:rPr>
              <w:t>159,389,650.99</w:t>
            </w:r>
          </w:p>
        </w:tc>
        <w:tc>
          <w:tcPr>
            <w:vAlign w:val="center"/>
          </w:tcPr>
          <w:p>
            <w:pPr>
              <w:jc w:val="right"/>
            </w:pPr>
            <w:r>
              <w:rPr>
                <w:color w:val="000000"/>
                <w:sz w:val="24"/>
              </w:rPr>
              <w:t>19.08</w:t>
            </w:r>
          </w:p>
        </w:tc>
      </w:tr>
      <w:tr>
        <w:tc>
          <w:tcPr>
            <w:vAlign w:val="center"/>
          </w:tcPr>
          <w:p>
            <w:pPr>
              <w:jc w:val="center"/>
            </w:pPr>
            <w:r>
              <w:rPr>
                <w:color w:val="000000"/>
                <w:sz w:val="24"/>
              </w:rPr>
              <w:t>3</w:t>
            </w:r>
          </w:p>
        </w:tc>
        <w:tc>
          <w:tcPr>
            <w:vAlign w:val="center"/>
          </w:tcPr>
          <w:p>
            <w:pPr>
              <w:jc w:val="center"/>
            </w:pPr>
            <w:r>
              <w:rPr>
                <w:color w:val="000000"/>
                <w:sz w:val="24"/>
              </w:rPr>
              <w:t>Visa Inc</w:t>
            </w:r>
          </w:p>
        </w:tc>
        <w:tc>
          <w:tcPr>
            <w:vAlign w:val="center"/>
          </w:tcPr>
          <w:p>
            <w:pPr>
              <w:jc w:val="center"/>
            </w:pPr>
            <w:r>
              <w:rPr>
                <w:color w:val="000000"/>
                <w:sz w:val="24"/>
              </w:rPr>
              <w:t>-</w:t>
            </w:r>
          </w:p>
        </w:tc>
        <w:tc>
          <w:tcPr>
            <w:vAlign w:val="center"/>
          </w:tcPr>
          <w:p>
            <w:pPr>
              <w:jc w:val="center"/>
            </w:pPr>
            <w:r>
              <w:rPr>
                <w:color w:val="000000"/>
                <w:sz w:val="24"/>
              </w:rPr>
              <w:t>V US</w:t>
            </w:r>
          </w:p>
        </w:tc>
        <w:tc>
          <w:tcPr>
            <w:vAlign w:val="center"/>
          </w:tcPr>
          <w:p>
            <w:pPr>
              <w:jc w:val="center"/>
            </w:pPr>
            <w:r>
              <w:rPr>
                <w:color w:val="000000"/>
                <w:sz w:val="24"/>
              </w:rPr>
              <w:t>纽约证券交易所</w:t>
            </w:r>
          </w:p>
        </w:tc>
        <w:tc>
          <w:tcPr>
            <w:vAlign w:val="center"/>
          </w:tcPr>
          <w:p>
            <w:pPr>
              <w:jc w:val="center"/>
            </w:pPr>
            <w:r>
              <w:rPr>
                <w:color w:val="000000"/>
                <w:sz w:val="24"/>
              </w:rPr>
              <w:t>美国</w:t>
            </w:r>
          </w:p>
        </w:tc>
        <w:tc>
          <w:tcPr>
            <w:vAlign w:val="center"/>
          </w:tcPr>
          <w:p>
            <w:pPr>
              <w:jc w:val="right"/>
            </w:pPr>
            <w:r>
              <w:rPr>
                <w:color w:val="000000"/>
                <w:sz w:val="24"/>
              </w:rPr>
              <w:t>24,791</w:t>
            </w:r>
          </w:p>
        </w:tc>
        <w:tc>
          <w:tcPr>
            <w:vAlign w:val="center"/>
          </w:tcPr>
          <w:p>
            <w:pPr>
              <w:jc w:val="right"/>
            </w:pPr>
            <w:r>
              <w:rPr>
                <w:color w:val="000000"/>
                <w:sz w:val="24"/>
              </w:rPr>
              <w:t>33,760,772.94</w:t>
            </w:r>
          </w:p>
        </w:tc>
        <w:tc>
          <w:tcPr>
            <w:vAlign w:val="center"/>
          </w:tcPr>
          <w:p>
            <w:pPr>
              <w:jc w:val="right"/>
            </w:pPr>
            <w:r>
              <w:rPr>
                <w:color w:val="000000"/>
                <w:sz w:val="24"/>
              </w:rPr>
              <w:t>4.04</w:t>
            </w:r>
          </w:p>
        </w:tc>
      </w:tr>
      <w:tr>
        <w:tc>
          <w:tcPr>
            <w:vAlign w:val="center"/>
          </w:tcPr>
          <w:p>
            <w:pPr>
              <w:jc w:val="center"/>
            </w:pPr>
            <w:r>
              <w:rPr>
                <w:color w:val="000000"/>
                <w:sz w:val="24"/>
              </w:rPr>
              <w:t>4</w:t>
            </w:r>
          </w:p>
        </w:tc>
        <w:tc>
          <w:tcPr>
            <w:vAlign w:val="center"/>
          </w:tcPr>
          <w:p>
            <w:pPr>
              <w:jc w:val="center"/>
            </w:pPr>
            <w:r>
              <w:rPr>
                <w:color w:val="000000"/>
                <w:sz w:val="24"/>
              </w:rPr>
              <w:t>NVIDIA Corp</w:t>
            </w:r>
          </w:p>
        </w:tc>
        <w:tc>
          <w:tcPr>
            <w:vAlign w:val="center"/>
          </w:tcPr>
          <w:p>
            <w:pPr>
              <w:jc w:val="center"/>
            </w:pPr>
            <w:r>
              <w:rPr>
                <w:color w:val="000000"/>
                <w:sz w:val="24"/>
              </w:rPr>
              <w:t>-</w:t>
            </w:r>
          </w:p>
        </w:tc>
        <w:tc>
          <w:tcPr>
            <w:vAlign w:val="center"/>
          </w:tcPr>
          <w:p>
            <w:pPr>
              <w:jc w:val="center"/>
            </w:pPr>
            <w:r>
              <w:rPr>
                <w:color w:val="000000"/>
                <w:sz w:val="24"/>
              </w:rPr>
              <w:t>NVDA US</w:t>
            </w:r>
          </w:p>
        </w:tc>
        <w:tc>
          <w:tcPr>
            <w:vAlign w:val="center"/>
          </w:tcPr>
          <w:p>
            <w:pPr>
              <w:jc w:val="center"/>
            </w:pPr>
            <w:r>
              <w:rPr>
                <w:color w:val="000000"/>
                <w:sz w:val="24"/>
              </w:rPr>
              <w:t>纳斯达克证券交易所</w:t>
            </w:r>
          </w:p>
        </w:tc>
        <w:tc>
          <w:tcPr>
            <w:vAlign w:val="center"/>
          </w:tcPr>
          <w:p>
            <w:pPr>
              <w:jc w:val="center"/>
            </w:pPr>
            <w:r>
              <w:rPr>
                <w:color w:val="000000"/>
                <w:sz w:val="24"/>
              </w:rPr>
              <w:t>美国</w:t>
            </w:r>
          </w:p>
        </w:tc>
        <w:tc>
          <w:tcPr>
            <w:vAlign w:val="center"/>
          </w:tcPr>
          <w:p>
            <w:pPr>
              <w:jc w:val="right"/>
            </w:pPr>
            <w:r>
              <w:rPr>
                <w:color w:val="000000"/>
                <w:sz w:val="24"/>
              </w:rPr>
              <w:t>9,072</w:t>
            </w:r>
          </w:p>
        </w:tc>
        <w:tc>
          <w:tcPr>
            <w:vAlign w:val="center"/>
          </w:tcPr>
          <w:p>
            <w:pPr>
              <w:jc w:val="right"/>
            </w:pPr>
            <w:r>
              <w:rPr>
                <w:color w:val="000000"/>
                <w:sz w:val="24"/>
              </w:rPr>
              <w:t>33,437,235.79</w:t>
            </w:r>
          </w:p>
        </w:tc>
        <w:tc>
          <w:tcPr>
            <w:vAlign w:val="center"/>
          </w:tcPr>
          <w:p>
            <w:pPr>
              <w:jc w:val="right"/>
            </w:pPr>
            <w:r>
              <w:rPr>
                <w:color w:val="000000"/>
                <w:sz w:val="24"/>
              </w:rPr>
              <w:t>4.00</w:t>
            </w:r>
          </w:p>
        </w:tc>
      </w:tr>
      <w:tr>
        <w:tc>
          <w:tcPr>
            <w:vAlign w:val="center"/>
          </w:tcPr>
          <w:p>
            <w:pPr>
              <w:jc w:val="center"/>
            </w:pPr>
            <w:r>
              <w:rPr>
                <w:color w:val="000000"/>
                <w:sz w:val="24"/>
              </w:rPr>
              <w:t>5</w:t>
            </w:r>
          </w:p>
        </w:tc>
        <w:tc>
          <w:tcPr>
            <w:vAlign w:val="center"/>
          </w:tcPr>
          <w:p>
            <w:pPr>
              <w:jc w:val="center"/>
            </w:pPr>
            <w:r>
              <w:rPr>
                <w:color w:val="000000"/>
                <w:sz w:val="24"/>
              </w:rPr>
              <w:t>Mastercard Inc</w:t>
            </w:r>
          </w:p>
        </w:tc>
        <w:tc>
          <w:tcPr>
            <w:vAlign w:val="center"/>
          </w:tcPr>
          <w:p>
            <w:pPr>
              <w:jc w:val="center"/>
            </w:pPr>
            <w:r>
              <w:rPr>
                <w:color w:val="000000"/>
                <w:sz w:val="24"/>
              </w:rPr>
              <w:t>-</w:t>
            </w:r>
          </w:p>
        </w:tc>
        <w:tc>
          <w:tcPr>
            <w:vAlign w:val="center"/>
          </w:tcPr>
          <w:p>
            <w:pPr>
              <w:jc w:val="center"/>
            </w:pPr>
            <w:r>
              <w:rPr>
                <w:color w:val="000000"/>
                <w:sz w:val="24"/>
              </w:rPr>
              <w:t>MA US</w:t>
            </w:r>
          </w:p>
        </w:tc>
        <w:tc>
          <w:tcPr>
            <w:vAlign w:val="center"/>
          </w:tcPr>
          <w:p>
            <w:pPr>
              <w:jc w:val="center"/>
            </w:pPr>
            <w:r>
              <w:rPr>
                <w:color w:val="000000"/>
                <w:sz w:val="24"/>
              </w:rPr>
              <w:t>纽约证券交易所</w:t>
            </w:r>
          </w:p>
        </w:tc>
        <w:tc>
          <w:tcPr>
            <w:vAlign w:val="center"/>
          </w:tcPr>
          <w:p>
            <w:pPr>
              <w:jc w:val="center"/>
            </w:pPr>
            <w:r>
              <w:rPr>
                <w:color w:val="000000"/>
                <w:sz w:val="24"/>
              </w:rPr>
              <w:t>美国</w:t>
            </w:r>
          </w:p>
        </w:tc>
        <w:tc>
          <w:tcPr>
            <w:vAlign w:val="center"/>
          </w:tcPr>
          <w:p>
            <w:pPr>
              <w:jc w:val="right"/>
            </w:pPr>
            <w:r>
              <w:rPr>
                <w:color w:val="000000"/>
                <w:sz w:val="24"/>
              </w:rPr>
              <w:t>12,989</w:t>
            </w:r>
          </w:p>
        </w:tc>
        <w:tc>
          <w:tcPr>
            <w:vAlign w:val="center"/>
          </w:tcPr>
          <w:p>
            <w:pPr>
              <w:jc w:val="right"/>
            </w:pPr>
            <w:r>
              <w:rPr>
                <w:color w:val="000000"/>
                <w:sz w:val="24"/>
              </w:rPr>
              <w:t>29,913,297.03</w:t>
            </w:r>
          </w:p>
        </w:tc>
        <w:tc>
          <w:tcPr>
            <w:vAlign w:val="center"/>
          </w:tcPr>
          <w:p>
            <w:pPr>
              <w:jc w:val="right"/>
            </w:pPr>
            <w:r>
              <w:rPr>
                <w:color w:val="000000"/>
                <w:sz w:val="24"/>
              </w:rPr>
              <w:t>3.58</w:t>
            </w:r>
          </w:p>
        </w:tc>
      </w:tr>
      <w:tr>
        <w:tc>
          <w:tcPr>
            <w:vAlign w:val="center"/>
          </w:tcPr>
          <w:p>
            <w:pPr>
              <w:jc w:val="center"/>
            </w:pPr>
            <w:r>
              <w:rPr>
                <w:color w:val="000000"/>
                <w:sz w:val="24"/>
              </w:rPr>
              <w:t>6</w:t>
            </w:r>
          </w:p>
        </w:tc>
        <w:tc>
          <w:tcPr>
            <w:vAlign w:val="center"/>
          </w:tcPr>
          <w:p>
            <w:pPr>
              <w:jc w:val="center"/>
            </w:pPr>
            <w:r>
              <w:rPr>
                <w:color w:val="000000"/>
                <w:sz w:val="24"/>
              </w:rPr>
              <w:t>Adobe Inc</w:t>
            </w:r>
          </w:p>
        </w:tc>
        <w:tc>
          <w:tcPr>
            <w:vAlign w:val="center"/>
          </w:tcPr>
          <w:p>
            <w:pPr>
              <w:jc w:val="center"/>
            </w:pPr>
            <w:r>
              <w:rPr>
                <w:color w:val="000000"/>
                <w:sz w:val="24"/>
              </w:rPr>
              <w:t>-</w:t>
            </w:r>
          </w:p>
        </w:tc>
        <w:tc>
          <w:tcPr>
            <w:vAlign w:val="center"/>
          </w:tcPr>
          <w:p>
            <w:pPr>
              <w:jc w:val="center"/>
            </w:pPr>
            <w:r>
              <w:rPr>
                <w:color w:val="000000"/>
                <w:sz w:val="24"/>
              </w:rPr>
              <w:t>ADBE US</w:t>
            </w:r>
          </w:p>
        </w:tc>
        <w:tc>
          <w:tcPr>
            <w:vAlign w:val="center"/>
          </w:tcPr>
          <w:p>
            <w:pPr>
              <w:jc w:val="center"/>
            </w:pPr>
            <w:r>
              <w:rPr>
                <w:color w:val="000000"/>
                <w:sz w:val="24"/>
              </w:rPr>
              <w:t>纳斯达克证券交易所</w:t>
            </w:r>
          </w:p>
        </w:tc>
        <w:tc>
          <w:tcPr>
            <w:vAlign w:val="center"/>
          </w:tcPr>
          <w:p>
            <w:pPr>
              <w:jc w:val="center"/>
            </w:pPr>
            <w:r>
              <w:rPr>
                <w:color w:val="000000"/>
                <w:sz w:val="24"/>
              </w:rPr>
              <w:t>美国</w:t>
            </w:r>
          </w:p>
        </w:tc>
        <w:tc>
          <w:tcPr>
            <w:vAlign w:val="center"/>
          </w:tcPr>
          <w:p>
            <w:pPr>
              <w:jc w:val="right"/>
            </w:pPr>
            <w:r>
              <w:rPr>
                <w:color w:val="000000"/>
                <w:sz w:val="24"/>
              </w:rPr>
              <w:t>7,053</w:t>
            </w:r>
          </w:p>
        </w:tc>
        <w:tc>
          <w:tcPr>
            <w:vAlign w:val="center"/>
          </w:tcPr>
          <w:p>
            <w:pPr>
              <w:jc w:val="right"/>
            </w:pPr>
            <w:r>
              <w:rPr>
                <w:color w:val="000000"/>
                <w:sz w:val="24"/>
              </w:rPr>
              <w:t>23,556,154.90</w:t>
            </w:r>
          </w:p>
        </w:tc>
        <w:tc>
          <w:tcPr>
            <w:vAlign w:val="center"/>
          </w:tcPr>
          <w:p>
            <w:pPr>
              <w:jc w:val="right"/>
            </w:pPr>
            <w:r>
              <w:rPr>
                <w:color w:val="000000"/>
                <w:sz w:val="24"/>
              </w:rPr>
              <w:t>2.82</w:t>
            </w:r>
          </w:p>
        </w:tc>
      </w:tr>
      <w:tr>
        <w:tc>
          <w:tcPr>
            <w:vAlign w:val="center"/>
          </w:tcPr>
          <w:p>
            <w:pPr>
              <w:jc w:val="center"/>
            </w:pPr>
            <w:r>
              <w:rPr>
                <w:color w:val="000000"/>
                <w:sz w:val="24"/>
              </w:rPr>
              <w:t>7</w:t>
            </w:r>
          </w:p>
        </w:tc>
        <w:tc>
          <w:tcPr>
            <w:vAlign w:val="center"/>
          </w:tcPr>
          <w:p>
            <w:pPr>
              <w:jc w:val="center"/>
            </w:pPr>
            <w:r>
              <w:rPr>
                <w:color w:val="000000"/>
                <w:sz w:val="24"/>
              </w:rPr>
              <w:t>PayPal Holdings Inc</w:t>
            </w:r>
          </w:p>
        </w:tc>
        <w:tc>
          <w:tcPr>
            <w:vAlign w:val="center"/>
          </w:tcPr>
          <w:p>
            <w:pPr>
              <w:jc w:val="center"/>
            </w:pPr>
            <w:r>
              <w:rPr>
                <w:color w:val="000000"/>
                <w:sz w:val="24"/>
              </w:rPr>
              <w:t>-</w:t>
            </w:r>
          </w:p>
        </w:tc>
        <w:tc>
          <w:tcPr>
            <w:vAlign w:val="center"/>
          </w:tcPr>
          <w:p>
            <w:pPr>
              <w:jc w:val="center"/>
            </w:pPr>
            <w:r>
              <w:rPr>
                <w:color w:val="000000"/>
                <w:sz w:val="24"/>
              </w:rPr>
              <w:t>PYPL US</w:t>
            </w:r>
          </w:p>
        </w:tc>
        <w:tc>
          <w:tcPr>
            <w:vAlign w:val="center"/>
          </w:tcPr>
          <w:p>
            <w:pPr>
              <w:jc w:val="center"/>
            </w:pPr>
            <w:r>
              <w:rPr>
                <w:color w:val="000000"/>
                <w:sz w:val="24"/>
              </w:rPr>
              <w:t>纳斯达克证券交易所</w:t>
            </w:r>
          </w:p>
        </w:tc>
        <w:tc>
          <w:tcPr>
            <w:vAlign w:val="center"/>
          </w:tcPr>
          <w:p>
            <w:pPr>
              <w:jc w:val="center"/>
            </w:pPr>
            <w:r>
              <w:rPr>
                <w:color w:val="000000"/>
                <w:sz w:val="24"/>
              </w:rPr>
              <w:t>美国</w:t>
            </w:r>
          </w:p>
        </w:tc>
        <w:tc>
          <w:tcPr>
            <w:vAlign w:val="center"/>
          </w:tcPr>
          <w:p>
            <w:pPr>
              <w:jc w:val="right"/>
            </w:pPr>
            <w:r>
              <w:rPr>
                <w:color w:val="000000"/>
                <w:sz w:val="24"/>
              </w:rPr>
              <w:t>17,252</w:t>
            </w:r>
          </w:p>
        </w:tc>
        <w:tc>
          <w:tcPr>
            <w:vAlign w:val="center"/>
          </w:tcPr>
          <w:p>
            <w:pPr>
              <w:jc w:val="right"/>
            </w:pPr>
            <w:r>
              <w:rPr>
                <w:color w:val="000000"/>
                <w:sz w:val="24"/>
              </w:rPr>
              <w:t>23,148,630.14</w:t>
            </w:r>
          </w:p>
        </w:tc>
        <w:tc>
          <w:tcPr>
            <w:vAlign w:val="center"/>
          </w:tcPr>
          <w:p>
            <w:pPr>
              <w:jc w:val="right"/>
            </w:pPr>
            <w:r>
              <w:rPr>
                <w:color w:val="000000"/>
                <w:sz w:val="24"/>
              </w:rPr>
              <w:t>2.77</w:t>
            </w:r>
          </w:p>
        </w:tc>
      </w:tr>
      <w:tr>
        <w:tc>
          <w:tcPr>
            <w:vAlign w:val="center"/>
          </w:tcPr>
          <w:p>
            <w:pPr>
              <w:jc w:val="center"/>
            </w:pPr>
            <w:r>
              <w:rPr>
                <w:color w:val="000000"/>
                <w:sz w:val="24"/>
              </w:rPr>
              <w:t>8</w:t>
            </w:r>
          </w:p>
        </w:tc>
        <w:tc>
          <w:tcPr>
            <w:vAlign w:val="center"/>
          </w:tcPr>
          <w:p>
            <w:pPr>
              <w:jc w:val="center"/>
            </w:pPr>
            <w:r>
              <w:rPr>
                <w:color w:val="000000"/>
                <w:sz w:val="24"/>
              </w:rPr>
              <w:t>salesforce.com Inc</w:t>
            </w:r>
          </w:p>
        </w:tc>
        <w:tc>
          <w:tcPr>
            <w:vAlign w:val="center"/>
          </w:tcPr>
          <w:p>
            <w:pPr>
              <w:jc w:val="center"/>
            </w:pPr>
            <w:r>
              <w:rPr>
                <w:color w:val="000000"/>
                <w:sz w:val="24"/>
              </w:rPr>
              <w:t>-</w:t>
            </w:r>
          </w:p>
        </w:tc>
        <w:tc>
          <w:tcPr>
            <w:vAlign w:val="center"/>
          </w:tcPr>
          <w:p>
            <w:pPr>
              <w:jc w:val="center"/>
            </w:pPr>
            <w:r>
              <w:rPr>
                <w:color w:val="000000"/>
                <w:sz w:val="24"/>
              </w:rPr>
              <w:t>CRM US</w:t>
            </w:r>
          </w:p>
        </w:tc>
        <w:tc>
          <w:tcPr>
            <w:vAlign w:val="center"/>
          </w:tcPr>
          <w:p>
            <w:pPr>
              <w:jc w:val="center"/>
            </w:pPr>
            <w:r>
              <w:rPr>
                <w:color w:val="000000"/>
                <w:sz w:val="24"/>
              </w:rPr>
              <w:t>纽约证券交易所</w:t>
            </w:r>
          </w:p>
        </w:tc>
        <w:tc>
          <w:tcPr>
            <w:vAlign w:val="center"/>
          </w:tcPr>
          <w:p>
            <w:pPr>
              <w:jc w:val="center"/>
            </w:pPr>
            <w:r>
              <w:rPr>
                <w:color w:val="000000"/>
                <w:sz w:val="24"/>
              </w:rPr>
              <w:t>美国</w:t>
            </w:r>
          </w:p>
        </w:tc>
        <w:tc>
          <w:tcPr>
            <w:vAlign w:val="center"/>
          </w:tcPr>
          <w:p>
            <w:pPr>
              <w:jc w:val="right"/>
            </w:pPr>
            <w:r>
              <w:rPr>
                <w:color w:val="000000"/>
                <w:sz w:val="24"/>
              </w:rPr>
              <w:t>13,380</w:t>
            </w:r>
          </w:p>
        </w:tc>
        <w:tc>
          <w:tcPr>
            <w:vAlign w:val="center"/>
          </w:tcPr>
          <w:p>
            <w:pPr>
              <w:jc w:val="right"/>
            </w:pPr>
            <w:r>
              <w:rPr>
                <w:color w:val="000000"/>
                <w:sz w:val="24"/>
              </w:rPr>
              <w:t>22,900,061.76</w:t>
            </w:r>
          </w:p>
        </w:tc>
        <w:tc>
          <w:tcPr>
            <w:vAlign w:val="center"/>
          </w:tcPr>
          <w:p>
            <w:pPr>
              <w:jc w:val="right"/>
            </w:pPr>
            <w:r>
              <w:rPr>
                <w:color w:val="000000"/>
                <w:sz w:val="24"/>
              </w:rPr>
              <w:t>2.74</w:t>
            </w:r>
          </w:p>
        </w:tc>
      </w:tr>
      <w:tr>
        <w:tc>
          <w:tcPr>
            <w:vAlign w:val="center"/>
          </w:tcPr>
          <w:p>
            <w:pPr>
              <w:jc w:val="center"/>
            </w:pPr>
            <w:r>
              <w:rPr>
                <w:color w:val="000000"/>
                <w:sz w:val="24"/>
              </w:rPr>
              <w:t>9</w:t>
            </w:r>
          </w:p>
        </w:tc>
        <w:tc>
          <w:tcPr>
            <w:vAlign w:val="center"/>
          </w:tcPr>
          <w:p>
            <w:pPr>
              <w:jc w:val="center"/>
            </w:pPr>
            <w:r>
              <w:rPr>
                <w:color w:val="000000"/>
                <w:sz w:val="24"/>
              </w:rPr>
              <w:t>Intel Corp</w:t>
            </w:r>
          </w:p>
        </w:tc>
        <w:tc>
          <w:tcPr>
            <w:vAlign w:val="center"/>
          </w:tcPr>
          <w:p>
            <w:pPr>
              <w:jc w:val="center"/>
            </w:pPr>
            <w:r>
              <w:rPr>
                <w:color w:val="000000"/>
                <w:sz w:val="24"/>
              </w:rPr>
              <w:t>-</w:t>
            </w:r>
          </w:p>
        </w:tc>
        <w:tc>
          <w:tcPr>
            <w:vAlign w:val="center"/>
          </w:tcPr>
          <w:p>
            <w:pPr>
              <w:jc w:val="center"/>
            </w:pPr>
            <w:r>
              <w:rPr>
                <w:color w:val="000000"/>
                <w:sz w:val="24"/>
              </w:rPr>
              <w:t>INTC US</w:t>
            </w:r>
          </w:p>
        </w:tc>
        <w:tc>
          <w:tcPr>
            <w:vAlign w:val="center"/>
          </w:tcPr>
          <w:p>
            <w:pPr>
              <w:jc w:val="center"/>
            </w:pPr>
            <w:r>
              <w:rPr>
                <w:color w:val="000000"/>
                <w:sz w:val="24"/>
              </w:rPr>
              <w:t>纳斯达克证券交易所</w:t>
            </w:r>
          </w:p>
        </w:tc>
        <w:tc>
          <w:tcPr>
            <w:vAlign w:val="center"/>
          </w:tcPr>
          <w:p>
            <w:pPr>
              <w:jc w:val="center"/>
            </w:pPr>
            <w:r>
              <w:rPr>
                <w:color w:val="000000"/>
                <w:sz w:val="24"/>
              </w:rPr>
              <w:t>美国</w:t>
            </w:r>
          </w:p>
        </w:tc>
        <w:tc>
          <w:tcPr>
            <w:vAlign w:val="center"/>
          </w:tcPr>
          <w:p>
            <w:pPr>
              <w:jc w:val="right"/>
            </w:pPr>
            <w:r>
              <w:rPr>
                <w:color w:val="000000"/>
                <w:sz w:val="24"/>
              </w:rPr>
              <w:t>62,537</w:t>
            </w:r>
          </w:p>
        </w:tc>
        <w:tc>
          <w:tcPr>
            <w:vAlign w:val="center"/>
          </w:tcPr>
          <w:p>
            <w:pPr>
              <w:jc w:val="right"/>
            </w:pPr>
            <w:r>
              <w:rPr>
                <w:color w:val="000000"/>
                <w:sz w:val="24"/>
              </w:rPr>
              <w:t>22,052,233.32</w:t>
            </w:r>
          </w:p>
        </w:tc>
        <w:tc>
          <w:tcPr>
            <w:vAlign w:val="center"/>
          </w:tcPr>
          <w:p>
            <w:pPr>
              <w:jc w:val="right"/>
            </w:pPr>
            <w:r>
              <w:rPr>
                <w:color w:val="000000"/>
                <w:sz w:val="24"/>
              </w:rPr>
              <w:t>2.64</w:t>
            </w:r>
          </w:p>
        </w:tc>
      </w:tr>
      <w:tr>
        <w:tc>
          <w:tcPr>
            <w:vAlign w:val="center"/>
          </w:tcPr>
          <w:p>
            <w:pPr>
              <w:jc w:val="center"/>
            </w:pPr>
            <w:r>
              <w:rPr>
                <w:color w:val="000000"/>
                <w:sz w:val="24"/>
              </w:rPr>
              <w:t>10</w:t>
            </w:r>
          </w:p>
        </w:tc>
        <w:tc>
          <w:tcPr>
            <w:vAlign w:val="center"/>
          </w:tcPr>
          <w:p>
            <w:pPr>
              <w:jc w:val="center"/>
            </w:pPr>
            <w:r>
              <w:rPr>
                <w:color w:val="000000"/>
                <w:sz w:val="24"/>
              </w:rPr>
              <w:t>Cisco Systems Inc</w:t>
            </w:r>
          </w:p>
        </w:tc>
        <w:tc>
          <w:tcPr>
            <w:vAlign w:val="center"/>
          </w:tcPr>
          <w:p>
            <w:pPr>
              <w:jc w:val="center"/>
            </w:pPr>
            <w:r>
              <w:rPr>
                <w:color w:val="000000"/>
                <w:sz w:val="24"/>
              </w:rPr>
              <w:t>-</w:t>
            </w:r>
          </w:p>
        </w:tc>
        <w:tc>
          <w:tcPr>
            <w:vAlign w:val="center"/>
          </w:tcPr>
          <w:p>
            <w:pPr>
              <w:jc w:val="center"/>
            </w:pPr>
            <w:r>
              <w:rPr>
                <w:color w:val="000000"/>
                <w:sz w:val="24"/>
              </w:rPr>
              <w:t>CSCO US</w:t>
            </w:r>
          </w:p>
        </w:tc>
        <w:tc>
          <w:tcPr>
            <w:vAlign w:val="center"/>
          </w:tcPr>
          <w:p>
            <w:pPr>
              <w:jc w:val="center"/>
            </w:pPr>
            <w:r>
              <w:rPr>
                <w:color w:val="000000"/>
                <w:sz w:val="24"/>
              </w:rPr>
              <w:t>纳斯达克证券交易所</w:t>
            </w:r>
          </w:p>
        </w:tc>
        <w:tc>
          <w:tcPr>
            <w:vAlign w:val="center"/>
          </w:tcPr>
          <w:p>
            <w:pPr>
              <w:jc w:val="center"/>
            </w:pPr>
            <w:r>
              <w:rPr>
                <w:color w:val="000000"/>
                <w:sz w:val="24"/>
              </w:rPr>
              <w:t>美国</w:t>
            </w:r>
          </w:p>
        </w:tc>
        <w:tc>
          <w:tcPr>
            <w:vAlign w:val="center"/>
          </w:tcPr>
          <w:p>
            <w:pPr>
              <w:jc w:val="right"/>
            </w:pPr>
            <w:r>
              <w:rPr>
                <w:color w:val="000000"/>
                <w:sz w:val="24"/>
              </w:rPr>
              <w:t>62,249</w:t>
            </w:r>
          </w:p>
        </w:tc>
        <w:tc>
          <w:tcPr>
            <w:vAlign w:val="center"/>
          </w:tcPr>
          <w:p>
            <w:pPr>
              <w:jc w:val="right"/>
            </w:pPr>
            <w:r>
              <w:rPr>
                <w:color w:val="000000"/>
                <w:sz w:val="24"/>
              </w:rPr>
              <w:t>16,698,284.23</w:t>
            </w:r>
          </w:p>
        </w:tc>
        <w:tc>
          <w:tcPr>
            <w:vAlign w:val="center"/>
          </w:tcPr>
          <w:p>
            <w:pPr>
              <w:jc w:val="right"/>
            </w:pPr>
            <w:r>
              <w:rPr>
                <w:color w:val="000000"/>
                <w:sz w:val="24"/>
              </w:rPr>
              <w:t>2.00</w:t>
            </w:r>
          </w:p>
        </w:tc>
      </w:tr>
    </w:tbl>
    <w:p w:rsidP="0040658E" w:rsidR="00F13451" w:rsidRDefault="00F33530" w:rsidRPr="0040658E">
      <w:pPr>
        <w:spacing w:line="360" w:lineRule="auto"/>
        <w:ind w:firstLine="480" w:firstLineChars="200"/>
        <w:rPr>
          <w:color w:val="000000"/>
          <w:sz w:val="24"/>
        </w:rPr>
      </w:pPr>
      <w:r w:rsidRPr="00DB3360">
        <w:rPr>
          <w:color w:val="000000"/>
          <w:sz w:val="24"/>
        </w:rPr>
        <w:t/>
      </w:r>
      <w:proofErr w:type="spellStart"/>
      <w:r w:rsidRPr="00DB3360">
        <w:rPr>
          <w:color w:val="000000"/>
          <w:sz w:val="24"/>
        </w:rPr>
        <w:t/>
      </w:r>
      <w:proofErr w:type="spellEnd"/>
      <w:r w:rsidRPr="00DB3360">
        <w:rPr>
          <w:color w:val="000000"/>
          <w:sz w:val="24"/>
        </w:rPr>
        <w:t/>
      </w:r>
      <w:proofErr w:type="spellStart"/>
      <w:r w:rsidRPr="00DB3360">
        <w:rPr>
          <w:color w:val="000000"/>
          <w:sz w:val="24"/>
        </w:rPr>
        <w:t/>
      </w:r>
      <w:proofErr w:type="spellEnd"/>
      <w:r w:rsidRPr="00DB3360">
        <w:rPr>
          <w:color w:val="000000"/>
          <w:sz w:val="24"/>
        </w:rPr>
        <w:t>注：此处所用证券代码的类别是当地市场代码。</w:t>
      </w:r>
    </w:p>
    <w:p w:rsidP="0029671E" w:rsidR="00F13451" w:rsidRDefault="00F13451" w:rsidRPr="00820253">
      <w:pPr>
        <w:autoSpaceDE w:val="0"/>
        <w:autoSpaceDN w:val="0"/>
        <w:adjustRightInd w:val="0"/>
        <w:spacing w:line="360" w:lineRule="auto"/>
        <w:jc w:val="left"/>
        <w:rPr>
          <w:rFonts w:ascii="宋体" w:cs="Arial"/>
          <w:b/>
          <w:color w:val="000000"/>
          <w:kern w:val="0"/>
          <w:sz w:val="24"/>
        </w:rPr>
      </w:pPr>
      <w:r w:rsidRPr="00820253">
        <w:rPr>
          <w:rFonts w:ascii="宋体" w:cs="Arial" w:hAnsi="宋体"/>
          <w:b/>
          <w:color w:val="000000"/>
          <w:kern w:val="0"/>
          <w:sz w:val="24"/>
        </w:rPr>
        <w:t xml:space="preserve">5.5 </w:t>
      </w:r>
      <w:r w:rsidRPr="00820253">
        <w:rPr>
          <w:rFonts w:ascii="宋体" w:cs="Arial" w:hAnsi="宋体" w:hint="eastAsia"/>
          <w:b/>
          <w:color w:val="000000"/>
          <w:kern w:val="0"/>
          <w:sz w:val="24"/>
        </w:rPr>
        <w:t>报告期末按债券信用等级分类的债券投资组合</w:t>
      </w:r>
    </w:p>
    <w:p w:rsidP="00431EE1" w:rsidR="00F13451" w:rsidRDefault="00F13451" w:rsidRPr="00431EE1">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
      </w:r>
      <w:proofErr w:type="spellStart"/>
      <w:r w:rsidRPr="0040658E">
        <w:rPr>
          <w:color w:val="000000"/>
          <w:sz w:val="24"/>
        </w:rPr>
        <w:t/>
      </w:r>
      <w:proofErr w:type="spellEnd"/>
      <w:r w:rsidRPr="0040658E">
        <w:rPr>
          <w:color w:val="000000"/>
          <w:sz w:val="24"/>
        </w:rPr>
        <w:t>本基金本报告期末未持有债券。</w:t>
      </w:r>
    </w:p>
    <w:p w:rsidP="0029671E" w:rsidR="00F13451" w:rsidRDefault="00F13451" w:rsidRPr="00820253">
      <w:pPr>
        <w:autoSpaceDE w:val="0"/>
        <w:autoSpaceDN w:val="0"/>
        <w:adjustRightInd w:val="0"/>
        <w:spacing w:line="360" w:lineRule="auto"/>
        <w:jc w:val="left"/>
        <w:rPr>
          <w:rFonts w:ascii="宋体" w:cs="Arial"/>
          <w:b/>
          <w:color w:val="000000"/>
          <w:kern w:val="0"/>
          <w:sz w:val="24"/>
        </w:rPr>
      </w:pPr>
      <w:r w:rsidRPr="00820253">
        <w:rPr>
          <w:rFonts w:ascii="宋体" w:cs="Arial" w:hAnsi="宋体"/>
          <w:b/>
          <w:color w:val="000000"/>
          <w:kern w:val="0"/>
          <w:sz w:val="24"/>
        </w:rPr>
        <w:t>5.6</w:t>
      </w:r>
      <w:r w:rsidR="00476756">
        <w:rPr>
          <w:rFonts w:ascii="宋体" w:cs="Arial" w:hAnsi="宋体" w:hint="eastAsia"/>
          <w:b/>
          <w:color w:val="000000"/>
          <w:kern w:val="0"/>
          <w:sz w:val="24"/>
        </w:rPr>
        <w:t>报告期末按公允价值占基金资产净值比例大小排序</w:t>
      </w:r>
      <w:r w:rsidRPr="00820253">
        <w:rPr>
          <w:rFonts w:ascii="宋体" w:cs="Arial" w:hAnsi="宋体" w:hint="eastAsia"/>
          <w:b/>
          <w:color w:val="000000"/>
          <w:kern w:val="0"/>
          <w:sz w:val="24"/>
        </w:rPr>
        <w:t>的前五名债券投资明细</w:t>
      </w:r>
    </w:p>
    <w:p w:rsidP="00431EE1" w:rsidR="00F13451" w:rsidRDefault="00F13451" w:rsidRPr="008B041C">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
      </w:r>
      <w:proofErr w:type="spellStart"/>
      <w:r w:rsidRPr="0040658E">
        <w:rPr>
          <w:color w:val="000000"/>
          <w:sz w:val="24"/>
        </w:rPr>
        <w:t/>
      </w:r>
      <w:proofErr w:type="spellEnd"/>
      <w:r w:rsidRPr="0040658E">
        <w:rPr>
          <w:color w:val="000000"/>
          <w:sz w:val="24"/>
        </w:rPr>
        <w:t>本基金本报告期末未持有债券。</w:t>
      </w:r>
    </w:p>
    <w:p w:rsidP="0029671E" w:rsidR="00F13451" w:rsidRDefault="00F13451" w:rsidRPr="0029671E">
      <w:pPr>
        <w:autoSpaceDE w:val="0"/>
        <w:autoSpaceDN w:val="0"/>
        <w:adjustRightInd w:val="0"/>
        <w:spacing w:line="360" w:lineRule="auto"/>
        <w:jc w:val="left"/>
        <w:rPr>
          <w:rFonts w:ascii="宋体" w:cs="Arial"/>
          <w:b/>
          <w:color w:val="000000"/>
          <w:kern w:val="0"/>
          <w:sz w:val="24"/>
        </w:rPr>
      </w:pPr>
      <w:r w:rsidRPr="00820253">
        <w:rPr>
          <w:rFonts w:ascii="宋体" w:cs="Arial" w:hAnsi="宋体"/>
          <w:b/>
          <w:color w:val="000000"/>
          <w:kern w:val="0"/>
          <w:sz w:val="24"/>
        </w:rPr>
        <w:t>5.7</w:t>
      </w:r>
      <w:r w:rsidR="00476756">
        <w:rPr>
          <w:rFonts w:ascii="宋体" w:cs="Arial" w:hAnsi="宋体" w:hint="eastAsia"/>
          <w:b/>
          <w:color w:val="000000"/>
          <w:kern w:val="0"/>
          <w:sz w:val="24"/>
        </w:rPr>
        <w:t>报告期末按公允价值占基金资产净值比例大小排序</w:t>
      </w:r>
      <w:r w:rsidRPr="0029671E">
        <w:rPr>
          <w:rFonts w:ascii="宋体" w:cs="Arial" w:hAnsi="宋体" w:hint="eastAsia"/>
          <w:b/>
          <w:color w:val="000000"/>
          <w:kern w:val="0"/>
          <w:sz w:val="24"/>
        </w:rPr>
        <w:t>的前十名资产支持证券投资明细</w:t>
      </w:r>
    </w:p>
    <w:p w:rsidP="00431EE1" w:rsidR="00F13451" w:rsidRDefault="00F13451" w:rsidRPr="00431EE1">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
      </w:r>
      <w:proofErr w:type="spellStart"/>
      <w:r w:rsidRPr="0040658E">
        <w:rPr>
          <w:color w:val="000000"/>
          <w:sz w:val="24"/>
        </w:rPr>
        <w:t/>
      </w:r>
      <w:proofErr w:type="spellEnd"/>
      <w:r w:rsidRPr="0040658E">
        <w:rPr>
          <w:color w:val="000000"/>
          <w:sz w:val="24"/>
        </w:rPr>
        <w:t>本基金本报告期末未持有资产支持证券。</w:t>
      </w:r>
    </w:p>
    <w:p w:rsidP="0029671E" w:rsidR="00F13451" w:rsidRDefault="00F13451" w:rsidRPr="00820253">
      <w:pPr>
        <w:autoSpaceDE w:val="0"/>
        <w:autoSpaceDN w:val="0"/>
        <w:adjustRightInd w:val="0"/>
        <w:spacing w:line="360" w:lineRule="auto"/>
        <w:jc w:val="left"/>
        <w:rPr>
          <w:rFonts w:ascii="宋体" w:cs="Arial"/>
          <w:b/>
          <w:color w:val="000000"/>
          <w:kern w:val="0"/>
          <w:sz w:val="24"/>
        </w:rPr>
      </w:pPr>
      <w:r w:rsidRPr="00820253">
        <w:rPr>
          <w:rFonts w:ascii="宋体" w:cs="Arial" w:hAnsi="宋体"/>
          <w:b/>
          <w:color w:val="000000"/>
          <w:kern w:val="0"/>
          <w:sz w:val="24"/>
        </w:rPr>
        <w:t xml:space="preserve">5.8 </w:t>
      </w:r>
      <w:r w:rsidR="00476756">
        <w:rPr>
          <w:rFonts w:ascii="宋体" w:cs="Arial" w:hAnsi="宋体" w:hint="eastAsia"/>
          <w:b/>
          <w:color w:val="000000"/>
          <w:kern w:val="0"/>
          <w:sz w:val="24"/>
        </w:rPr>
        <w:t>报告期末按公允价值占基金资产净值比例大小排序</w:t>
      </w:r>
      <w:r w:rsidRPr="00820253">
        <w:rPr>
          <w:rFonts w:ascii="宋体" w:cs="Arial" w:hAnsi="宋体" w:hint="eastAsia"/>
          <w:b/>
          <w:color w:val="000000"/>
          <w:kern w:val="0"/>
          <w:sz w:val="24"/>
        </w:rPr>
        <w:t>的前五名金融衍生品投资明细</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0" w:lastRow="0" w:noHBand="0" w:noVBand="0" w:val="00A0"/>
      </w:tblPr>
      <w:tblGrid>
        <w:gridCol w:w="891"/>
        <w:gridCol w:w="2100"/>
        <w:gridCol w:w="1495"/>
        <w:gridCol w:w="1795"/>
        <w:gridCol w:w="2247"/>
      </w:tblGrid>
      <w:tr w:rsidR="00F13451" w:rsidRPr="00820253" w:rsidTr="00E35496">
        <w:tc>
          <w:tcPr>
            <w:tcW w:type="dxa" w:w="675"/>
          </w:tcPr>
          <w:p w:rsidP="00E35496" w:rsidR="00F13451" w:rsidRDefault="00F13451" w:rsidRPr="00431EE1">
            <w:pPr>
              <w:autoSpaceDE w:val="0"/>
              <w:autoSpaceDN w:val="0"/>
              <w:adjustRightInd w:val="0"/>
              <w:spacing w:line="360" w:lineRule="auto"/>
              <w:jc w:val="left"/>
              <w:rPr>
                <w:color w:val="000000"/>
                <w:sz w:val="24"/>
              </w:rPr>
            </w:pPr>
            <w:r w:rsidRPr="00431EE1">
              <w:rPr>
                <w:color w:val="000000"/>
                <w:kern w:val="0"/>
                <w:sz w:val="24"/>
              </w:rPr>
              <w:t>序号</w:t>
            </w:r>
          </w:p>
        </w:tc>
        <w:tc>
          <w:tcPr>
            <w:tcW w:type="dxa" w:w="2352"/>
          </w:tcPr>
          <w:p w:rsidP="00E35496" w:rsidR="00F13451" w:rsidRDefault="00F13451" w:rsidRPr="00431EE1">
            <w:pPr>
              <w:autoSpaceDE w:val="0"/>
              <w:autoSpaceDN w:val="0"/>
              <w:adjustRightInd w:val="0"/>
              <w:spacing w:line="360" w:lineRule="auto"/>
              <w:jc w:val="left"/>
              <w:rPr>
                <w:color w:val="000000"/>
                <w:sz w:val="24"/>
              </w:rPr>
            </w:pPr>
            <w:r w:rsidRPr="00431EE1">
              <w:rPr>
                <w:color w:val="000000"/>
                <w:kern w:val="0"/>
                <w:sz w:val="24"/>
              </w:rPr>
              <w:t>衍生品类别</w:t>
            </w:r>
          </w:p>
        </w:tc>
        <w:tc>
          <w:tcPr>
            <w:tcW w:type="dxa" w:w="1513"/>
          </w:tcPr>
          <w:p w:rsidP="00E35496" w:rsidR="00F13451" w:rsidRDefault="00F13451" w:rsidRPr="00431EE1">
            <w:pPr>
              <w:autoSpaceDE w:val="0"/>
              <w:autoSpaceDN w:val="0"/>
              <w:adjustRightInd w:val="0"/>
              <w:spacing w:line="360" w:lineRule="auto"/>
              <w:jc w:val="left"/>
              <w:rPr>
                <w:color w:val="000000"/>
                <w:sz w:val="24"/>
              </w:rPr>
            </w:pPr>
            <w:r w:rsidRPr="00431EE1">
              <w:rPr>
                <w:color w:val="000000"/>
                <w:kern w:val="0"/>
                <w:sz w:val="24"/>
              </w:rPr>
              <w:t>衍生品名称</w:t>
            </w:r>
          </w:p>
        </w:tc>
        <w:tc>
          <w:tcPr>
            <w:tcW w:type="dxa" w:w="1754"/>
          </w:tcPr>
          <w:p w:rsidP="00E35496" w:rsidR="00F13451" w:rsidRDefault="00F13451" w:rsidRPr="00431EE1">
            <w:pPr>
              <w:autoSpaceDE w:val="0"/>
              <w:autoSpaceDN w:val="0"/>
              <w:adjustRightInd w:val="0"/>
              <w:spacing w:before="29" w:line="360" w:lineRule="auto"/>
              <w:ind w:left="15"/>
              <w:jc w:val="center"/>
              <w:rPr>
                <w:color w:val="000000"/>
                <w:kern w:val="0"/>
                <w:sz w:val="24"/>
              </w:rPr>
            </w:pPr>
            <w:r w:rsidRPr="00431EE1">
              <w:rPr>
                <w:color w:val="000000"/>
                <w:kern w:val="0"/>
                <w:sz w:val="24"/>
              </w:rPr>
              <w:t>公允价值</w:t>
            </w:r>
          </w:p>
          <w:p w:rsidP="00284EC5" w:rsidR="00F13451" w:rsidRDefault="00284EC5" w:rsidRPr="00431EE1">
            <w:pPr>
              <w:autoSpaceDE w:val="0"/>
              <w:autoSpaceDN w:val="0"/>
              <w:adjustRightInd w:val="0"/>
              <w:spacing w:line="360" w:lineRule="auto"/>
              <w:jc w:val="left"/>
              <w:rPr>
                <w:color w:val="000000"/>
                <w:sz w:val="24"/>
              </w:rPr>
            </w:pPr>
            <w:r w:rsidRPr="00431EE1">
              <w:rPr>
                <w:color w:val="000000"/>
                <w:kern w:val="0"/>
                <w:sz w:val="24"/>
              </w:rPr>
              <w:t>（人民币元）</w:t>
            </w:r>
          </w:p>
        </w:tc>
        <w:tc>
          <w:tcPr>
            <w:tcW w:type="dxa" w:w="2234"/>
          </w:tcPr>
          <w:p w:rsidP="00E35496" w:rsidR="00F13451" w:rsidRDefault="00F13451" w:rsidRPr="00431EE1">
            <w:pPr>
              <w:autoSpaceDE w:val="0"/>
              <w:autoSpaceDN w:val="0"/>
              <w:adjustRightInd w:val="0"/>
              <w:spacing w:before="29" w:line="360" w:lineRule="auto"/>
              <w:ind w:left="15"/>
              <w:jc w:val="center"/>
              <w:rPr>
                <w:color w:val="000000"/>
                <w:kern w:val="0"/>
                <w:sz w:val="24"/>
              </w:rPr>
            </w:pPr>
            <w:r w:rsidRPr="00431EE1">
              <w:rPr>
                <w:color w:val="000000"/>
                <w:kern w:val="0"/>
                <w:sz w:val="24"/>
              </w:rPr>
              <w:t>占基金资产</w:t>
            </w:r>
          </w:p>
          <w:p w:rsidP="00E35496" w:rsidR="00F13451" w:rsidRDefault="00F13451" w:rsidRPr="00431EE1">
            <w:pPr>
              <w:autoSpaceDE w:val="0"/>
              <w:autoSpaceDN w:val="0"/>
              <w:adjustRightInd w:val="0"/>
              <w:spacing w:line="360" w:lineRule="auto"/>
              <w:jc w:val="left"/>
              <w:rPr>
                <w:color w:val="000000"/>
                <w:sz w:val="24"/>
              </w:rPr>
            </w:pPr>
            <w:r w:rsidRPr="00431EE1">
              <w:rPr>
                <w:color w:val="000000"/>
                <w:kern w:val="0"/>
                <w:sz w:val="24"/>
              </w:rPr>
              <w:t>净值比例（</w:t>
            </w:r>
            <w:r w:rsidRPr="00431EE1">
              <w:rPr>
                <w:color w:val="000000"/>
                <w:kern w:val="0"/>
                <w:sz w:val="24"/>
              </w:rPr>
              <w:t>%</w:t>
            </w:r>
            <w:r w:rsidRPr="00431EE1">
              <w:rPr>
                <w:color w:val="000000"/>
                <w:kern w:val="0"/>
                <w:sz w:val="24"/>
              </w:rPr>
              <w:t>）</w:t>
            </w:r>
          </w:p>
        </w:tc>
      </w:tr>
      <w:tr>
        <w:tc>
          <w:tcPr>
            <w:vAlign w:val="center"/>
          </w:tcPr>
          <w:p>
            <w:pPr>
              <w:jc w:val="center"/>
            </w:pPr>
            <w:r>
              <w:rPr>
                <w:color w:val="000000"/>
                <w:sz w:val="24"/>
              </w:rPr>
              <w:t>1</w:t>
            </w:r>
          </w:p>
        </w:tc>
        <w:tc>
          <w:tcPr>
            <w:vAlign w:val="center"/>
          </w:tcPr>
          <w:p>
            <w:pPr>
              <w:jc w:val="center"/>
            </w:pPr>
            <w:r>
              <w:rPr>
                <w:color w:val="000000"/>
                <w:sz w:val="24"/>
              </w:rPr>
              <w:t>股指期货</w:t>
            </w:r>
          </w:p>
        </w:tc>
        <w:tc>
          <w:tcPr>
            <w:vAlign w:val="center"/>
          </w:tcPr>
          <w:p>
            <w:pPr>
              <w:jc w:val="center"/>
            </w:pPr>
            <w:r>
              <w:rPr>
                <w:color w:val="000000"/>
                <w:sz w:val="24"/>
              </w:rPr>
              <w:t>NASDAQ 100 E-MINI Dec20</w:t>
            </w:r>
          </w:p>
        </w:tc>
        <w:tc>
          <w:tcPr>
            <w:vAlign w:val="center"/>
          </w:tcPr>
          <w:p>
            <w:pPr>
              <w:jc w:val="right"/>
            </w:pPr>
            <w:r>
              <w:rPr>
                <w:color w:val="000000"/>
                <w:sz w:val="24"/>
              </w:rPr>
              <w:t>-</w:t>
            </w:r>
          </w:p>
        </w:tc>
        <w:tc>
          <w:tcPr>
            <w:vAlign w:val="center"/>
          </w:tcPr>
          <w:p>
            <w:pPr>
              <w:jc w:val="right"/>
            </w:pPr>
            <w:r>
              <w:rPr>
                <w:color w:val="000000"/>
                <w:sz w:val="24"/>
              </w:rPr>
              <w:t>-</w:t>
            </w:r>
          </w:p>
        </w:tc>
      </w:tr>
    </w:tbl>
    <w:p w:rsidP="00431EE1" w:rsidR="00F13451" w:rsidRDefault="00F13451" w:rsidRPr="00431EE1">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
      </w:r>
      <w:proofErr w:type="spellStart"/>
      <w:r w:rsidRPr="0040658E">
        <w:rPr>
          <w:color w:val="000000"/>
          <w:sz w:val="24"/>
        </w:rPr>
        <w:t/>
      </w:r>
      <w:proofErr w:type="spellEnd"/>
      <w:r w:rsidRPr="0040658E">
        <w:rPr>
          <w:color w:val="000000"/>
          <w:sz w:val="24"/>
        </w:rPr>
        <w:t>注：按照期货每日无负债结算的结算规则，根据《基金股指期货投资会计业务核算细则(试行)》及《企业会计准则-金融工具列报》的相关规定，“其他衍生工具-期货投资”与“证券清算款-期货每日无负债结算暂收暂付款”，符合金融资产与金融负债相抵销的条件，故将“其他衍生工具-期货投资”的期末公允价值以抵销后的净额列报，净额为零。期货投资的公允价值变动金额为45,029.71元，已包含在结算备付金中。</w:t>
      </w:r>
    </w:p>
    <w:p w:rsidP="0029671E" w:rsidR="00F13451" w:rsidRDefault="00F13451" w:rsidRPr="0029671E">
      <w:pPr>
        <w:autoSpaceDE w:val="0"/>
        <w:autoSpaceDN w:val="0"/>
        <w:adjustRightInd w:val="0"/>
        <w:spacing w:line="360" w:lineRule="auto"/>
        <w:jc w:val="left"/>
        <w:rPr>
          <w:rFonts w:ascii="宋体" w:cs="Arial"/>
          <w:b/>
          <w:color w:val="000000"/>
          <w:kern w:val="0"/>
          <w:sz w:val="24"/>
        </w:rPr>
      </w:pPr>
      <w:r w:rsidRPr="00820253">
        <w:rPr>
          <w:rFonts w:ascii="宋体" w:cs="Arial" w:hAnsi="宋体"/>
          <w:b/>
          <w:color w:val="000000"/>
          <w:kern w:val="0"/>
          <w:sz w:val="24"/>
        </w:rPr>
        <w:t>5.9</w:t>
      </w:r>
      <w:r w:rsidRPr="0029671E">
        <w:rPr>
          <w:rFonts w:ascii="宋体" w:cs="Arial" w:hAnsi="宋体" w:hint="eastAsia"/>
          <w:b/>
          <w:color w:val="000000"/>
          <w:kern w:val="0"/>
          <w:sz w:val="24"/>
        </w:rPr>
        <w:t>报告期末按公允价值占基金资产净值比例大小排序的前十名基金投资明细</w:t>
      </w:r>
    </w:p>
    <w:p w:rsidP="00431EE1" w:rsidR="00F13451" w:rsidRDefault="00F13451" w:rsidRPr="00431EE1">
      <w:pPr>
        <w:spacing w:line="360" w:lineRule="auto"/>
        <w:ind w:firstLine="480" w:firstLineChars="200"/>
        <w:rPr>
          <w:color w:val="000000"/>
          <w:sz w:val="24"/>
        </w:rPr>
      </w:pPr>
      <w:r w:rsidRPr="0040658E">
        <w:rPr>
          <w:color w:val="000000"/>
          <w:sz w:val="24"/>
        </w:rPr>
        <w:lastRenderedPageBreak/>
        <w:t/>
      </w:r>
      <w:proofErr w:type="spellStart"/>
      <w:r w:rsidRPr="0040658E">
        <w:rPr>
          <w:color w:val="000000"/>
          <w:sz w:val="24"/>
        </w:rPr>
        <w:t/>
      </w:r>
      <w:proofErr w:type="spellEnd"/>
      <w:r w:rsidRPr="0040658E">
        <w:rPr>
          <w:color w:val="000000"/>
          <w:sz w:val="24"/>
        </w:rPr>
        <w:t/>
      </w:r>
      <w:proofErr w:type="spellStart"/>
      <w:r w:rsidRPr="0040658E">
        <w:rPr>
          <w:color w:val="000000"/>
          <w:sz w:val="24"/>
        </w:rPr>
        <w:t/>
      </w:r>
      <w:proofErr w:type="spellEnd"/>
      <w:r w:rsidRPr="0040658E">
        <w:rPr>
          <w:color w:val="000000"/>
          <w:sz w:val="24"/>
        </w:rPr>
        <w:t>本基金本报告期末未持有基金。</w:t>
      </w:r>
    </w:p>
    <w:p w:rsidP="00A33DF2" w:rsidR="00F13451" w:rsidRDefault="00F13451" w:rsidRPr="00820253">
      <w:pPr>
        <w:autoSpaceDE w:val="0"/>
        <w:autoSpaceDN w:val="0"/>
        <w:adjustRightInd w:val="0"/>
        <w:spacing w:line="360" w:lineRule="auto"/>
        <w:jc w:val="left"/>
        <w:rPr>
          <w:rFonts w:ascii="宋体" w:cs="Arial"/>
          <w:b/>
          <w:color w:val="000000"/>
          <w:kern w:val="0"/>
          <w:sz w:val="24"/>
        </w:rPr>
      </w:pPr>
      <w:r w:rsidRPr="00820253">
        <w:rPr>
          <w:rFonts w:ascii="宋体" w:cs="Arial" w:hAnsi="宋体"/>
          <w:b/>
          <w:color w:val="000000"/>
          <w:kern w:val="0"/>
          <w:sz w:val="24"/>
        </w:rPr>
        <w:t xml:space="preserve">5.10 </w:t>
      </w:r>
      <w:r w:rsidRPr="00820253">
        <w:rPr>
          <w:rFonts w:ascii="宋体" w:cs="Arial" w:hAnsi="宋体" w:hint="eastAsia"/>
          <w:b/>
          <w:color w:val="000000"/>
          <w:kern w:val="0"/>
          <w:sz w:val="24"/>
        </w:rPr>
        <w:t>投资组合报告附注</w:t>
      </w:r>
    </w:p>
    <w:p>
      <w:pPr>
        <w:spacing w:line="360" w:lineRule="auto"/>
        <w:rPr>
          <w:rFonts w:ascii="宋体" w:hAnsi="宋体"/>
          <w:color w:val="000000"/>
          <w:sz w:val="24"/>
        </w:rPr>
      </w:pPr>
      <w:r>
        <w:rPr>
          <w:color w:val="000000"/>
          <w:sz w:val="24"/>
        </w:rPr>
        <w:t>2019年11月25日，苹果公司由于违反美国制裁法规，被处以46.7万美元的罚款。</w:t>
      </w:r>
    </w:p>
    <w:p>
      <w:pPr>
        <w:spacing w:line="360" w:lineRule="auto"/>
        <w:rPr>
          <w:rFonts w:ascii="宋体" w:hAnsi="宋体"/>
          <w:color w:val="000000"/>
          <w:sz w:val="24"/>
        </w:rPr>
      </w:pPr>
      <w:r>
        <w:rPr>
          <w:color w:val="000000"/>
          <w:sz w:val="24"/>
        </w:rPr>
        <w:t>2020年2月7日，苹果公司被法国竞争和欺诈监管机构DGCCRF罚款2500万欧元，原因是该公司未告知用户IOS系统更新，可能导致iPhone6、SE和7降速。</w:t>
      </w:r>
    </w:p>
    <w:p>
      <w:pPr>
        <w:spacing w:line="360" w:lineRule="auto"/>
        <w:rPr>
          <w:rFonts w:ascii="宋体" w:hAnsi="宋体"/>
          <w:color w:val="000000"/>
          <w:sz w:val="24"/>
        </w:rPr>
      </w:pPr>
      <w:r>
        <w:rPr>
          <w:color w:val="000000"/>
          <w:sz w:val="24"/>
        </w:rPr>
        <w:t>2020年3月16日，法国反垄断监管机构对苹果公司（Apple Inc.）处以创纪录的11亿欧元（约合12亿美元）罚款，依据是该公司与供应商达成协议，对独立经销商构成不正当竞争。</w:t>
      </w:r>
    </w:p>
    <w:p>
      <w:pPr>
        <w:spacing w:line="360" w:lineRule="auto"/>
        <w:rPr>
          <w:rFonts w:ascii="宋体" w:hAnsi="宋体"/>
          <w:color w:val="000000"/>
          <w:sz w:val="24"/>
        </w:rPr>
      </w:pPr>
      <w:r>
        <w:rPr>
          <w:color w:val="000000"/>
          <w:sz w:val="24"/>
        </w:rPr>
        <w:t>2020年9月7日，意大利竞争管理局（ACGM）向苹果公司发起反垄断调查。</w:t>
      </w:r>
    </w:p>
    <w:p>
      <w:pPr>
        <w:spacing w:line="360" w:lineRule="auto"/>
        <w:rPr>
          <w:rFonts w:ascii="宋体" w:hAnsi="宋体"/>
          <w:color w:val="000000"/>
          <w:sz w:val="24"/>
        </w:rPr>
      </w:pPr>
      <w:r>
        <w:rPr>
          <w:color w:val="000000"/>
          <w:sz w:val="24"/>
        </w:rPr>
        <w:t>2020年7月31日，VISA公告其正在被欧盟委员会（EC）调查，调查内容关于VISA数字钱包服务中的反欺诈和反洗钱审核。</w:t>
      </w:r>
    </w:p>
    <w:p w:rsidP="00A33DF2" w:rsidR="00F13451" w:rsidRDefault="00F13451" w:rsidRPr="00820253">
      <w:pPr>
        <w:spacing w:line="360" w:lineRule="auto"/>
        <w:rPr>
          <w:rFonts w:ascii="宋体" w:hAnsi="宋体"/>
          <w:color w:val="000000"/>
          <w:sz w:val="24"/>
        </w:rPr>
      </w:pPr>
      <w:r w:rsidRPr="00820253">
        <w:rPr>
          <w:rFonts w:ascii="宋体" w:hAnsi="宋体"/>
          <w:color w:val="000000"/>
          <w:sz w:val="24"/>
        </w:rPr>
        <w:t>5.10.1</w:t>
      </w:r>
      <w:r w:rsidR="00D623A3">
        <w:rPr>
          <w:rFonts w:ascii="宋体" w:hAnsi="宋体" w:hint="eastAsia"/>
          <w:color w:val="000000"/>
          <w:sz w:val="24"/>
        </w:rPr>
        <w:t xml:space="preserve"> </w:t>
      </w:r>
      <w:r w:rsidRPr="00431EE1">
        <w:rPr>
          <w:color w:val="000000"/>
          <w:sz w:val="24"/>
        </w:rPr>
        <w:t/>
      </w:r>
      <w:proofErr w:type="gramStart"/>
      <w:r w:rsidRPr="00431EE1">
        <w:rPr>
          <w:color w:val="000000"/>
          <w:sz w:val="24"/>
        </w:rPr>
        <w:t/>
      </w:r>
      <w:proofErr w:type="gramEnd"/>
      <w:r w:rsidRPr="00431EE1">
        <w:rPr>
          <w:color w:val="000000"/>
          <w:sz w:val="24"/>
        </w:rPr>
        <w:t>本基金为指数型基金，上述股票系标的指数成份股，上述股票的投资决策程序符合公司投资制度的规定。除苹果、VISA外，本基金投资的其他前十名证券的发行主体本期没有出现被监管部门立案调查，或在报告编制日前一年内受到公开谴责、处罚的情形。</w:t>
      </w:r>
    </w:p>
    <w:p w:rsidP="00A33DF2" w:rsidR="00F13451" w:rsidRDefault="00F13451" w:rsidRPr="00431EE1">
      <w:pPr>
        <w:spacing w:line="360" w:lineRule="auto"/>
        <w:rPr>
          <w:rFonts w:ascii="Verdana" w:hAnsi="Verdana"/>
          <w:color w:val="000000"/>
          <w:sz w:val="24"/>
        </w:rPr>
      </w:pPr>
      <w:r w:rsidRPr="00820253">
        <w:rPr>
          <w:rFonts w:ascii="宋体" w:hAnsi="宋体"/>
          <w:color w:val="000000"/>
          <w:sz w:val="24"/>
        </w:rPr>
        <w:t>5.10.2</w:t>
      </w:r>
      <w:r w:rsidR="00D623A3">
        <w:rPr>
          <w:rFonts w:ascii="宋体" w:hAnsi="宋体" w:hint="eastAsia"/>
          <w:color w:val="000000"/>
          <w:sz w:val="24"/>
        </w:rPr>
        <w:t xml:space="preserve"> </w:t>
      </w:r>
      <w:r w:rsidRPr="00431EE1">
        <w:rPr>
          <w:color w:val="000000"/>
          <w:sz w:val="24"/>
        </w:rPr>
        <w:t>本基金投资的前十名股票没有超出基金合同规定的备选股票库。</w:t>
      </w:r>
    </w:p>
    <w:p w:rsidP="00A33DF2" w:rsidR="00F13451" w:rsidRDefault="00F13451" w:rsidRPr="005771AC">
      <w:pPr>
        <w:autoSpaceDE w:val="0"/>
        <w:autoSpaceDN w:val="0"/>
        <w:adjustRightInd w:val="0"/>
        <w:spacing w:line="360" w:lineRule="auto"/>
        <w:jc w:val="left"/>
        <w:rPr>
          <w:rFonts w:ascii="宋体" w:cs="Arial"/>
          <w:color w:val="000000"/>
          <w:kern w:val="0"/>
          <w:sz w:val="24"/>
        </w:rPr>
      </w:pPr>
      <w:r w:rsidRPr="005771AC">
        <w:rPr>
          <w:rFonts w:ascii="宋体" w:cs="Arial" w:hAnsi="宋体"/>
          <w:color w:val="000000"/>
          <w:kern w:val="0"/>
          <w:sz w:val="24"/>
        </w:rPr>
        <w:t>5.10.3</w:t>
      </w:r>
      <w:r w:rsidR="00320493">
        <w:rPr>
          <w:rFonts w:ascii="宋体" w:cs="Arial" w:hAnsi="宋体" w:hint="eastAsia"/>
          <w:color w:val="000000"/>
          <w:kern w:val="0"/>
          <w:sz w:val="24"/>
        </w:rPr>
        <w:t>其他</w:t>
      </w:r>
      <w:r w:rsidRPr="005771AC">
        <w:rPr>
          <w:rFonts w:ascii="宋体" w:cs="Arial" w:hAnsi="宋体" w:hint="eastAsia"/>
          <w:color w:val="000000"/>
          <w:kern w:val="0"/>
          <w:sz w:val="24"/>
        </w:rPr>
        <w:t>资产构成</w:t>
      </w:r>
    </w:p>
    <w:tbl>
      <w:tblPr>
        <w:tblW w:type="auto" w:w="0"/>
        <w:tblInd w:type="dxa" w:w="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02"/>
        <w:gridCol w:w="2903"/>
        <w:gridCol w:w="4808"/>
      </w:tblGrid>
      <w:tr w:rsidR="00AA7BBE" w:rsidRPr="002149AE" w:rsidTr="00870C27">
        <w:tc>
          <w:tcPr>
            <w:tcW w:type="dxa" w:w="802"/>
            <w:vAlign w:val="center"/>
          </w:tcPr>
          <w:p w:rsidP="00870C27" w:rsidR="00AA7BBE" w:rsidRDefault="00AA7BBE" w:rsidRPr="00431EE1">
            <w:pPr>
              <w:autoSpaceDE w:val="0"/>
              <w:autoSpaceDN w:val="0"/>
              <w:adjustRightInd w:val="0"/>
              <w:spacing w:before="29" w:line="360" w:lineRule="auto"/>
              <w:ind w:left="17"/>
              <w:jc w:val="center"/>
              <w:rPr>
                <w:color w:val="000000"/>
                <w:kern w:val="0"/>
                <w:sz w:val="24"/>
              </w:rPr>
            </w:pPr>
            <w:r w:rsidRPr="00431EE1">
              <w:rPr>
                <w:color w:val="000000"/>
                <w:kern w:val="0"/>
                <w:sz w:val="24"/>
              </w:rPr>
              <w:t>序号</w:t>
            </w:r>
          </w:p>
        </w:tc>
        <w:tc>
          <w:tcPr>
            <w:tcW w:type="dxa" w:w="2903"/>
            <w:vAlign w:val="center"/>
          </w:tcPr>
          <w:p w:rsidP="00870C27" w:rsidR="00AA7BBE" w:rsidRDefault="00AA7BBE" w:rsidRPr="00431EE1">
            <w:pPr>
              <w:autoSpaceDE w:val="0"/>
              <w:autoSpaceDN w:val="0"/>
              <w:adjustRightInd w:val="0"/>
              <w:spacing w:before="29" w:line="360" w:lineRule="auto"/>
              <w:ind w:left="17"/>
              <w:jc w:val="center"/>
              <w:rPr>
                <w:color w:val="000000"/>
                <w:kern w:val="0"/>
                <w:sz w:val="24"/>
              </w:rPr>
            </w:pPr>
            <w:r w:rsidRPr="00431EE1">
              <w:rPr>
                <w:color w:val="000000"/>
                <w:kern w:val="0"/>
                <w:sz w:val="24"/>
              </w:rPr>
              <w:t>名称</w:t>
            </w:r>
          </w:p>
        </w:tc>
        <w:tc>
          <w:tcPr>
            <w:tcW w:type="dxa" w:w="4808"/>
            <w:vAlign w:val="center"/>
          </w:tcPr>
          <w:p w:rsidP="00870C27" w:rsidR="00AA7BBE" w:rsidRDefault="00AA7BBE" w:rsidRPr="00431EE1">
            <w:pPr>
              <w:autoSpaceDE w:val="0"/>
              <w:autoSpaceDN w:val="0"/>
              <w:adjustRightInd w:val="0"/>
              <w:spacing w:before="29" w:line="360" w:lineRule="auto"/>
              <w:ind w:left="17"/>
              <w:jc w:val="center"/>
              <w:rPr>
                <w:color w:val="000000"/>
                <w:kern w:val="0"/>
                <w:sz w:val="24"/>
              </w:rPr>
            </w:pPr>
            <w:r w:rsidRPr="00431EE1">
              <w:rPr>
                <w:color w:val="000000"/>
                <w:kern w:val="0"/>
                <w:sz w:val="24"/>
              </w:rPr>
              <w:t>金额</w:t>
            </w:r>
            <w:r w:rsidRPr="00431EE1">
              <w:rPr>
                <w:color w:val="000000"/>
                <w:kern w:val="0"/>
                <w:sz w:val="24"/>
              </w:rPr>
              <w:t>(</w:t>
            </w:r>
            <w:r w:rsidRPr="00431EE1">
              <w:rPr>
                <w:color w:val="000000"/>
                <w:kern w:val="0"/>
                <w:sz w:val="24"/>
              </w:rPr>
              <w:t>人民币元</w:t>
            </w:r>
            <w:r w:rsidRPr="00431EE1">
              <w:rPr>
                <w:color w:val="000000"/>
                <w:kern w:val="0"/>
                <w:sz w:val="24"/>
              </w:rPr>
              <w:t>)</w:t>
            </w:r>
          </w:p>
        </w:tc>
      </w:tr>
      <w:tr w:rsidR="00AA7BBE" w:rsidRPr="002149AE" w:rsidTr="00870C27">
        <w:tc>
          <w:tcPr>
            <w:tcW w:type="dxa" w:w="802"/>
            <w:vAlign w:val="center"/>
          </w:tcPr>
          <w:p w:rsidP="00870C27" w:rsidR="00AA7BBE" w:rsidRDefault="00AA7BBE" w:rsidRPr="00431EE1">
            <w:pPr>
              <w:autoSpaceDE w:val="0"/>
              <w:autoSpaceDN w:val="0"/>
              <w:adjustRightInd w:val="0"/>
              <w:spacing w:before="29" w:line="360" w:lineRule="auto"/>
              <w:ind w:left="15"/>
              <w:jc w:val="center"/>
              <w:rPr>
                <w:color w:val="000000"/>
                <w:kern w:val="0"/>
                <w:sz w:val="24"/>
              </w:rPr>
            </w:pPr>
            <w:r w:rsidRPr="00431EE1">
              <w:rPr>
                <w:color w:val="000000"/>
                <w:sz w:val="24"/>
              </w:rPr>
              <w:t>1</w:t>
            </w:r>
          </w:p>
        </w:tc>
        <w:tc>
          <w:tcPr>
            <w:tcW w:type="dxa" w:w="2903"/>
            <w:vAlign w:val="center"/>
          </w:tcPr>
          <w:p w:rsidP="00870C27" w:rsidR="00AA7BBE" w:rsidRDefault="00AA7BBE" w:rsidRPr="00431EE1">
            <w:pPr>
              <w:autoSpaceDE w:val="0"/>
              <w:autoSpaceDN w:val="0"/>
              <w:adjustRightInd w:val="0"/>
              <w:spacing w:before="29" w:line="360" w:lineRule="auto"/>
              <w:ind w:left="15"/>
              <w:jc w:val="left"/>
              <w:rPr>
                <w:color w:val="000000"/>
                <w:kern w:val="0"/>
                <w:sz w:val="24"/>
              </w:rPr>
            </w:pPr>
            <w:r w:rsidRPr="00431EE1">
              <w:rPr>
                <w:color w:val="000000"/>
                <w:kern w:val="0"/>
                <w:sz w:val="24"/>
              </w:rPr>
              <w:t>存出保证金</w:t>
            </w:r>
          </w:p>
        </w:tc>
        <w:tc>
          <w:tcPr>
            <w:tcW w:type="dxa" w:w="4808"/>
            <w:vAlign w:val="center"/>
          </w:tcPr>
          <w:p w:rsidP="00870C27" w:rsidR="00AA7BBE" w:rsidRDefault="00AA7BBE" w:rsidRPr="00431EE1">
            <w:pPr>
              <w:autoSpaceDE w:val="0"/>
              <w:autoSpaceDN w:val="0"/>
              <w:adjustRightInd w:val="0"/>
              <w:spacing w:before="29" w:line="360" w:lineRule="auto"/>
              <w:ind w:left="15"/>
              <w:jc w:val="right"/>
              <w:rPr>
                <w:color w:val="000000"/>
                <w:kern w:val="0"/>
                <w:sz w:val="24"/>
              </w:rPr>
            </w:pPr>
            <w:r w:rsidRPr="00431EE1">
              <w:rPr>
                <w:color w:val="000000"/>
                <w:kern w:val="0"/>
                <w:sz w:val="24"/>
              </w:rPr>
              <w:t/>
            </w:r>
            <w:proofErr w:type="spellStart"/>
            <w:r w:rsidRPr="00431EE1">
              <w:rPr>
                <w:color w:val="000000"/>
                <w:kern w:val="0"/>
                <w:sz w:val="24"/>
              </w:rPr>
              <w:t/>
            </w:r>
            <w:proofErr w:type="spellEnd"/>
            <w:r w:rsidRPr="00431EE1">
              <w:rPr>
                <w:color w:val="000000"/>
                <w:kern w:val="0"/>
                <w:sz w:val="24"/>
              </w:rPr>
              <w:t>862,975.87</w:t>
            </w:r>
          </w:p>
        </w:tc>
      </w:tr>
      <w:tr w:rsidR="00AA7BBE" w:rsidRPr="002149AE" w:rsidTr="00870C27">
        <w:tc>
          <w:tcPr>
            <w:tcW w:type="dxa" w:w="802"/>
            <w:vAlign w:val="center"/>
          </w:tcPr>
          <w:p w:rsidP="00870C27" w:rsidR="00AA7BBE" w:rsidRDefault="00AA7BBE" w:rsidRPr="00431EE1">
            <w:pPr>
              <w:autoSpaceDE w:val="0"/>
              <w:autoSpaceDN w:val="0"/>
              <w:adjustRightInd w:val="0"/>
              <w:spacing w:before="29" w:line="360" w:lineRule="auto"/>
              <w:ind w:left="15"/>
              <w:jc w:val="center"/>
              <w:rPr>
                <w:color w:val="000000"/>
                <w:sz w:val="24"/>
              </w:rPr>
            </w:pPr>
            <w:r w:rsidRPr="00431EE1">
              <w:rPr>
                <w:color w:val="000000"/>
                <w:sz w:val="24"/>
              </w:rPr>
              <w:t>2</w:t>
            </w:r>
          </w:p>
        </w:tc>
        <w:tc>
          <w:tcPr>
            <w:tcW w:type="dxa" w:w="2903"/>
            <w:vAlign w:val="center"/>
          </w:tcPr>
          <w:p w:rsidP="00870C27" w:rsidR="00AA7BBE" w:rsidRDefault="00AA7BBE" w:rsidRPr="00431EE1">
            <w:pPr>
              <w:autoSpaceDE w:val="0"/>
              <w:autoSpaceDN w:val="0"/>
              <w:adjustRightInd w:val="0"/>
              <w:spacing w:before="29" w:line="360" w:lineRule="auto"/>
              <w:ind w:left="15"/>
              <w:jc w:val="left"/>
              <w:rPr>
                <w:color w:val="000000"/>
                <w:kern w:val="0"/>
                <w:sz w:val="24"/>
              </w:rPr>
            </w:pPr>
            <w:r w:rsidRPr="00431EE1">
              <w:rPr>
                <w:color w:val="000000"/>
                <w:kern w:val="0"/>
                <w:sz w:val="24"/>
              </w:rPr>
              <w:t>应收证券清算款</w:t>
            </w:r>
          </w:p>
        </w:tc>
        <w:tc>
          <w:tcPr>
            <w:tcW w:type="dxa" w:w="4808"/>
            <w:vAlign w:val="center"/>
          </w:tcPr>
          <w:p w:rsidP="00870C27" w:rsidR="00AA7BBE" w:rsidRDefault="00AA7BBE" w:rsidRPr="00431EE1">
            <w:pPr>
              <w:autoSpaceDE w:val="0"/>
              <w:autoSpaceDN w:val="0"/>
              <w:adjustRightInd w:val="0"/>
              <w:spacing w:before="29" w:line="360" w:lineRule="auto"/>
              <w:ind w:left="15"/>
              <w:jc w:val="right"/>
              <w:rPr>
                <w:color w:val="000000"/>
                <w:kern w:val="0"/>
                <w:sz w:val="24"/>
              </w:rPr>
            </w:pPr>
            <w:r w:rsidRPr="00431EE1">
              <w:rPr>
                <w:color w:val="000000"/>
                <w:kern w:val="0"/>
                <w:sz w:val="24"/>
              </w:rPr>
              <w:t/>
            </w:r>
            <w:proofErr w:type="spellStart"/>
            <w:r w:rsidRPr="00431EE1">
              <w:rPr>
                <w:color w:val="000000"/>
                <w:kern w:val="0"/>
                <w:sz w:val="24"/>
              </w:rPr>
              <w:t/>
            </w:r>
            <w:proofErr w:type="spellEnd"/>
            <w:r w:rsidRPr="00431EE1">
              <w:rPr>
                <w:color w:val="000000"/>
                <w:kern w:val="0"/>
                <w:sz w:val="24"/>
              </w:rPr>
              <w:t>-</w:t>
            </w:r>
          </w:p>
        </w:tc>
      </w:tr>
      <w:tr w:rsidR="00AA7BBE" w:rsidRPr="002149AE" w:rsidTr="00870C27">
        <w:tc>
          <w:tcPr>
            <w:tcW w:type="dxa" w:w="802"/>
            <w:vAlign w:val="center"/>
          </w:tcPr>
          <w:p w:rsidP="00870C27" w:rsidR="00AA7BBE" w:rsidRDefault="00AA7BBE" w:rsidRPr="00431EE1">
            <w:pPr>
              <w:autoSpaceDE w:val="0"/>
              <w:autoSpaceDN w:val="0"/>
              <w:adjustRightInd w:val="0"/>
              <w:spacing w:before="29" w:line="360" w:lineRule="auto"/>
              <w:ind w:left="15"/>
              <w:jc w:val="center"/>
              <w:rPr>
                <w:color w:val="000000"/>
                <w:sz w:val="24"/>
              </w:rPr>
            </w:pPr>
            <w:r w:rsidRPr="00431EE1">
              <w:rPr>
                <w:color w:val="000000"/>
                <w:sz w:val="24"/>
              </w:rPr>
              <w:t>3</w:t>
            </w:r>
          </w:p>
        </w:tc>
        <w:tc>
          <w:tcPr>
            <w:tcW w:type="dxa" w:w="2903"/>
            <w:vAlign w:val="center"/>
          </w:tcPr>
          <w:p w:rsidP="00870C27" w:rsidR="00AA7BBE" w:rsidRDefault="00AA7BBE" w:rsidRPr="00431EE1">
            <w:pPr>
              <w:autoSpaceDE w:val="0"/>
              <w:autoSpaceDN w:val="0"/>
              <w:adjustRightInd w:val="0"/>
              <w:spacing w:before="29" w:line="360" w:lineRule="auto"/>
              <w:ind w:left="15"/>
              <w:jc w:val="left"/>
              <w:rPr>
                <w:color w:val="000000"/>
                <w:kern w:val="0"/>
                <w:sz w:val="24"/>
              </w:rPr>
            </w:pPr>
            <w:r w:rsidRPr="00431EE1">
              <w:rPr>
                <w:color w:val="000000"/>
                <w:kern w:val="0"/>
                <w:sz w:val="24"/>
              </w:rPr>
              <w:t>应收股利</w:t>
            </w:r>
          </w:p>
        </w:tc>
        <w:tc>
          <w:tcPr>
            <w:tcW w:type="dxa" w:w="4808"/>
            <w:vAlign w:val="center"/>
          </w:tcPr>
          <w:p w:rsidP="00870C27" w:rsidR="00AA7BBE" w:rsidRDefault="00AA7BBE" w:rsidRPr="00431EE1">
            <w:pPr>
              <w:autoSpaceDE w:val="0"/>
              <w:autoSpaceDN w:val="0"/>
              <w:adjustRightInd w:val="0"/>
              <w:spacing w:before="29" w:line="360" w:lineRule="auto"/>
              <w:ind w:left="15"/>
              <w:jc w:val="right"/>
              <w:rPr>
                <w:color w:val="000000"/>
                <w:kern w:val="0"/>
                <w:sz w:val="24"/>
              </w:rPr>
            </w:pPr>
            <w:r w:rsidRPr="00431EE1">
              <w:rPr>
                <w:color w:val="000000"/>
                <w:kern w:val="0"/>
                <w:sz w:val="24"/>
              </w:rPr>
              <w:t/>
            </w:r>
            <w:proofErr w:type="spellStart"/>
            <w:r w:rsidRPr="00431EE1">
              <w:rPr>
                <w:color w:val="000000"/>
                <w:kern w:val="0"/>
                <w:sz w:val="24"/>
              </w:rPr>
              <w:t/>
            </w:r>
            <w:proofErr w:type="spellEnd"/>
            <w:r w:rsidRPr="00431EE1">
              <w:rPr>
                <w:color w:val="000000"/>
                <w:kern w:val="0"/>
                <w:sz w:val="24"/>
              </w:rPr>
              <w:t>124,590.23</w:t>
            </w:r>
          </w:p>
        </w:tc>
      </w:tr>
      <w:tr w:rsidR="00AA7BBE" w:rsidRPr="002149AE" w:rsidTr="00870C27">
        <w:tc>
          <w:tcPr>
            <w:tcW w:type="dxa" w:w="802"/>
            <w:vAlign w:val="center"/>
          </w:tcPr>
          <w:p w:rsidP="00870C27" w:rsidR="00AA7BBE" w:rsidRDefault="00AA7BBE" w:rsidRPr="00431EE1">
            <w:pPr>
              <w:autoSpaceDE w:val="0"/>
              <w:autoSpaceDN w:val="0"/>
              <w:adjustRightInd w:val="0"/>
              <w:spacing w:before="29" w:line="360" w:lineRule="auto"/>
              <w:ind w:left="15"/>
              <w:jc w:val="center"/>
              <w:rPr>
                <w:color w:val="000000"/>
                <w:sz w:val="24"/>
              </w:rPr>
            </w:pPr>
            <w:r w:rsidRPr="00431EE1">
              <w:rPr>
                <w:color w:val="000000"/>
                <w:sz w:val="24"/>
              </w:rPr>
              <w:t>4</w:t>
            </w:r>
          </w:p>
        </w:tc>
        <w:tc>
          <w:tcPr>
            <w:tcW w:type="dxa" w:w="2903"/>
            <w:vAlign w:val="center"/>
          </w:tcPr>
          <w:p w:rsidP="00870C27" w:rsidR="00AA7BBE" w:rsidRDefault="00AA7BBE" w:rsidRPr="00431EE1">
            <w:pPr>
              <w:autoSpaceDE w:val="0"/>
              <w:autoSpaceDN w:val="0"/>
              <w:adjustRightInd w:val="0"/>
              <w:spacing w:before="29" w:line="360" w:lineRule="auto"/>
              <w:ind w:left="15"/>
              <w:jc w:val="left"/>
              <w:rPr>
                <w:color w:val="000000"/>
                <w:kern w:val="0"/>
                <w:sz w:val="24"/>
              </w:rPr>
            </w:pPr>
            <w:r w:rsidRPr="00431EE1">
              <w:rPr>
                <w:color w:val="000000"/>
                <w:kern w:val="0"/>
                <w:sz w:val="24"/>
              </w:rPr>
              <w:t>应收利息</w:t>
            </w:r>
          </w:p>
        </w:tc>
        <w:tc>
          <w:tcPr>
            <w:tcW w:type="dxa" w:w="4808"/>
            <w:vAlign w:val="center"/>
          </w:tcPr>
          <w:p w:rsidP="00870C27" w:rsidR="00AA7BBE" w:rsidRDefault="00AA7BBE" w:rsidRPr="00431EE1">
            <w:pPr>
              <w:autoSpaceDE w:val="0"/>
              <w:autoSpaceDN w:val="0"/>
              <w:adjustRightInd w:val="0"/>
              <w:spacing w:before="29" w:line="360" w:lineRule="auto"/>
              <w:ind w:left="15"/>
              <w:jc w:val="right"/>
              <w:rPr>
                <w:color w:val="000000"/>
                <w:kern w:val="0"/>
                <w:sz w:val="24"/>
              </w:rPr>
            </w:pPr>
            <w:r w:rsidRPr="00431EE1">
              <w:rPr>
                <w:color w:val="000000"/>
                <w:kern w:val="0"/>
                <w:sz w:val="24"/>
              </w:rPr>
              <w:t/>
            </w:r>
            <w:proofErr w:type="spellStart"/>
            <w:r w:rsidRPr="00431EE1">
              <w:rPr>
                <w:color w:val="000000"/>
                <w:kern w:val="0"/>
                <w:sz w:val="24"/>
              </w:rPr>
              <w:t/>
            </w:r>
            <w:proofErr w:type="spellEnd"/>
            <w:r w:rsidRPr="00431EE1">
              <w:rPr>
                <w:color w:val="000000"/>
                <w:kern w:val="0"/>
                <w:sz w:val="24"/>
              </w:rPr>
              <w:t>3,683.95</w:t>
            </w:r>
          </w:p>
        </w:tc>
      </w:tr>
      <w:tr w:rsidR="00AA7BBE" w:rsidRPr="002149AE" w:rsidTr="00870C27">
        <w:tc>
          <w:tcPr>
            <w:tcW w:type="dxa" w:w="802"/>
            <w:vAlign w:val="center"/>
          </w:tcPr>
          <w:p w:rsidP="00870C27" w:rsidR="00AA7BBE" w:rsidRDefault="00AA7BBE" w:rsidRPr="00431EE1">
            <w:pPr>
              <w:autoSpaceDE w:val="0"/>
              <w:autoSpaceDN w:val="0"/>
              <w:adjustRightInd w:val="0"/>
              <w:spacing w:before="29" w:line="360" w:lineRule="auto"/>
              <w:ind w:left="15"/>
              <w:jc w:val="center"/>
              <w:rPr>
                <w:color w:val="000000"/>
                <w:sz w:val="24"/>
              </w:rPr>
            </w:pPr>
            <w:r w:rsidRPr="00431EE1">
              <w:rPr>
                <w:color w:val="000000"/>
                <w:sz w:val="24"/>
              </w:rPr>
              <w:t>5</w:t>
            </w:r>
          </w:p>
        </w:tc>
        <w:tc>
          <w:tcPr>
            <w:tcW w:type="dxa" w:w="2903"/>
            <w:vAlign w:val="center"/>
          </w:tcPr>
          <w:p w:rsidP="00870C27" w:rsidR="00AA7BBE" w:rsidRDefault="00AA7BBE" w:rsidRPr="00431EE1">
            <w:pPr>
              <w:autoSpaceDE w:val="0"/>
              <w:autoSpaceDN w:val="0"/>
              <w:adjustRightInd w:val="0"/>
              <w:spacing w:before="29" w:line="360" w:lineRule="auto"/>
              <w:ind w:left="15"/>
              <w:jc w:val="left"/>
              <w:rPr>
                <w:color w:val="000000"/>
                <w:kern w:val="0"/>
                <w:sz w:val="24"/>
              </w:rPr>
            </w:pPr>
            <w:r w:rsidRPr="00431EE1">
              <w:rPr>
                <w:color w:val="000000"/>
                <w:kern w:val="0"/>
                <w:sz w:val="24"/>
              </w:rPr>
              <w:t>应收申购款</w:t>
            </w:r>
          </w:p>
        </w:tc>
        <w:tc>
          <w:tcPr>
            <w:tcW w:type="dxa" w:w="4808"/>
            <w:vAlign w:val="center"/>
          </w:tcPr>
          <w:p w:rsidP="00870C27" w:rsidR="00AA7BBE" w:rsidRDefault="00AA7BBE" w:rsidRPr="00431EE1">
            <w:pPr>
              <w:autoSpaceDE w:val="0"/>
              <w:autoSpaceDN w:val="0"/>
              <w:adjustRightInd w:val="0"/>
              <w:spacing w:before="29" w:line="360" w:lineRule="auto"/>
              <w:ind w:left="15"/>
              <w:jc w:val="right"/>
              <w:rPr>
                <w:color w:val="000000"/>
                <w:kern w:val="0"/>
                <w:sz w:val="24"/>
              </w:rPr>
            </w:pPr>
            <w:r w:rsidRPr="00431EE1">
              <w:rPr>
                <w:color w:val="000000"/>
                <w:kern w:val="0"/>
                <w:sz w:val="24"/>
              </w:rPr>
              <w:t/>
            </w:r>
            <w:proofErr w:type="spellStart"/>
            <w:r w:rsidRPr="00431EE1">
              <w:rPr>
                <w:color w:val="000000"/>
                <w:kern w:val="0"/>
                <w:sz w:val="24"/>
              </w:rPr>
              <w:t/>
            </w:r>
            <w:proofErr w:type="spellEnd"/>
            <w:r w:rsidRPr="00431EE1">
              <w:rPr>
                <w:color w:val="000000"/>
                <w:kern w:val="0"/>
                <w:sz w:val="24"/>
              </w:rPr>
              <w:t>2,192,350.03</w:t>
            </w:r>
          </w:p>
        </w:tc>
      </w:tr>
      <w:tr w:rsidR="00AA7BBE" w:rsidRPr="002149AE" w:rsidTr="00870C27">
        <w:tc>
          <w:tcPr>
            <w:tcW w:type="dxa" w:w="802"/>
            <w:vAlign w:val="center"/>
          </w:tcPr>
          <w:p w:rsidP="00870C27" w:rsidR="00AA7BBE" w:rsidRDefault="00AA7BBE" w:rsidRPr="00431EE1">
            <w:pPr>
              <w:autoSpaceDE w:val="0"/>
              <w:autoSpaceDN w:val="0"/>
              <w:adjustRightInd w:val="0"/>
              <w:spacing w:before="29" w:line="360" w:lineRule="auto"/>
              <w:ind w:left="15"/>
              <w:jc w:val="center"/>
              <w:rPr>
                <w:color w:val="000000"/>
                <w:sz w:val="24"/>
              </w:rPr>
            </w:pPr>
            <w:r w:rsidRPr="00431EE1">
              <w:rPr>
                <w:color w:val="000000"/>
                <w:sz w:val="24"/>
              </w:rPr>
              <w:t>6</w:t>
            </w:r>
          </w:p>
        </w:tc>
        <w:tc>
          <w:tcPr>
            <w:tcW w:type="dxa" w:w="2903"/>
            <w:vAlign w:val="center"/>
          </w:tcPr>
          <w:p w:rsidP="00870C27" w:rsidR="00AA7BBE" w:rsidRDefault="00AA7BBE" w:rsidRPr="00431EE1">
            <w:pPr>
              <w:autoSpaceDE w:val="0"/>
              <w:autoSpaceDN w:val="0"/>
              <w:adjustRightInd w:val="0"/>
              <w:spacing w:before="29" w:line="360" w:lineRule="auto"/>
              <w:ind w:left="15"/>
              <w:jc w:val="left"/>
              <w:rPr>
                <w:color w:val="000000"/>
                <w:kern w:val="0"/>
                <w:sz w:val="24"/>
              </w:rPr>
            </w:pPr>
            <w:r w:rsidRPr="00431EE1">
              <w:rPr>
                <w:color w:val="000000"/>
                <w:kern w:val="0"/>
                <w:sz w:val="24"/>
              </w:rPr>
              <w:t>其他应收款</w:t>
            </w:r>
          </w:p>
        </w:tc>
        <w:tc>
          <w:tcPr>
            <w:tcW w:type="dxa" w:w="4808"/>
            <w:vAlign w:val="center"/>
          </w:tcPr>
          <w:p w:rsidP="00870C27" w:rsidR="00AA7BBE" w:rsidRDefault="00AA7BBE" w:rsidRPr="00431EE1">
            <w:pPr>
              <w:autoSpaceDE w:val="0"/>
              <w:autoSpaceDN w:val="0"/>
              <w:adjustRightInd w:val="0"/>
              <w:spacing w:before="29" w:line="360" w:lineRule="auto"/>
              <w:ind w:left="15"/>
              <w:jc w:val="right"/>
              <w:rPr>
                <w:color w:val="000000"/>
                <w:kern w:val="0"/>
                <w:sz w:val="24"/>
              </w:rPr>
            </w:pPr>
            <w:r w:rsidRPr="00431EE1">
              <w:rPr>
                <w:color w:val="000000"/>
                <w:kern w:val="0"/>
                <w:sz w:val="24"/>
              </w:rPr>
              <w:t/>
            </w:r>
            <w:proofErr w:type="spellStart"/>
            <w:r w:rsidRPr="00431EE1">
              <w:rPr>
                <w:color w:val="000000"/>
                <w:kern w:val="0"/>
                <w:sz w:val="24"/>
              </w:rPr>
              <w:t/>
            </w:r>
            <w:proofErr w:type="spellEnd"/>
            <w:r w:rsidRPr="00431EE1">
              <w:rPr>
                <w:color w:val="000000"/>
                <w:kern w:val="0"/>
                <w:sz w:val="24"/>
              </w:rPr>
              <w:t>-</w:t>
            </w:r>
          </w:p>
        </w:tc>
      </w:tr>
      <w:tr w:rsidR="00AA7BBE" w:rsidRPr="002149AE" w:rsidTr="00870C27">
        <w:tc>
          <w:tcPr>
            <w:tcW w:type="dxa" w:w="802"/>
            <w:vAlign w:val="center"/>
          </w:tcPr>
          <w:p w:rsidP="00870C27" w:rsidR="00AA7BBE" w:rsidRDefault="00AA7BBE" w:rsidRPr="00431EE1">
            <w:pPr>
              <w:autoSpaceDE w:val="0"/>
              <w:autoSpaceDN w:val="0"/>
              <w:adjustRightInd w:val="0"/>
              <w:spacing w:before="29" w:line="360" w:lineRule="auto"/>
              <w:ind w:left="15"/>
              <w:jc w:val="center"/>
              <w:rPr>
                <w:color w:val="000000"/>
                <w:sz w:val="24"/>
              </w:rPr>
            </w:pPr>
            <w:r w:rsidRPr="00431EE1">
              <w:rPr>
                <w:color w:val="000000"/>
                <w:sz w:val="24"/>
              </w:rPr>
              <w:t>7</w:t>
            </w:r>
          </w:p>
        </w:tc>
        <w:tc>
          <w:tcPr>
            <w:tcW w:type="dxa" w:w="2903"/>
            <w:vAlign w:val="center"/>
          </w:tcPr>
          <w:p w:rsidP="00870C27" w:rsidR="00AA7BBE" w:rsidRDefault="00AA7BBE" w:rsidRPr="00431EE1">
            <w:pPr>
              <w:autoSpaceDE w:val="0"/>
              <w:autoSpaceDN w:val="0"/>
              <w:adjustRightInd w:val="0"/>
              <w:spacing w:before="29" w:line="360" w:lineRule="auto"/>
              <w:ind w:left="15"/>
              <w:jc w:val="left"/>
              <w:rPr>
                <w:color w:val="000000"/>
                <w:sz w:val="24"/>
              </w:rPr>
            </w:pPr>
            <w:r w:rsidRPr="00431EE1">
              <w:rPr>
                <w:color w:val="000000"/>
                <w:sz w:val="24"/>
              </w:rPr>
              <w:t>待摊费用</w:t>
            </w:r>
          </w:p>
        </w:tc>
        <w:tc>
          <w:tcPr>
            <w:tcW w:type="dxa" w:w="4808"/>
            <w:vAlign w:val="center"/>
          </w:tcPr>
          <w:p w:rsidP="00870C27" w:rsidR="00AA7BBE" w:rsidRDefault="00AA7BBE" w:rsidRPr="00431EE1">
            <w:pPr>
              <w:autoSpaceDE w:val="0"/>
              <w:autoSpaceDN w:val="0"/>
              <w:adjustRightInd w:val="0"/>
              <w:spacing w:before="29" w:line="360" w:lineRule="auto"/>
              <w:ind w:left="15"/>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r>
      <w:tr w:rsidR="00AA7BBE" w:rsidRPr="002149AE" w:rsidTr="00870C27">
        <w:tc>
          <w:tcPr>
            <w:tcW w:type="dxa" w:w="802"/>
            <w:vAlign w:val="center"/>
          </w:tcPr>
          <w:p w:rsidP="00870C27" w:rsidR="00AA7BBE" w:rsidRDefault="00AA7BBE" w:rsidRPr="00431EE1">
            <w:pPr>
              <w:autoSpaceDE w:val="0"/>
              <w:autoSpaceDN w:val="0"/>
              <w:adjustRightInd w:val="0"/>
              <w:spacing w:before="29" w:line="360" w:lineRule="auto"/>
              <w:ind w:left="15"/>
              <w:jc w:val="center"/>
              <w:rPr>
                <w:color w:val="000000"/>
                <w:sz w:val="24"/>
              </w:rPr>
            </w:pPr>
            <w:r w:rsidRPr="00431EE1">
              <w:rPr>
                <w:color w:val="000000"/>
                <w:sz w:val="24"/>
              </w:rPr>
              <w:t>8</w:t>
            </w:r>
          </w:p>
        </w:tc>
        <w:tc>
          <w:tcPr>
            <w:tcW w:type="dxa" w:w="2903"/>
            <w:vAlign w:val="center"/>
          </w:tcPr>
          <w:p w:rsidP="00870C27" w:rsidR="00AA7BBE" w:rsidRDefault="00AA7BBE" w:rsidRPr="00431EE1">
            <w:pPr>
              <w:autoSpaceDE w:val="0"/>
              <w:autoSpaceDN w:val="0"/>
              <w:adjustRightInd w:val="0"/>
              <w:spacing w:before="29" w:line="360" w:lineRule="auto"/>
              <w:ind w:left="15"/>
              <w:jc w:val="left"/>
              <w:rPr>
                <w:color w:val="000000"/>
                <w:kern w:val="0"/>
                <w:sz w:val="24"/>
              </w:rPr>
            </w:pPr>
            <w:r w:rsidRPr="00431EE1">
              <w:rPr>
                <w:color w:val="000000"/>
                <w:kern w:val="0"/>
                <w:sz w:val="24"/>
              </w:rPr>
              <w:t>其他</w:t>
            </w:r>
          </w:p>
        </w:tc>
        <w:tc>
          <w:tcPr>
            <w:tcW w:type="dxa" w:w="4808"/>
            <w:vAlign w:val="center"/>
          </w:tcPr>
          <w:p w:rsidP="00870C27" w:rsidR="00AA7BBE" w:rsidRDefault="00AA7BBE" w:rsidRPr="00431EE1">
            <w:pPr>
              <w:autoSpaceDE w:val="0"/>
              <w:autoSpaceDN w:val="0"/>
              <w:adjustRightInd w:val="0"/>
              <w:spacing w:before="29" w:line="360" w:lineRule="auto"/>
              <w:ind w:left="15"/>
              <w:jc w:val="right"/>
              <w:rPr>
                <w:color w:val="000000"/>
                <w:kern w:val="0"/>
                <w:sz w:val="24"/>
              </w:rPr>
            </w:pPr>
            <w:r w:rsidRPr="00431EE1">
              <w:rPr>
                <w:color w:val="000000"/>
                <w:kern w:val="0"/>
                <w:sz w:val="24"/>
              </w:rPr>
              <w:t/>
            </w:r>
            <w:proofErr w:type="spellStart"/>
            <w:r w:rsidRPr="00431EE1">
              <w:rPr>
                <w:color w:val="000000"/>
                <w:kern w:val="0"/>
                <w:sz w:val="24"/>
              </w:rPr>
              <w:t/>
            </w:r>
            <w:proofErr w:type="spellEnd"/>
            <w:r w:rsidRPr="00431EE1">
              <w:rPr>
                <w:color w:val="000000"/>
                <w:kern w:val="0"/>
                <w:sz w:val="24"/>
              </w:rPr>
              <w:t>-</w:t>
            </w:r>
          </w:p>
        </w:tc>
      </w:tr>
      <w:tr w:rsidR="00AA7BBE" w:rsidRPr="002149AE" w:rsidTr="00870C27">
        <w:tc>
          <w:tcPr>
            <w:tcW w:type="dxa" w:w="802"/>
            <w:vAlign w:val="center"/>
          </w:tcPr>
          <w:p w:rsidP="00870C27" w:rsidR="00AA7BBE" w:rsidRDefault="00AA7BBE" w:rsidRPr="00431EE1">
            <w:pPr>
              <w:autoSpaceDE w:val="0"/>
              <w:autoSpaceDN w:val="0"/>
              <w:adjustRightInd w:val="0"/>
              <w:spacing w:before="29" w:line="360" w:lineRule="auto"/>
              <w:ind w:left="15"/>
              <w:jc w:val="center"/>
              <w:rPr>
                <w:color w:val="000000"/>
                <w:sz w:val="24"/>
              </w:rPr>
            </w:pPr>
            <w:r w:rsidRPr="00431EE1">
              <w:rPr>
                <w:color w:val="000000"/>
                <w:sz w:val="24"/>
              </w:rPr>
              <w:t>9</w:t>
            </w:r>
          </w:p>
        </w:tc>
        <w:tc>
          <w:tcPr>
            <w:tcW w:type="dxa" w:w="2903"/>
            <w:vAlign w:val="center"/>
          </w:tcPr>
          <w:p w:rsidP="00870C27" w:rsidR="00AA7BBE" w:rsidRDefault="00AA7BBE" w:rsidRPr="00431EE1">
            <w:pPr>
              <w:autoSpaceDE w:val="0"/>
              <w:autoSpaceDN w:val="0"/>
              <w:adjustRightInd w:val="0"/>
              <w:spacing w:before="29" w:line="360" w:lineRule="auto"/>
              <w:ind w:left="15"/>
              <w:jc w:val="left"/>
              <w:rPr>
                <w:color w:val="000000"/>
                <w:kern w:val="0"/>
                <w:sz w:val="24"/>
              </w:rPr>
            </w:pPr>
            <w:r w:rsidRPr="00431EE1">
              <w:rPr>
                <w:color w:val="000000"/>
                <w:kern w:val="0"/>
                <w:sz w:val="24"/>
              </w:rPr>
              <w:t>合计</w:t>
            </w:r>
          </w:p>
        </w:tc>
        <w:tc>
          <w:tcPr>
            <w:tcW w:type="dxa" w:w="4808"/>
            <w:vAlign w:val="center"/>
          </w:tcPr>
          <w:p w:rsidP="00870C27" w:rsidR="00AA7BBE" w:rsidRDefault="00AA7BBE" w:rsidRPr="00431EE1">
            <w:pPr>
              <w:autoSpaceDE w:val="0"/>
              <w:autoSpaceDN w:val="0"/>
              <w:adjustRightInd w:val="0"/>
              <w:spacing w:before="29" w:line="360" w:lineRule="auto"/>
              <w:ind w:left="15"/>
              <w:jc w:val="right"/>
              <w:rPr>
                <w:color w:val="000000"/>
                <w:kern w:val="0"/>
                <w:sz w:val="24"/>
              </w:rPr>
            </w:pPr>
            <w:r w:rsidRPr="00431EE1">
              <w:rPr>
                <w:color w:val="000000"/>
                <w:kern w:val="0"/>
                <w:sz w:val="24"/>
              </w:rPr>
              <w:t/>
            </w:r>
            <w:proofErr w:type="spellStart"/>
            <w:r w:rsidRPr="00431EE1">
              <w:rPr>
                <w:color w:val="000000"/>
                <w:kern w:val="0"/>
                <w:sz w:val="24"/>
              </w:rPr>
              <w:t/>
            </w:r>
            <w:proofErr w:type="spellEnd"/>
            <w:r w:rsidRPr="00431EE1">
              <w:rPr>
                <w:color w:val="000000"/>
                <w:kern w:val="0"/>
                <w:sz w:val="24"/>
              </w:rPr>
              <w:t>3,183,600.08</w:t>
            </w:r>
          </w:p>
        </w:tc>
      </w:tr>
    </w:tbl>
    <w:p w:rsidP="00A33DF2" w:rsidR="00F13451" w:rsidRDefault="00F13451" w:rsidRPr="005771AC">
      <w:pPr>
        <w:autoSpaceDE w:val="0"/>
        <w:autoSpaceDN w:val="0"/>
        <w:adjustRightInd w:val="0"/>
        <w:spacing w:line="360" w:lineRule="auto"/>
        <w:rPr>
          <w:rFonts w:ascii="宋体" w:cs="Arial"/>
          <w:color w:val="000000"/>
          <w:kern w:val="0"/>
          <w:sz w:val="24"/>
        </w:rPr>
      </w:pPr>
      <w:r w:rsidRPr="005771AC">
        <w:rPr>
          <w:rFonts w:ascii="宋体" w:cs="Arial" w:hAnsi="宋体"/>
          <w:color w:val="000000"/>
          <w:kern w:val="0"/>
          <w:sz w:val="24"/>
        </w:rPr>
        <w:t>5.10.4</w:t>
      </w:r>
      <w:r w:rsidRPr="005771AC">
        <w:rPr>
          <w:rFonts w:ascii="宋体" w:hAnsi="宋体" w:hint="eastAsia"/>
          <w:bCs/>
          <w:sz w:val="24"/>
        </w:rPr>
        <w:t>报告期末持有的处于转股期的可转换债券明细</w:t>
      </w:r>
    </w:p>
    <w:p w:rsidP="0040658E" w:rsidR="00F13451" w:rsidRDefault="00F13451" w:rsidRPr="0040658E">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
      </w:r>
      <w:proofErr w:type="spellStart"/>
      <w:r w:rsidRPr="0040658E">
        <w:rPr>
          <w:color w:val="000000"/>
          <w:sz w:val="24"/>
        </w:rPr>
        <w:t/>
      </w:r>
      <w:proofErr w:type="spellEnd"/>
      <w:r w:rsidRPr="0040658E">
        <w:rPr>
          <w:color w:val="000000"/>
          <w:sz w:val="24"/>
        </w:rPr>
        <w:t>本基金本报告期末未持有处于转股期的可转换债券。</w:t>
      </w:r>
    </w:p>
    <w:p w:rsidP="00F33530" w:rsidR="00F33530" w:rsidRDefault="00F13451" w:rsidRPr="00CA4176">
      <w:pPr>
        <w:autoSpaceDE w:val="0"/>
        <w:autoSpaceDN w:val="0"/>
        <w:adjustRightInd w:val="0"/>
        <w:spacing w:line="360" w:lineRule="auto"/>
        <w:jc w:val="left"/>
        <w:rPr>
          <w:rFonts w:ascii="宋体" w:cs="Arial"/>
          <w:color w:val="000000"/>
          <w:kern w:val="0"/>
          <w:sz w:val="24"/>
        </w:rPr>
      </w:pPr>
      <w:r w:rsidRPr="005771AC">
        <w:rPr>
          <w:rFonts w:ascii="宋体" w:cs="Arial" w:hAnsi="宋体"/>
          <w:color w:val="000000"/>
          <w:kern w:val="0"/>
          <w:sz w:val="24"/>
        </w:rPr>
        <w:t>5.10.5</w:t>
      </w:r>
      <w:r w:rsidR="00F33530" w:rsidRPr="00CA4176">
        <w:rPr>
          <w:rFonts w:ascii="宋体" w:cs="Arial" w:hAnsi="宋体" w:hint="eastAsia"/>
          <w:color w:val="000000"/>
          <w:kern w:val="0"/>
          <w:sz w:val="24"/>
        </w:rPr>
        <w:t>报告期末前十名股票中存在流通受限情况的说明</w:t>
      </w:r>
    </w:p>
    <w:p w:rsidP="00F33530" w:rsidR="00F13451" w:rsidRDefault="00F33530" w:rsidRPr="00F33530">
      <w:pPr>
        <w:spacing w:line="360" w:lineRule="auto"/>
        <w:ind w:firstLine="480" w:firstLineChars="200"/>
        <w:rPr>
          <w:color w:val="000000"/>
          <w:sz w:val="24"/>
        </w:rPr>
      </w:pPr>
      <w:r w:rsidRPr="00DB3360">
        <w:rPr>
          <w:color w:val="000000"/>
          <w:sz w:val="24"/>
        </w:rPr>
        <w:t>本基金本报告期末前十名股票中不存在流通受限情况。</w:t>
      </w:r>
    </w:p>
    <w:p w:rsidP="008B041C" w:rsidR="00F13451" w:rsidRDefault="00F13451" w:rsidRPr="00820253">
      <w:pPr>
        <w:pStyle w:val="1"/>
        <w:spacing w:after="312" w:afterLines="100" w:before="312" w:beforeLines="100" w:line="360" w:lineRule="auto"/>
        <w:jc w:val="center"/>
        <w:rPr>
          <w:rFonts w:ascii="宋体" w:cs="Arial"/>
          <w:color w:val="000000"/>
          <w:kern w:val="0"/>
          <w:sz w:val="24"/>
          <w:szCs w:val="24"/>
        </w:rPr>
      </w:pPr>
      <w:r w:rsidRPr="00820253">
        <w:rPr>
          <w:rFonts w:ascii="宋体" w:cs="Arial" w:hAnsi="宋体" w:hint="eastAsia"/>
          <w:color w:val="000000"/>
          <w:kern w:val="0"/>
          <w:sz w:val="24"/>
          <w:szCs w:val="24"/>
        </w:rPr>
        <w:lastRenderedPageBreak/>
        <w:t>§</w:t>
      </w:r>
      <w:r>
        <w:rPr>
          <w:rFonts w:ascii="宋体" w:cs="Arial"/>
          <w:color w:val="000000"/>
          <w:kern w:val="0"/>
          <w:sz w:val="24"/>
          <w:szCs w:val="24"/>
        </w:rPr>
        <w:t/>
      </w:r>
      <w:r>
        <w:rPr>
          <w:rFonts w:ascii="宋体" w:cs="Arial" w:hAnsi="宋体"/>
          <w:color w:val="000000"/>
          <w:kern w:val="0"/>
          <w:sz w:val="24"/>
          <w:szCs w:val="24"/>
        </w:rPr>
        <w:t>6</w:t>
      </w:r>
      <w:r w:rsidR="00FD0A58" w:rsidRPr="00820253">
        <w:rPr>
          <w:rFonts w:ascii="宋体" w:cs="Arial" w:hAnsi="宋体"/>
          <w:color w:val="000000"/>
          <w:kern w:val="0"/>
          <w:sz w:val="24"/>
          <w:szCs w:val="24"/>
        </w:rPr>
        <w:t xml:space="preserve">  </w:t>
      </w:r>
      <w:r w:rsidRPr="00820253">
        <w:rPr>
          <w:rFonts w:ascii="宋体" w:cs="Arial" w:hAnsi="宋体" w:hint="eastAsia"/>
          <w:color w:val="000000"/>
          <w:kern w:val="0"/>
          <w:sz w:val="24"/>
          <w:szCs w:val="24"/>
        </w:rPr>
        <w:t>开放式基金份额变动</w:t>
      </w:r>
    </w:p>
    <w:p w:rsidP="008B6A4A" w:rsidR="00F13451" w:rsidRDefault="00F13451" w:rsidRPr="00820253">
      <w:pPr>
        <w:autoSpaceDE w:val="0"/>
        <w:autoSpaceDN w:val="0"/>
        <w:adjustRightInd w:val="0"/>
        <w:spacing w:before="29" w:line="360" w:lineRule="auto"/>
        <w:ind w:left="15"/>
        <w:jc w:val="right"/>
        <w:rPr>
          <w:rFonts w:ascii="宋体" w:cs="Arial"/>
          <w:color w:val="000000"/>
          <w:kern w:val="0"/>
          <w:sz w:val="24"/>
        </w:rPr>
      </w:pPr>
      <w:r w:rsidRPr="00820253">
        <w:rPr>
          <w:rFonts w:ascii="宋体" w:cs="Arial" w:hAnsi="宋体" w:hint="eastAsia"/>
          <w:color w:val="000000"/>
          <w:kern w:val="0"/>
          <w:sz w:val="24"/>
        </w:rPr>
        <w:t>单位：份</w:t>
      </w:r>
    </w:p>
    <w:tbl>
      <w:tblPr>
        <w:tblW w:type="auto" w:w="0"/>
        <w:tblInd w:type="dxa" w:w="-106"/>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0" w:firstRow="0" w:lastColumn="0" w:lastRow="0" w:noHBand="0" w:noVBand="0" w:val="0000"/>
      </w:tblPr>
      <w:tblGrid>
        <w:gridCol w:w="4609"/>
        <w:gridCol w:w="4025"/>
      </w:tblGrid>
      <w:tr w:rsidR="00F13451" w:rsidRPr="00820253" w:rsidTr="00C2237F">
        <w:tc>
          <w:tcPr>
            <w:tcW w:type="dxa" w:w="4609"/>
            <w:vAlign w:val="center"/>
          </w:tcPr>
          <w:p w:rsidP="00CA3C4F" w:rsidR="00F13451" w:rsidRDefault="00F13451" w:rsidRPr="00431EE1">
            <w:pPr>
              <w:autoSpaceDE w:val="0"/>
              <w:autoSpaceDN w:val="0"/>
              <w:adjustRightInd w:val="0"/>
              <w:spacing w:before="29" w:line="360" w:lineRule="auto"/>
              <w:ind w:left="17"/>
              <w:jc w:val="left"/>
              <w:rPr>
                <w:color w:val="000000"/>
                <w:kern w:val="0"/>
                <w:sz w:val="24"/>
              </w:rPr>
            </w:pPr>
            <w:r w:rsidRPr="00431EE1">
              <w:rPr>
                <w:color w:val="000000"/>
                <w:kern w:val="0"/>
                <w:sz w:val="24"/>
              </w:rPr>
              <w:t>报告期期初基金份额总额</w:t>
            </w:r>
          </w:p>
        </w:tc>
        <w:tc>
          <w:tcPr>
            <w:tcW w:type="dxa" w:w="4025"/>
            <w:vAlign w:val="center"/>
          </w:tcPr>
          <w:p w:rsidP="00CA3C4F" w:rsidR="00F13451" w:rsidRDefault="00F13451" w:rsidRPr="00431EE1">
            <w:pPr>
              <w:autoSpaceDE w:val="0"/>
              <w:autoSpaceDN w:val="0"/>
              <w:adjustRightInd w:val="0"/>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454,916,835.93</w:t>
            </w:r>
          </w:p>
        </w:tc>
      </w:tr>
      <w:tr w:rsidR="00F13451" w:rsidRPr="00820253" w:rsidTr="00C2237F">
        <w:tc>
          <w:tcPr>
            <w:tcW w:type="dxa" w:w="4609"/>
            <w:vAlign w:val="center"/>
          </w:tcPr>
          <w:p w:rsidP="00CA3C4F" w:rsidR="00F13451" w:rsidRDefault="00F13451" w:rsidRPr="00431EE1">
            <w:pPr>
              <w:autoSpaceDE w:val="0"/>
              <w:autoSpaceDN w:val="0"/>
              <w:adjustRightInd w:val="0"/>
              <w:spacing w:before="29" w:line="360" w:lineRule="auto"/>
              <w:ind w:left="17"/>
              <w:jc w:val="left"/>
              <w:rPr>
                <w:color w:val="000000"/>
                <w:kern w:val="0"/>
                <w:sz w:val="24"/>
              </w:rPr>
            </w:pPr>
            <w:r w:rsidRPr="00431EE1">
              <w:rPr>
                <w:color w:val="000000"/>
                <w:kern w:val="0"/>
                <w:sz w:val="24"/>
              </w:rPr>
              <w:t/>
            </w:r>
            <w:proofErr w:type="spellStart"/>
            <w:r w:rsidRPr="00431EE1">
              <w:rPr>
                <w:color w:val="000000"/>
                <w:kern w:val="0"/>
                <w:sz w:val="24"/>
              </w:rPr>
              <w:t/>
            </w:r>
            <w:proofErr w:type="spellEnd"/>
            <w:r w:rsidRPr="00431EE1">
              <w:rPr>
                <w:color w:val="000000"/>
                <w:kern w:val="0"/>
                <w:sz w:val="24"/>
              </w:rPr>
              <w:t>报告期</w:t>
            </w:r>
            <w:r w:rsidRPr="00431EE1">
              <w:rPr>
                <w:color w:val="000000"/>
                <w:kern w:val="0"/>
                <w:sz w:val="24"/>
              </w:rPr>
              <w:t>基金总申购份额</w:t>
            </w:r>
          </w:p>
        </w:tc>
        <w:tc>
          <w:tcPr>
            <w:tcW w:type="dxa" w:w="4025"/>
            <w:vAlign w:val="center"/>
          </w:tcPr>
          <w:p w:rsidP="00CA3C4F" w:rsidR="00F13451" w:rsidRDefault="00F13451" w:rsidRPr="00431EE1">
            <w:pPr>
              <w:autoSpaceDE w:val="0"/>
              <w:autoSpaceDN w:val="0"/>
              <w:adjustRightInd w:val="0"/>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50,045,337.90</w:t>
            </w:r>
          </w:p>
        </w:tc>
      </w:tr>
      <w:tr w:rsidR="00F13451" w:rsidRPr="00820253" w:rsidTr="00C2237F">
        <w:tc>
          <w:tcPr>
            <w:tcW w:type="dxa" w:w="4609"/>
            <w:vAlign w:val="center"/>
          </w:tcPr>
          <w:p w:rsidP="00CA3C4F" w:rsidR="00F13451" w:rsidRDefault="00F13451" w:rsidRPr="00431EE1">
            <w:pPr>
              <w:autoSpaceDE w:val="0"/>
              <w:autoSpaceDN w:val="0"/>
              <w:adjustRightInd w:val="0"/>
              <w:spacing w:before="29" w:line="360" w:lineRule="auto"/>
              <w:ind w:left="17"/>
              <w:jc w:val="left"/>
              <w:rPr>
                <w:color w:val="000000"/>
                <w:kern w:val="0"/>
                <w:sz w:val="24"/>
              </w:rPr>
            </w:pPr>
            <w:r w:rsidRPr="00431EE1">
              <w:rPr>
                <w:color w:val="000000"/>
                <w:kern w:val="0"/>
                <w:sz w:val="24"/>
              </w:rPr>
              <w:t>减：</w:t>
            </w:r>
            <w:r w:rsidRPr="00431EE1">
              <w:rPr>
                <w:color w:val="000000"/>
                <w:kern w:val="0"/>
                <w:sz w:val="24"/>
              </w:rPr>
              <w:t/>
            </w:r>
            <w:proofErr w:type="spellStart"/>
            <w:r w:rsidRPr="00431EE1">
              <w:rPr>
                <w:color w:val="000000"/>
                <w:kern w:val="0"/>
                <w:sz w:val="24"/>
              </w:rPr>
              <w:t/>
            </w:r>
            <w:proofErr w:type="spellEnd"/>
            <w:r w:rsidRPr="00431EE1">
              <w:rPr>
                <w:color w:val="000000"/>
                <w:kern w:val="0"/>
                <w:sz w:val="24"/>
              </w:rPr>
              <w:t>报告期</w:t>
            </w:r>
            <w:r w:rsidRPr="00431EE1">
              <w:rPr>
                <w:color w:val="000000"/>
                <w:kern w:val="0"/>
                <w:sz w:val="24"/>
              </w:rPr>
              <w:t>基金总赎回份额</w:t>
            </w:r>
          </w:p>
        </w:tc>
        <w:tc>
          <w:tcPr>
            <w:tcW w:type="dxa" w:w="4025"/>
            <w:vAlign w:val="center"/>
          </w:tcPr>
          <w:p w:rsidP="00CA3C4F" w:rsidR="00F13451" w:rsidRDefault="00F13451" w:rsidRPr="00431EE1">
            <w:pPr>
              <w:autoSpaceDE w:val="0"/>
              <w:autoSpaceDN w:val="0"/>
              <w:adjustRightInd w:val="0"/>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129,913,955.13</w:t>
            </w:r>
          </w:p>
        </w:tc>
      </w:tr>
      <w:tr w:rsidR="00F13451" w:rsidRPr="00820253" w:rsidTr="00C2237F">
        <w:tc>
          <w:tcPr>
            <w:tcW w:type="dxa" w:w="4609"/>
            <w:vAlign w:val="center"/>
          </w:tcPr>
          <w:p w:rsidP="00CA3C4F" w:rsidR="00F13451" w:rsidRDefault="00F13451" w:rsidRPr="00431EE1">
            <w:pPr>
              <w:autoSpaceDE w:val="0"/>
              <w:autoSpaceDN w:val="0"/>
              <w:adjustRightInd w:val="0"/>
              <w:spacing w:before="29" w:line="360" w:lineRule="auto"/>
              <w:ind w:left="17"/>
              <w:jc w:val="left"/>
              <w:rPr>
                <w:color w:val="000000"/>
                <w:kern w:val="0"/>
                <w:sz w:val="24"/>
              </w:rPr>
            </w:pPr>
            <w:r w:rsidRPr="00431EE1">
              <w:rPr>
                <w:color w:val="000000"/>
                <w:kern w:val="0"/>
                <w:sz w:val="24"/>
              </w:rPr>
              <w:t/>
            </w:r>
            <w:proofErr w:type="spellStart"/>
            <w:r w:rsidRPr="00431EE1">
              <w:rPr>
                <w:color w:val="000000"/>
                <w:kern w:val="0"/>
                <w:sz w:val="24"/>
              </w:rPr>
              <w:t/>
            </w:r>
            <w:proofErr w:type="spellEnd"/>
            <w:r w:rsidRPr="00431EE1">
              <w:rPr>
                <w:color w:val="000000"/>
                <w:kern w:val="0"/>
                <w:sz w:val="24"/>
              </w:rPr>
              <w:t>报告期</w:t>
            </w:r>
            <w:r w:rsidRPr="00431EE1">
              <w:rPr>
                <w:color w:val="000000"/>
                <w:kern w:val="0"/>
                <w:sz w:val="24"/>
              </w:rPr>
              <w:t>基金拆分变动份额</w:t>
            </w:r>
            <w:r w:rsidR="00492D67">
              <w:rPr>
                <w:rFonts w:hint="eastAsia"/>
                <w:color w:val="000000"/>
                <w:kern w:val="0"/>
                <w:sz w:val="24"/>
              </w:rPr>
              <w:t>（份额减少以“</w:t>
            </w:r>
            <w:r w:rsidR="00492D67">
              <w:rPr>
                <w:color w:val="000000"/>
                <w:kern w:val="0"/>
                <w:sz w:val="24"/>
              </w:rPr>
              <w:t>-</w:t>
            </w:r>
            <w:r w:rsidR="00492D67">
              <w:rPr>
                <w:rFonts w:hint="eastAsia"/>
                <w:color w:val="000000"/>
                <w:kern w:val="0"/>
                <w:sz w:val="24"/>
              </w:rPr>
              <w:t>”填列）</w:t>
            </w:r>
          </w:p>
        </w:tc>
        <w:tc>
          <w:tcPr>
            <w:tcW w:type="dxa" w:w="4025"/>
            <w:vAlign w:val="center"/>
          </w:tcPr>
          <w:p w:rsidP="00CA3C4F" w:rsidR="00F13451" w:rsidRDefault="00F13451" w:rsidRPr="00431EE1">
            <w:pPr>
              <w:autoSpaceDE w:val="0"/>
              <w:autoSpaceDN w:val="0"/>
              <w:adjustRightInd w:val="0"/>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w:t>
            </w:r>
          </w:p>
        </w:tc>
      </w:tr>
      <w:tr w:rsidR="00F13451" w:rsidRPr="00820253" w:rsidTr="00C2237F">
        <w:tc>
          <w:tcPr>
            <w:tcW w:type="dxa" w:w="4609"/>
            <w:vAlign w:val="center"/>
          </w:tcPr>
          <w:p w:rsidP="00CA3C4F" w:rsidR="00F13451" w:rsidRDefault="00F13451" w:rsidRPr="00431EE1">
            <w:pPr>
              <w:autoSpaceDE w:val="0"/>
              <w:autoSpaceDN w:val="0"/>
              <w:adjustRightInd w:val="0"/>
              <w:spacing w:before="29" w:line="360" w:lineRule="auto"/>
              <w:ind w:left="17"/>
              <w:jc w:val="left"/>
              <w:rPr>
                <w:color w:val="000000"/>
                <w:kern w:val="0"/>
                <w:sz w:val="24"/>
              </w:rPr>
            </w:pPr>
            <w:r w:rsidRPr="00431EE1">
              <w:rPr>
                <w:color w:val="000000"/>
                <w:kern w:val="0"/>
                <w:sz w:val="24"/>
              </w:rPr>
              <w:t>报告期期末基金份额总额</w:t>
            </w:r>
          </w:p>
        </w:tc>
        <w:tc>
          <w:tcPr>
            <w:tcW w:type="dxa" w:w="4025"/>
            <w:vAlign w:val="center"/>
          </w:tcPr>
          <w:p w:rsidP="00CA3C4F" w:rsidR="00F13451" w:rsidRDefault="00F13451" w:rsidRPr="00431EE1">
            <w:pPr>
              <w:autoSpaceDE w:val="0"/>
              <w:autoSpaceDN w:val="0"/>
              <w:adjustRightInd w:val="0"/>
              <w:spacing w:before="29" w:line="360" w:lineRule="auto"/>
              <w:ind w:left="17"/>
              <w:jc w:val="right"/>
              <w:rPr>
                <w:color w:val="000000"/>
                <w:sz w:val="24"/>
              </w:rPr>
            </w:pPr>
            <w:r w:rsidRPr="00431EE1">
              <w:rPr>
                <w:color w:val="000000"/>
                <w:sz w:val="24"/>
              </w:rPr>
              <w:t/>
            </w:r>
            <w:proofErr w:type="spellStart"/>
            <w:r w:rsidRPr="00431EE1">
              <w:rPr>
                <w:color w:val="000000"/>
                <w:sz w:val="24"/>
              </w:rPr>
              <w:t/>
            </w:r>
            <w:proofErr w:type="spellEnd"/>
            <w:r w:rsidRPr="00431EE1">
              <w:rPr>
                <w:color w:val="000000"/>
                <w:sz w:val="24"/>
              </w:rPr>
              <w:t>375,048,218.70</w:t>
            </w:r>
          </w:p>
        </w:tc>
      </w:tr>
    </w:tbl>
    <w:p w:rsidP="0040658E" w:rsidR="00F13451" w:rsidRDefault="00F13451" w:rsidRPr="0040658E">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
      </w:r>
      <w:proofErr w:type="spellStart"/>
      <w:r w:rsidRPr="0040658E">
        <w:rPr>
          <w:color w:val="000000"/>
          <w:sz w:val="24"/>
        </w:rPr>
        <w:t/>
      </w:r>
      <w:proofErr w:type="spellEnd"/>
      <w:r w:rsidRPr="0040658E">
        <w:rPr>
          <w:color w:val="000000"/>
          <w:sz w:val="24"/>
        </w:rPr>
        <w:t>注：本基金份额变动含易方达标普信息科技指数（QDII-LOF）人民币份额及美元现汇份额。</w:t>
      </w:r>
    </w:p>
    <w:p w:rsidP="008B041C" w:rsidR="00F13451" w:rsidRDefault="00F13451" w:rsidRPr="00264E55">
      <w:pPr>
        <w:pStyle w:val="1"/>
        <w:spacing w:after="312" w:afterLines="100" w:before="312" w:beforeLines="100" w:line="360" w:lineRule="auto"/>
        <w:jc w:val="center"/>
        <w:rPr>
          <w:rFonts w:ascii="宋体"/>
          <w:color w:val="000000"/>
          <w:kern w:val="0"/>
          <w:sz w:val="24"/>
          <w:szCs w:val="24"/>
        </w:rPr>
      </w:pPr>
      <w:r w:rsidRPr="00264E55">
        <w:rPr>
          <w:rFonts w:ascii="宋体"/>
          <w:color w:val="000000"/>
          <w:kern w:val="0"/>
          <w:sz w:val="24"/>
          <w:szCs w:val="24"/>
        </w:rPr>
        <w:t/>
      </w:r>
      <w:proofErr w:type="spellStart"/>
      <w:r w:rsidRPr="00264E55">
        <w:rPr>
          <w:rFonts w:ascii="宋体" w:hAnsi="宋体"/>
          <w:color w:val="000000"/>
          <w:kern w:val="0"/>
          <w:sz w:val="24"/>
          <w:szCs w:val="24"/>
        </w:rPr>
        <w:t/>
      </w:r>
      <w:proofErr w:type="spellEnd"/>
      <w:r w:rsidRPr="00264E55">
        <w:rPr>
          <w:rFonts w:ascii="宋体" w:hAnsi="宋体"/>
          <w:color w:val="000000"/>
          <w:kern w:val="0"/>
          <w:sz w:val="24"/>
          <w:szCs w:val="24"/>
        </w:rPr>
        <w:t/>
      </w:r>
      <w:r w:rsidRPr="00264E55">
        <w:rPr>
          <w:rFonts w:ascii="宋体" w:hAnsi="宋体" w:hint="eastAsia"/>
          <w:color w:val="000000"/>
          <w:kern w:val="0"/>
          <w:sz w:val="24"/>
          <w:szCs w:val="24"/>
        </w:rPr>
        <w:t>§</w:t>
      </w:r>
      <w:r>
        <w:rPr>
          <w:rFonts w:ascii="宋体"/>
          <w:color w:val="000000"/>
          <w:kern w:val="0"/>
          <w:sz w:val="24"/>
          <w:szCs w:val="24"/>
        </w:rPr>
        <w:t/>
      </w:r>
      <w:r>
        <w:rPr>
          <w:rFonts w:ascii="宋体" w:hAnsi="宋体"/>
          <w:color w:val="000000"/>
          <w:kern w:val="0"/>
          <w:sz w:val="24"/>
          <w:szCs w:val="24"/>
        </w:rPr>
        <w:t/>
      </w:r>
      <w:r w:rsidRPr="00264E55">
        <w:rPr>
          <w:rFonts w:ascii="宋体"/>
          <w:color w:val="000000"/>
          <w:kern w:val="0"/>
          <w:sz w:val="24"/>
          <w:szCs w:val="24"/>
        </w:rPr>
        <w:t>7</w:t>
      </w:r>
      <w:r w:rsidR="00FD0A58" w:rsidRPr="00820253">
        <w:rPr>
          <w:rFonts w:ascii="宋体" w:cs="Arial" w:hAnsi="宋体"/>
          <w:color w:val="000000"/>
          <w:kern w:val="0"/>
          <w:sz w:val="24"/>
          <w:szCs w:val="24"/>
        </w:rPr>
        <w:t xml:space="preserve">  </w:t>
      </w:r>
      <w:r w:rsidRPr="005C2541">
        <w:rPr>
          <w:rFonts w:ascii="宋体" w:hAnsi="宋体" w:hint="eastAsia"/>
          <w:color w:val="000000"/>
          <w:kern w:val="0"/>
          <w:sz w:val="24"/>
          <w:szCs w:val="24"/>
        </w:rPr>
        <w:t>基金管理人运用固有资金投资本基金交易明细</w:t>
      </w:r>
    </w:p>
    <w:p w:rsidP="0040658E" w:rsidR="00F13451" w:rsidRDefault="00F13451" w:rsidRPr="0040658E">
      <w:pPr>
        <w:spacing w:line="360" w:lineRule="auto"/>
        <w:ind w:firstLine="480" w:firstLineChars="200"/>
        <w:rPr>
          <w:color w:val="000000"/>
          <w:sz w:val="24"/>
        </w:rPr>
      </w:pPr>
      <w:r w:rsidRPr="0040658E">
        <w:rPr>
          <w:color w:val="000000"/>
          <w:sz w:val="24"/>
        </w:rPr>
        <w:lastRenderedPageBreak/>
        <w:t/>
      </w:r>
      <w:proofErr w:type="spellStart"/>
      <w:r w:rsidRPr="0040658E">
        <w:rPr>
          <w:color w:val="000000"/>
          <w:sz w:val="24"/>
        </w:rPr>
        <w:t/>
      </w:r>
      <w:proofErr w:type="spellEnd"/>
      <w:r w:rsidRPr="0040658E">
        <w:rPr>
          <w:color w:val="000000"/>
          <w:sz w:val="24"/>
        </w:rPr>
        <w:t/>
      </w:r>
      <w:proofErr w:type="spellStart"/>
      <w:r w:rsidRPr="0040658E">
        <w:rPr>
          <w:color w:val="000000"/>
          <w:sz w:val="24"/>
        </w:rPr>
        <w:t/>
      </w:r>
      <w:proofErr w:type="spellEnd"/>
      <w:r w:rsidRPr="0040658E">
        <w:rPr>
          <w:color w:val="000000"/>
          <w:sz w:val="24"/>
        </w:rPr>
        <w:t>本报告期内基金管理人未运用固有资金申购、赎回、买卖本基金份额。</w:t>
      </w:r>
    </w:p>
    <w:p w:rsidP="008B041C" w:rsidR="00F13451" w:rsidRDefault="00F13451" w:rsidRPr="00820253">
      <w:pPr>
        <w:pStyle w:val="1"/>
        <w:spacing w:after="312" w:afterLines="100" w:before="312" w:beforeLines="100" w:line="360" w:lineRule="auto"/>
        <w:jc w:val="center"/>
        <w:rPr>
          <w:rFonts w:ascii="宋体" w:cs="Arial"/>
          <w:color w:val="000000"/>
          <w:kern w:val="0"/>
          <w:sz w:val="24"/>
          <w:szCs w:val="24"/>
        </w:rPr>
      </w:pPr>
      <w:r w:rsidRPr="00820253">
        <w:rPr>
          <w:rFonts w:ascii="宋体" w:cs="Arial" w:hAnsi="宋体" w:hint="eastAsia"/>
          <w:color w:val="000000"/>
          <w:kern w:val="0"/>
          <w:sz w:val="24"/>
          <w:szCs w:val="24"/>
        </w:rPr>
        <w:t>§</w:t>
      </w:r>
      <w:r w:rsidRPr="00820253">
        <w:rPr>
          <w:rFonts w:ascii="宋体" w:cs="Arial"/>
          <w:color w:val="000000"/>
          <w:kern w:val="0"/>
          <w:sz w:val="24"/>
          <w:szCs w:val="24"/>
        </w:rPr>
        <w:t/>
      </w:r>
      <w:r w:rsidRPr="00820253">
        <w:rPr>
          <w:rFonts w:ascii="宋体" w:cs="Arial" w:hAnsi="宋体"/>
          <w:color w:val="000000"/>
          <w:kern w:val="0"/>
          <w:sz w:val="24"/>
          <w:szCs w:val="24"/>
        </w:rPr>
        <w:t>8</w:t>
      </w:r>
      <w:r w:rsidR="00FD0A58" w:rsidRPr="00820253">
        <w:rPr>
          <w:rFonts w:ascii="宋体" w:cs="Arial" w:hAnsi="宋体"/>
          <w:color w:val="000000"/>
          <w:kern w:val="0"/>
          <w:sz w:val="24"/>
          <w:szCs w:val="24"/>
        </w:rPr>
        <w:t xml:space="preserve">  </w:t>
      </w:r>
      <w:r w:rsidRPr="00820253">
        <w:rPr>
          <w:rFonts w:ascii="宋体" w:cs="Arial" w:hAnsi="宋体" w:hint="eastAsia"/>
          <w:color w:val="000000"/>
          <w:kern w:val="0"/>
          <w:sz w:val="24"/>
          <w:szCs w:val="24"/>
        </w:rPr>
        <w:t>备查文件目录</w:t>
      </w:r>
    </w:p>
    <w:p w:rsidP="00CF2C2A" w:rsidR="00F13451" w:rsidRDefault="00F13451" w:rsidRPr="00D67E63">
      <w:pPr>
        <w:spacing w:line="360" w:lineRule="auto"/>
        <w:rPr>
          <w:rFonts w:ascii="宋体"/>
          <w:b/>
          <w:sz w:val="24"/>
        </w:rPr>
      </w:pPr>
      <w:r w:rsidRPr="00D67E63">
        <w:rPr>
          <w:rFonts w:ascii="宋体"/>
          <w:b/>
          <w:sz w:val="24"/>
        </w:rPr>
        <w:t/>
      </w:r>
      <w:r w:rsidRPr="00D67E63">
        <w:rPr>
          <w:rFonts w:ascii="宋体" w:hAnsi="宋体"/>
          <w:b/>
          <w:sz w:val="24"/>
        </w:rPr>
        <w:t xml:space="preserve">8.1 </w:t>
      </w:r>
      <w:r w:rsidRPr="00D67E63">
        <w:rPr>
          <w:rFonts w:ascii="宋体" w:hAnsi="宋体" w:hint="eastAsia"/>
          <w:b/>
          <w:sz w:val="24"/>
        </w:rPr>
        <w:t>备查文件目录</w:t>
      </w:r>
    </w:p>
    <w:p>
      <w:pPr>
        <w:spacing w:line="360" w:lineRule="auto"/>
        <w:ind w:firstLine="480" w:firstLineChars="200"/>
        <w:rPr>
          <w:color w:val="000000"/>
          <w:sz w:val="24"/>
        </w:rPr>
      </w:pPr>
      <w:r>
        <w:rPr>
          <w:color w:val="000000"/>
          <w:sz w:val="24"/>
        </w:rPr>
        <w:t>1.中国证监会准予易方达标普信息科技指数证券投资基金（LOF）注册的文件；</w:t>
      </w:r>
    </w:p>
    <w:p>
      <w:pPr>
        <w:spacing w:line="360" w:lineRule="auto"/>
        <w:ind w:firstLine="480" w:firstLineChars="200"/>
        <w:rPr>
          <w:color w:val="000000"/>
          <w:sz w:val="24"/>
        </w:rPr>
      </w:pPr>
      <w:r>
        <w:rPr>
          <w:color w:val="000000"/>
          <w:sz w:val="24"/>
        </w:rPr>
        <w:t>2.《易方达标普信息科技指数证券投资基金（LOF）基金合同》；</w:t>
      </w:r>
    </w:p>
    <w:p>
      <w:pPr>
        <w:spacing w:line="360" w:lineRule="auto"/>
        <w:ind w:firstLine="480" w:firstLineChars="200"/>
        <w:rPr>
          <w:color w:val="000000"/>
          <w:sz w:val="24"/>
        </w:rPr>
      </w:pPr>
      <w:r>
        <w:rPr>
          <w:color w:val="000000"/>
          <w:sz w:val="24"/>
        </w:rPr>
        <w:t>3.《易方达标普信息科技指数证券投资基金（LOF）托管协议》；</w:t>
      </w:r>
    </w:p>
    <w:p w:rsidP="00431EE1" w:rsidR="00F13451" w:rsidRDefault="00F13451" w:rsidRPr="00431EE1">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4.基金管理人业务资格批件和营业执照。</w:t>
      </w:r>
    </w:p>
    <w:p w:rsidP="00CF2C2A" w:rsidR="00F13451" w:rsidRDefault="00F13451" w:rsidRPr="00D67E63">
      <w:pPr>
        <w:spacing w:line="360" w:lineRule="auto"/>
        <w:rPr>
          <w:rFonts w:ascii="宋体"/>
          <w:b/>
          <w:sz w:val="24"/>
        </w:rPr>
      </w:pPr>
      <w:r w:rsidRPr="00D67E63">
        <w:rPr>
          <w:rFonts w:ascii="宋体"/>
          <w:b/>
          <w:sz w:val="24"/>
        </w:rPr>
        <w:t/>
      </w:r>
      <w:r w:rsidRPr="00D67E63">
        <w:rPr>
          <w:rFonts w:ascii="宋体" w:hAnsi="宋体"/>
          <w:b/>
          <w:sz w:val="24"/>
        </w:rPr>
        <w:t xml:space="preserve">8.2 </w:t>
      </w:r>
      <w:r w:rsidRPr="00D67E63">
        <w:rPr>
          <w:rFonts w:ascii="宋体" w:hAnsi="宋体" w:hint="eastAsia"/>
          <w:b/>
          <w:sz w:val="24"/>
        </w:rPr>
        <w:t>存放地点</w:t>
      </w:r>
    </w:p>
    <w:p w:rsidP="00431EE1" w:rsidR="00F13451" w:rsidRDefault="00F13451" w:rsidRPr="00431EE1">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广州市天河区珠江新城珠江东路30号广州银行大厦40-43楼。</w:t>
      </w:r>
    </w:p>
    <w:p w:rsidP="00CF2C2A" w:rsidR="00F13451" w:rsidRDefault="00F13451" w:rsidRPr="00D67E63">
      <w:pPr>
        <w:spacing w:line="360" w:lineRule="auto"/>
        <w:rPr>
          <w:rFonts w:ascii="宋体"/>
          <w:b/>
          <w:sz w:val="24"/>
        </w:rPr>
      </w:pPr>
      <w:r w:rsidRPr="00D67E63">
        <w:rPr>
          <w:rFonts w:ascii="宋体"/>
          <w:b/>
          <w:sz w:val="24"/>
        </w:rPr>
        <w:t/>
      </w:r>
      <w:r w:rsidRPr="00D67E63">
        <w:rPr>
          <w:rFonts w:ascii="宋体" w:hAnsi="宋体"/>
          <w:b/>
          <w:sz w:val="24"/>
        </w:rPr>
        <w:t xml:space="preserve">8.3 </w:t>
      </w:r>
      <w:r w:rsidRPr="00D67E63">
        <w:rPr>
          <w:rFonts w:ascii="宋体" w:hAnsi="宋体" w:hint="eastAsia"/>
          <w:b/>
          <w:sz w:val="24"/>
        </w:rPr>
        <w:t>查阅方式</w:t>
      </w:r>
    </w:p>
    <w:p w:rsidP="00476756" w:rsidR="00F13451" w:rsidRDefault="00F13451" w:rsidRPr="0040658E">
      <w:pPr>
        <w:spacing w:line="360" w:lineRule="auto"/>
        <w:ind w:firstLine="480" w:firstLineChars="200"/>
        <w:rPr>
          <w:color w:val="000000"/>
          <w:sz w:val="24"/>
        </w:rPr>
      </w:pPr>
      <w:r w:rsidRPr="0040658E">
        <w:rPr>
          <w:color w:val="000000"/>
          <w:sz w:val="24"/>
        </w:rPr>
        <w:t/>
      </w:r>
      <w:proofErr w:type="spellStart"/>
      <w:r w:rsidRPr="0040658E">
        <w:rPr>
          <w:color w:val="000000"/>
          <w:sz w:val="24"/>
        </w:rPr>
        <w:t/>
      </w:r>
      <w:proofErr w:type="spellEnd"/>
      <w:r w:rsidRPr="0040658E">
        <w:rPr>
          <w:color w:val="000000"/>
          <w:sz w:val="24"/>
        </w:rPr>
        <w:t>投资者可在营业时间免费查阅，也可按工本费购买复印件。</w:t>
      </w:r>
    </w:p>
    <w:p w:rsidP="00476756" w:rsidR="00F13451" w:rsidRDefault="00F13451" w:rsidRPr="00820253">
      <w:pPr>
        <w:spacing w:line="360" w:lineRule="auto"/>
        <w:ind w:firstLine="480" w:firstLineChars="200"/>
        <w:rPr>
          <w:rFonts w:ascii="宋体" w:hAnsi="宋体"/>
          <w:color w:val="000000"/>
          <w:sz w:val="24"/>
        </w:rPr>
      </w:pPr>
    </w:p>
    <w:p w:rsidP="00476756" w:rsidR="00F13451" w:rsidRDefault="00F13451">
      <w:pPr>
        <w:spacing w:line="360" w:lineRule="auto"/>
        <w:ind w:firstLine="480" w:firstLineChars="200"/>
        <w:rPr>
          <w:rFonts w:ascii="宋体"/>
          <w:color w:val="000000"/>
          <w:sz w:val="24"/>
        </w:rPr>
      </w:pPr>
    </w:p>
    <w:p w:rsidP="00476756" w:rsidR="00F13451" w:rsidRDefault="00F13451">
      <w:pPr>
        <w:spacing w:line="360" w:lineRule="auto"/>
        <w:ind w:firstLine="480" w:firstLineChars="200"/>
        <w:rPr>
          <w:rFonts w:ascii="宋体"/>
          <w:color w:val="000000"/>
          <w:sz w:val="24"/>
        </w:rPr>
      </w:pPr>
    </w:p>
    <w:p w:rsidP="00476756" w:rsidR="00F13451" w:rsidRDefault="00F13451">
      <w:pPr>
        <w:spacing w:line="360" w:lineRule="auto"/>
        <w:ind w:firstLine="480" w:firstLineChars="200"/>
        <w:rPr>
          <w:rFonts w:ascii="宋体"/>
          <w:color w:val="000000"/>
          <w:sz w:val="24"/>
        </w:rPr>
      </w:pPr>
    </w:p>
    <w:p w:rsidP="00476756" w:rsidR="00F13451" w:rsidRDefault="00F13451">
      <w:pPr>
        <w:spacing w:line="360" w:lineRule="auto"/>
        <w:ind w:firstLine="480" w:firstLineChars="200"/>
        <w:rPr>
          <w:rFonts w:ascii="宋体"/>
          <w:color w:val="000000"/>
          <w:sz w:val="24"/>
        </w:rPr>
      </w:pPr>
    </w:p>
    <w:p w:rsidP="00476756" w:rsidR="00F13451" w:rsidRDefault="00F13451">
      <w:pPr>
        <w:spacing w:line="360" w:lineRule="auto"/>
        <w:ind w:firstLine="480" w:firstLineChars="200"/>
        <w:rPr>
          <w:rFonts w:ascii="宋体"/>
          <w:color w:val="000000"/>
          <w:sz w:val="24"/>
        </w:rPr>
      </w:pPr>
    </w:p>
    <w:p w:rsidP="00476756" w:rsidR="00F13451" w:rsidRDefault="00F13451" w:rsidRPr="00820253">
      <w:pPr>
        <w:spacing w:line="360" w:lineRule="auto"/>
        <w:ind w:firstLine="480" w:firstLineChars="200"/>
        <w:rPr>
          <w:rFonts w:ascii="宋体"/>
          <w:color w:val="000000"/>
          <w:sz w:val="24"/>
        </w:rPr>
      </w:pPr>
    </w:p>
    <w:p w:rsidP="00CF2C2A" w:rsidR="00F13451" w:rsidRDefault="00F13451" w:rsidRPr="00820253">
      <w:pPr>
        <w:spacing w:line="360" w:lineRule="auto"/>
        <w:jc w:val="right"/>
        <w:rPr>
          <w:rFonts w:ascii="宋体" w:hAnsi="宋体"/>
          <w:b/>
          <w:bCs/>
          <w:sz w:val="24"/>
        </w:rPr>
      </w:pPr>
      <w:r w:rsidRPr="00820253">
        <w:rPr>
          <w:rFonts w:ascii="宋体"/>
          <w:b/>
          <w:bCs/>
          <w:sz w:val="24"/>
        </w:rPr>
        <w:t/>
      </w:r>
      <w:proofErr w:type="spellStart"/>
      <w:r w:rsidRPr="00820253">
        <w:rPr>
          <w:rFonts w:ascii="宋体" w:hAnsi="宋体"/>
          <w:b/>
          <w:bCs/>
          <w:sz w:val="24"/>
        </w:rPr>
        <w:t/>
      </w:r>
      <w:proofErr w:type="spellEnd"/>
      <w:r w:rsidRPr="00820253">
        <w:rPr>
          <w:rFonts w:ascii="宋体" w:hAnsi="宋体"/>
          <w:b/>
          <w:bCs/>
          <w:sz w:val="24"/>
        </w:rPr>
        <w:t>易方达基金管理有限公司</w:t>
      </w:r>
    </w:p>
    <w:p w:rsidP="00CF2C2A" w:rsidR="00F13451" w:rsidRDefault="00F13451" w:rsidRPr="00820253">
      <w:pPr>
        <w:spacing w:line="360" w:lineRule="auto"/>
        <w:jc w:val="right"/>
        <w:rPr>
          <w:rFonts w:ascii="宋体" w:hAnsi="宋体"/>
          <w:b/>
          <w:bCs/>
          <w:sz w:val="24"/>
        </w:rPr>
      </w:pPr>
      <w:r w:rsidRPr="00820253">
        <w:rPr>
          <w:rFonts w:ascii="宋体" w:hAnsi="宋体"/>
          <w:b/>
          <w:bCs/>
          <w:sz w:val="24"/>
        </w:rPr>
        <w:t/>
      </w:r>
      <w:proofErr w:type="spellStart"/>
      <w:r w:rsidRPr="00820253">
        <w:rPr>
          <w:rFonts w:ascii="宋体" w:hAnsi="宋体"/>
          <w:b/>
          <w:bCs/>
          <w:sz w:val="24"/>
        </w:rPr>
        <w:t/>
      </w:r>
      <w:proofErr w:type="spellEnd"/>
      <w:r w:rsidRPr="00820253">
        <w:rPr>
          <w:rFonts w:ascii="宋体" w:hAnsi="宋体"/>
          <w:b/>
          <w:bCs/>
          <w:sz w:val="24"/>
        </w:rPr>
        <w:t>二〇二〇年十月二十八日</w:t>
      </w:r>
    </w:p>
    <w:sectPr w:rsidR="00F13451" w:rsidRPr="00820253" w:rsidSect="00DB4450">
      <w:headerReference r:id="rId11" w:type="even"/>
      <w:footerReference r:id="rId12" w:type="even"/>
      <w:footerReference r:id="rId13" w:type="default"/>
      <w:headerReference r:id="rId14" w:type="first"/>
      <w:footerReference r:id="rId15" w:type="first"/>
      <w:pgSz w:code="9" w:h="16838" w:w="11906"/>
      <w:pgMar w:bottom="1440" w:footer="992" w:gutter="0" w:header="851" w:left="1797" w:right="1797"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003" w:rsidRDefault="00634003">
      <w:r>
        <w:separator/>
      </w:r>
    </w:p>
  </w:endnote>
  <w:endnote w:type="continuationSeparator" w:id="0">
    <w:p w:rsidR="00634003" w:rsidRDefault="0063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P="00D6226F" w:rsidR="00F13451" w:rsidRDefault="00F13451" w:rsidRPr="001D0DB0">
    <w:pPr>
      <w:pStyle w:val="a6"/>
      <w:jc w:val="center"/>
    </w:pPr>
    <w:r>
      <w:rPr>
        <w:rFonts w:hint="eastAsia"/>
        <w:szCs w:val="21"/>
      </w:rPr>
      <w:t>第</w:t>
    </w:r>
    <w:r w:rsidR="00D12F5B">
      <w:rPr>
        <w:szCs w:val="21"/>
      </w:rPr>
      <w:fldChar w:fldCharType="begin"/>
    </w:r>
    <w:r>
      <w:rPr>
        <w:szCs w:val="21"/>
      </w:rPr>
      <w:instrText xml:space="preserve"> PAGE </w:instrText>
    </w:r>
    <w:r w:rsidR="00D12F5B">
      <w:rPr>
        <w:szCs w:val="21"/>
      </w:rPr>
      <w:fldChar w:fldCharType="separate"/>
    </w:r>
    <w:r w:rsidR="003B43E5">
      <w:rPr>
        <w:noProof/>
        <w:szCs w:val="21"/>
      </w:rPr>
      <w:t>1</w:t>
    </w:r>
    <w:r w:rsidR="00D12F5B">
      <w:rPr>
        <w:szCs w:val="21"/>
      </w:rPr>
      <w:fldChar w:fldCharType="end"/>
    </w:r>
    <w:proofErr w:type="gramStart"/>
    <w:r>
      <w:rPr>
        <w:rFonts w:hint="eastAsia"/>
        <w:szCs w:val="21"/>
      </w:rPr>
      <w:t>页共</w:t>
    </w:r>
    <w:proofErr w:type="gramEnd"/>
    <w:r w:rsidR="00D12F5B">
      <w:rPr>
        <w:szCs w:val="21"/>
      </w:rPr>
      <w:fldChar w:fldCharType="begin"/>
    </w:r>
    <w:r>
      <w:rPr>
        <w:szCs w:val="21"/>
      </w:rPr>
      <w:instrText xml:space="preserve"> NUMPAGES </w:instrText>
    </w:r>
    <w:r w:rsidR="00D12F5B">
      <w:rPr>
        <w:szCs w:val="21"/>
      </w:rPr>
      <w:fldChar w:fldCharType="separate"/>
    </w:r>
    <w:r w:rsidR="003B43E5">
      <w:rPr>
        <w:noProof/>
        <w:szCs w:val="21"/>
      </w:rPr>
      <w:t>22</w:t>
    </w:r>
    <w:r w:rsidR="00D12F5B">
      <w:rPr>
        <w:szCs w:val="21"/>
      </w:rPr>
      <w:fldChar w:fldCharType="end"/>
    </w:r>
    <w:r>
      <w:rPr>
        <w:rFonts w:hint="eastAsia"/>
        <w:szCs w:val="21"/>
      </w:rPr>
      <w:t>页</w:t>
    </w: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F13451" w:rsidRDefault="00D12F5B">
    <w:pPr>
      <w:pStyle w:val="a6"/>
      <w:framePr w:hAnchor="margin" w:vAnchor="text" w:wrap="around" w:xAlign="center" w:y="1"/>
      <w:rPr>
        <w:rStyle w:val="a7"/>
      </w:rPr>
    </w:pPr>
    <w:r>
      <w:rPr>
        <w:rStyle w:val="a7"/>
      </w:rPr>
      <w:fldChar w:fldCharType="begin"/>
    </w:r>
    <w:r w:rsidR="00F13451">
      <w:rPr>
        <w:rStyle w:val="a7"/>
      </w:rPr>
      <w:instrText xml:space="preserve">PAGE  </w:instrText>
    </w:r>
    <w:r>
      <w:rPr>
        <w:rStyle w:val="a7"/>
      </w:rPr>
      <w:fldChar w:fldCharType="end"/>
    </w:r>
  </w:p>
  <w:p w:rsidR="00F13451" w:rsidRDefault="00F13451">
    <w:pPr>
      <w:pStyle w:val="a6"/>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F13451" w:rsidRDefault="00D12F5B">
    <w:pPr>
      <w:pStyle w:val="a6"/>
      <w:framePr w:hAnchor="margin" w:vAnchor="text" w:wrap="around" w:xAlign="center" w:y="1"/>
      <w:rPr>
        <w:rStyle w:val="a7"/>
      </w:rPr>
    </w:pPr>
    <w:r>
      <w:rPr>
        <w:rStyle w:val="a7"/>
      </w:rPr>
      <w:fldChar w:fldCharType="begin"/>
    </w:r>
    <w:r w:rsidR="00F13451">
      <w:rPr>
        <w:rStyle w:val="a7"/>
      </w:rPr>
      <w:instrText xml:space="preserve">PAGE  </w:instrText>
    </w:r>
    <w:r>
      <w:rPr>
        <w:rStyle w:val="a7"/>
      </w:rPr>
      <w:fldChar w:fldCharType="separate"/>
    </w:r>
    <w:r w:rsidR="003B43E5">
      <w:rPr>
        <w:rStyle w:val="a7"/>
        <w:noProof/>
      </w:rPr>
      <w:t>6</w:t>
    </w:r>
    <w:r>
      <w:rPr>
        <w:rStyle w:val="a7"/>
      </w:rPr>
      <w:fldChar w:fldCharType="end"/>
    </w:r>
  </w:p>
  <w:p w:rsidR="00F13451" w:rsidRDefault="00F13451">
    <w:pPr>
      <w:pStyle w:val="a6"/>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F13451" w:rsidRDefault="00F13451">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otnote w:id="-1" w:type="separator">
    <w:p w:rsidR="00634003" w:rsidRDefault="00634003">
      <w:r>
        <w:separator/>
      </w:r>
    </w:p>
  </w:footnote>
  <w:footnote w:id="0" w:type="continuationSeparator">
    <w:p w:rsidR="00634003" w:rsidRDefault="00634003">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P="004E30FB" w:rsidR="00F13451" w:rsidRDefault="00F13451" w:rsidRPr="005771AC">
    <w:pPr>
      <w:pStyle w:val="a9"/>
      <w:pBdr>
        <w:bottom w:color="auto" w:space="0" w:sz="6" w:val="single"/>
      </w:pBdr>
      <w:jc w:val="right"/>
      <w:rPr>
        <w:sz w:val="15"/>
      </w:rPr>
    </w:pPr>
    <w:r w:rsidRPr="005771AC">
      <w:rPr>
        <w:szCs w:val="21"/>
      </w:rPr>
      <w:t/>
    </w:r>
    <w:proofErr w:type="spellStart"/>
    <w:proofErr w:type="gramStart"/>
    <w:r w:rsidRPr="005771AC">
      <w:rPr>
        <w:szCs w:val="21"/>
      </w:rPr>
      <w:t/>
    </w:r>
    <w:proofErr w:type="spellEnd"/>
    <w:proofErr w:type="gramEnd"/>
    <w:r w:rsidRPr="005771AC">
      <w:rPr>
        <w:szCs w:val="21"/>
      </w:rPr>
      <w:t>易方达标普信息科技指数证券投资基金（LOF）</w:t>
    </w:r>
    <w:proofErr w:type="spellStart"/>
    <w:r w:rsidRPr="005771AC">
      <w:rPr>
        <w:szCs w:val="21"/>
      </w:rPr>
      <w:t/>
    </w:r>
    <w:proofErr w:type="spellEnd"/>
    <w:r w:rsidRPr="005771AC">
      <w:rPr>
        <w:szCs w:val="21"/>
      </w:rPr>
      <w:t>2020年第3季度报告</w:t>
    </w: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F13451" w:rsidRDefault="00F13451">
    <w:pPr>
      <w:pStyle w:val="a9"/>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F13451" w:rsidRDefault="00F13451">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pos="1200" w:val="num"/>
        </w:tabs>
        <w:ind w:hanging="720" w:left="1200"/>
      </w:pPr>
      <w:rPr>
        <w:rFonts w:cs="Times New Roman" w:hint="eastAsia"/>
        <w:sz w:val="24"/>
      </w:rPr>
    </w:lvl>
    <w:lvl w:ilvl="1" w:tentative="1" w:tplc="04090019">
      <w:start w:val="1"/>
      <w:numFmt w:val="lowerLetter"/>
      <w:lvlText w:val="%2)"/>
      <w:lvlJc w:val="left"/>
      <w:pPr>
        <w:tabs>
          <w:tab w:pos="1320" w:val="num"/>
        </w:tabs>
        <w:ind w:hanging="420" w:left="1320"/>
      </w:pPr>
      <w:rPr>
        <w:rFonts w:cs="Times New Roman"/>
      </w:rPr>
    </w:lvl>
    <w:lvl w:ilvl="2" w:tentative="1" w:tplc="0409001B">
      <w:start w:val="1"/>
      <w:numFmt w:val="lowerRoman"/>
      <w:lvlText w:val="%3."/>
      <w:lvlJc w:val="right"/>
      <w:pPr>
        <w:tabs>
          <w:tab w:pos="1740" w:val="num"/>
        </w:tabs>
        <w:ind w:hanging="420" w:left="1740"/>
      </w:pPr>
      <w:rPr>
        <w:rFonts w:cs="Times New Roman"/>
      </w:rPr>
    </w:lvl>
    <w:lvl w:ilvl="3" w:tentative="1" w:tplc="0409000F">
      <w:start w:val="1"/>
      <w:numFmt w:val="decimal"/>
      <w:lvlText w:val="%4."/>
      <w:lvlJc w:val="left"/>
      <w:pPr>
        <w:tabs>
          <w:tab w:pos="2160" w:val="num"/>
        </w:tabs>
        <w:ind w:hanging="420" w:left="2160"/>
      </w:pPr>
      <w:rPr>
        <w:rFonts w:cs="Times New Roman"/>
      </w:rPr>
    </w:lvl>
    <w:lvl w:ilvl="4" w:tentative="1" w:tplc="04090019">
      <w:start w:val="1"/>
      <w:numFmt w:val="lowerLetter"/>
      <w:lvlText w:val="%5)"/>
      <w:lvlJc w:val="left"/>
      <w:pPr>
        <w:tabs>
          <w:tab w:pos="2580" w:val="num"/>
        </w:tabs>
        <w:ind w:hanging="420" w:left="2580"/>
      </w:pPr>
      <w:rPr>
        <w:rFonts w:cs="Times New Roman"/>
      </w:rPr>
    </w:lvl>
    <w:lvl w:ilvl="5" w:tentative="1" w:tplc="0409001B">
      <w:start w:val="1"/>
      <w:numFmt w:val="lowerRoman"/>
      <w:lvlText w:val="%6."/>
      <w:lvlJc w:val="right"/>
      <w:pPr>
        <w:tabs>
          <w:tab w:pos="3000" w:val="num"/>
        </w:tabs>
        <w:ind w:hanging="420" w:left="3000"/>
      </w:pPr>
      <w:rPr>
        <w:rFonts w:cs="Times New Roman"/>
      </w:rPr>
    </w:lvl>
    <w:lvl w:ilvl="6" w:tentative="1" w:tplc="0409000F">
      <w:start w:val="1"/>
      <w:numFmt w:val="decimal"/>
      <w:lvlText w:val="%7."/>
      <w:lvlJc w:val="left"/>
      <w:pPr>
        <w:tabs>
          <w:tab w:pos="3420" w:val="num"/>
        </w:tabs>
        <w:ind w:hanging="420" w:left="3420"/>
      </w:pPr>
      <w:rPr>
        <w:rFonts w:cs="Times New Roman"/>
      </w:rPr>
    </w:lvl>
    <w:lvl w:ilvl="7" w:tentative="1" w:tplc="04090019">
      <w:start w:val="1"/>
      <w:numFmt w:val="lowerLetter"/>
      <w:lvlText w:val="%8)"/>
      <w:lvlJc w:val="left"/>
      <w:pPr>
        <w:tabs>
          <w:tab w:pos="3840" w:val="num"/>
        </w:tabs>
        <w:ind w:hanging="420" w:left="3840"/>
      </w:pPr>
      <w:rPr>
        <w:rFonts w:cs="Times New Roman"/>
      </w:rPr>
    </w:lvl>
    <w:lvl w:ilvl="8" w:tentative="1" w:tplc="0409001B">
      <w:start w:val="1"/>
      <w:numFmt w:val="lowerRoman"/>
      <w:lvlText w:val="%9."/>
      <w:lvlJc w:val="right"/>
      <w:pPr>
        <w:tabs>
          <w:tab w:pos="4260" w:val="num"/>
        </w:tabs>
        <w:ind w:hanging="420" w:left="4260"/>
      </w:pPr>
      <w:rPr>
        <w:rFonts w:cs="Times New Roman"/>
      </w:rPr>
    </w:lvl>
  </w:abstractNum>
  <w:abstractNum w:abstractNumId="2">
    <w:nsid w:val="7EC34207"/>
    <w:multiLevelType w:val="hybridMultilevel"/>
    <w:tmpl w:val="58FC50DE"/>
    <w:lvl w:ilvl="0" w:tplc="788C0680">
      <w:start w:val="1"/>
      <w:numFmt w:val="japaneseCounting"/>
      <w:lvlText w:val="%1、"/>
      <w:lvlJc w:val="left"/>
      <w:pPr>
        <w:tabs>
          <w:tab w:pos="480" w:val="num"/>
        </w:tabs>
        <w:ind w:hanging="480" w:left="480"/>
      </w:pPr>
      <w:rPr>
        <w:rFonts w:cs="Times New Roman" w:eastAsia="宋体" w:hint="eastAsia"/>
        <w:color w:val="auto"/>
      </w:rPr>
    </w:lvl>
    <w:lvl w:ilvl="1" w:tplc="D5ACC954">
      <w:start w:val="1"/>
      <w:numFmt w:val="japaneseCounting"/>
      <w:lvlText w:val="(%2)"/>
      <w:lvlJc w:val="left"/>
      <w:pPr>
        <w:tabs>
          <w:tab w:pos="810" w:val="num"/>
        </w:tabs>
        <w:ind w:hanging="390" w:left="810"/>
      </w:pPr>
      <w:rPr>
        <w:rFonts w:cs="Times New Roman" w:hint="eastAsia"/>
      </w:rPr>
    </w:lvl>
    <w:lvl w:ilvl="2" w:tplc="E2F6B948">
      <w:start w:val="1"/>
      <w:numFmt w:val="decimal"/>
      <w:lvlText w:val="%3、"/>
      <w:lvlJc w:val="left"/>
      <w:pPr>
        <w:tabs>
          <w:tab w:pos="1200" w:val="num"/>
        </w:tabs>
        <w:ind w:hanging="360" w:left="1200"/>
      </w:pPr>
      <w:rPr>
        <w:rFonts w:cs="Times New Roman" w:hint="eastAsia"/>
      </w:rPr>
    </w:lvl>
    <w:lvl w:ilvl="3" w:tentative="1" w:tplc="0409000F">
      <w:start w:val="1"/>
      <w:numFmt w:val="decimal"/>
      <w:lvlText w:val="%4."/>
      <w:lvlJc w:val="left"/>
      <w:pPr>
        <w:tabs>
          <w:tab w:pos="1680" w:val="num"/>
        </w:tabs>
        <w:ind w:hanging="420" w:left="1680"/>
      </w:pPr>
      <w:rPr>
        <w:rFonts w:cs="Times New Roman"/>
      </w:rPr>
    </w:lvl>
    <w:lvl w:ilvl="4" w:tentative="1" w:tplc="04090019">
      <w:start w:val="1"/>
      <w:numFmt w:val="lowerLetter"/>
      <w:lvlText w:val="%5)"/>
      <w:lvlJc w:val="left"/>
      <w:pPr>
        <w:tabs>
          <w:tab w:pos="2100" w:val="num"/>
        </w:tabs>
        <w:ind w:hanging="420" w:left="2100"/>
      </w:pPr>
      <w:rPr>
        <w:rFonts w:cs="Times New Roman"/>
      </w:rPr>
    </w:lvl>
    <w:lvl w:ilvl="5" w:tentative="1" w:tplc="0409001B">
      <w:start w:val="1"/>
      <w:numFmt w:val="lowerRoman"/>
      <w:lvlText w:val="%6."/>
      <w:lvlJc w:val="right"/>
      <w:pPr>
        <w:tabs>
          <w:tab w:pos="2520" w:val="num"/>
        </w:tabs>
        <w:ind w:hanging="420" w:left="2520"/>
      </w:pPr>
      <w:rPr>
        <w:rFonts w:cs="Times New Roman"/>
      </w:rPr>
    </w:lvl>
    <w:lvl w:ilvl="6" w:tentative="1" w:tplc="0409000F">
      <w:start w:val="1"/>
      <w:numFmt w:val="decimal"/>
      <w:lvlText w:val="%7."/>
      <w:lvlJc w:val="left"/>
      <w:pPr>
        <w:tabs>
          <w:tab w:pos="2940" w:val="num"/>
        </w:tabs>
        <w:ind w:hanging="420" w:left="2940"/>
      </w:pPr>
      <w:rPr>
        <w:rFonts w:cs="Times New Roman"/>
      </w:rPr>
    </w:lvl>
    <w:lvl w:ilvl="7" w:tentative="1" w:tplc="04090019">
      <w:start w:val="1"/>
      <w:numFmt w:val="lowerLetter"/>
      <w:lvlText w:val="%8)"/>
      <w:lvlJc w:val="left"/>
      <w:pPr>
        <w:tabs>
          <w:tab w:pos="3360" w:val="num"/>
        </w:tabs>
        <w:ind w:hanging="420" w:left="3360"/>
      </w:pPr>
      <w:rPr>
        <w:rFonts w:cs="Times New Roman"/>
      </w:rPr>
    </w:lvl>
    <w:lvl w:ilvl="8" w:tentative="1" w:tplc="0409001B">
      <w:start w:val="1"/>
      <w:numFmt w:val="lowerRoman"/>
      <w:lvlText w:val="%9."/>
      <w:lvlJc w:val="right"/>
      <w:pPr>
        <w:tabs>
          <w:tab w:pos="3780" w:val="num"/>
        </w:tabs>
        <w:ind w:hanging="420" w:left="378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mc:Ignorable="w14">
  <w:zoom w:percent="100"/>
  <w:printPostScriptOverText/>
  <w:bordersDoNotSurroundHeader/>
  <w:bordersDoNotSurroundFooter/>
  <w:proofState w:grammar="clean" w:spelling="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42A56"/>
    <w:rsid w:val="0000403B"/>
    <w:rsid w:val="00005911"/>
    <w:rsid w:val="00010A83"/>
    <w:rsid w:val="00010A8E"/>
    <w:rsid w:val="00010AC3"/>
    <w:rsid w:val="00011EB5"/>
    <w:rsid w:val="00015F91"/>
    <w:rsid w:val="00017581"/>
    <w:rsid w:val="00020583"/>
    <w:rsid w:val="00021DD4"/>
    <w:rsid w:val="00023BE7"/>
    <w:rsid w:val="0003337A"/>
    <w:rsid w:val="00037FCF"/>
    <w:rsid w:val="00041AB5"/>
    <w:rsid w:val="000421B8"/>
    <w:rsid w:val="00043ABF"/>
    <w:rsid w:val="000445E4"/>
    <w:rsid w:val="00045AE7"/>
    <w:rsid w:val="000510AB"/>
    <w:rsid w:val="00052312"/>
    <w:rsid w:val="00054EC2"/>
    <w:rsid w:val="00055AF1"/>
    <w:rsid w:val="00055B0F"/>
    <w:rsid w:val="00057A02"/>
    <w:rsid w:val="0006166B"/>
    <w:rsid w:val="00062875"/>
    <w:rsid w:val="00063A8D"/>
    <w:rsid w:val="00064AE3"/>
    <w:rsid w:val="00066524"/>
    <w:rsid w:val="0006691E"/>
    <w:rsid w:val="00067332"/>
    <w:rsid w:val="00070CD1"/>
    <w:rsid w:val="0007171B"/>
    <w:rsid w:val="00081D05"/>
    <w:rsid w:val="00087CF7"/>
    <w:rsid w:val="00094876"/>
    <w:rsid w:val="00094F45"/>
    <w:rsid w:val="00095912"/>
    <w:rsid w:val="00095CE0"/>
    <w:rsid w:val="00096933"/>
    <w:rsid w:val="00097230"/>
    <w:rsid w:val="000A19F3"/>
    <w:rsid w:val="000A457E"/>
    <w:rsid w:val="000A549A"/>
    <w:rsid w:val="000A72F2"/>
    <w:rsid w:val="000B0C56"/>
    <w:rsid w:val="000B22B8"/>
    <w:rsid w:val="000B270F"/>
    <w:rsid w:val="000B3274"/>
    <w:rsid w:val="000B3E43"/>
    <w:rsid w:val="000B69EF"/>
    <w:rsid w:val="000C1723"/>
    <w:rsid w:val="000C1B20"/>
    <w:rsid w:val="000C1B73"/>
    <w:rsid w:val="000C21D1"/>
    <w:rsid w:val="000C4107"/>
    <w:rsid w:val="000C4586"/>
    <w:rsid w:val="000C45E7"/>
    <w:rsid w:val="000C4E2D"/>
    <w:rsid w:val="000C6C23"/>
    <w:rsid w:val="000C6F3E"/>
    <w:rsid w:val="000D01F4"/>
    <w:rsid w:val="000D0BF3"/>
    <w:rsid w:val="000D121F"/>
    <w:rsid w:val="000D1519"/>
    <w:rsid w:val="000E237B"/>
    <w:rsid w:val="000E4456"/>
    <w:rsid w:val="000E5D28"/>
    <w:rsid w:val="000E6DC4"/>
    <w:rsid w:val="000F161C"/>
    <w:rsid w:val="000F175F"/>
    <w:rsid w:val="000F17D1"/>
    <w:rsid w:val="000F268E"/>
    <w:rsid w:val="000F5F24"/>
    <w:rsid w:val="000F60FF"/>
    <w:rsid w:val="000F635F"/>
    <w:rsid w:val="000F6C61"/>
    <w:rsid w:val="000F6EE9"/>
    <w:rsid w:val="00100C12"/>
    <w:rsid w:val="00100C16"/>
    <w:rsid w:val="00104514"/>
    <w:rsid w:val="001045AA"/>
    <w:rsid w:val="001049B6"/>
    <w:rsid w:val="001051C6"/>
    <w:rsid w:val="0010694D"/>
    <w:rsid w:val="0011177A"/>
    <w:rsid w:val="001120D4"/>
    <w:rsid w:val="00112E27"/>
    <w:rsid w:val="00114B31"/>
    <w:rsid w:val="00116E31"/>
    <w:rsid w:val="00120B9A"/>
    <w:rsid w:val="0012150F"/>
    <w:rsid w:val="0012304E"/>
    <w:rsid w:val="00123B10"/>
    <w:rsid w:val="001248EF"/>
    <w:rsid w:val="001257C7"/>
    <w:rsid w:val="001265C5"/>
    <w:rsid w:val="00126DDF"/>
    <w:rsid w:val="001270BF"/>
    <w:rsid w:val="00127BAC"/>
    <w:rsid w:val="00132AAE"/>
    <w:rsid w:val="00140E80"/>
    <w:rsid w:val="00142A56"/>
    <w:rsid w:val="00143B45"/>
    <w:rsid w:val="00144DF5"/>
    <w:rsid w:val="00145630"/>
    <w:rsid w:val="00145A97"/>
    <w:rsid w:val="00146485"/>
    <w:rsid w:val="00150AD6"/>
    <w:rsid w:val="001522EE"/>
    <w:rsid w:val="00154ADA"/>
    <w:rsid w:val="0015531A"/>
    <w:rsid w:val="0016041C"/>
    <w:rsid w:val="00163B27"/>
    <w:rsid w:val="00165317"/>
    <w:rsid w:val="0017043B"/>
    <w:rsid w:val="00171BAD"/>
    <w:rsid w:val="00172B84"/>
    <w:rsid w:val="0017526D"/>
    <w:rsid w:val="001756A1"/>
    <w:rsid w:val="001761EE"/>
    <w:rsid w:val="00176EAA"/>
    <w:rsid w:val="0017725A"/>
    <w:rsid w:val="00177C4B"/>
    <w:rsid w:val="0018154C"/>
    <w:rsid w:val="0018325A"/>
    <w:rsid w:val="00186199"/>
    <w:rsid w:val="001878B0"/>
    <w:rsid w:val="001928F7"/>
    <w:rsid w:val="00194537"/>
    <w:rsid w:val="00194F40"/>
    <w:rsid w:val="001A149A"/>
    <w:rsid w:val="001A21A9"/>
    <w:rsid w:val="001A4814"/>
    <w:rsid w:val="001A59D8"/>
    <w:rsid w:val="001A5FA6"/>
    <w:rsid w:val="001B2F0C"/>
    <w:rsid w:val="001B2FB1"/>
    <w:rsid w:val="001B63AB"/>
    <w:rsid w:val="001B7820"/>
    <w:rsid w:val="001B7E94"/>
    <w:rsid w:val="001C1984"/>
    <w:rsid w:val="001C37F6"/>
    <w:rsid w:val="001C6288"/>
    <w:rsid w:val="001C7614"/>
    <w:rsid w:val="001D0DB0"/>
    <w:rsid w:val="001D0F6A"/>
    <w:rsid w:val="001D161E"/>
    <w:rsid w:val="001D21BC"/>
    <w:rsid w:val="001D2FA5"/>
    <w:rsid w:val="001D35E0"/>
    <w:rsid w:val="001D5045"/>
    <w:rsid w:val="001D5A44"/>
    <w:rsid w:val="001D724B"/>
    <w:rsid w:val="001D7693"/>
    <w:rsid w:val="001D79D5"/>
    <w:rsid w:val="001E04A5"/>
    <w:rsid w:val="001E11D3"/>
    <w:rsid w:val="001E2A6A"/>
    <w:rsid w:val="001E3DC2"/>
    <w:rsid w:val="001E52F8"/>
    <w:rsid w:val="001E56FF"/>
    <w:rsid w:val="001E5C6B"/>
    <w:rsid w:val="001F03E1"/>
    <w:rsid w:val="001F3CC6"/>
    <w:rsid w:val="001F4530"/>
    <w:rsid w:val="002010DE"/>
    <w:rsid w:val="00202968"/>
    <w:rsid w:val="00202C32"/>
    <w:rsid w:val="00203AEF"/>
    <w:rsid w:val="00211A26"/>
    <w:rsid w:val="002125F7"/>
    <w:rsid w:val="00214463"/>
    <w:rsid w:val="00214756"/>
    <w:rsid w:val="00215CF2"/>
    <w:rsid w:val="00221174"/>
    <w:rsid w:val="0022167B"/>
    <w:rsid w:val="002267F8"/>
    <w:rsid w:val="002328FE"/>
    <w:rsid w:val="002359EB"/>
    <w:rsid w:val="002363AB"/>
    <w:rsid w:val="0024260D"/>
    <w:rsid w:val="00245012"/>
    <w:rsid w:val="0024504E"/>
    <w:rsid w:val="0024651F"/>
    <w:rsid w:val="0025007C"/>
    <w:rsid w:val="0025158D"/>
    <w:rsid w:val="0025281A"/>
    <w:rsid w:val="00253624"/>
    <w:rsid w:val="00253D3C"/>
    <w:rsid w:val="00254F37"/>
    <w:rsid w:val="00255292"/>
    <w:rsid w:val="00256097"/>
    <w:rsid w:val="00257D2B"/>
    <w:rsid w:val="00260200"/>
    <w:rsid w:val="00263405"/>
    <w:rsid w:val="002648D8"/>
    <w:rsid w:val="00264E55"/>
    <w:rsid w:val="00265865"/>
    <w:rsid w:val="00273C7E"/>
    <w:rsid w:val="00273F86"/>
    <w:rsid w:val="0027678D"/>
    <w:rsid w:val="002774F0"/>
    <w:rsid w:val="0028017D"/>
    <w:rsid w:val="0028459B"/>
    <w:rsid w:val="00284C5F"/>
    <w:rsid w:val="00284EC5"/>
    <w:rsid w:val="002873F0"/>
    <w:rsid w:val="002964F9"/>
    <w:rsid w:val="0029671E"/>
    <w:rsid w:val="00297B13"/>
    <w:rsid w:val="002A1F14"/>
    <w:rsid w:val="002A2678"/>
    <w:rsid w:val="002A2E01"/>
    <w:rsid w:val="002A398F"/>
    <w:rsid w:val="002A530F"/>
    <w:rsid w:val="002A5C6B"/>
    <w:rsid w:val="002A5D31"/>
    <w:rsid w:val="002A714F"/>
    <w:rsid w:val="002B1851"/>
    <w:rsid w:val="002B27FF"/>
    <w:rsid w:val="002B4320"/>
    <w:rsid w:val="002B61C3"/>
    <w:rsid w:val="002B6793"/>
    <w:rsid w:val="002C1726"/>
    <w:rsid w:val="002C21A6"/>
    <w:rsid w:val="002C26D5"/>
    <w:rsid w:val="002C5777"/>
    <w:rsid w:val="002D31BB"/>
    <w:rsid w:val="002D32E3"/>
    <w:rsid w:val="002E09F5"/>
    <w:rsid w:val="002E0FEB"/>
    <w:rsid w:val="002E26F5"/>
    <w:rsid w:val="002E5FE7"/>
    <w:rsid w:val="002F0F79"/>
    <w:rsid w:val="002F2234"/>
    <w:rsid w:val="002F235F"/>
    <w:rsid w:val="002F2713"/>
    <w:rsid w:val="002F280E"/>
    <w:rsid w:val="002F3709"/>
    <w:rsid w:val="002F3A6C"/>
    <w:rsid w:val="002F4296"/>
    <w:rsid w:val="002F5D32"/>
    <w:rsid w:val="002F7F82"/>
    <w:rsid w:val="00300951"/>
    <w:rsid w:val="00300E97"/>
    <w:rsid w:val="003019A8"/>
    <w:rsid w:val="00302CA8"/>
    <w:rsid w:val="00302DE9"/>
    <w:rsid w:val="00305084"/>
    <w:rsid w:val="00311094"/>
    <w:rsid w:val="0031598C"/>
    <w:rsid w:val="0031668C"/>
    <w:rsid w:val="00320493"/>
    <w:rsid w:val="003204E9"/>
    <w:rsid w:val="00321E8C"/>
    <w:rsid w:val="00322A86"/>
    <w:rsid w:val="00323AE8"/>
    <w:rsid w:val="00324548"/>
    <w:rsid w:val="0032500D"/>
    <w:rsid w:val="003251F4"/>
    <w:rsid w:val="003303E3"/>
    <w:rsid w:val="003329EA"/>
    <w:rsid w:val="003370F8"/>
    <w:rsid w:val="00340499"/>
    <w:rsid w:val="003407A5"/>
    <w:rsid w:val="00341188"/>
    <w:rsid w:val="0034147B"/>
    <w:rsid w:val="00350238"/>
    <w:rsid w:val="0035109C"/>
    <w:rsid w:val="00351F0A"/>
    <w:rsid w:val="0035432B"/>
    <w:rsid w:val="0035691D"/>
    <w:rsid w:val="00361E7E"/>
    <w:rsid w:val="00362CED"/>
    <w:rsid w:val="00366726"/>
    <w:rsid w:val="00367057"/>
    <w:rsid w:val="00370AA4"/>
    <w:rsid w:val="00371FF4"/>
    <w:rsid w:val="003745DA"/>
    <w:rsid w:val="00377520"/>
    <w:rsid w:val="00380D36"/>
    <w:rsid w:val="003812A5"/>
    <w:rsid w:val="003822D3"/>
    <w:rsid w:val="0038257F"/>
    <w:rsid w:val="00385AB9"/>
    <w:rsid w:val="00385E16"/>
    <w:rsid w:val="00386630"/>
    <w:rsid w:val="00390B25"/>
    <w:rsid w:val="0039323A"/>
    <w:rsid w:val="00397156"/>
    <w:rsid w:val="00397616"/>
    <w:rsid w:val="00397960"/>
    <w:rsid w:val="003A152F"/>
    <w:rsid w:val="003A3BC4"/>
    <w:rsid w:val="003A458A"/>
    <w:rsid w:val="003B2F13"/>
    <w:rsid w:val="003B405E"/>
    <w:rsid w:val="003B43E5"/>
    <w:rsid w:val="003B57D3"/>
    <w:rsid w:val="003C09A4"/>
    <w:rsid w:val="003C1F58"/>
    <w:rsid w:val="003C49AA"/>
    <w:rsid w:val="003C6DC5"/>
    <w:rsid w:val="003C792F"/>
    <w:rsid w:val="003D124B"/>
    <w:rsid w:val="003D18F3"/>
    <w:rsid w:val="003D2093"/>
    <w:rsid w:val="003D78B5"/>
    <w:rsid w:val="003E0588"/>
    <w:rsid w:val="003E244F"/>
    <w:rsid w:val="003E379B"/>
    <w:rsid w:val="003E3A5C"/>
    <w:rsid w:val="003E6203"/>
    <w:rsid w:val="003E62A6"/>
    <w:rsid w:val="003E695F"/>
    <w:rsid w:val="003E6C9B"/>
    <w:rsid w:val="003E709C"/>
    <w:rsid w:val="003E7B89"/>
    <w:rsid w:val="003F0275"/>
    <w:rsid w:val="003F4241"/>
    <w:rsid w:val="003F7C45"/>
    <w:rsid w:val="003F7D50"/>
    <w:rsid w:val="00400946"/>
    <w:rsid w:val="004009A4"/>
    <w:rsid w:val="0040132C"/>
    <w:rsid w:val="00403886"/>
    <w:rsid w:val="00405085"/>
    <w:rsid w:val="0040658E"/>
    <w:rsid w:val="004066FC"/>
    <w:rsid w:val="00407C10"/>
    <w:rsid w:val="004113B4"/>
    <w:rsid w:val="00412E5A"/>
    <w:rsid w:val="00414827"/>
    <w:rsid w:val="00416C10"/>
    <w:rsid w:val="00416D9D"/>
    <w:rsid w:val="00416F85"/>
    <w:rsid w:val="00424EF3"/>
    <w:rsid w:val="004268BB"/>
    <w:rsid w:val="00431047"/>
    <w:rsid w:val="00431B86"/>
    <w:rsid w:val="00431EE1"/>
    <w:rsid w:val="004408EC"/>
    <w:rsid w:val="004417A4"/>
    <w:rsid w:val="00441E6A"/>
    <w:rsid w:val="00443C8F"/>
    <w:rsid w:val="00452481"/>
    <w:rsid w:val="004553AF"/>
    <w:rsid w:val="00455464"/>
    <w:rsid w:val="00455D24"/>
    <w:rsid w:val="004567C5"/>
    <w:rsid w:val="00457804"/>
    <w:rsid w:val="00462B61"/>
    <w:rsid w:val="00464283"/>
    <w:rsid w:val="004646BF"/>
    <w:rsid w:val="00464744"/>
    <w:rsid w:val="004665E3"/>
    <w:rsid w:val="00467BA5"/>
    <w:rsid w:val="004710DD"/>
    <w:rsid w:val="004731F1"/>
    <w:rsid w:val="00476756"/>
    <w:rsid w:val="00477724"/>
    <w:rsid w:val="0047798A"/>
    <w:rsid w:val="00480BC8"/>
    <w:rsid w:val="00481265"/>
    <w:rsid w:val="004814BF"/>
    <w:rsid w:val="00482956"/>
    <w:rsid w:val="0048587E"/>
    <w:rsid w:val="00486D15"/>
    <w:rsid w:val="00487C2B"/>
    <w:rsid w:val="0049297D"/>
    <w:rsid w:val="004929F2"/>
    <w:rsid w:val="00492D67"/>
    <w:rsid w:val="00493023"/>
    <w:rsid w:val="00493D46"/>
    <w:rsid w:val="00495A03"/>
    <w:rsid w:val="004968E3"/>
    <w:rsid w:val="00497079"/>
    <w:rsid w:val="004A1BBA"/>
    <w:rsid w:val="004A270C"/>
    <w:rsid w:val="004A3039"/>
    <w:rsid w:val="004A3251"/>
    <w:rsid w:val="004A355B"/>
    <w:rsid w:val="004A3625"/>
    <w:rsid w:val="004A3E3C"/>
    <w:rsid w:val="004A5FA4"/>
    <w:rsid w:val="004A791A"/>
    <w:rsid w:val="004B0E6D"/>
    <w:rsid w:val="004B16E8"/>
    <w:rsid w:val="004B6250"/>
    <w:rsid w:val="004B76B1"/>
    <w:rsid w:val="004C0057"/>
    <w:rsid w:val="004C0541"/>
    <w:rsid w:val="004C2C46"/>
    <w:rsid w:val="004C52A1"/>
    <w:rsid w:val="004C7235"/>
    <w:rsid w:val="004C7955"/>
    <w:rsid w:val="004D047F"/>
    <w:rsid w:val="004D3971"/>
    <w:rsid w:val="004D3D96"/>
    <w:rsid w:val="004D6239"/>
    <w:rsid w:val="004D650F"/>
    <w:rsid w:val="004D6D54"/>
    <w:rsid w:val="004E2133"/>
    <w:rsid w:val="004E30FB"/>
    <w:rsid w:val="004E4941"/>
    <w:rsid w:val="004E5CB8"/>
    <w:rsid w:val="004E5DDD"/>
    <w:rsid w:val="004E60FB"/>
    <w:rsid w:val="004E7AF6"/>
    <w:rsid w:val="004F4B2A"/>
    <w:rsid w:val="004F779C"/>
    <w:rsid w:val="004F7846"/>
    <w:rsid w:val="005000D4"/>
    <w:rsid w:val="00500A6E"/>
    <w:rsid w:val="00510BB5"/>
    <w:rsid w:val="00510CAF"/>
    <w:rsid w:val="005128C5"/>
    <w:rsid w:val="0051478B"/>
    <w:rsid w:val="0051566A"/>
    <w:rsid w:val="00515D7B"/>
    <w:rsid w:val="005161B7"/>
    <w:rsid w:val="005166E9"/>
    <w:rsid w:val="0052009E"/>
    <w:rsid w:val="00525E59"/>
    <w:rsid w:val="005318CC"/>
    <w:rsid w:val="005346F1"/>
    <w:rsid w:val="005349B1"/>
    <w:rsid w:val="005374BC"/>
    <w:rsid w:val="00540522"/>
    <w:rsid w:val="00540D79"/>
    <w:rsid w:val="00543367"/>
    <w:rsid w:val="00543BFA"/>
    <w:rsid w:val="00547D9C"/>
    <w:rsid w:val="00547DA1"/>
    <w:rsid w:val="0055513C"/>
    <w:rsid w:val="00560C94"/>
    <w:rsid w:val="0056291C"/>
    <w:rsid w:val="00564EB5"/>
    <w:rsid w:val="00565A63"/>
    <w:rsid w:val="00566588"/>
    <w:rsid w:val="00567F6D"/>
    <w:rsid w:val="00571CD9"/>
    <w:rsid w:val="0057275D"/>
    <w:rsid w:val="005771AC"/>
    <w:rsid w:val="005800A9"/>
    <w:rsid w:val="00580488"/>
    <w:rsid w:val="0058074D"/>
    <w:rsid w:val="00582FAD"/>
    <w:rsid w:val="00583489"/>
    <w:rsid w:val="00590FE4"/>
    <w:rsid w:val="00591D9C"/>
    <w:rsid w:val="00592483"/>
    <w:rsid w:val="005931C4"/>
    <w:rsid w:val="005948AF"/>
    <w:rsid w:val="00596191"/>
    <w:rsid w:val="00597057"/>
    <w:rsid w:val="00597D8B"/>
    <w:rsid w:val="005A1C30"/>
    <w:rsid w:val="005A2757"/>
    <w:rsid w:val="005A3295"/>
    <w:rsid w:val="005A4302"/>
    <w:rsid w:val="005A46FF"/>
    <w:rsid w:val="005A704A"/>
    <w:rsid w:val="005A7449"/>
    <w:rsid w:val="005B011E"/>
    <w:rsid w:val="005B1542"/>
    <w:rsid w:val="005B2E84"/>
    <w:rsid w:val="005B3103"/>
    <w:rsid w:val="005B37EE"/>
    <w:rsid w:val="005B4D29"/>
    <w:rsid w:val="005B6CA6"/>
    <w:rsid w:val="005B700A"/>
    <w:rsid w:val="005B7B0E"/>
    <w:rsid w:val="005C07DC"/>
    <w:rsid w:val="005C2541"/>
    <w:rsid w:val="005C25C8"/>
    <w:rsid w:val="005C5409"/>
    <w:rsid w:val="005C69AC"/>
    <w:rsid w:val="005C722E"/>
    <w:rsid w:val="005D01A4"/>
    <w:rsid w:val="005D29D4"/>
    <w:rsid w:val="005D4452"/>
    <w:rsid w:val="005D45B3"/>
    <w:rsid w:val="005D4CEB"/>
    <w:rsid w:val="005E2501"/>
    <w:rsid w:val="005E5B01"/>
    <w:rsid w:val="005E5CC1"/>
    <w:rsid w:val="005E7793"/>
    <w:rsid w:val="005F04E6"/>
    <w:rsid w:val="005F43B9"/>
    <w:rsid w:val="005F68CB"/>
    <w:rsid w:val="005F7085"/>
    <w:rsid w:val="006033E3"/>
    <w:rsid w:val="006056F6"/>
    <w:rsid w:val="00605748"/>
    <w:rsid w:val="00610C82"/>
    <w:rsid w:val="0061321C"/>
    <w:rsid w:val="00615063"/>
    <w:rsid w:val="0061761F"/>
    <w:rsid w:val="00620C6C"/>
    <w:rsid w:val="0062145B"/>
    <w:rsid w:val="0062386E"/>
    <w:rsid w:val="00623F01"/>
    <w:rsid w:val="006258FD"/>
    <w:rsid w:val="00626E2D"/>
    <w:rsid w:val="00627D94"/>
    <w:rsid w:val="00630B42"/>
    <w:rsid w:val="00631425"/>
    <w:rsid w:val="00634003"/>
    <w:rsid w:val="00642072"/>
    <w:rsid w:val="006440ED"/>
    <w:rsid w:val="00645293"/>
    <w:rsid w:val="006504D0"/>
    <w:rsid w:val="00651B78"/>
    <w:rsid w:val="00652263"/>
    <w:rsid w:val="00652881"/>
    <w:rsid w:val="00655B94"/>
    <w:rsid w:val="006563E4"/>
    <w:rsid w:val="00661974"/>
    <w:rsid w:val="006636D6"/>
    <w:rsid w:val="00664551"/>
    <w:rsid w:val="006676A0"/>
    <w:rsid w:val="00670857"/>
    <w:rsid w:val="00671124"/>
    <w:rsid w:val="006727B0"/>
    <w:rsid w:val="0067307E"/>
    <w:rsid w:val="006746C7"/>
    <w:rsid w:val="006829BB"/>
    <w:rsid w:val="00687AD5"/>
    <w:rsid w:val="00691153"/>
    <w:rsid w:val="006950A3"/>
    <w:rsid w:val="006951C0"/>
    <w:rsid w:val="00695251"/>
    <w:rsid w:val="00695ADE"/>
    <w:rsid w:val="00695C0D"/>
    <w:rsid w:val="00696356"/>
    <w:rsid w:val="006A72C6"/>
    <w:rsid w:val="006B02DA"/>
    <w:rsid w:val="006B1FD1"/>
    <w:rsid w:val="006B2065"/>
    <w:rsid w:val="006B2F2B"/>
    <w:rsid w:val="006B3940"/>
    <w:rsid w:val="006C099C"/>
    <w:rsid w:val="006C168D"/>
    <w:rsid w:val="006C1F15"/>
    <w:rsid w:val="006C5E36"/>
    <w:rsid w:val="006C642C"/>
    <w:rsid w:val="006C6FC6"/>
    <w:rsid w:val="006D00D5"/>
    <w:rsid w:val="006D11D3"/>
    <w:rsid w:val="006D5BA5"/>
    <w:rsid w:val="006D775F"/>
    <w:rsid w:val="006D7A88"/>
    <w:rsid w:val="006E34B7"/>
    <w:rsid w:val="006E5BB0"/>
    <w:rsid w:val="006F01CF"/>
    <w:rsid w:val="006F115E"/>
    <w:rsid w:val="006F2AA6"/>
    <w:rsid w:val="006F39B6"/>
    <w:rsid w:val="006F4CD8"/>
    <w:rsid w:val="006F763F"/>
    <w:rsid w:val="00701F44"/>
    <w:rsid w:val="00703E8A"/>
    <w:rsid w:val="00710335"/>
    <w:rsid w:val="00711522"/>
    <w:rsid w:val="007124FE"/>
    <w:rsid w:val="00713186"/>
    <w:rsid w:val="00713757"/>
    <w:rsid w:val="00717772"/>
    <w:rsid w:val="00721231"/>
    <w:rsid w:val="00721AF1"/>
    <w:rsid w:val="0072280F"/>
    <w:rsid w:val="00722B5E"/>
    <w:rsid w:val="0072708F"/>
    <w:rsid w:val="00732D1D"/>
    <w:rsid w:val="0073413C"/>
    <w:rsid w:val="00736034"/>
    <w:rsid w:val="0073681C"/>
    <w:rsid w:val="00737E9B"/>
    <w:rsid w:val="00741EBE"/>
    <w:rsid w:val="00741F94"/>
    <w:rsid w:val="00746130"/>
    <w:rsid w:val="00746554"/>
    <w:rsid w:val="00746A40"/>
    <w:rsid w:val="00747125"/>
    <w:rsid w:val="00750358"/>
    <w:rsid w:val="007513AC"/>
    <w:rsid w:val="007537F4"/>
    <w:rsid w:val="00755CDF"/>
    <w:rsid w:val="00757A4C"/>
    <w:rsid w:val="007616EE"/>
    <w:rsid w:val="00763A8D"/>
    <w:rsid w:val="00764A94"/>
    <w:rsid w:val="0076518F"/>
    <w:rsid w:val="007651E5"/>
    <w:rsid w:val="007670DC"/>
    <w:rsid w:val="0077111A"/>
    <w:rsid w:val="00772721"/>
    <w:rsid w:val="007756ED"/>
    <w:rsid w:val="00780C47"/>
    <w:rsid w:val="00780E33"/>
    <w:rsid w:val="0078105B"/>
    <w:rsid w:val="00781847"/>
    <w:rsid w:val="0078378A"/>
    <w:rsid w:val="00786CFC"/>
    <w:rsid w:val="007870FC"/>
    <w:rsid w:val="00787919"/>
    <w:rsid w:val="00787CD0"/>
    <w:rsid w:val="00791053"/>
    <w:rsid w:val="00791A3A"/>
    <w:rsid w:val="00791BB9"/>
    <w:rsid w:val="00794196"/>
    <w:rsid w:val="00796EC9"/>
    <w:rsid w:val="00797637"/>
    <w:rsid w:val="007A2630"/>
    <w:rsid w:val="007A3680"/>
    <w:rsid w:val="007A59B8"/>
    <w:rsid w:val="007A6F38"/>
    <w:rsid w:val="007A75F5"/>
    <w:rsid w:val="007B2862"/>
    <w:rsid w:val="007B2A23"/>
    <w:rsid w:val="007B51EE"/>
    <w:rsid w:val="007B662A"/>
    <w:rsid w:val="007B75D4"/>
    <w:rsid w:val="007C1771"/>
    <w:rsid w:val="007C4496"/>
    <w:rsid w:val="007D0E9D"/>
    <w:rsid w:val="007D28C9"/>
    <w:rsid w:val="007D2A39"/>
    <w:rsid w:val="007D3CC8"/>
    <w:rsid w:val="007D62F9"/>
    <w:rsid w:val="007D63A4"/>
    <w:rsid w:val="007D6458"/>
    <w:rsid w:val="007E0B0A"/>
    <w:rsid w:val="007E1AA2"/>
    <w:rsid w:val="007E303C"/>
    <w:rsid w:val="007E4C1F"/>
    <w:rsid w:val="007E4DEE"/>
    <w:rsid w:val="007E5978"/>
    <w:rsid w:val="007F0759"/>
    <w:rsid w:val="007F25C0"/>
    <w:rsid w:val="007F26D5"/>
    <w:rsid w:val="007F5F52"/>
    <w:rsid w:val="007F77C6"/>
    <w:rsid w:val="008003A1"/>
    <w:rsid w:val="008006B7"/>
    <w:rsid w:val="00800FDB"/>
    <w:rsid w:val="00802081"/>
    <w:rsid w:val="00806461"/>
    <w:rsid w:val="0081096D"/>
    <w:rsid w:val="00810EAD"/>
    <w:rsid w:val="00811833"/>
    <w:rsid w:val="00815E7D"/>
    <w:rsid w:val="00816670"/>
    <w:rsid w:val="008174D4"/>
    <w:rsid w:val="00820253"/>
    <w:rsid w:val="00820FE6"/>
    <w:rsid w:val="00821A66"/>
    <w:rsid w:val="00822476"/>
    <w:rsid w:val="00822882"/>
    <w:rsid w:val="008232BB"/>
    <w:rsid w:val="00825029"/>
    <w:rsid w:val="008257F3"/>
    <w:rsid w:val="00825F68"/>
    <w:rsid w:val="00835408"/>
    <w:rsid w:val="00837CEF"/>
    <w:rsid w:val="00840035"/>
    <w:rsid w:val="008428A9"/>
    <w:rsid w:val="00844112"/>
    <w:rsid w:val="008456C9"/>
    <w:rsid w:val="0084611D"/>
    <w:rsid w:val="0084669C"/>
    <w:rsid w:val="00847CA0"/>
    <w:rsid w:val="00850C62"/>
    <w:rsid w:val="008573E5"/>
    <w:rsid w:val="00863011"/>
    <w:rsid w:val="00865075"/>
    <w:rsid w:val="0086534A"/>
    <w:rsid w:val="00866B03"/>
    <w:rsid w:val="008673EE"/>
    <w:rsid w:val="0086748F"/>
    <w:rsid w:val="008712A3"/>
    <w:rsid w:val="00872CE4"/>
    <w:rsid w:val="00877B62"/>
    <w:rsid w:val="008806D2"/>
    <w:rsid w:val="00881015"/>
    <w:rsid w:val="008810B0"/>
    <w:rsid w:val="008819B6"/>
    <w:rsid w:val="00881AAC"/>
    <w:rsid w:val="008836B7"/>
    <w:rsid w:val="008841D3"/>
    <w:rsid w:val="00887DE6"/>
    <w:rsid w:val="00890172"/>
    <w:rsid w:val="00893048"/>
    <w:rsid w:val="00894C2A"/>
    <w:rsid w:val="00896AAD"/>
    <w:rsid w:val="00897708"/>
    <w:rsid w:val="00897D88"/>
    <w:rsid w:val="008A115D"/>
    <w:rsid w:val="008A2F16"/>
    <w:rsid w:val="008A6D69"/>
    <w:rsid w:val="008B041C"/>
    <w:rsid w:val="008B1823"/>
    <w:rsid w:val="008B6A4A"/>
    <w:rsid w:val="008B6E16"/>
    <w:rsid w:val="008B7110"/>
    <w:rsid w:val="008C2029"/>
    <w:rsid w:val="008C61D6"/>
    <w:rsid w:val="008C64F1"/>
    <w:rsid w:val="008D1BB0"/>
    <w:rsid w:val="008D20FF"/>
    <w:rsid w:val="008D3D3D"/>
    <w:rsid w:val="008D3DE6"/>
    <w:rsid w:val="008D4223"/>
    <w:rsid w:val="008D44CC"/>
    <w:rsid w:val="008D46E3"/>
    <w:rsid w:val="008D6709"/>
    <w:rsid w:val="008E083A"/>
    <w:rsid w:val="008E2450"/>
    <w:rsid w:val="008E7896"/>
    <w:rsid w:val="008E78A4"/>
    <w:rsid w:val="008F2477"/>
    <w:rsid w:val="008F444A"/>
    <w:rsid w:val="008F4AFC"/>
    <w:rsid w:val="008F65AF"/>
    <w:rsid w:val="008F7815"/>
    <w:rsid w:val="008F7EA4"/>
    <w:rsid w:val="009010F0"/>
    <w:rsid w:val="00901162"/>
    <w:rsid w:val="00901240"/>
    <w:rsid w:val="00901469"/>
    <w:rsid w:val="0090159D"/>
    <w:rsid w:val="0090223A"/>
    <w:rsid w:val="0090274F"/>
    <w:rsid w:val="009028E2"/>
    <w:rsid w:val="0090450C"/>
    <w:rsid w:val="009102E4"/>
    <w:rsid w:val="009147F7"/>
    <w:rsid w:val="00914EAB"/>
    <w:rsid w:val="00921E92"/>
    <w:rsid w:val="00922D49"/>
    <w:rsid w:val="009239C7"/>
    <w:rsid w:val="0092502E"/>
    <w:rsid w:val="00925E37"/>
    <w:rsid w:val="00925EDD"/>
    <w:rsid w:val="00927D0E"/>
    <w:rsid w:val="009309DA"/>
    <w:rsid w:val="0093260B"/>
    <w:rsid w:val="00936688"/>
    <w:rsid w:val="00937CFA"/>
    <w:rsid w:val="009406B3"/>
    <w:rsid w:val="00943A0D"/>
    <w:rsid w:val="00943C27"/>
    <w:rsid w:val="00945CF5"/>
    <w:rsid w:val="009467E9"/>
    <w:rsid w:val="00950057"/>
    <w:rsid w:val="009500A1"/>
    <w:rsid w:val="0095037E"/>
    <w:rsid w:val="00952AAD"/>
    <w:rsid w:val="00954567"/>
    <w:rsid w:val="00955D4E"/>
    <w:rsid w:val="00957466"/>
    <w:rsid w:val="00961FCD"/>
    <w:rsid w:val="0096260B"/>
    <w:rsid w:val="00962E87"/>
    <w:rsid w:val="009664D5"/>
    <w:rsid w:val="00966865"/>
    <w:rsid w:val="00967903"/>
    <w:rsid w:val="009700DA"/>
    <w:rsid w:val="00970C69"/>
    <w:rsid w:val="00971F1C"/>
    <w:rsid w:val="0097211D"/>
    <w:rsid w:val="00972E10"/>
    <w:rsid w:val="009746CA"/>
    <w:rsid w:val="009760F0"/>
    <w:rsid w:val="00981963"/>
    <w:rsid w:val="00983B7F"/>
    <w:rsid w:val="00983C82"/>
    <w:rsid w:val="00984520"/>
    <w:rsid w:val="0098545C"/>
    <w:rsid w:val="00986D1E"/>
    <w:rsid w:val="00990071"/>
    <w:rsid w:val="00991EA9"/>
    <w:rsid w:val="00992BA2"/>
    <w:rsid w:val="00992F83"/>
    <w:rsid w:val="0099508A"/>
    <w:rsid w:val="00995DDE"/>
    <w:rsid w:val="009974EB"/>
    <w:rsid w:val="009A06E4"/>
    <w:rsid w:val="009A1126"/>
    <w:rsid w:val="009A2020"/>
    <w:rsid w:val="009A2133"/>
    <w:rsid w:val="009A7930"/>
    <w:rsid w:val="009B1584"/>
    <w:rsid w:val="009B1DFD"/>
    <w:rsid w:val="009B21CA"/>
    <w:rsid w:val="009B2648"/>
    <w:rsid w:val="009B7E4A"/>
    <w:rsid w:val="009C03E5"/>
    <w:rsid w:val="009C2142"/>
    <w:rsid w:val="009C3730"/>
    <w:rsid w:val="009C37BD"/>
    <w:rsid w:val="009C3AAC"/>
    <w:rsid w:val="009C3E98"/>
    <w:rsid w:val="009C4721"/>
    <w:rsid w:val="009C4D19"/>
    <w:rsid w:val="009C5FDB"/>
    <w:rsid w:val="009C693E"/>
    <w:rsid w:val="009C6C40"/>
    <w:rsid w:val="009C70CB"/>
    <w:rsid w:val="009D1EA4"/>
    <w:rsid w:val="009D27AA"/>
    <w:rsid w:val="009D4991"/>
    <w:rsid w:val="009D5544"/>
    <w:rsid w:val="009D5BB5"/>
    <w:rsid w:val="009D696D"/>
    <w:rsid w:val="009D6ED2"/>
    <w:rsid w:val="009D7A3C"/>
    <w:rsid w:val="009E0F1A"/>
    <w:rsid w:val="009E140D"/>
    <w:rsid w:val="009E1E55"/>
    <w:rsid w:val="009E4465"/>
    <w:rsid w:val="009E6401"/>
    <w:rsid w:val="009E6C54"/>
    <w:rsid w:val="009F2A25"/>
    <w:rsid w:val="009F43CC"/>
    <w:rsid w:val="009F5235"/>
    <w:rsid w:val="009F531A"/>
    <w:rsid w:val="009F6550"/>
    <w:rsid w:val="009F786E"/>
    <w:rsid w:val="00A00902"/>
    <w:rsid w:val="00A02D83"/>
    <w:rsid w:val="00A039FF"/>
    <w:rsid w:val="00A05ACE"/>
    <w:rsid w:val="00A1385E"/>
    <w:rsid w:val="00A14AE3"/>
    <w:rsid w:val="00A1520A"/>
    <w:rsid w:val="00A16675"/>
    <w:rsid w:val="00A22CD6"/>
    <w:rsid w:val="00A234EC"/>
    <w:rsid w:val="00A2417A"/>
    <w:rsid w:val="00A27804"/>
    <w:rsid w:val="00A30E56"/>
    <w:rsid w:val="00A33DF2"/>
    <w:rsid w:val="00A34296"/>
    <w:rsid w:val="00A36AB5"/>
    <w:rsid w:val="00A37398"/>
    <w:rsid w:val="00A37603"/>
    <w:rsid w:val="00A37DDA"/>
    <w:rsid w:val="00A411D1"/>
    <w:rsid w:val="00A43389"/>
    <w:rsid w:val="00A43E71"/>
    <w:rsid w:val="00A45753"/>
    <w:rsid w:val="00A47B15"/>
    <w:rsid w:val="00A52F84"/>
    <w:rsid w:val="00A56AA4"/>
    <w:rsid w:val="00A56B05"/>
    <w:rsid w:val="00A57678"/>
    <w:rsid w:val="00A60E2F"/>
    <w:rsid w:val="00A62536"/>
    <w:rsid w:val="00A63284"/>
    <w:rsid w:val="00A64CB8"/>
    <w:rsid w:val="00A67018"/>
    <w:rsid w:val="00A672F3"/>
    <w:rsid w:val="00A673DC"/>
    <w:rsid w:val="00A7076E"/>
    <w:rsid w:val="00A709BE"/>
    <w:rsid w:val="00A7162E"/>
    <w:rsid w:val="00A726E0"/>
    <w:rsid w:val="00A72D71"/>
    <w:rsid w:val="00A75705"/>
    <w:rsid w:val="00A77C69"/>
    <w:rsid w:val="00A83201"/>
    <w:rsid w:val="00A83953"/>
    <w:rsid w:val="00A840C5"/>
    <w:rsid w:val="00A86B47"/>
    <w:rsid w:val="00A86C94"/>
    <w:rsid w:val="00A903B6"/>
    <w:rsid w:val="00A90F4F"/>
    <w:rsid w:val="00A947AA"/>
    <w:rsid w:val="00A95C1D"/>
    <w:rsid w:val="00AA1B53"/>
    <w:rsid w:val="00AA3556"/>
    <w:rsid w:val="00AA35FD"/>
    <w:rsid w:val="00AA3DB7"/>
    <w:rsid w:val="00AA4B91"/>
    <w:rsid w:val="00AA7BBE"/>
    <w:rsid w:val="00AB0EFF"/>
    <w:rsid w:val="00AB1CE3"/>
    <w:rsid w:val="00AB3012"/>
    <w:rsid w:val="00AB321C"/>
    <w:rsid w:val="00AB42E2"/>
    <w:rsid w:val="00AB67DE"/>
    <w:rsid w:val="00AB688F"/>
    <w:rsid w:val="00AB75EA"/>
    <w:rsid w:val="00AB7AA2"/>
    <w:rsid w:val="00AC4BC1"/>
    <w:rsid w:val="00AC703D"/>
    <w:rsid w:val="00AD04BD"/>
    <w:rsid w:val="00AD0914"/>
    <w:rsid w:val="00AD691E"/>
    <w:rsid w:val="00AD708F"/>
    <w:rsid w:val="00AD7214"/>
    <w:rsid w:val="00AD7540"/>
    <w:rsid w:val="00AE1066"/>
    <w:rsid w:val="00AE19D8"/>
    <w:rsid w:val="00AE4518"/>
    <w:rsid w:val="00AE5D7F"/>
    <w:rsid w:val="00AE630A"/>
    <w:rsid w:val="00AE79F0"/>
    <w:rsid w:val="00AF0C1A"/>
    <w:rsid w:val="00AF41C5"/>
    <w:rsid w:val="00AF616B"/>
    <w:rsid w:val="00AF6EC1"/>
    <w:rsid w:val="00AF7CF5"/>
    <w:rsid w:val="00B00331"/>
    <w:rsid w:val="00B01A80"/>
    <w:rsid w:val="00B07C27"/>
    <w:rsid w:val="00B10DE1"/>
    <w:rsid w:val="00B10FF8"/>
    <w:rsid w:val="00B11CC5"/>
    <w:rsid w:val="00B203C4"/>
    <w:rsid w:val="00B22E81"/>
    <w:rsid w:val="00B23996"/>
    <w:rsid w:val="00B23CB2"/>
    <w:rsid w:val="00B2561A"/>
    <w:rsid w:val="00B25A64"/>
    <w:rsid w:val="00B27C3C"/>
    <w:rsid w:val="00B27CE6"/>
    <w:rsid w:val="00B32AB3"/>
    <w:rsid w:val="00B34E7C"/>
    <w:rsid w:val="00B368EA"/>
    <w:rsid w:val="00B37EEF"/>
    <w:rsid w:val="00B41C16"/>
    <w:rsid w:val="00B47485"/>
    <w:rsid w:val="00B47850"/>
    <w:rsid w:val="00B50B28"/>
    <w:rsid w:val="00B518C3"/>
    <w:rsid w:val="00B52166"/>
    <w:rsid w:val="00B524CA"/>
    <w:rsid w:val="00B55185"/>
    <w:rsid w:val="00B56C5B"/>
    <w:rsid w:val="00B61923"/>
    <w:rsid w:val="00B621D6"/>
    <w:rsid w:val="00B65D6F"/>
    <w:rsid w:val="00B67552"/>
    <w:rsid w:val="00B67C23"/>
    <w:rsid w:val="00B74161"/>
    <w:rsid w:val="00B75735"/>
    <w:rsid w:val="00B76BBB"/>
    <w:rsid w:val="00B77142"/>
    <w:rsid w:val="00B801C4"/>
    <w:rsid w:val="00B80A2C"/>
    <w:rsid w:val="00B814D9"/>
    <w:rsid w:val="00B81F60"/>
    <w:rsid w:val="00B841AC"/>
    <w:rsid w:val="00B8572D"/>
    <w:rsid w:val="00B865B0"/>
    <w:rsid w:val="00B90780"/>
    <w:rsid w:val="00B9240D"/>
    <w:rsid w:val="00B94BB8"/>
    <w:rsid w:val="00B9644D"/>
    <w:rsid w:val="00B97278"/>
    <w:rsid w:val="00BA22A8"/>
    <w:rsid w:val="00BA3E48"/>
    <w:rsid w:val="00BB07ED"/>
    <w:rsid w:val="00BB1EB3"/>
    <w:rsid w:val="00BB2678"/>
    <w:rsid w:val="00BC2343"/>
    <w:rsid w:val="00BC74DE"/>
    <w:rsid w:val="00BD2DC7"/>
    <w:rsid w:val="00BD30C8"/>
    <w:rsid w:val="00BD3EB4"/>
    <w:rsid w:val="00BD55D9"/>
    <w:rsid w:val="00BD5C65"/>
    <w:rsid w:val="00BE01CA"/>
    <w:rsid w:val="00BE099D"/>
    <w:rsid w:val="00BE6018"/>
    <w:rsid w:val="00BF1F57"/>
    <w:rsid w:val="00BF2383"/>
    <w:rsid w:val="00BF2DDD"/>
    <w:rsid w:val="00BF4086"/>
    <w:rsid w:val="00BF426C"/>
    <w:rsid w:val="00BF4E28"/>
    <w:rsid w:val="00BF58D0"/>
    <w:rsid w:val="00BF5FC5"/>
    <w:rsid w:val="00BF70AE"/>
    <w:rsid w:val="00BF7505"/>
    <w:rsid w:val="00BF7D6A"/>
    <w:rsid w:val="00C013E1"/>
    <w:rsid w:val="00C01611"/>
    <w:rsid w:val="00C02C6D"/>
    <w:rsid w:val="00C02D59"/>
    <w:rsid w:val="00C030B6"/>
    <w:rsid w:val="00C03284"/>
    <w:rsid w:val="00C04855"/>
    <w:rsid w:val="00C050D7"/>
    <w:rsid w:val="00C05B5F"/>
    <w:rsid w:val="00C104CC"/>
    <w:rsid w:val="00C152FE"/>
    <w:rsid w:val="00C16739"/>
    <w:rsid w:val="00C2237F"/>
    <w:rsid w:val="00C22CCE"/>
    <w:rsid w:val="00C23BA2"/>
    <w:rsid w:val="00C24CA0"/>
    <w:rsid w:val="00C32AF2"/>
    <w:rsid w:val="00C33204"/>
    <w:rsid w:val="00C338EB"/>
    <w:rsid w:val="00C3465D"/>
    <w:rsid w:val="00C379E9"/>
    <w:rsid w:val="00C40F7A"/>
    <w:rsid w:val="00C439FB"/>
    <w:rsid w:val="00C43F23"/>
    <w:rsid w:val="00C50011"/>
    <w:rsid w:val="00C56DA4"/>
    <w:rsid w:val="00C64041"/>
    <w:rsid w:val="00C645E6"/>
    <w:rsid w:val="00C64D82"/>
    <w:rsid w:val="00C64FBC"/>
    <w:rsid w:val="00C65A83"/>
    <w:rsid w:val="00C737EE"/>
    <w:rsid w:val="00C80F23"/>
    <w:rsid w:val="00C81151"/>
    <w:rsid w:val="00C81A11"/>
    <w:rsid w:val="00C828B6"/>
    <w:rsid w:val="00C82CC6"/>
    <w:rsid w:val="00C850A3"/>
    <w:rsid w:val="00C85C32"/>
    <w:rsid w:val="00C87568"/>
    <w:rsid w:val="00C9072B"/>
    <w:rsid w:val="00C90DB6"/>
    <w:rsid w:val="00C9394F"/>
    <w:rsid w:val="00C93B1A"/>
    <w:rsid w:val="00C96F5F"/>
    <w:rsid w:val="00CA3C4F"/>
    <w:rsid w:val="00CA5927"/>
    <w:rsid w:val="00CA79EC"/>
    <w:rsid w:val="00CB2D37"/>
    <w:rsid w:val="00CB39C2"/>
    <w:rsid w:val="00CB4C8C"/>
    <w:rsid w:val="00CB6782"/>
    <w:rsid w:val="00CC080A"/>
    <w:rsid w:val="00CC1D4D"/>
    <w:rsid w:val="00CC1F82"/>
    <w:rsid w:val="00CC3C04"/>
    <w:rsid w:val="00CD151F"/>
    <w:rsid w:val="00CD5FBA"/>
    <w:rsid w:val="00CE26E5"/>
    <w:rsid w:val="00CE46DB"/>
    <w:rsid w:val="00CE5277"/>
    <w:rsid w:val="00CE6358"/>
    <w:rsid w:val="00CF0C6C"/>
    <w:rsid w:val="00CF2116"/>
    <w:rsid w:val="00CF2C2A"/>
    <w:rsid w:val="00CF2D54"/>
    <w:rsid w:val="00D01324"/>
    <w:rsid w:val="00D02BA5"/>
    <w:rsid w:val="00D03538"/>
    <w:rsid w:val="00D049B8"/>
    <w:rsid w:val="00D04C0E"/>
    <w:rsid w:val="00D0516C"/>
    <w:rsid w:val="00D05EE7"/>
    <w:rsid w:val="00D06394"/>
    <w:rsid w:val="00D068D0"/>
    <w:rsid w:val="00D0722C"/>
    <w:rsid w:val="00D078D1"/>
    <w:rsid w:val="00D129A8"/>
    <w:rsid w:val="00D12F5B"/>
    <w:rsid w:val="00D12FB9"/>
    <w:rsid w:val="00D200BD"/>
    <w:rsid w:val="00D22399"/>
    <w:rsid w:val="00D33751"/>
    <w:rsid w:val="00D36F6E"/>
    <w:rsid w:val="00D37343"/>
    <w:rsid w:val="00D40397"/>
    <w:rsid w:val="00D4205E"/>
    <w:rsid w:val="00D43CCE"/>
    <w:rsid w:val="00D51F57"/>
    <w:rsid w:val="00D52744"/>
    <w:rsid w:val="00D52DC6"/>
    <w:rsid w:val="00D565EC"/>
    <w:rsid w:val="00D600AB"/>
    <w:rsid w:val="00D61982"/>
    <w:rsid w:val="00D6226F"/>
    <w:rsid w:val="00D623A3"/>
    <w:rsid w:val="00D6267A"/>
    <w:rsid w:val="00D6596A"/>
    <w:rsid w:val="00D674CF"/>
    <w:rsid w:val="00D67A47"/>
    <w:rsid w:val="00D67D12"/>
    <w:rsid w:val="00D67E63"/>
    <w:rsid w:val="00D70923"/>
    <w:rsid w:val="00D73805"/>
    <w:rsid w:val="00D74F09"/>
    <w:rsid w:val="00D7585A"/>
    <w:rsid w:val="00D77C49"/>
    <w:rsid w:val="00D80618"/>
    <w:rsid w:val="00D82494"/>
    <w:rsid w:val="00D83CF5"/>
    <w:rsid w:val="00D84A4B"/>
    <w:rsid w:val="00D92168"/>
    <w:rsid w:val="00D940B5"/>
    <w:rsid w:val="00D95CB0"/>
    <w:rsid w:val="00D95E12"/>
    <w:rsid w:val="00D977C0"/>
    <w:rsid w:val="00DA00A3"/>
    <w:rsid w:val="00DA11B1"/>
    <w:rsid w:val="00DA13F3"/>
    <w:rsid w:val="00DA2DE3"/>
    <w:rsid w:val="00DA716A"/>
    <w:rsid w:val="00DB1841"/>
    <w:rsid w:val="00DB1F4F"/>
    <w:rsid w:val="00DB37EE"/>
    <w:rsid w:val="00DB413D"/>
    <w:rsid w:val="00DB4450"/>
    <w:rsid w:val="00DB7B69"/>
    <w:rsid w:val="00DC234A"/>
    <w:rsid w:val="00DC34E9"/>
    <w:rsid w:val="00DC41E4"/>
    <w:rsid w:val="00DC66A8"/>
    <w:rsid w:val="00DC7C77"/>
    <w:rsid w:val="00DD78E0"/>
    <w:rsid w:val="00DD7EA2"/>
    <w:rsid w:val="00DE00F2"/>
    <w:rsid w:val="00DE117F"/>
    <w:rsid w:val="00DE144D"/>
    <w:rsid w:val="00DE401C"/>
    <w:rsid w:val="00DE4304"/>
    <w:rsid w:val="00DF0726"/>
    <w:rsid w:val="00DF347B"/>
    <w:rsid w:val="00DF63FA"/>
    <w:rsid w:val="00E012CC"/>
    <w:rsid w:val="00E02B71"/>
    <w:rsid w:val="00E02DEB"/>
    <w:rsid w:val="00E042A1"/>
    <w:rsid w:val="00E04671"/>
    <w:rsid w:val="00E05F9D"/>
    <w:rsid w:val="00E07951"/>
    <w:rsid w:val="00E104FA"/>
    <w:rsid w:val="00E1082A"/>
    <w:rsid w:val="00E11166"/>
    <w:rsid w:val="00E13182"/>
    <w:rsid w:val="00E15383"/>
    <w:rsid w:val="00E1738C"/>
    <w:rsid w:val="00E22D28"/>
    <w:rsid w:val="00E230E3"/>
    <w:rsid w:val="00E230ED"/>
    <w:rsid w:val="00E30EDF"/>
    <w:rsid w:val="00E31FBA"/>
    <w:rsid w:val="00E35496"/>
    <w:rsid w:val="00E36AAE"/>
    <w:rsid w:val="00E41773"/>
    <w:rsid w:val="00E41CF1"/>
    <w:rsid w:val="00E505A3"/>
    <w:rsid w:val="00E513F6"/>
    <w:rsid w:val="00E52F3B"/>
    <w:rsid w:val="00E538AB"/>
    <w:rsid w:val="00E53D94"/>
    <w:rsid w:val="00E53DEA"/>
    <w:rsid w:val="00E55986"/>
    <w:rsid w:val="00E57F40"/>
    <w:rsid w:val="00E616DB"/>
    <w:rsid w:val="00E618DD"/>
    <w:rsid w:val="00E627A4"/>
    <w:rsid w:val="00E630ED"/>
    <w:rsid w:val="00E64C1D"/>
    <w:rsid w:val="00E7357D"/>
    <w:rsid w:val="00E74EC5"/>
    <w:rsid w:val="00E76B86"/>
    <w:rsid w:val="00E80A21"/>
    <w:rsid w:val="00E80E16"/>
    <w:rsid w:val="00E83302"/>
    <w:rsid w:val="00E8342F"/>
    <w:rsid w:val="00E847A7"/>
    <w:rsid w:val="00E85415"/>
    <w:rsid w:val="00E86783"/>
    <w:rsid w:val="00E906B4"/>
    <w:rsid w:val="00E9095B"/>
    <w:rsid w:val="00E92EE0"/>
    <w:rsid w:val="00E9399B"/>
    <w:rsid w:val="00E94008"/>
    <w:rsid w:val="00E94762"/>
    <w:rsid w:val="00E96B52"/>
    <w:rsid w:val="00EA2244"/>
    <w:rsid w:val="00EA6563"/>
    <w:rsid w:val="00EA6FA7"/>
    <w:rsid w:val="00EB067F"/>
    <w:rsid w:val="00EB1F02"/>
    <w:rsid w:val="00EB230B"/>
    <w:rsid w:val="00EB5BC5"/>
    <w:rsid w:val="00EC086C"/>
    <w:rsid w:val="00EC42D0"/>
    <w:rsid w:val="00EC638F"/>
    <w:rsid w:val="00EC7583"/>
    <w:rsid w:val="00ED2713"/>
    <w:rsid w:val="00ED5D6F"/>
    <w:rsid w:val="00EE2061"/>
    <w:rsid w:val="00EE2ACE"/>
    <w:rsid w:val="00EE4874"/>
    <w:rsid w:val="00EE5829"/>
    <w:rsid w:val="00EE79A6"/>
    <w:rsid w:val="00EF0D86"/>
    <w:rsid w:val="00F005A0"/>
    <w:rsid w:val="00F106D2"/>
    <w:rsid w:val="00F11352"/>
    <w:rsid w:val="00F13451"/>
    <w:rsid w:val="00F1498D"/>
    <w:rsid w:val="00F14DDF"/>
    <w:rsid w:val="00F152AD"/>
    <w:rsid w:val="00F20BE9"/>
    <w:rsid w:val="00F2285F"/>
    <w:rsid w:val="00F23155"/>
    <w:rsid w:val="00F24E0E"/>
    <w:rsid w:val="00F2526E"/>
    <w:rsid w:val="00F26693"/>
    <w:rsid w:val="00F31DE4"/>
    <w:rsid w:val="00F33530"/>
    <w:rsid w:val="00F36130"/>
    <w:rsid w:val="00F36A6E"/>
    <w:rsid w:val="00F36FE3"/>
    <w:rsid w:val="00F40444"/>
    <w:rsid w:val="00F40868"/>
    <w:rsid w:val="00F4087A"/>
    <w:rsid w:val="00F423BD"/>
    <w:rsid w:val="00F432FF"/>
    <w:rsid w:val="00F46A39"/>
    <w:rsid w:val="00F46F26"/>
    <w:rsid w:val="00F4715C"/>
    <w:rsid w:val="00F50707"/>
    <w:rsid w:val="00F51C03"/>
    <w:rsid w:val="00F54869"/>
    <w:rsid w:val="00F556B2"/>
    <w:rsid w:val="00F55A5C"/>
    <w:rsid w:val="00F57187"/>
    <w:rsid w:val="00F574E5"/>
    <w:rsid w:val="00F5754B"/>
    <w:rsid w:val="00F576DE"/>
    <w:rsid w:val="00F623C6"/>
    <w:rsid w:val="00F63BF7"/>
    <w:rsid w:val="00F65617"/>
    <w:rsid w:val="00F710BE"/>
    <w:rsid w:val="00F718C1"/>
    <w:rsid w:val="00F736D2"/>
    <w:rsid w:val="00F7564C"/>
    <w:rsid w:val="00F76220"/>
    <w:rsid w:val="00F769BE"/>
    <w:rsid w:val="00F77D7A"/>
    <w:rsid w:val="00F82E6B"/>
    <w:rsid w:val="00F87CA3"/>
    <w:rsid w:val="00F95B9D"/>
    <w:rsid w:val="00F97B71"/>
    <w:rsid w:val="00FA1925"/>
    <w:rsid w:val="00FA2DDA"/>
    <w:rsid w:val="00FA34CA"/>
    <w:rsid w:val="00FA3CC8"/>
    <w:rsid w:val="00FA4A55"/>
    <w:rsid w:val="00FA4D4F"/>
    <w:rsid w:val="00FA54E8"/>
    <w:rsid w:val="00FB2D17"/>
    <w:rsid w:val="00FB2F69"/>
    <w:rsid w:val="00FB3BCA"/>
    <w:rsid w:val="00FB45FF"/>
    <w:rsid w:val="00FB47E0"/>
    <w:rsid w:val="00FB5D97"/>
    <w:rsid w:val="00FC1991"/>
    <w:rsid w:val="00FC1CA5"/>
    <w:rsid w:val="00FC2979"/>
    <w:rsid w:val="00FC45F4"/>
    <w:rsid w:val="00FC5E83"/>
    <w:rsid w:val="00FD0A58"/>
    <w:rsid w:val="00FD1C3C"/>
    <w:rsid w:val="00FD38A8"/>
    <w:rsid w:val="00FD3B9A"/>
    <w:rsid w:val="00FD6AC8"/>
    <w:rsid w:val="00FD7153"/>
    <w:rsid w:val="00FD7298"/>
    <w:rsid w:val="00FE308B"/>
    <w:rsid w:val="00FE3230"/>
    <w:rsid w:val="00FE3EA1"/>
    <w:rsid w:val="00FE4818"/>
    <w:rsid w:val="00FE5D80"/>
    <w:rsid w:val="00FE6979"/>
    <w:rsid w:val="00FF6ADB"/>
    <w:rsid w:val="00FF7F4C"/>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doNotAutoCompressPictures/>
  <w:smartTagType w:name="chsdate" w:namespaceuri="urn:schemas-microsoft-com:office:smarttags"/>
  <w:shapeDefaults>
    <o:shapedefaults spidmax="2049"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cs="Times New Roman" w:eastAsia="宋体" w:hAnsi="Times New Roman"/>
        <w:lang w:bidi="ar-SA" w:eastAsia="zh-CN" w:val="en-US"/>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nhideWhenUsed="0"/>
    <w:lsdException w:locked="1" w:name="heading 2" w:qFormat="1" w:semiHidden="0" w:uiPriority="0" w:unhideWhenUsed="0"/>
    <w:lsdException w:locked="1" w:name="heading 3" w:qFormat="1" w:uiPriority="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locked="1" w:name="header" w:semiHidden="0" w:uiPriority="0" w:unhideWhenUsed="0"/>
    <w:lsdException w:locked="1" w:name="caption" w:qFormat="1" w:uiPriority="0"/>
    <w:lsdException w:locked="1" w:name="Title" w:qFormat="1" w:semiHidden="0" w:uiPriority="0" w:unhideWhenUsed="0"/>
    <w:lsdException w:name="Default Paragraph Font" w:uiPriority="1"/>
    <w:lsdException w:locked="1" w:name="Subtitle" w:qFormat="1" w:semiHidden="0" w:uiPriority="0" w:unhideWhenUsed="0"/>
    <w:lsdException w:locked="1" w:name="Strong" w:qFormat="1" w:semiHidden="0" w:uiPriority="22" w:unhideWhenUsed="0"/>
    <w:lsdException w:locked="1" w:name="Emphasis" w:qFormat="1" w:semiHidden="0" w:uiPriority="0" w:unhideWhenUsed="0"/>
    <w:lsdException w:locked="1" w:name="Plain Text" w:semiHidden="0" w:uiPriority="0" w:unhideWhenUsed="0"/>
    <w:lsdException w:name="Table Grid" w:qFormat="1"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2A5D31"/>
    <w:pPr>
      <w:widowControl w:val="0"/>
      <w:jc w:val="both"/>
    </w:pPr>
    <w:rPr>
      <w:kern w:val="2"/>
      <w:sz w:val="21"/>
      <w:szCs w:val="24"/>
    </w:rPr>
  </w:style>
  <w:style w:styleId="1" w:type="paragraph">
    <w:name w:val="heading 1"/>
    <w:basedOn w:val="a"/>
    <w:next w:val="a"/>
    <w:link w:val="1Char"/>
    <w:uiPriority w:val="99"/>
    <w:qFormat/>
    <w:rsid w:val="005D4452"/>
    <w:pPr>
      <w:keepNext/>
      <w:keepLines/>
      <w:spacing w:after="330" w:before="340" w:line="578" w:lineRule="auto"/>
      <w:outlineLvl w:val="0"/>
    </w:pPr>
    <w:rPr>
      <w:b/>
      <w:bCs/>
      <w:kern w:val="44"/>
      <w:sz w:val="44"/>
      <w:szCs w:val="44"/>
    </w:rPr>
  </w:style>
  <w:style w:styleId="2" w:type="paragraph">
    <w:name w:val="heading 2"/>
    <w:basedOn w:val="a"/>
    <w:next w:val="a0"/>
    <w:link w:val="2Char"/>
    <w:uiPriority w:val="9"/>
    <w:qFormat/>
    <w:rsid w:val="001B63AB"/>
    <w:pPr>
      <w:keepNext/>
      <w:keepLines/>
      <w:spacing w:after="260" w:before="260" w:line="360" w:lineRule="auto"/>
      <w:outlineLvl w:val="1"/>
    </w:pPr>
    <w:rPr>
      <w:rFonts w:ascii="Cambria" w:hAnsi="Cambria"/>
      <w:b/>
      <w:bCs/>
      <w:kern w:val="0"/>
      <w:sz w:val="32"/>
      <w:szCs w:val="3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link w:val="1"/>
    <w:uiPriority w:val="99"/>
    <w:locked/>
    <w:rsid w:val="005D4452"/>
    <w:rPr>
      <w:rFonts w:cs="Times New Roman"/>
      <w:b/>
      <w:bCs/>
      <w:kern w:val="44"/>
      <w:sz w:val="44"/>
      <w:szCs w:val="44"/>
    </w:rPr>
  </w:style>
  <w:style w:customStyle="1" w:styleId="2Char" w:type="character">
    <w:name w:val="标题 2 Char"/>
    <w:link w:val="2"/>
    <w:uiPriority w:val="9"/>
    <w:semiHidden/>
    <w:rsid w:val="00D85A42"/>
    <w:rPr>
      <w:rFonts w:ascii="Cambria" w:cs="Times New Roman" w:eastAsia="宋体" w:hAnsi="Cambria"/>
      <w:b/>
      <w:bCs/>
      <w:sz w:val="32"/>
      <w:szCs w:val="32"/>
    </w:rPr>
  </w:style>
  <w:style w:styleId="a0" w:type="paragraph">
    <w:name w:val="Normal Indent"/>
    <w:basedOn w:val="a"/>
    <w:uiPriority w:val="99"/>
    <w:rsid w:val="001B63AB"/>
    <w:pPr>
      <w:ind w:firstLine="420" w:firstLineChars="200"/>
    </w:pPr>
  </w:style>
  <w:style w:styleId="a4" w:type="paragraph">
    <w:name w:val="Body Text Indent"/>
    <w:basedOn w:val="a"/>
    <w:link w:val="Char"/>
    <w:uiPriority w:val="99"/>
    <w:rsid w:val="001B63AB"/>
    <w:pPr>
      <w:widowControl/>
      <w:spacing w:after="100" w:afterAutospacing="1" w:before="100" w:beforeAutospacing="1"/>
      <w:jc w:val="left"/>
    </w:pPr>
    <w:rPr>
      <w:kern w:val="0"/>
      <w:sz w:val="20"/>
    </w:rPr>
  </w:style>
  <w:style w:customStyle="1" w:styleId="Char" w:type="character">
    <w:name w:val="正文文本缩进 Char"/>
    <w:link w:val="a4"/>
    <w:uiPriority w:val="99"/>
    <w:semiHidden/>
    <w:rsid w:val="00D85A42"/>
    <w:rPr>
      <w:szCs w:val="24"/>
    </w:rPr>
  </w:style>
  <w:style w:styleId="a5" w:type="paragraph">
    <w:name w:val="Plain Text"/>
    <w:basedOn w:val="a"/>
    <w:link w:val="Char0"/>
    <w:uiPriority w:val="99"/>
    <w:rsid w:val="001B63AB"/>
    <w:rPr>
      <w:rFonts w:ascii="宋体" w:hAnsi="Courier New"/>
      <w:szCs w:val="20"/>
    </w:rPr>
  </w:style>
  <w:style w:customStyle="1" w:styleId="Char0" w:type="character">
    <w:name w:val="纯文本 Char"/>
    <w:link w:val="a5"/>
    <w:uiPriority w:val="99"/>
    <w:locked/>
    <w:rsid w:val="00A726E0"/>
    <w:rPr>
      <w:rFonts w:ascii="宋体" w:hAnsi="Courier New"/>
      <w:kern w:val="2"/>
      <w:sz w:val="21"/>
    </w:rPr>
  </w:style>
  <w:style w:styleId="20" w:type="paragraph">
    <w:name w:val="Body Text Indent 2"/>
    <w:basedOn w:val="a"/>
    <w:link w:val="2Char0"/>
    <w:uiPriority w:val="99"/>
    <w:rsid w:val="001B63AB"/>
    <w:pPr>
      <w:spacing w:line="560" w:lineRule="exact"/>
      <w:ind w:firstLine="480" w:firstLineChars="200"/>
    </w:pPr>
    <w:rPr>
      <w:kern w:val="0"/>
      <w:sz w:val="20"/>
    </w:rPr>
  </w:style>
  <w:style w:customStyle="1" w:styleId="2Char0" w:type="character">
    <w:name w:val="正文文本缩进 2 Char"/>
    <w:link w:val="20"/>
    <w:uiPriority w:val="99"/>
    <w:semiHidden/>
    <w:rsid w:val="00D85A42"/>
    <w:rPr>
      <w:szCs w:val="24"/>
    </w:rPr>
  </w:style>
  <w:style w:styleId="a6" w:type="paragraph">
    <w:name w:val="footer"/>
    <w:basedOn w:val="a"/>
    <w:link w:val="Char1"/>
    <w:uiPriority w:val="99"/>
    <w:rsid w:val="001B63AB"/>
    <w:pPr>
      <w:tabs>
        <w:tab w:pos="4153" w:val="center"/>
        <w:tab w:pos="8306" w:val="right"/>
      </w:tabs>
      <w:snapToGrid w:val="0"/>
      <w:jc w:val="left"/>
    </w:pPr>
    <w:rPr>
      <w:kern w:val="0"/>
      <w:sz w:val="18"/>
      <w:szCs w:val="18"/>
    </w:rPr>
  </w:style>
  <w:style w:customStyle="1" w:styleId="Char1" w:type="character">
    <w:name w:val="页脚 Char"/>
    <w:link w:val="a6"/>
    <w:uiPriority w:val="99"/>
    <w:semiHidden/>
    <w:rsid w:val="00D85A42"/>
    <w:rPr>
      <w:sz w:val="18"/>
      <w:szCs w:val="18"/>
    </w:rPr>
  </w:style>
  <w:style w:styleId="a7" w:type="character">
    <w:name w:val="page number"/>
    <w:uiPriority w:val="99"/>
    <w:rsid w:val="001B63AB"/>
    <w:rPr>
      <w:rFonts w:cs="Times New Roman"/>
    </w:rPr>
  </w:style>
  <w:style w:styleId="a8" w:type="character">
    <w:name w:val="Hyperlink"/>
    <w:uiPriority w:val="99"/>
    <w:rsid w:val="001B63AB"/>
    <w:rPr>
      <w:rFonts w:cs="Times New Roman"/>
      <w:color w:val="0000FF"/>
      <w:u w:val="single"/>
    </w:rPr>
  </w:style>
  <w:style w:styleId="3" w:type="paragraph">
    <w:name w:val="Body Text Indent 3"/>
    <w:basedOn w:val="a"/>
    <w:link w:val="3Char"/>
    <w:uiPriority w:val="99"/>
    <w:rsid w:val="001B63AB"/>
    <w:pPr>
      <w:spacing w:line="560" w:lineRule="exact"/>
      <w:ind w:firstLine="420" w:firstLineChars="200"/>
    </w:pPr>
    <w:rPr>
      <w:kern w:val="0"/>
      <w:sz w:val="16"/>
      <w:szCs w:val="16"/>
    </w:rPr>
  </w:style>
  <w:style w:customStyle="1" w:styleId="3Char" w:type="character">
    <w:name w:val="正文文本缩进 3 Char"/>
    <w:link w:val="3"/>
    <w:uiPriority w:val="99"/>
    <w:semiHidden/>
    <w:rsid w:val="00D85A42"/>
    <w:rPr>
      <w:sz w:val="16"/>
      <w:szCs w:val="16"/>
    </w:rPr>
  </w:style>
  <w:style w:styleId="a9" w:type="paragraph">
    <w:name w:val="header"/>
    <w:basedOn w:val="a"/>
    <w:link w:val="Char2"/>
    <w:uiPriority w:val="99"/>
    <w:rsid w:val="001B63AB"/>
    <w:pPr>
      <w:pBdr>
        <w:bottom w:color="auto" w:space="1" w:sz="6" w:val="single"/>
      </w:pBdr>
      <w:tabs>
        <w:tab w:pos="4153" w:val="center"/>
        <w:tab w:pos="8306" w:val="right"/>
      </w:tabs>
      <w:snapToGrid w:val="0"/>
      <w:jc w:val="center"/>
    </w:pPr>
    <w:rPr>
      <w:sz w:val="18"/>
      <w:szCs w:val="18"/>
    </w:rPr>
  </w:style>
  <w:style w:customStyle="1" w:styleId="Char2" w:type="character">
    <w:name w:val="页眉 Char"/>
    <w:link w:val="a9"/>
    <w:uiPriority w:val="99"/>
    <w:locked/>
    <w:rsid w:val="004E30FB"/>
    <w:rPr>
      <w:rFonts w:cs="Times New Roman"/>
      <w:kern w:val="2"/>
      <w:sz w:val="18"/>
      <w:szCs w:val="18"/>
    </w:rPr>
  </w:style>
  <w:style w:styleId="aa" w:type="character">
    <w:name w:val="FollowedHyperlink"/>
    <w:uiPriority w:val="99"/>
    <w:rsid w:val="001B63AB"/>
    <w:rPr>
      <w:rFonts w:cs="Times New Roman"/>
      <w:color w:val="800080"/>
      <w:u w:val="single"/>
    </w:rPr>
  </w:style>
  <w:style w:styleId="ab" w:type="paragraph">
    <w:name w:val="List"/>
    <w:basedOn w:val="ac"/>
    <w:uiPriority w:val="99"/>
    <w:rsid w:val="001B63AB"/>
    <w:pPr>
      <w:spacing w:after="220" w:line="220" w:lineRule="atLeast"/>
      <w:ind w:hanging="360" w:left="1440"/>
    </w:pPr>
    <w:rPr>
      <w:szCs w:val="20"/>
    </w:rPr>
  </w:style>
  <w:style w:styleId="ac" w:type="paragraph">
    <w:name w:val="Body Text"/>
    <w:basedOn w:val="a"/>
    <w:link w:val="Char3"/>
    <w:uiPriority w:val="99"/>
    <w:rsid w:val="001B63AB"/>
    <w:pPr>
      <w:spacing w:after="120"/>
    </w:pPr>
    <w:rPr>
      <w:kern w:val="0"/>
      <w:sz w:val="20"/>
    </w:rPr>
  </w:style>
  <w:style w:customStyle="1" w:styleId="Char3" w:type="character">
    <w:name w:val="正文文本 Char"/>
    <w:link w:val="ac"/>
    <w:uiPriority w:val="99"/>
    <w:semiHidden/>
    <w:rsid w:val="00D85A42"/>
    <w:rPr>
      <w:szCs w:val="24"/>
    </w:rPr>
  </w:style>
  <w:style w:styleId="ad" w:type="paragraph">
    <w:name w:val="Date"/>
    <w:basedOn w:val="a"/>
    <w:next w:val="a"/>
    <w:link w:val="Char4"/>
    <w:uiPriority w:val="99"/>
    <w:rsid w:val="001B63AB"/>
    <w:rPr>
      <w:sz w:val="24"/>
      <w:szCs w:val="20"/>
    </w:rPr>
  </w:style>
  <w:style w:customStyle="1" w:styleId="Char4" w:type="character">
    <w:name w:val="日期 Char"/>
    <w:link w:val="ad"/>
    <w:uiPriority w:val="99"/>
    <w:locked/>
    <w:rsid w:val="005E5CC1"/>
    <w:rPr>
      <w:rFonts w:cs="Times New Roman"/>
      <w:kern w:val="2"/>
      <w:sz w:val="24"/>
    </w:rPr>
  </w:style>
  <w:style w:customStyle="1" w:styleId="c1" w:type="character">
    <w:name w:val="c1"/>
    <w:uiPriority w:val="99"/>
    <w:rsid w:val="001B63AB"/>
    <w:rPr>
      <w:rFonts w:cs="Times New Roman"/>
      <w:color w:val="000000"/>
      <w:sz w:val="18"/>
      <w:szCs w:val="18"/>
    </w:rPr>
  </w:style>
  <w:style w:styleId="10" w:type="paragraph">
    <w:name w:val="index 1"/>
    <w:basedOn w:val="a"/>
    <w:next w:val="a"/>
    <w:autoRedefine/>
    <w:uiPriority w:val="99"/>
    <w:semiHidden/>
    <w:rsid w:val="001B63AB"/>
    <w:pPr>
      <w:jc w:val="right"/>
    </w:pPr>
    <w:rPr>
      <w:color w:val="008000"/>
    </w:rPr>
  </w:style>
  <w:style w:customStyle="1" w:styleId="font5" w:type="paragraph">
    <w:name w:val="font5"/>
    <w:basedOn w:val="a"/>
    <w:uiPriority w:val="99"/>
    <w:rsid w:val="001B63AB"/>
    <w:pPr>
      <w:widowControl/>
      <w:spacing w:after="100" w:afterAutospacing="1" w:before="100" w:beforeAutospacing="1"/>
      <w:jc w:val="left"/>
    </w:pPr>
    <w:rPr>
      <w:rFonts w:ascii="宋体" w:cs="Arial Unicode MS" w:hAnsi="宋体"/>
      <w:kern w:val="0"/>
      <w:sz w:val="18"/>
      <w:szCs w:val="18"/>
    </w:rPr>
  </w:style>
  <w:style w:customStyle="1" w:styleId="xl24" w:type="paragraph">
    <w:name w:val="xl24"/>
    <w:basedOn w:val="a"/>
    <w:uiPriority w:val="99"/>
    <w:rsid w:val="001B63AB"/>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1B63AB"/>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rPr>
  </w:style>
  <w:style w:customStyle="1" w:styleId="xl26" w:type="paragraph">
    <w:name w:val="xl26"/>
    <w:basedOn w:val="a"/>
    <w:uiPriority w:val="99"/>
    <w:rsid w:val="001B63AB"/>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7" w:type="paragraph">
    <w:name w:val="xl27"/>
    <w:basedOn w:val="a"/>
    <w:uiPriority w:val="99"/>
    <w:rsid w:val="001B63AB"/>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1B63AB"/>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9" w:type="paragraph">
    <w:name w:val="xl29"/>
    <w:basedOn w:val="a"/>
    <w:uiPriority w:val="99"/>
    <w:rsid w:val="001B63AB"/>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0" w:type="paragraph">
    <w:name w:val="xl30"/>
    <w:basedOn w:val="a"/>
    <w:uiPriority w:val="99"/>
    <w:rsid w:val="001B63AB"/>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1" w:type="paragraph">
    <w:name w:val="xl31"/>
    <w:basedOn w:val="a"/>
    <w:uiPriority w:val="99"/>
    <w:rsid w:val="001B63AB"/>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1B63AB"/>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1B63AB"/>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1B63AB"/>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1B63AB"/>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1B63AB"/>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1B63AB"/>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1B63AB"/>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link w:val="Char5"/>
    <w:uiPriority w:val="99"/>
    <w:semiHidden/>
    <w:rsid w:val="001B63AB"/>
    <w:rPr>
      <w:kern w:val="0"/>
      <w:sz w:val="0"/>
      <w:szCs w:val="0"/>
    </w:rPr>
  </w:style>
  <w:style w:customStyle="1" w:styleId="Char5" w:type="character">
    <w:name w:val="批注框文本 Char"/>
    <w:link w:val="ae"/>
    <w:uiPriority w:val="99"/>
    <w:semiHidden/>
    <w:rsid w:val="00D85A42"/>
    <w:rPr>
      <w:sz w:val="0"/>
      <w:szCs w:val="0"/>
    </w:rPr>
  </w:style>
  <w:style w:styleId="af" w:type="character">
    <w:name w:val="annotation reference"/>
    <w:uiPriority w:val="99"/>
    <w:semiHidden/>
    <w:rsid w:val="001B63AB"/>
    <w:rPr>
      <w:rFonts w:cs="Times New Roman"/>
      <w:sz w:val="21"/>
      <w:szCs w:val="21"/>
    </w:rPr>
  </w:style>
  <w:style w:styleId="af0" w:type="paragraph">
    <w:name w:val="annotation text"/>
    <w:basedOn w:val="a"/>
    <w:link w:val="Char6"/>
    <w:uiPriority w:val="99"/>
    <w:semiHidden/>
    <w:rsid w:val="001B63AB"/>
    <w:pPr>
      <w:jc w:val="left"/>
    </w:pPr>
    <w:rPr>
      <w:kern w:val="0"/>
      <w:sz w:val="20"/>
    </w:rPr>
  </w:style>
  <w:style w:customStyle="1" w:styleId="Char6" w:type="character">
    <w:name w:val="批注文字 Char"/>
    <w:link w:val="af0"/>
    <w:uiPriority w:val="99"/>
    <w:semiHidden/>
    <w:rsid w:val="00D85A42"/>
    <w:rPr>
      <w:szCs w:val="24"/>
    </w:rPr>
  </w:style>
  <w:style w:styleId="af1" w:type="paragraph">
    <w:name w:val="annotation subject"/>
    <w:basedOn w:val="af0"/>
    <w:next w:val="af0"/>
    <w:link w:val="Char7"/>
    <w:uiPriority w:val="99"/>
    <w:semiHidden/>
    <w:rsid w:val="001B63AB"/>
    <w:rPr>
      <w:b/>
      <w:bCs/>
    </w:rPr>
  </w:style>
  <w:style w:customStyle="1" w:styleId="Char7" w:type="character">
    <w:name w:val="批注主题 Char"/>
    <w:link w:val="af1"/>
    <w:uiPriority w:val="99"/>
    <w:semiHidden/>
    <w:rsid w:val="00D85A42"/>
    <w:rPr>
      <w:b/>
      <w:bCs/>
      <w:szCs w:val="24"/>
    </w:rPr>
  </w:style>
  <w:style w:customStyle="1" w:styleId="Char8" w:type="paragraph">
    <w:name w:val="Char"/>
    <w:basedOn w:val="a"/>
    <w:uiPriority w:val="99"/>
    <w:rsid w:val="001B63AB"/>
  </w:style>
  <w:style w:styleId="af2" w:type="paragraph">
    <w:name w:val="Document Map"/>
    <w:basedOn w:val="a"/>
    <w:link w:val="Char9"/>
    <w:uiPriority w:val="99"/>
    <w:semiHidden/>
    <w:rsid w:val="000A549A"/>
    <w:pPr>
      <w:shd w:color="auto" w:fill="000080" w:val="clear"/>
    </w:pPr>
    <w:rPr>
      <w:kern w:val="0"/>
      <w:sz w:val="0"/>
      <w:szCs w:val="0"/>
    </w:rPr>
  </w:style>
  <w:style w:customStyle="1" w:styleId="Char9" w:type="character">
    <w:name w:val="文档结构图 Char"/>
    <w:link w:val="af2"/>
    <w:uiPriority w:val="99"/>
    <w:semiHidden/>
    <w:rsid w:val="00D85A42"/>
    <w:rPr>
      <w:sz w:val="0"/>
      <w:szCs w:val="0"/>
    </w:rPr>
  </w:style>
  <w:style w:customStyle="1" w:styleId="af3" w:type="paragraph">
    <w:name w:val="正文 + (符号) 宋体"/>
    <w:aliases w:val="小四,紧缩量  0.2 磅"/>
    <w:basedOn w:val="a"/>
    <w:uiPriority w:val="99"/>
    <w:rsid w:val="00C22CCE"/>
    <w:pPr>
      <w:autoSpaceDE w:val="0"/>
      <w:autoSpaceDN w:val="0"/>
      <w:adjustRightInd w:val="0"/>
      <w:ind w:firstLine="1229" w:firstLineChars="512" w:right="1409" w:rightChars="671"/>
      <w:jc w:val="distribute"/>
    </w:pPr>
    <w:rPr>
      <w:sz w:val="24"/>
    </w:rPr>
  </w:style>
  <w:style w:styleId="af4" w:type="paragraph">
    <w:name w:val="footnote text"/>
    <w:basedOn w:val="a"/>
    <w:link w:val="Chara"/>
    <w:uiPriority w:val="99"/>
    <w:semiHidden/>
    <w:rsid w:val="00547D9C"/>
    <w:pPr>
      <w:snapToGrid w:val="0"/>
      <w:jc w:val="left"/>
    </w:pPr>
    <w:rPr>
      <w:kern w:val="0"/>
      <w:sz w:val="18"/>
      <w:szCs w:val="18"/>
    </w:rPr>
  </w:style>
  <w:style w:customStyle="1" w:styleId="Chara" w:type="character">
    <w:name w:val="脚注文本 Char"/>
    <w:link w:val="af4"/>
    <w:uiPriority w:val="99"/>
    <w:semiHidden/>
    <w:rsid w:val="00D85A42"/>
    <w:rPr>
      <w:sz w:val="18"/>
      <w:szCs w:val="18"/>
    </w:rPr>
  </w:style>
  <w:style w:styleId="af5" w:type="character">
    <w:name w:val="footnote reference"/>
    <w:uiPriority w:val="99"/>
    <w:semiHidden/>
    <w:rsid w:val="00547D9C"/>
    <w:rPr>
      <w:rFonts w:cs="Times New Roman"/>
      <w:vertAlign w:val="superscript"/>
    </w:rPr>
  </w:style>
  <w:style w:styleId="af6" w:type="paragraph">
    <w:name w:val="Normal (Web)"/>
    <w:basedOn w:val="a"/>
    <w:uiPriority w:val="99"/>
    <w:rsid w:val="005D45B3"/>
    <w:pPr>
      <w:widowControl/>
      <w:spacing w:after="100" w:afterAutospacing="1" w:before="100" w:beforeAutospacing="1"/>
      <w:jc w:val="left"/>
    </w:pPr>
    <w:rPr>
      <w:rFonts w:ascii="宋体" w:hAnsi="宋体"/>
      <w:kern w:val="0"/>
      <w:sz w:val="24"/>
    </w:rPr>
  </w:style>
  <w:style w:styleId="af7" w:type="table">
    <w:name w:val="Table Grid"/>
    <w:basedOn w:val="a2"/>
    <w:qFormat/>
    <w:rsid w:val="002A5D31"/>
    <w:pPr>
      <w:widowControl w:val="0"/>
      <w:jc w:val="both"/>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Char10" w:type="paragraph">
    <w:name w:val="Char1"/>
    <w:basedOn w:val="a"/>
    <w:uiPriority w:val="99"/>
    <w:rsid w:val="00043ABF"/>
  </w:style>
  <w:style w:customStyle="1" w:styleId="CharCharCharCharCharChar1CharCharChar" w:type="paragraph">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customStyle="1" w:styleId="t1" w:type="character">
    <w:name w:val="t1"/>
    <w:uiPriority w:val="99"/>
    <w:rsid w:val="00C40F7A"/>
    <w:rPr>
      <w:rFonts w:cs="Times New Roman"/>
      <w:color w:val="990000"/>
    </w:rPr>
  </w:style>
  <w:style w:styleId="af8" w:type="character">
    <w:name w:val="Strong"/>
    <w:uiPriority w:val="22"/>
    <w:qFormat/>
    <w:locked/>
    <w:rsid w:val="001A48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04092">
      <w:bodyDiv w:val="1"/>
      <w:marLeft w:val="0"/>
      <w:marRight w:val="0"/>
      <w:marTop w:val="0"/>
      <w:marBottom w:val="0"/>
      <w:divBdr>
        <w:top w:val="none" w:sz="0" w:space="0" w:color="auto"/>
        <w:left w:val="none" w:sz="0" w:space="0" w:color="auto"/>
        <w:bottom w:val="none" w:sz="0" w:space="0" w:color="auto"/>
        <w:right w:val="none" w:sz="0" w:space="0" w:color="auto"/>
      </w:divBdr>
    </w:div>
    <w:div w:id="1833837360">
      <w:marLeft w:val="0"/>
      <w:marRight w:val="0"/>
      <w:marTop w:val="0"/>
      <w:marBottom w:val="0"/>
      <w:divBdr>
        <w:top w:val="none" w:sz="0" w:space="0" w:color="auto"/>
        <w:left w:val="none" w:sz="0" w:space="0" w:color="auto"/>
        <w:bottom w:val="none" w:sz="0" w:space="0" w:color="auto"/>
        <w:right w:val="none" w:sz="0" w:space="0" w:color="auto"/>
      </w:divBdr>
    </w:div>
    <w:div w:id="1833837361">
      <w:marLeft w:val="0"/>
      <w:marRight w:val="0"/>
      <w:marTop w:val="0"/>
      <w:marBottom w:val="0"/>
      <w:divBdr>
        <w:top w:val="none" w:sz="0" w:space="0" w:color="auto"/>
        <w:left w:val="none" w:sz="0" w:space="0" w:color="auto"/>
        <w:bottom w:val="none" w:sz="0" w:space="0" w:color="auto"/>
        <w:right w:val="none" w:sz="0" w:space="0" w:color="auto"/>
      </w:divBdr>
    </w:div>
    <w:div w:id="1833837362">
      <w:marLeft w:val="0"/>
      <w:marRight w:val="0"/>
      <w:marTop w:val="0"/>
      <w:marBottom w:val="0"/>
      <w:divBdr>
        <w:top w:val="none" w:sz="0" w:space="0" w:color="auto"/>
        <w:left w:val="none" w:sz="0" w:space="0" w:color="auto"/>
        <w:bottom w:val="none" w:sz="0" w:space="0" w:color="auto"/>
        <w:right w:val="none" w:sz="0" w:space="0" w:color="auto"/>
      </w:divBdr>
    </w:div>
    <w:div w:id="1833837363">
      <w:marLeft w:val="0"/>
      <w:marRight w:val="0"/>
      <w:marTop w:val="0"/>
      <w:marBottom w:val="0"/>
      <w:divBdr>
        <w:top w:val="none" w:sz="0" w:space="0" w:color="auto"/>
        <w:left w:val="none" w:sz="0" w:space="0" w:color="auto"/>
        <w:bottom w:val="none" w:sz="0" w:space="0" w:color="auto"/>
        <w:right w:val="none" w:sz="0" w:space="0" w:color="auto"/>
      </w:divBdr>
    </w:div>
    <w:div w:id="1833837364">
      <w:marLeft w:val="0"/>
      <w:marRight w:val="0"/>
      <w:marTop w:val="0"/>
      <w:marBottom w:val="0"/>
      <w:divBdr>
        <w:top w:val="none" w:sz="0" w:space="0" w:color="auto"/>
        <w:left w:val="none" w:sz="0" w:space="0" w:color="auto"/>
        <w:bottom w:val="none" w:sz="0" w:space="0" w:color="auto"/>
        <w:right w:val="none" w:sz="0" w:space="0" w:color="auto"/>
      </w:divBdr>
    </w:div>
    <w:div w:id="1833837365">
      <w:marLeft w:val="0"/>
      <w:marRight w:val="0"/>
      <w:marTop w:val="0"/>
      <w:marBottom w:val="0"/>
      <w:divBdr>
        <w:top w:val="none" w:sz="0" w:space="0" w:color="auto"/>
        <w:left w:val="none" w:sz="0" w:space="0" w:color="auto"/>
        <w:bottom w:val="none" w:sz="0" w:space="0" w:color="auto"/>
        <w:right w:val="none" w:sz="0" w:space="0" w:color="auto"/>
      </w:divBdr>
    </w:div>
    <w:div w:id="1833837366">
      <w:marLeft w:val="0"/>
      <w:marRight w:val="0"/>
      <w:marTop w:val="0"/>
      <w:marBottom w:val="0"/>
      <w:divBdr>
        <w:top w:val="none" w:sz="0" w:space="0" w:color="auto"/>
        <w:left w:val="none" w:sz="0" w:space="0" w:color="auto"/>
        <w:bottom w:val="none" w:sz="0" w:space="0" w:color="auto"/>
        <w:right w:val="none" w:sz="0" w:space="0" w:color="auto"/>
      </w:divBdr>
    </w:div>
    <w:div w:id="1833837367">
      <w:marLeft w:val="0"/>
      <w:marRight w:val="0"/>
      <w:marTop w:val="0"/>
      <w:marBottom w:val="0"/>
      <w:divBdr>
        <w:top w:val="none" w:sz="0" w:space="0" w:color="auto"/>
        <w:left w:val="none" w:sz="0" w:space="0" w:color="auto"/>
        <w:bottom w:val="none" w:sz="0" w:space="0" w:color="auto"/>
        <w:right w:val="none" w:sz="0" w:space="0" w:color="auto"/>
      </w:divBdr>
    </w:div>
    <w:div w:id="1833837368">
      <w:marLeft w:val="0"/>
      <w:marRight w:val="0"/>
      <w:marTop w:val="0"/>
      <w:marBottom w:val="0"/>
      <w:divBdr>
        <w:top w:val="none" w:sz="0" w:space="0" w:color="auto"/>
        <w:left w:val="none" w:sz="0" w:space="0" w:color="auto"/>
        <w:bottom w:val="none" w:sz="0" w:space="0" w:color="auto"/>
        <w:right w:val="none" w:sz="0" w:space="0" w:color="auto"/>
      </w:divBdr>
    </w:div>
    <w:div w:id="1833837369">
      <w:marLeft w:val="0"/>
      <w:marRight w:val="0"/>
      <w:marTop w:val="0"/>
      <w:marBottom w:val="0"/>
      <w:divBdr>
        <w:top w:val="none" w:sz="0" w:space="0" w:color="auto"/>
        <w:left w:val="none" w:sz="0" w:space="0" w:color="auto"/>
        <w:bottom w:val="none" w:sz="0" w:space="0" w:color="auto"/>
        <w:right w:val="none" w:sz="0" w:space="0" w:color="auto"/>
      </w:divBdr>
    </w:div>
    <w:div w:id="1833837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1.jpeg" Type="http://schemas.openxmlformats.org/officeDocument/2006/relationships/image"/>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header3.xml" Type="http://schemas.openxmlformats.org/officeDocument/2006/relationships/header"/>
<Relationship Id="rId15" Target="footer4.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22</Pages>
  <Words>3197</Words>
  <Characters>18229</Characters>
  <Application>Microsoft Office Word</Application>
  <DocSecurity>0</DocSecurity>
  <Lines>151</Lines>
  <Paragraphs>42</Paragraphs>
  <ScaleCrop>false</ScaleCrop>
  <Company>TRT. Ltd. Co.</Company>
  <LinksUpToDate>false</LinksUpToDate>
  <CharactersWithSpaces>21384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2013-06-21T07:03:00Z</dcterms:created>
  <dc:creator>bonnieliu</dc:creator>
  <cp:lastModifiedBy>sirong han</cp:lastModifiedBy>
  <cp:lastPrinted>2007-07-19T00:46:00Z</cp:lastPrinted>
  <dcterms:modified xsi:type="dcterms:W3CDTF">2020-10-20T06:19:00Z</dcterms:modified>
  <cp:revision>151</cp:revision>
</cp:coreProperties>
</file>