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7951F3" w:rsidR="001C36D8" w:rsidRDefault="001C36D8" w:rsidRPr="00272E0C">
      <w:pPr>
        <w:spacing w:line="360" w:lineRule="auto"/>
        <w:jc w:val="center"/>
        <w:rPr>
          <w:rFonts w:ascii="宋体" w:hAnsi="宋体"/>
          <w:b/>
          <w:sz w:val="36"/>
          <w:szCs w:val="36"/>
        </w:rPr>
      </w:pPr>
      <w:r w:rsidRPr="00272E0C">
        <w:rPr>
          <w:rFonts w:ascii="宋体"/>
          <w:b/>
          <w:sz w:val="36"/>
          <w:szCs w:val="36"/>
        </w:rPr>
        <w:t/>
      </w:r>
      <w:proofErr w:type="spellStart"/>
      <w:proofErr w:type="gramStart"/>
      <w:r w:rsidRPr="00272E0C">
        <w:rPr>
          <w:rFonts w:ascii="宋体" w:hAnsi="宋体"/>
          <w:b/>
          <w:sz w:val="36"/>
          <w:szCs w:val="36"/>
        </w:rPr>
        <w:t/>
      </w:r>
      <w:proofErr w:type="spellEnd"/>
      <w:proofErr w:type="gramEnd"/>
      <w:r w:rsidRPr="00272E0C">
        <w:rPr>
          <w:rFonts w:ascii="宋体" w:hAnsi="宋体"/>
          <w:b/>
          <w:sz w:val="36"/>
          <w:szCs w:val="36"/>
        </w:rPr>
        <w:t>易方达生物科技指数分级证券投资基金</w:t>
      </w:r>
    </w:p>
    <w:p w:rsidP="007951F3" w:rsidR="001C36D8" w:rsidRDefault="001C36D8" w:rsidRPr="00272E0C">
      <w:pPr>
        <w:spacing w:line="360" w:lineRule="auto"/>
        <w:jc w:val="center"/>
        <w:rPr>
          <w:rFonts w:ascii="宋体" w:hAnsi="宋体"/>
          <w:b/>
          <w:sz w:val="36"/>
          <w:szCs w:val="36"/>
        </w:rPr>
      </w:pPr>
      <w:r w:rsidRPr="00272E0C">
        <w:rPr>
          <w:rFonts w:ascii="宋体" w:hAnsi="宋体"/>
          <w:b/>
          <w:sz w:val="36"/>
          <w:szCs w:val="36"/>
        </w:rPr>
        <w:t/>
      </w:r>
      <w:proofErr w:type="spellStart"/>
      <w:r w:rsidRPr="00272E0C">
        <w:rPr>
          <w:rFonts w:ascii="宋体" w:hAnsi="宋体"/>
          <w:b/>
          <w:sz w:val="36"/>
          <w:szCs w:val="36"/>
        </w:rPr>
        <w:t/>
      </w:r>
      <w:proofErr w:type="spellEnd"/>
      <w:r w:rsidRPr="00272E0C">
        <w:rPr>
          <w:rFonts w:ascii="宋体" w:hAnsi="宋体"/>
          <w:b/>
          <w:sz w:val="36"/>
          <w:szCs w:val="36"/>
        </w:rPr>
        <w:t>2020年第3季度报告</w:t>
      </w:r>
    </w:p>
    <w:p w:rsidP="007951F3" w:rsidR="001C36D8" w:rsidRDefault="001C36D8" w:rsidRPr="00717C29">
      <w:pPr>
        <w:spacing w:line="360" w:lineRule="auto"/>
        <w:jc w:val="center"/>
        <w:rPr>
          <w:rFonts w:ascii="宋体" w:hAnsi="宋体"/>
          <w:b/>
          <w:sz w:val="24"/>
          <w:szCs w:val="36"/>
        </w:rPr>
      </w:pPr>
      <w:r w:rsidRPr="00717C29">
        <w:rPr>
          <w:rFonts w:ascii="宋体"/>
          <w:b/>
          <w:sz w:val="24"/>
          <w:szCs w:val="36"/>
        </w:rPr>
        <w:t/>
      </w:r>
      <w:proofErr w:type="spellStart"/>
      <w:proofErr w:type="gramStart"/>
      <w:r w:rsidRPr="00717C29">
        <w:rPr>
          <w:rFonts w:ascii="宋体" w:hAnsi="宋体"/>
          <w:b/>
          <w:sz w:val="24"/>
          <w:szCs w:val="36"/>
        </w:rPr>
        <w:t/>
      </w:r>
      <w:proofErr w:type="spellEnd"/>
      <w:proofErr w:type="gramEnd"/>
      <w:r w:rsidRPr="00717C29">
        <w:rPr>
          <w:rFonts w:ascii="宋体" w:hAnsi="宋体"/>
          <w:b/>
          <w:sz w:val="24"/>
          <w:szCs w:val="36"/>
        </w:rPr>
        <w:t>2020年9月30日</w:t>
      </w: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rPr>
          <w:rFonts w:ascii="宋体"/>
          <w:b/>
          <w:color w:val="000000"/>
          <w:sz w:val="24"/>
        </w:rPr>
      </w:pPr>
    </w:p>
    <w:p w:rsidP="0015779C" w:rsidR="001C36D8" w:rsidRDefault="001C36D8" w:rsidRPr="00272E0C">
      <w:pPr>
        <w:spacing w:line="360" w:lineRule="auto"/>
        <w:ind w:firstLine="2168" w:firstLineChars="900"/>
        <w:rPr>
          <w:rFonts w:ascii="宋体" w:hAnsi="宋体"/>
          <w:b/>
          <w:color w:val="000000"/>
          <w:sz w:val="24"/>
        </w:rPr>
      </w:pPr>
      <w:r w:rsidRPr="00272E0C">
        <w:rPr>
          <w:rFonts w:ascii="宋体" w:hAnsi="宋体" w:hint="eastAsia"/>
          <w:b/>
          <w:color w:val="000000"/>
          <w:sz w:val="24"/>
        </w:rPr>
        <w:t>基金管理人：</w:t>
      </w:r>
      <w:r w:rsidRPr="00272E0C">
        <w:rPr>
          <w:rFonts w:ascii="宋体"/>
          <w:b/>
          <w:color w:val="000000"/>
          <w:sz w:val="24"/>
        </w:rPr>
        <w:t/>
      </w:r>
      <w:proofErr w:type="spellStart"/>
      <w:r w:rsidRPr="00272E0C">
        <w:rPr>
          <w:rFonts w:ascii="宋体" w:hAnsi="宋体"/>
          <w:b/>
          <w:color w:val="000000"/>
          <w:sz w:val="24"/>
        </w:rPr>
        <w:t/>
      </w:r>
      <w:proofErr w:type="spellEnd"/>
      <w:r w:rsidRPr="00272E0C">
        <w:rPr>
          <w:rFonts w:ascii="宋体" w:hAnsi="宋体"/>
          <w:b/>
          <w:color w:val="000000"/>
          <w:sz w:val="24"/>
        </w:rPr>
        <w:t>易方达基金管理有限公司</w:t>
      </w:r>
    </w:p>
    <w:p w:rsidP="0015779C" w:rsidR="001C36D8" w:rsidRDefault="001C36D8" w:rsidRPr="00272E0C">
      <w:pPr>
        <w:spacing w:line="360" w:lineRule="auto"/>
        <w:ind w:firstLine="2168" w:firstLineChars="900"/>
        <w:rPr>
          <w:rFonts w:ascii="宋体" w:hAnsi="宋体"/>
          <w:b/>
          <w:color w:val="000000"/>
          <w:sz w:val="24"/>
        </w:rPr>
      </w:pPr>
      <w:r w:rsidRPr="00272E0C">
        <w:rPr>
          <w:rFonts w:ascii="宋体" w:hAnsi="宋体" w:hint="eastAsia"/>
          <w:b/>
          <w:color w:val="000000"/>
          <w:sz w:val="24"/>
        </w:rPr>
        <w:t>基金托管人：</w:t>
      </w:r>
      <w:r w:rsidRPr="00272E0C">
        <w:rPr>
          <w:rFonts w:ascii="宋体"/>
          <w:b/>
          <w:color w:val="000000"/>
          <w:sz w:val="24"/>
        </w:rPr>
        <w:t/>
      </w:r>
      <w:proofErr w:type="spellStart"/>
      <w:r w:rsidRPr="00272E0C">
        <w:rPr>
          <w:rFonts w:ascii="宋体" w:hAnsi="宋体"/>
          <w:b/>
          <w:color w:val="000000"/>
          <w:sz w:val="24"/>
        </w:rPr>
        <w:t/>
      </w:r>
      <w:proofErr w:type="spellEnd"/>
      <w:r w:rsidRPr="00272E0C">
        <w:rPr>
          <w:rFonts w:ascii="宋体" w:hAnsi="宋体"/>
          <w:b/>
          <w:color w:val="000000"/>
          <w:sz w:val="24"/>
        </w:rPr>
        <w:t>中国建设银行股份有限公司</w:t>
      </w:r>
    </w:p>
    <w:p w:rsidP="0015779C" w:rsidR="001C36D8" w:rsidRDefault="001C36D8" w:rsidRPr="00272E0C">
      <w:pPr>
        <w:spacing w:line="360" w:lineRule="auto"/>
        <w:ind w:firstLine="2168" w:firstLineChars="900"/>
        <w:rPr>
          <w:rFonts w:ascii="宋体" w:hAnsi="宋体"/>
          <w:b/>
          <w:color w:val="000000"/>
          <w:sz w:val="24"/>
        </w:rPr>
        <w:sectPr w:rsidR="001C36D8" w:rsidRPr="00272E0C" w:rsidSect="00230A66">
          <w:headerReference r:id="rId8" w:type="default"/>
          <w:footerReference r:id="rId9" w:type="default"/>
          <w:pgSz w:h="15840" w:w="11926"/>
          <w:pgMar w:bottom="851" w:footer="992" w:gutter="0" w:header="851" w:left="1418" w:right="1418" w:top="1418"/>
          <w:cols w:space="720"/>
          <w:noEndnote/>
        </w:sectPr>
      </w:pPr>
      <w:r w:rsidRPr="00272E0C">
        <w:rPr>
          <w:rFonts w:ascii="宋体" w:hAnsi="宋体" w:hint="eastAsia"/>
          <w:b/>
          <w:color w:val="000000"/>
          <w:sz w:val="24"/>
        </w:rPr>
        <w:t>报告送出日期：</w:t>
      </w:r>
      <w:r w:rsidRPr="00272E0C">
        <w:rPr>
          <w:rFonts w:ascii="宋体"/>
          <w:b/>
          <w:color w:val="000000"/>
          <w:sz w:val="24"/>
        </w:rPr>
        <w:t/>
      </w:r>
      <w:proofErr w:type="spellStart"/>
      <w:r w:rsidRPr="00272E0C">
        <w:rPr>
          <w:rFonts w:ascii="宋体" w:hAnsi="宋体"/>
          <w:b/>
          <w:color w:val="000000"/>
          <w:sz w:val="24"/>
        </w:rPr>
        <w:t/>
      </w:r>
      <w:proofErr w:type="spellEnd"/>
      <w:r w:rsidRPr="00272E0C">
        <w:rPr>
          <w:rFonts w:ascii="宋体" w:hAnsi="宋体"/>
          <w:b/>
          <w:color w:val="000000"/>
          <w:sz w:val="24"/>
        </w:rPr>
        <w:t>二〇二〇年十月二十八日</w:t>
      </w:r>
    </w:p>
    <w:p w:rsidP="005C6DF3" w:rsidR="001C36D8" w:rsidRDefault="001C36D8" w:rsidRPr="00272E0C">
      <w:pPr>
        <w:pStyle w:val="1"/>
        <w:spacing w:after="312" w:afterLines="100" w:before="312" w:beforeLines="100" w:line="360" w:lineRule="auto"/>
        <w:jc w:val="center"/>
        <w:rPr>
          <w:rFonts w:ascii="宋体" w:cs="Arial"/>
          <w:b w:val="0"/>
          <w:color w:val="000000"/>
          <w:kern w:val="0"/>
          <w:sz w:val="24"/>
          <w:szCs w:val="24"/>
        </w:rPr>
      </w:pPr>
      <w:r w:rsidRPr="00272E0C">
        <w:rPr>
          <w:rFonts w:ascii="宋体" w:cs="Arial" w:hAnsi="宋体" w:hint="eastAsia"/>
          <w:color w:val="000000"/>
          <w:kern w:val="0"/>
          <w:sz w:val="24"/>
          <w:szCs w:val="24"/>
        </w:rPr>
        <w:lastRenderedPageBreak/>
        <w:t>§</w:t>
      </w:r>
      <w:r w:rsidRPr="00272E0C">
        <w:rPr>
          <w:rFonts w:ascii="宋体" w:cs="Arial" w:hAnsi="宋体"/>
          <w:color w:val="000000"/>
          <w:kern w:val="0"/>
          <w:sz w:val="24"/>
          <w:szCs w:val="24"/>
        </w:rPr>
        <w:t xml:space="preserve">1  </w:t>
      </w:r>
      <w:r w:rsidRPr="00272E0C">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基金托管人中国建设银行股份有限公司根据本基金合同规定，于2020年10月26日复核了本报告中的财务指标、净值表现和投资组合报告等内容，保证复核内容不存在虚假记载、误导性陈述或者重大遗漏。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CC0C03" w:rsidR="001C36D8" w:rsidRDefault="001C36D8" w:rsidRPr="00CC0C03">
      <w:pPr>
        <w:spacing w:line="360" w:lineRule="auto"/>
        <w:ind w:firstLine="480" w:firstLineChars="200"/>
        <w:rPr>
          <w:color w:val="000000"/>
          <w:sz w:val="24"/>
        </w:rPr>
      </w:pPr>
      <w:r w:rsidRPr="00CC0C03">
        <w:rPr>
          <w:color w:val="000000"/>
          <w:sz w:val="24"/>
        </w:rPr>
        <w:t/>
      </w:r>
      <w:proofErr w:type="spellStart"/>
      <w:r w:rsidRPr="00CC0C03">
        <w:rPr>
          <w:color w:val="000000"/>
          <w:sz w:val="24"/>
        </w:rPr>
        <w:t/>
      </w:r>
      <w:proofErr w:type="spellEnd"/>
      <w:r w:rsidRPr="00CC0C03">
        <w:rPr>
          <w:color w:val="000000"/>
          <w:sz w:val="24"/>
        </w:rPr>
        <w:t>本报告期自2020年7月1日起至9月30日止。</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2  </w:t>
      </w:r>
      <w:r w:rsidRPr="00272E0C">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1826"/>
        <w:gridCol w:w="1826"/>
        <w:gridCol w:w="1827"/>
      </w:tblGrid>
      <w:tr w:rsidR="001C36D8" w:rsidRPr="00272E0C" w:rsidTr="007A6BEA">
        <w:tc>
          <w:tcPr>
            <w:tcW w:type="dxa" w:w="2835"/>
          </w:tcPr>
          <w:p w:rsidP="007A6BEA" w:rsidR="001C36D8" w:rsidRDefault="001C36D8" w:rsidRPr="004C6E88">
            <w:pPr>
              <w:adjustRightInd w:val="0"/>
              <w:spacing w:before="29" w:line="360" w:lineRule="auto"/>
              <w:ind w:left="17"/>
              <w:jc w:val="left"/>
              <w:rPr>
                <w:rFonts w:eastAsiaTheme="minorEastAsia"/>
                <w:kern w:val="0"/>
                <w:sz w:val="24"/>
              </w:rPr>
            </w:pPr>
            <w:r w:rsidRPr="004C6E88">
              <w:rPr>
                <w:rFonts w:eastAsiaTheme="minorEastAsia"/>
                <w:kern w:val="0"/>
                <w:sz w:val="24"/>
              </w:rPr>
              <w:t>基金简称</w:t>
            </w:r>
          </w:p>
        </w:tc>
        <w:tc>
          <w:tcPr>
            <w:tcW w:type="dxa" w:w="5479"/>
            <w:gridSpan w:val="3"/>
          </w:tcPr>
          <w:p w:rsidP="007A6BEA" w:rsidR="001C36D8" w:rsidRDefault="001C36D8" w:rsidRPr="004C6E8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易方达生物分级</w:t>
            </w:r>
          </w:p>
        </w:tc>
      </w:tr>
      <w:tr w:rsidR="001C36D8" w:rsidRPr="00272E0C" w:rsidTr="002A44F9">
        <w:tc>
          <w:tcPr>
            <w:tcW w:type="dxa" w:w="2835"/>
          </w:tcPr>
          <w:p w:rsidR="001C36D8" w:rsidRDefault="001C36D8" w:rsidRPr="004C6E88">
            <w:pPr>
              <w:adjustRightInd w:val="0"/>
              <w:spacing w:before="29" w:line="360" w:lineRule="auto"/>
              <w:ind w:left="17"/>
              <w:jc w:val="left"/>
              <w:rPr>
                <w:rFonts w:eastAsiaTheme="minorEastAsia"/>
                <w:kern w:val="0"/>
                <w:sz w:val="24"/>
              </w:rPr>
            </w:pPr>
            <w:r w:rsidRPr="004C6E88">
              <w:rPr>
                <w:rFonts w:eastAsiaTheme="minorEastAsia"/>
                <w:kern w:val="0"/>
                <w:sz w:val="24"/>
              </w:rPr>
              <w:t>基金主代码</w:t>
            </w:r>
          </w:p>
        </w:tc>
        <w:tc>
          <w:tcPr>
            <w:tcW w:type="dxa" w:w="5479"/>
            <w:gridSpan w:val="3"/>
          </w:tcPr>
          <w:p w:rsidR="001C36D8" w:rsidRDefault="001C36D8" w:rsidRPr="004C6E8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161122</w:t>
            </w:r>
          </w:p>
        </w:tc>
      </w:tr>
      <w:tr w:rsidR="003A768B" w:rsidRPr="00272E0C" w:rsidTr="002A44F9">
        <w:tc>
          <w:tcPr>
            <w:tcW w:type="dxa" w:w="2835"/>
          </w:tcPr>
          <w:p w:rsidP="00E43B0B" w:rsidR="003A768B" w:rsidRDefault="003A768B" w:rsidRPr="004C6E88">
            <w:pPr>
              <w:adjustRightInd w:val="0"/>
              <w:spacing w:before="29" w:line="360" w:lineRule="auto"/>
              <w:ind w:left="17"/>
              <w:jc w:val="left"/>
              <w:rPr>
                <w:rFonts w:eastAsiaTheme="minorEastAsia"/>
                <w:kern w:val="0"/>
                <w:sz w:val="24"/>
              </w:rPr>
            </w:pPr>
            <w:r w:rsidRPr="004C6E88">
              <w:rPr>
                <w:rFonts w:eastAsiaTheme="minorEastAsia"/>
                <w:kern w:val="0"/>
                <w:sz w:val="24"/>
              </w:rPr>
              <w:t>交易代码</w:t>
            </w:r>
          </w:p>
        </w:tc>
        <w:tc>
          <w:tcPr>
            <w:tcW w:type="dxa" w:w="5479"/>
            <w:gridSpan w:val="3"/>
          </w:tcPr>
          <w:p w:rsidP="00E43B0B" w:rsidR="003A768B" w:rsidRDefault="003A768B" w:rsidRPr="004C6E88">
            <w:pPr>
              <w:adjustRightInd w:val="0"/>
              <w:spacing w:before="29" w:line="360" w:lineRule="auto"/>
              <w:ind w:left="17"/>
              <w:jc w:val="left"/>
              <w:rPr>
                <w:rFonts w:eastAsiaTheme="minorEastAsia"/>
                <w:color w:val="000000"/>
                <w:kern w:val="0"/>
                <w:sz w:val="24"/>
              </w:rPr>
            </w:pPr>
            <w:r w:rsidRPr="004C6E88">
              <w:rPr>
                <w:rFonts w:eastAsiaTheme="minorEastAsia"/>
                <w:kern w:val="0"/>
                <w:sz w:val="24"/>
              </w:rPr>
              <w:t/>
            </w:r>
            <w:proofErr w:type="spellStart"/>
            <w:r w:rsidRPr="004C6E88">
              <w:rPr>
                <w:rFonts w:eastAsiaTheme="minorEastAsia"/>
                <w:kern w:val="0"/>
                <w:sz w:val="24"/>
              </w:rPr>
              <w:t/>
            </w:r>
            <w:proofErr w:type="spellEnd"/>
            <w:r w:rsidRPr="004C6E88">
              <w:rPr>
                <w:rFonts w:eastAsiaTheme="minorEastAsia"/>
                <w:kern w:val="0"/>
                <w:sz w:val="24"/>
              </w:rPr>
              <w:t/>
            </w:r>
            <w:proofErr w:type="spellStart"/>
            <w:r w:rsidRPr="004C6E88">
              <w:rPr>
                <w:rFonts w:eastAsiaTheme="minorEastAsia"/>
                <w:kern w:val="0"/>
                <w:sz w:val="24"/>
              </w:rPr>
              <w:t/>
            </w:r>
            <w:proofErr w:type="spellEnd"/>
            <w:r w:rsidRPr="004C6E88">
              <w:rPr>
                <w:rFonts w:eastAsiaTheme="minorEastAsia"/>
                <w:kern w:val="0"/>
                <w:sz w:val="24"/>
              </w:rPr>
              <w:t/>
            </w:r>
            <w:proofErr w:type="spellStart"/>
            <w:r w:rsidRPr="004C6E88">
              <w:rPr>
                <w:rFonts w:eastAsiaTheme="minorEastAsia"/>
                <w:kern w:val="0"/>
                <w:sz w:val="24"/>
              </w:rPr>
              <w:t/>
            </w:r>
            <w:proofErr w:type="spellEnd"/>
            <w:r w:rsidRPr="004C6E88">
              <w:rPr>
                <w:rFonts w:eastAsiaTheme="minorEastAsia"/>
                <w:kern w:val="0"/>
                <w:sz w:val="24"/>
              </w:rPr>
              <w:t>161122</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基金运作方式</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契约型开放式、分级基金</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基金合同生效日</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2015年6月3日</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报告期末基金份额总额</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583,427,862.91</w:t>
            </w:r>
            <w:r w:rsidRPr="004C6E88">
              <w:rPr>
                <w:rFonts w:eastAsiaTheme="minorEastAsia"/>
                <w:color w:val="000000"/>
                <w:kern w:val="0"/>
                <w:sz w:val="24"/>
              </w:rPr>
              <w:t>份</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投资目标</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紧密追踪业绩比较基准，追求跟踪偏离度与跟踪误差的最小化。</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投资策略</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可采取其他指数投资技术适当调整基金投资组合，以达到紧密跟踪标的指数的目的。</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业绩比较基准</w:t>
            </w:r>
          </w:p>
        </w:tc>
        <w:tc>
          <w:tcPr>
            <w:tcW w:type="dxa" w:w="5479"/>
            <w:gridSpan w:val="3"/>
          </w:tcPr>
          <w:p w:rsidP="00CD0AAD"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中证万得生物科技指数收益率×95%+活期存款利率（税后）×5%</w:t>
            </w:r>
          </w:p>
        </w:tc>
      </w:tr>
      <w:tr w:rsidR="003A768B" w:rsidRPr="00272E0C" w:rsidTr="00A008DA">
        <w:tc>
          <w:tcPr>
            <w:tcW w:type="dxa" w:w="2835"/>
          </w:tcPr>
          <w:p w:rsidP="00A008D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风险收益特征</w:t>
            </w:r>
          </w:p>
        </w:tc>
        <w:tc>
          <w:tcPr>
            <w:tcW w:type="dxa" w:w="5479"/>
            <w:gridSpan w:val="3"/>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本基金为股票型基金，主要采用完全复制策略跟踪标的指数的表现，其风险收益特征与标的指数相似。长期而言，其风险收益水平高于混合型基金、债券型基金和货币市场基金；A类份额具有预期风险、收益较低的特征；B类份额具有预期风险、收益较高的特征。</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基金管理人</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易方达基金管理有限公司</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基金托管人</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中国建设银行股份有限公司</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kern w:val="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级基金的基金简称</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易方达生物分级</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易方达生物分级A</w:t>
            </w:r>
          </w:p>
        </w:tc>
        <w:tc>
          <w:tcPr>
            <w:tcW w:type="dxa" w:w="1827"/>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易方达生物分级B</w:t>
            </w:r>
          </w:p>
        </w:tc>
      </w:tr>
      <w:tr w:rsidR="002C2DE0" w:rsidRPr="00272E0C" w:rsidTr="00EB3E72">
        <w:tc>
          <w:tcPr>
            <w:tcW w:type="dxa" w:w="2835"/>
          </w:tcPr>
          <w:p w:rsidP="004C6E88" w:rsidR="002C2DE0" w:rsidRDefault="002C2DE0" w:rsidRPr="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003168E2">
              <w:rPr>
                <w:rFonts w:eastAsiaTheme="minorEastAsia"/>
                <w:color w:val="000000"/>
                <w:sz w:val="24"/>
              </w:rPr>
              <w:t>级基金</w:t>
            </w:r>
            <w:r w:rsidRPr="004C6E88">
              <w:rPr>
                <w:rFonts w:eastAsiaTheme="minorEastAsia"/>
                <w:color w:val="000000"/>
                <w:sz w:val="24"/>
              </w:rPr>
              <w:t>场内简称</w:t>
            </w:r>
          </w:p>
        </w:tc>
        <w:tc>
          <w:tcPr>
            <w:tcW w:type="dxa" w:w="1826"/>
            <w:vAlign w:val="center"/>
          </w:tcPr>
          <w:p w:rsidP="00E43B0B" w:rsidR="002C2DE0" w:rsidRDefault="002C2DE0" w:rsidRPr="004C6E88">
            <w:pPr>
              <w:rPr>
                <w:rFonts w:eastAsiaTheme="minorEastAsia"/>
                <w:color w:val="000000"/>
                <w:kern w:val="0"/>
                <w:sz w:val="24"/>
              </w:rPr>
            </w:pPr>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生物分级</w:t>
            </w:r>
          </w:p>
        </w:tc>
        <w:tc>
          <w:tcPr>
            <w:tcW w:type="dxa" w:w="1826"/>
            <w:vAlign w:val="center"/>
          </w:tcPr>
          <w:p w:rsidP="00E43B0B" w:rsidR="002C2DE0" w:rsidRDefault="002C2DE0" w:rsidRPr="004C6E88">
            <w:pPr>
              <w:rPr>
                <w:rFonts w:eastAsiaTheme="minorEastAsia"/>
                <w:color w:val="000000"/>
                <w:kern w:val="0"/>
                <w:sz w:val="24"/>
              </w:rPr>
            </w:pPr>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生物A</w:t>
            </w:r>
          </w:p>
        </w:tc>
        <w:tc>
          <w:tcPr>
            <w:tcW w:type="dxa" w:w="1827"/>
            <w:vAlign w:val="center"/>
          </w:tcPr>
          <w:p w:rsidP="00E43B0B" w:rsidR="002C2DE0" w:rsidRDefault="002C2DE0" w:rsidRPr="004C6E88">
            <w:pPr>
              <w:rPr>
                <w:rFonts w:eastAsiaTheme="minorEastAsia"/>
                <w:color w:val="000000"/>
                <w:kern w:val="0"/>
                <w:sz w:val="24"/>
              </w:rPr>
            </w:pPr>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生物B</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级基金的交易代码</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161122</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150257</w:t>
            </w:r>
          </w:p>
        </w:tc>
        <w:tc>
          <w:tcPr>
            <w:tcW w:type="dxa" w:w="1827"/>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150258</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lastRenderedPageBreak/>
              <w:t>报告期末下属</w:t>
            </w:r>
            <w:r w:rsidR="004C6E88" w:rsidRPr="004C6E88">
              <w:rPr>
                <w:rFonts w:eastAsiaTheme="minorEastAsia"/>
                <w:color w:val="000000"/>
                <w:sz w:val="24"/>
              </w:rPr>
              <w:t>分</w:t>
            </w:r>
            <w:r w:rsidRPr="004C6E88">
              <w:rPr>
                <w:rFonts w:eastAsiaTheme="minorEastAsia"/>
                <w:color w:val="000000"/>
                <w:sz w:val="24"/>
              </w:rPr>
              <w:t>级基金的份额总额</w:t>
            </w:r>
          </w:p>
        </w:tc>
        <w:tc>
          <w:tcPr>
            <w:tcW w:type="dxa" w:w="1826"/>
            <w:vAlign w:val="center"/>
          </w:tcPr>
          <w:p w:rsidP="00057DD3"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r w:rsidRPr="004C6E88">
              <w:rPr>
                <w:rFonts w:eastAsiaTheme="minorEastAsia"/>
                <w:sz w:val="24"/>
              </w:rPr>
              <w:t>573,270,300.91</w:t>
            </w:r>
            <w:r w:rsidRPr="004C6E88">
              <w:rPr>
                <w:rFonts w:eastAsiaTheme="minorEastAsia"/>
                <w:color w:val="000000"/>
                <w:kern w:val="0"/>
                <w:sz w:val="24"/>
              </w:rPr>
              <w:t>份</w:t>
            </w:r>
          </w:p>
        </w:tc>
        <w:tc>
          <w:tcPr>
            <w:tcW w:type="dxa" w:w="1826"/>
            <w:vAlign w:val="center"/>
          </w:tcPr>
          <w:p w:rsidP="00057DD3"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sz w:val="24"/>
              </w:rPr>
              <w:t>5,078,781.00</w:t>
            </w:r>
            <w:r w:rsidRPr="004C6E88">
              <w:rPr>
                <w:rFonts w:eastAsiaTheme="minorEastAsia"/>
                <w:color w:val="000000"/>
                <w:kern w:val="0"/>
                <w:sz w:val="24"/>
              </w:rPr>
              <w:t>份</w:t>
            </w:r>
          </w:p>
        </w:tc>
        <w:tc>
          <w:tcPr>
            <w:tcW w:type="dxa" w:w="1827"/>
            <w:vAlign w:val="center"/>
          </w:tcPr>
          <w:p w:rsidP="00057DD3"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5,078,781.00</w:t>
            </w:r>
            <w:r w:rsidRPr="004C6E88">
              <w:rPr>
                <w:rFonts w:eastAsiaTheme="minorEastAsia"/>
                <w:color w:val="000000"/>
                <w:kern w:val="0"/>
                <w:sz w:val="24"/>
              </w:rPr>
              <w:t>份</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sz w:val="24"/>
              </w:rPr>
            </w:pPr>
            <w:r w:rsidRPr="004C6E88">
              <w:rPr>
                <w:rFonts w:eastAsiaTheme="minorEastAsia"/>
                <w:color w:val="000000"/>
                <w:kern w:val="0"/>
                <w:sz w:val="24"/>
              </w:rPr>
              <w:t>下属</w:t>
            </w:r>
            <w:r w:rsidR="004C6E88" w:rsidRPr="004C6E88">
              <w:rPr>
                <w:rFonts w:eastAsiaTheme="minorEastAsia"/>
                <w:color w:val="000000"/>
                <w:kern w:val="0"/>
                <w:sz w:val="24"/>
              </w:rPr>
              <w:t>分</w:t>
            </w:r>
            <w:r w:rsidRPr="004C6E88">
              <w:rPr>
                <w:rFonts w:eastAsiaTheme="minorEastAsia"/>
                <w:color w:val="000000"/>
                <w:kern w:val="0"/>
                <w:sz w:val="24"/>
              </w:rPr>
              <w:t>级基金的</w:t>
            </w:r>
            <w:r w:rsidRPr="004C6E88">
              <w:rPr>
                <w:rFonts w:eastAsiaTheme="minorEastAsia"/>
                <w:kern w:val="0"/>
                <w:sz w:val="24"/>
              </w:rPr>
              <w:t>风险收益特征</w:t>
            </w:r>
          </w:p>
        </w:tc>
        <w:tc>
          <w:tcPr>
            <w:tcW w:type="dxa" w:w="1826"/>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基础份额为股票型基金，其风险收益水平高于混合型基金、债券型基金和货币市场基金。</w:t>
            </w:r>
          </w:p>
        </w:tc>
        <w:tc>
          <w:tcPr>
            <w:tcW w:type="dxa" w:w="1826"/>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与基础份额相比，A类份额的预期收益和预期风险低于基础份额。</w:t>
            </w:r>
          </w:p>
        </w:tc>
        <w:tc>
          <w:tcPr>
            <w:tcW w:type="dxa" w:w="1827"/>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与基础份额相比，B类份额的预期收益和预期风险高于基础份额。</w:t>
            </w:r>
          </w:p>
        </w:tc>
      </w:tr>
    </w:tbl>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3  </w:t>
      </w:r>
      <w:r w:rsidRPr="00272E0C">
        <w:rPr>
          <w:rFonts w:ascii="宋体" w:cs="Arial" w:hAnsi="宋体" w:hint="eastAsia"/>
          <w:color w:val="000000"/>
          <w:kern w:val="0"/>
          <w:sz w:val="24"/>
          <w:szCs w:val="24"/>
        </w:rPr>
        <w:t>主要财务指标和基金净值表现</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3.1 </w:t>
      </w:r>
      <w:r w:rsidRPr="00272E0C">
        <w:rPr>
          <w:rFonts w:ascii="宋体" w:cs="Arial" w:hAnsi="宋体" w:hint="eastAsia"/>
          <w:b/>
          <w:color w:val="000000"/>
          <w:kern w:val="0"/>
          <w:sz w:val="24"/>
        </w:rPr>
        <w:t>主要财务指标</w:t>
      </w:r>
    </w:p>
    <w:p w:rsidP="0008378B" w:rsidR="0008378B" w:rsidRDefault="0008378B"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08378B" w:rsidRPr="006506EF" w:rsidTr="005D3A22">
        <w:tc>
          <w:tcPr>
            <w:tcW w:type="dxa" w:w="3402"/>
            <w:vAlign w:val="center"/>
          </w:tcPr>
          <w:p w:rsidP="005D3A22" w:rsidR="0008378B" w:rsidRDefault="0008378B"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5D3A22" w:rsidR="0008378B" w:rsidRDefault="0008378B" w:rsidRPr="006506EF">
            <w:pPr>
              <w:adjustRightInd w:val="0"/>
              <w:spacing w:before="29" w:line="360" w:lineRule="auto"/>
              <w:ind w:left="17"/>
              <w:jc w:val="center"/>
              <w:rPr>
                <w:color w:val="000000"/>
                <w:sz w:val="24"/>
              </w:rPr>
            </w:pPr>
            <w:r w:rsidRPr="006506EF">
              <w:rPr>
                <w:color w:val="000000"/>
                <w:sz w:val="24"/>
              </w:rPr>
              <w:t>报告期</w:t>
            </w:r>
          </w:p>
          <w:p w:rsidP="005D3A22" w:rsidR="0008378B" w:rsidRDefault="0008378B"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5D3A22" w:rsidR="0008378B" w:rsidRDefault="0008378B"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14,083,726.67</w:t>
            </w:r>
          </w:p>
        </w:tc>
        <w:tc>
          <w:tcPr>
            <w:tcW w:type="dxa" w:w="2410"/>
            <w:hMerge/>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-30,169,392.32</w:t>
            </w:r>
          </w:p>
        </w:tc>
        <w:tc>
          <w:tcPr>
            <w:tcW w:type="dxa" w:w="2410"/>
            <w:hMerge/>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-0.0676</w:t>
            </w:r>
          </w:p>
        </w:tc>
        <w:tc>
          <w:tcPr>
            <w:tcW w:type="dxa" w:w="2410"/>
            <w:hMerge/>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550,835,479.01</w:t>
            </w:r>
          </w:p>
        </w:tc>
        <w:tc>
          <w:tcPr>
            <w:tcW w:type="dxa" w:w="2410"/>
            <w:hMerge/>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rPr>
          <w:trHeight w:val="158"/>
        </w:trPr>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r w:rsidRPr="006506EF">
              <w:rPr>
                <w:color w:val="000000"/>
                <w:sz w:val="24"/>
              </w:rPr>
              <w:lastRenderedPageBreak/>
              <w:t/>
            </w:r>
            <w:proofErr w:type="spellEnd"/>
            <w:r w:rsidRPr="006506EF">
              <w:rPr>
                <w:color w:val="000000"/>
                <w:sz w:val="24"/>
              </w:rPr>
              <w:t>0.9441</w:t>
            </w:r>
          </w:p>
        </w:tc>
        <w:tc>
          <w:tcPr>
            <w:tcW w:type="dxa" w:w="2410"/>
            <w:hMerge/>
          </w:tcPr>
          <w:p w:rsidP="005D3A22" w:rsidR="0008378B" w:rsidRDefault="0008378B" w:rsidRPr="006506EF">
            <w:pPr>
              <w:adjustRightInd w:val="0"/>
              <w:spacing w:before="29" w:line="360" w:lineRule="auto"/>
              <w:ind w:left="17"/>
              <w:jc w:val="right"/>
              <w:rPr>
                <w:color w:val="000000"/>
                <w:sz w:val="24"/>
              </w:rPr>
            </w:pPr>
            <w:r w:rsidRPr="006506EF">
              <w:rPr>
                <w:color w:val="000000"/>
                <w:sz w:val="24"/>
              </w:rPr>
              <w:lastRenderedPageBreak/>
              <w:t/>
            </w:r>
            <w:r w:rsidRPr="006506EF">
              <w:rPr>
                <w:color w:val="000000"/>
                <w:sz w:val="24"/>
              </w:rPr>
              <w:lastRenderedPageBreak/>
              <w:t>-</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E43B0B" w:rsidR="001C36D8" w:rsidRDefault="0008378B" w:rsidRPr="00E43B0B">
      <w:pPr>
        <w:spacing w:line="360" w:lineRule="auto"/>
        <w:ind w:firstLine="480" w:firstLineChars="200"/>
        <w:rPr>
          <w:color w:val="000000"/>
          <w:sz w:val="24"/>
        </w:rPr>
      </w:pPr>
      <w:r w:rsidRPr="006506EF">
        <w:rPr>
          <w:color w:val="000000"/>
          <w:sz w:val="24"/>
        </w:rPr>
        <w:lastRenderedPageBreak/>
        <w:t/>
      </w:r>
      <w:proofErr w:type="spellStart"/>
      <w:r w:rsidRPr="006506EF">
        <w:rPr>
          <w:color w:val="000000"/>
          <w:sz w:val="24"/>
        </w:rPr>
        <w:t/>
      </w:r>
      <w:proofErr w:type="spellEnd"/>
      <w:r w:rsidRPr="006506EF">
        <w:rPr>
          <w:color w:val="000000"/>
          <w:sz w:val="24"/>
        </w:rPr>
        <w:t/>
      </w:r>
      <w:proofErr w:type="spellStart"/>
      <w:r w:rsidRPr="006506EF">
        <w:rPr>
          <w:color w:val="000000"/>
          <w:sz w:val="24"/>
        </w:rPr>
        <w:t/>
      </w:r>
      <w:proofErr w:type="spell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3.2 </w:t>
      </w:r>
      <w:r w:rsidRPr="00272E0C">
        <w:rPr>
          <w:rFonts w:ascii="宋体" w:cs="Arial" w:hAnsi="宋体" w:hint="eastAsia"/>
          <w:b/>
          <w:color w:val="000000"/>
          <w:kern w:val="0"/>
          <w:sz w:val="24"/>
        </w:rPr>
        <w:t>基金净值表现</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cs="Arial" w:hAnsi="宋体"/>
            <w:b/>
            <w:color w:val="000000"/>
            <w:kern w:val="0"/>
            <w:sz w:val="24"/>
          </w:rPr>
          <w:t>3.2.1</w:t>
        </w:r>
      </w:smartTag>
      <w:r w:rsidRPr="00272E0C">
        <w:rPr>
          <w:rFonts w:ascii="宋体" w:cs="Arial" w:hAnsi="宋体" w:hint="eastAsia"/>
          <w:b/>
          <w:color w:val="000000"/>
          <w:kern w:val="0"/>
          <w:sz w:val="24"/>
        </w:rPr>
        <w:t>本报告期基金份额净值增长率及其与同期业绩比较基准收益率的比较</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15"/>
        <w:gridCol w:w="1216"/>
        <w:gridCol w:w="1216"/>
        <w:gridCol w:w="1216"/>
        <w:gridCol w:w="1216"/>
        <w:gridCol w:w="1217"/>
        <w:gridCol w:w="1217"/>
      </w:tblGrid>
      <w:tr w:rsidR="001C36D8" w:rsidRPr="00272E0C" w:rsidTr="001A09F9">
        <w:tc>
          <w:tcPr>
            <w:tcW w:type="dxa" w:w="1215"/>
            <w:vAlign w:val="center"/>
          </w:tcPr>
          <w:p w:rsidP="001A09F9" w:rsidR="001C36D8" w:rsidRDefault="001C36D8" w:rsidRPr="00E43B0B">
            <w:pPr>
              <w:snapToGrid w:val="0"/>
              <w:spacing w:line="288" w:lineRule="auto"/>
              <w:jc w:val="center"/>
              <w:rPr>
                <w:color w:val="000000"/>
                <w:sz w:val="24"/>
              </w:rPr>
            </w:pPr>
            <w:r w:rsidRPr="00E43B0B">
              <w:rPr>
                <w:color w:val="000000"/>
                <w:sz w:val="24"/>
              </w:rPr>
              <w:t>阶段</w:t>
            </w:r>
            <w:r w:rsidRPr="00E43B0B">
              <w:rPr>
                <w:color w:val="000000"/>
                <w:sz w:val="24"/>
              </w:rPr>
              <w:t/>
            </w:r>
            <w:proofErr w:type="spellStart"/>
            <w:r w:rsidRPr="00E43B0B">
              <w:rPr>
                <w:color w:val="000000"/>
                <w:sz w:val="24"/>
              </w:rPr>
              <w:t/>
            </w:r>
            <w:proofErr w:type="spellEnd"/>
            <w:r w:rsidRPr="00E43B0B">
              <w:rPr>
                <w:color w:val="000000"/>
                <w:sz w:val="24"/>
              </w:rPr>
              <w:t/>
            </w:r>
          </w:p>
        </w:tc>
        <w:tc>
          <w:tcPr>
            <w:tcW w:type="dxa" w:w="1216"/>
            <w:vAlign w:val="center"/>
          </w:tcPr>
          <w:p w:rsidP="001A09F9" w:rsidR="001C36D8" w:rsidRDefault="001C36D8" w:rsidRPr="00E43B0B">
            <w:pPr>
              <w:snapToGrid w:val="0"/>
              <w:spacing w:line="288" w:lineRule="auto"/>
              <w:jc w:val="center"/>
              <w:rPr>
                <w:color w:val="000000"/>
                <w:sz w:val="24"/>
                <w:highlight w:val="green"/>
              </w:rPr>
            </w:pPr>
            <w:r w:rsidRPr="00E43B0B">
              <w:rPr>
                <w:color w:val="000000"/>
                <w:sz w:val="24"/>
              </w:rPr>
              <w:t>净值增长率</w:t>
            </w:r>
            <w:r w:rsidRPr="00E43B0B">
              <w:rPr>
                <w:rFonts w:ascii="宋体" w:cs="宋体" w:hAnsi="宋体" w:hint="eastAsia"/>
                <w:color w:val="000000"/>
                <w:sz w:val="24"/>
              </w:rPr>
              <w:t>①</w:t>
            </w:r>
          </w:p>
        </w:tc>
        <w:tc>
          <w:tcPr>
            <w:tcW w:type="dxa" w:w="1216"/>
            <w:vAlign w:val="center"/>
          </w:tcPr>
          <w:p w:rsidP="001A09F9" w:rsidR="001C36D8" w:rsidRDefault="001C36D8" w:rsidRPr="00E43B0B">
            <w:pPr>
              <w:snapToGrid w:val="0"/>
              <w:spacing w:line="288" w:lineRule="auto"/>
              <w:jc w:val="center"/>
              <w:rPr>
                <w:color w:val="000000"/>
                <w:sz w:val="24"/>
                <w:highlight w:val="green"/>
              </w:rPr>
            </w:pPr>
            <w:r w:rsidRPr="00E43B0B">
              <w:rPr>
                <w:color w:val="000000"/>
                <w:sz w:val="24"/>
              </w:rPr>
              <w:t>净值增长率标准差</w:t>
            </w:r>
            <w:r w:rsidRPr="00E43B0B">
              <w:rPr>
                <w:rFonts w:ascii="宋体" w:cs="宋体" w:hAnsi="宋体" w:hint="eastAsia"/>
                <w:color w:val="000000"/>
                <w:sz w:val="24"/>
              </w:rPr>
              <w:t>②</w:t>
            </w:r>
          </w:p>
        </w:tc>
        <w:tc>
          <w:tcPr>
            <w:tcW w:type="dxa" w:w="1216"/>
            <w:vAlign w:val="center"/>
          </w:tcPr>
          <w:p w:rsidP="001A09F9" w:rsidR="001C36D8" w:rsidRDefault="001C36D8" w:rsidRPr="00E43B0B">
            <w:pPr>
              <w:snapToGrid w:val="0"/>
              <w:spacing w:line="288" w:lineRule="auto"/>
              <w:jc w:val="center"/>
              <w:rPr>
                <w:color w:val="000000"/>
                <w:sz w:val="24"/>
              </w:rPr>
            </w:pPr>
            <w:r w:rsidRPr="00E43B0B">
              <w:rPr>
                <w:color w:val="000000"/>
                <w:sz w:val="24"/>
              </w:rPr>
              <w:t>业绩比较基准收益率</w:t>
            </w:r>
            <w:r w:rsidRPr="00E43B0B">
              <w:rPr>
                <w:rFonts w:ascii="宋体" w:cs="宋体" w:hAnsi="宋体" w:hint="eastAsia"/>
                <w:color w:val="000000"/>
                <w:sz w:val="24"/>
              </w:rPr>
              <w:t>③</w:t>
            </w:r>
          </w:p>
        </w:tc>
        <w:tc>
          <w:tcPr>
            <w:tcW w:type="dxa" w:w="1216"/>
            <w:vAlign w:val="center"/>
          </w:tcPr>
          <w:p w:rsidP="001A09F9" w:rsidR="001C36D8" w:rsidRDefault="001C36D8" w:rsidRPr="00E43B0B">
            <w:pPr>
              <w:snapToGrid w:val="0"/>
              <w:spacing w:line="288" w:lineRule="auto"/>
              <w:jc w:val="center"/>
              <w:rPr>
                <w:color w:val="000000"/>
                <w:sz w:val="24"/>
              </w:rPr>
            </w:pPr>
            <w:r w:rsidRPr="00E43B0B">
              <w:rPr>
                <w:color w:val="000000"/>
                <w:sz w:val="24"/>
              </w:rPr>
              <w:t>业绩比较基准收益率标准差</w:t>
            </w:r>
            <w:r w:rsidRPr="00E43B0B">
              <w:rPr>
                <w:rFonts w:ascii="宋体" w:cs="宋体" w:hAnsi="宋体" w:hint="eastAsia"/>
                <w:color w:val="000000"/>
                <w:sz w:val="24"/>
              </w:rPr>
              <w:t>④</w:t>
            </w:r>
          </w:p>
        </w:tc>
        <w:tc>
          <w:tcPr>
            <w:tcW w:type="dxa" w:w="1217"/>
            <w:vAlign w:val="center"/>
          </w:tcPr>
          <w:p w:rsidP="001A09F9" w:rsidR="001C36D8" w:rsidRDefault="001C36D8" w:rsidRPr="00E43B0B">
            <w:pPr>
              <w:snapToGrid w:val="0"/>
              <w:spacing w:line="288" w:lineRule="auto"/>
              <w:jc w:val="center"/>
              <w:rPr>
                <w:color w:val="000000"/>
                <w:sz w:val="24"/>
              </w:rPr>
            </w:pPr>
            <w:r w:rsidRPr="00E43B0B">
              <w:rPr>
                <w:rFonts w:ascii="宋体" w:cs="宋体" w:hAnsi="宋体" w:hint="eastAsia"/>
                <w:color w:val="000000"/>
                <w:sz w:val="24"/>
              </w:rPr>
              <w:t>①</w:t>
            </w:r>
            <w:r w:rsidRPr="00E43B0B">
              <w:rPr>
                <w:color w:val="000000"/>
                <w:sz w:val="24"/>
              </w:rPr>
              <w:t>－</w:t>
            </w:r>
            <w:r w:rsidRPr="00E43B0B">
              <w:rPr>
                <w:rFonts w:ascii="宋体" w:cs="宋体" w:hAnsi="宋体" w:hint="eastAsia"/>
                <w:color w:val="000000"/>
                <w:sz w:val="24"/>
              </w:rPr>
              <w:t>③</w:t>
            </w:r>
          </w:p>
        </w:tc>
        <w:tc>
          <w:tcPr>
            <w:tcW w:type="dxa" w:w="1217"/>
            <w:vAlign w:val="center"/>
          </w:tcPr>
          <w:p w:rsidP="001A09F9" w:rsidR="001C36D8" w:rsidRDefault="001C36D8" w:rsidRPr="00E43B0B">
            <w:pPr>
              <w:snapToGrid w:val="0"/>
              <w:spacing w:line="288" w:lineRule="auto"/>
              <w:jc w:val="center"/>
              <w:rPr>
                <w:color w:val="000000"/>
                <w:sz w:val="24"/>
              </w:rPr>
            </w:pPr>
            <w:r w:rsidRPr="00E43B0B">
              <w:rPr>
                <w:rFonts w:ascii="宋体" w:cs="宋体" w:hAnsi="宋体" w:hint="eastAsia"/>
                <w:color w:val="000000"/>
                <w:sz w:val="24"/>
              </w:rPr>
              <w:t>②</w:t>
            </w:r>
            <w:r w:rsidRPr="00E43B0B">
              <w:rPr>
                <w:color w:val="000000"/>
                <w:sz w:val="24"/>
              </w:rPr>
              <w:t>－</w:t>
            </w:r>
            <w:r w:rsidRPr="00E43B0B">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3.41%</w:t>
            </w:r>
          </w:p>
        </w:tc>
        <w:tc>
          <w:tcPr>
            <w:vAlign w:val="center"/>
          </w:tcPr>
          <w:p>
            <w:pPr>
              <w:jc w:val="center"/>
            </w:pPr>
            <w:r>
              <w:rPr>
                <w:color w:val="000000"/>
                <w:sz w:val="24"/>
              </w:rPr>
              <w:t>2.52%</w:t>
            </w:r>
          </w:p>
        </w:tc>
        <w:tc>
          <w:tcPr>
            <w:vAlign w:val="center"/>
          </w:tcPr>
          <w:p>
            <w:pPr>
              <w:jc w:val="center"/>
            </w:pPr>
            <w:r>
              <w:rPr>
                <w:color w:val="000000"/>
                <w:sz w:val="24"/>
              </w:rPr>
              <w:t>1.54%</w:t>
            </w:r>
          </w:p>
        </w:tc>
        <w:tc>
          <w:tcPr>
            <w:vAlign w:val="center"/>
          </w:tcPr>
          <w:p>
            <w:pPr>
              <w:jc w:val="center"/>
            </w:pPr>
            <w:r>
              <w:rPr>
                <w:color w:val="000000"/>
                <w:sz w:val="24"/>
              </w:rPr>
              <w:t>2.56%</w:t>
            </w:r>
          </w:p>
        </w:tc>
        <w:tc>
          <w:tcPr>
            <w:vAlign w:val="center"/>
          </w:tcPr>
          <w:p>
            <w:pPr>
              <w:jc w:val="center"/>
            </w:pPr>
            <w:r>
              <w:rPr>
                <w:color w:val="000000"/>
                <w:sz w:val="24"/>
              </w:rPr>
              <w:t>1.87%</w:t>
            </w:r>
          </w:p>
        </w:tc>
        <w:tc>
          <w:tcPr>
            <w:vAlign w:val="center"/>
          </w:tcPr>
          <w:p>
            <w:pPr>
              <w:jc w:val="center"/>
            </w:pPr>
            <w:r>
              <w:rPr>
                <w:color w:val="000000"/>
                <w:sz w:val="24"/>
              </w:rPr>
              <w:t>-0.04%</w:t>
            </w:r>
          </w:p>
        </w:tc>
      </w:tr>
      <w:tr>
        <w:tc>
          <w:tcPr>
            <w:vAlign w:val="center"/>
          </w:tcPr>
          <w:p>
            <w:pPr>
              <w:jc w:val="left"/>
            </w:pPr>
            <w:r>
              <w:rPr>
                <w:color w:val="000000"/>
                <w:sz w:val="24"/>
              </w:rPr>
              <w:t>过去六个月</w:t>
            </w:r>
          </w:p>
        </w:tc>
        <w:tc>
          <w:tcPr>
            <w:vAlign w:val="center"/>
          </w:tcPr>
          <w:p>
            <w:pPr>
              <w:jc w:val="center"/>
            </w:pPr>
            <w:r>
              <w:rPr>
                <w:color w:val="000000"/>
                <w:sz w:val="24"/>
              </w:rPr>
              <w:t>50.89%</w:t>
            </w:r>
          </w:p>
        </w:tc>
        <w:tc>
          <w:tcPr>
            <w:vAlign w:val="center"/>
          </w:tcPr>
          <w:p>
            <w:pPr>
              <w:jc w:val="center"/>
            </w:pPr>
            <w:r>
              <w:rPr>
                <w:color w:val="000000"/>
                <w:sz w:val="24"/>
              </w:rPr>
              <w:t>2.17%</w:t>
            </w:r>
          </w:p>
        </w:tc>
        <w:tc>
          <w:tcPr>
            <w:vAlign w:val="center"/>
          </w:tcPr>
          <w:p>
            <w:pPr>
              <w:jc w:val="center"/>
            </w:pPr>
            <w:r>
              <w:rPr>
                <w:color w:val="000000"/>
                <w:sz w:val="24"/>
              </w:rPr>
              <w:t>48.45%</w:t>
            </w:r>
          </w:p>
        </w:tc>
        <w:tc>
          <w:tcPr>
            <w:vAlign w:val="center"/>
          </w:tcPr>
          <w:p>
            <w:pPr>
              <w:jc w:val="center"/>
            </w:pPr>
            <w:r>
              <w:rPr>
                <w:color w:val="000000"/>
                <w:sz w:val="24"/>
              </w:rPr>
              <w:t>2.20%</w:t>
            </w:r>
          </w:p>
        </w:tc>
        <w:tc>
          <w:tcPr>
            <w:vAlign w:val="center"/>
          </w:tcPr>
          <w:p>
            <w:pPr>
              <w:jc w:val="center"/>
            </w:pPr>
            <w:r>
              <w:rPr>
                <w:color w:val="000000"/>
                <w:sz w:val="24"/>
              </w:rPr>
              <w:t>2.44%</w:t>
            </w:r>
          </w:p>
        </w:tc>
        <w:tc>
          <w:tcPr>
            <w:vAlign w:val="center"/>
          </w:tcPr>
          <w:p>
            <w:pPr>
              <w:jc w:val="center"/>
            </w:pPr>
            <w:r>
              <w:rPr>
                <w:color w:val="000000"/>
                <w:sz w:val="24"/>
              </w:rPr>
              <w:t>-0.03%</w:t>
            </w:r>
          </w:p>
        </w:tc>
      </w:tr>
      <w:tr>
        <w:tc>
          <w:tcPr>
            <w:vAlign w:val="center"/>
          </w:tcPr>
          <w:p>
            <w:pPr>
              <w:jc w:val="left"/>
            </w:pPr>
            <w:r>
              <w:rPr>
                <w:color w:val="000000"/>
                <w:sz w:val="24"/>
              </w:rPr>
              <w:t>过去一年</w:t>
            </w:r>
          </w:p>
        </w:tc>
        <w:tc>
          <w:tcPr>
            <w:vAlign w:val="center"/>
          </w:tcPr>
          <w:p>
            <w:pPr>
              <w:jc w:val="center"/>
            </w:pPr>
            <w:r>
              <w:rPr>
                <w:color w:val="000000"/>
                <w:sz w:val="24"/>
              </w:rPr>
              <w:t>78.46%</w:t>
            </w:r>
          </w:p>
        </w:tc>
        <w:tc>
          <w:tcPr>
            <w:vAlign w:val="center"/>
          </w:tcPr>
          <w:p>
            <w:pPr>
              <w:jc w:val="center"/>
            </w:pPr>
            <w:r>
              <w:rPr>
                <w:color w:val="000000"/>
                <w:sz w:val="24"/>
              </w:rPr>
              <w:t>1.94%</w:t>
            </w:r>
          </w:p>
        </w:tc>
        <w:tc>
          <w:tcPr>
            <w:vAlign w:val="center"/>
          </w:tcPr>
          <w:p>
            <w:pPr>
              <w:jc w:val="center"/>
            </w:pPr>
            <w:r>
              <w:rPr>
                <w:color w:val="000000"/>
                <w:sz w:val="24"/>
              </w:rPr>
              <w:t>76.14%</w:t>
            </w:r>
          </w:p>
        </w:tc>
        <w:tc>
          <w:tcPr>
            <w:vAlign w:val="center"/>
          </w:tcPr>
          <w:p>
            <w:pPr>
              <w:jc w:val="center"/>
            </w:pPr>
            <w:r>
              <w:rPr>
                <w:color w:val="000000"/>
                <w:sz w:val="24"/>
              </w:rPr>
              <w:t>1.96%</w:t>
            </w:r>
          </w:p>
        </w:tc>
        <w:tc>
          <w:tcPr>
            <w:vAlign w:val="center"/>
          </w:tcPr>
          <w:p>
            <w:pPr>
              <w:jc w:val="center"/>
            </w:pPr>
            <w:r>
              <w:rPr>
                <w:color w:val="000000"/>
                <w:sz w:val="24"/>
              </w:rPr>
              <w:t>2.32%</w:t>
            </w:r>
          </w:p>
        </w:tc>
        <w:tc>
          <w:tcPr>
            <w:vAlign w:val="center"/>
          </w:tcPr>
          <w:p>
            <w:pPr>
              <w:jc w:val="center"/>
            </w:pPr>
            <w:r>
              <w:rPr>
                <w:color w:val="000000"/>
                <w:sz w:val="24"/>
              </w:rPr>
              <w:t>-0.02%</w:t>
            </w:r>
          </w:p>
        </w:tc>
      </w:tr>
      <w:tr>
        <w:tc>
          <w:tcPr>
            <w:vAlign w:val="center"/>
          </w:tcPr>
          <w:p>
            <w:pPr>
              <w:jc w:val="left"/>
            </w:pPr>
            <w:r>
              <w:rPr>
                <w:color w:val="000000"/>
                <w:sz w:val="24"/>
              </w:rPr>
              <w:t>过去三年</w:t>
            </w:r>
          </w:p>
        </w:tc>
        <w:tc>
          <w:tcPr>
            <w:vAlign w:val="center"/>
          </w:tcPr>
          <w:p>
            <w:pPr>
              <w:jc w:val="center"/>
            </w:pPr>
            <w:r>
              <w:rPr>
                <w:color w:val="000000"/>
                <w:sz w:val="24"/>
              </w:rPr>
              <w:t>103.30%</w:t>
            </w:r>
          </w:p>
        </w:tc>
        <w:tc>
          <w:tcPr>
            <w:vAlign w:val="center"/>
          </w:tcPr>
          <w:p>
            <w:pPr>
              <w:jc w:val="center"/>
            </w:pPr>
            <w:r>
              <w:rPr>
                <w:color w:val="000000"/>
                <w:sz w:val="24"/>
              </w:rPr>
              <w:t>1.78%</w:t>
            </w:r>
          </w:p>
        </w:tc>
        <w:tc>
          <w:tcPr>
            <w:vAlign w:val="center"/>
          </w:tcPr>
          <w:p>
            <w:pPr>
              <w:jc w:val="center"/>
            </w:pPr>
            <w:r>
              <w:rPr>
                <w:color w:val="000000"/>
                <w:sz w:val="24"/>
              </w:rPr>
              <w:t>98.62%</w:t>
            </w:r>
          </w:p>
        </w:tc>
        <w:tc>
          <w:tcPr>
            <w:vAlign w:val="center"/>
          </w:tcPr>
          <w:p>
            <w:pPr>
              <w:jc w:val="center"/>
            </w:pPr>
            <w:r>
              <w:rPr>
                <w:color w:val="000000"/>
                <w:sz w:val="24"/>
              </w:rPr>
              <w:t>1.75%</w:t>
            </w:r>
          </w:p>
        </w:tc>
        <w:tc>
          <w:tcPr>
            <w:vAlign w:val="center"/>
          </w:tcPr>
          <w:p>
            <w:pPr>
              <w:jc w:val="center"/>
            </w:pPr>
            <w:r>
              <w:rPr>
                <w:color w:val="000000"/>
                <w:sz w:val="24"/>
              </w:rPr>
              <w:t>4.68%</w:t>
            </w:r>
          </w:p>
        </w:tc>
        <w:tc>
          <w:tcPr>
            <w:vAlign w:val="center"/>
          </w:tcPr>
          <w:p>
            <w:pPr>
              <w:jc w:val="center"/>
            </w:pPr>
            <w:r>
              <w:rPr>
                <w:color w:val="000000"/>
                <w:sz w:val="24"/>
              </w:rPr>
              <w:t>0.03%</w:t>
            </w:r>
          </w:p>
        </w:tc>
      </w:tr>
      <w:tr>
        <w:tc>
          <w:tcPr>
            <w:vAlign w:val="center"/>
          </w:tcPr>
          <w:p>
            <w:pPr>
              <w:jc w:val="left"/>
            </w:pPr>
            <w:r>
              <w:rPr>
                <w:color w:val="000000"/>
                <w:sz w:val="24"/>
              </w:rPr>
              <w:t>过去五年</w:t>
            </w:r>
          </w:p>
        </w:tc>
        <w:tc>
          <w:tcPr>
            <w:vAlign w:val="center"/>
          </w:tcPr>
          <w:p>
            <w:pPr>
              <w:jc w:val="center"/>
            </w:pPr>
            <w:r>
              <w:rPr>
                <w:color w:val="000000"/>
                <w:sz w:val="24"/>
              </w:rPr>
              <w:t>132.67%</w:t>
            </w:r>
          </w:p>
        </w:tc>
        <w:tc>
          <w:tcPr>
            <w:vAlign w:val="center"/>
          </w:tcPr>
          <w:p>
            <w:pPr>
              <w:jc w:val="center"/>
            </w:pPr>
            <w:r>
              <w:rPr>
                <w:color w:val="000000"/>
                <w:sz w:val="24"/>
              </w:rPr>
              <w:t>1.70%</w:t>
            </w:r>
          </w:p>
        </w:tc>
        <w:tc>
          <w:tcPr>
            <w:vAlign w:val="center"/>
          </w:tcPr>
          <w:p>
            <w:pPr>
              <w:jc w:val="center"/>
            </w:pPr>
            <w:r>
              <w:rPr>
                <w:color w:val="000000"/>
                <w:sz w:val="24"/>
              </w:rPr>
              <w:t>99.52%</w:t>
            </w:r>
          </w:p>
        </w:tc>
        <w:tc>
          <w:tcPr>
            <w:vAlign w:val="center"/>
          </w:tcPr>
          <w:p>
            <w:pPr>
              <w:jc w:val="center"/>
            </w:pPr>
            <w:r>
              <w:rPr>
                <w:color w:val="000000"/>
                <w:sz w:val="24"/>
              </w:rPr>
              <w:t>1.66%</w:t>
            </w:r>
          </w:p>
        </w:tc>
        <w:tc>
          <w:tcPr>
            <w:vAlign w:val="center"/>
          </w:tcPr>
          <w:p>
            <w:pPr>
              <w:jc w:val="center"/>
            </w:pPr>
            <w:r>
              <w:rPr>
                <w:color w:val="000000"/>
                <w:sz w:val="24"/>
              </w:rPr>
              <w:t>33.15%</w:t>
            </w:r>
          </w:p>
        </w:tc>
        <w:tc>
          <w:tcPr>
            <w:vAlign w:val="center"/>
          </w:tcPr>
          <w:p>
            <w:pPr>
              <w:jc w:val="center"/>
            </w:pPr>
            <w:r>
              <w:rPr>
                <w:color w:val="000000"/>
                <w:sz w:val="24"/>
              </w:rPr>
              <w:t>0.04%</w:t>
            </w:r>
          </w:p>
        </w:tc>
      </w:tr>
      <w:tr>
        <w:tc>
          <w:tcPr>
            <w:vAlign w:val="center"/>
          </w:tcPr>
          <w:p>
            <w:pPr>
              <w:jc w:val="left"/>
            </w:pPr>
            <w:r>
              <w:rPr>
                <w:color w:val="000000"/>
                <w:sz w:val="24"/>
              </w:rPr>
              <w:t>自基金合同生效起至今</w:t>
            </w:r>
          </w:p>
        </w:tc>
        <w:tc>
          <w:tcPr>
            <w:vAlign w:val="center"/>
          </w:tcPr>
          <w:p>
            <w:pPr>
              <w:jc w:val="center"/>
            </w:pPr>
            <w:r>
              <w:rPr>
                <w:color w:val="000000"/>
                <w:sz w:val="24"/>
              </w:rPr>
              <w:t>40.34%</w:t>
            </w:r>
          </w:p>
        </w:tc>
        <w:tc>
          <w:tcPr>
            <w:vAlign w:val="center"/>
          </w:tcPr>
          <w:p>
            <w:pPr>
              <w:jc w:val="center"/>
            </w:pPr>
            <w:r>
              <w:rPr>
                <w:color w:val="000000"/>
                <w:sz w:val="24"/>
              </w:rPr>
              <w:t>1.88%</w:t>
            </w:r>
          </w:p>
        </w:tc>
        <w:tc>
          <w:tcPr>
            <w:vAlign w:val="center"/>
          </w:tcPr>
          <w:p>
            <w:pPr>
              <w:jc w:val="center"/>
            </w:pPr>
            <w:r>
              <w:rPr>
                <w:color w:val="000000"/>
                <w:sz w:val="24"/>
              </w:rPr>
              <w:t>34.39%</w:t>
            </w:r>
          </w:p>
        </w:tc>
        <w:tc>
          <w:tcPr>
            <w:vAlign w:val="center"/>
          </w:tcPr>
          <w:p>
            <w:pPr>
              <w:jc w:val="center"/>
            </w:pPr>
            <w:r>
              <w:rPr>
                <w:color w:val="000000"/>
                <w:sz w:val="24"/>
              </w:rPr>
              <w:t>1.78%</w:t>
            </w:r>
          </w:p>
        </w:tc>
        <w:tc>
          <w:tcPr>
            <w:vAlign w:val="center"/>
          </w:tcPr>
          <w:p>
            <w:pPr>
              <w:jc w:val="center"/>
            </w:pPr>
            <w:r>
              <w:rPr>
                <w:color w:val="000000"/>
                <w:sz w:val="24"/>
              </w:rPr>
              <w:t>5.95%</w:t>
            </w:r>
          </w:p>
        </w:tc>
        <w:tc>
          <w:tcPr>
            <w:vAlign w:val="center"/>
          </w:tcPr>
          <w:p>
            <w:pPr>
              <w:jc w:val="center"/>
            </w:pPr>
            <w:r>
              <w:rPr>
                <w:color w:val="000000"/>
                <w:sz w:val="24"/>
              </w:rPr>
              <w:t>0.10%</w:t>
            </w:r>
          </w:p>
        </w:tc>
      </w:tr>
    </w:tbl>
    <w:p w:rsidP="003A4DA3" w:rsidR="001C36D8" w:rsidRDefault="001C36D8" w:rsidRPr="00272E0C">
      <w:pPr>
        <w:spacing w:line="360" w:lineRule="auto"/>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cs="Arial" w:hAnsi="宋体"/>
            <w:b/>
            <w:color w:val="000000"/>
            <w:kern w:val="0"/>
            <w:sz w:val="24"/>
          </w:rPr>
          <w:t>3.2.2</w:t>
        </w:r>
        <w:r w:rsidR="00193F07" w:rsidRPr="00370BEA">
          <w:rPr>
            <w:rStyle w:val="af8"/>
            <w:rFonts w:hint="eastAsia"/>
            <w:color w:val="000000"/>
            <w:sz w:val="24"/>
            <w:shd w:color="auto" w:fill="FFFFFF" w:val="clear"/>
          </w:rPr>
          <w:t/>
        </w:r>
        <w:proofErr w:type="spellStart"/>
        <w:r w:rsidR="00193F07" w:rsidRPr="00370BEA">
          <w:rPr>
            <w:rStyle w:val="af8"/>
            <w:rFonts w:hint="eastAsia"/>
            <w:color w:val="000000"/>
            <w:sz w:val="24"/>
            <w:shd w:color="auto" w:fill="FFFFFF" w:val="clear"/>
          </w:rPr>
          <w:t/>
        </w:r>
        <w:proofErr w:type="spellEnd"/>
        <w:r w:rsidR="00193F07" w:rsidRPr="00370BEA">
          <w:rPr>
            <w:rStyle w:val="af8"/>
            <w:rFonts w:hint="eastAsia"/>
            <w:color w:val="000000"/>
            <w:sz w:val="24"/>
            <w:shd w:color="auto" w:fill="FFFFFF" w:val="clear"/>
          </w:rPr>
          <w:t>自基金合同生效以来</w:t>
        </w:r>
      </w:smartTag>
      <w:r w:rsidRPr="00272E0C">
        <w:rPr>
          <w:rFonts w:ascii="宋体" w:hAnsi="宋体" w:hint="eastAsia"/>
          <w:b/>
          <w:bCs/>
          <w:color w:val="000000"/>
          <w:sz w:val="24"/>
        </w:rPr>
        <w:t>基金累计净值增长率变动及其与同期业绩比较基准收益率变动的比较</w:t>
      </w:r>
    </w:p>
    <w:p w:rsidP="003A4DA3" w:rsidR="001C36D8" w:rsidRDefault="001C36D8" w:rsidRPr="00E43B0B">
      <w:pPr>
        <w:spacing w:line="360" w:lineRule="auto"/>
        <w:jc w:val="center"/>
        <w:rPr>
          <w:sz w:val="24"/>
        </w:rPr>
      </w:pPr>
      <w:r w:rsidRPr="00E43B0B">
        <w:rPr>
          <w:sz w:val="24"/>
        </w:rPr>
        <w:t/>
      </w:r>
      <w:proofErr w:type="spellStart"/>
      <w:r w:rsidRPr="00E43B0B">
        <w:rPr>
          <w:sz w:val="24"/>
        </w:rPr>
        <w:t/>
      </w:r>
      <w:proofErr w:type="spellEnd"/>
      <w:r w:rsidRPr="00E43B0B">
        <w:rPr>
          <w:sz w:val="24"/>
        </w:rPr>
        <w:t>易方达生物科技指数分级证券投资基金</w:t>
      </w:r>
    </w:p>
    <w:p w:rsidP="003A4DA3" w:rsidR="001C36D8" w:rsidRDefault="006F4C30" w:rsidRPr="00E43B0B">
      <w:pPr>
        <w:pStyle w:val="a5"/>
        <w:snapToGrid w:val="0"/>
        <w:spacing w:line="360" w:lineRule="auto"/>
        <w:jc w:val="center"/>
        <w:rPr>
          <w:rFonts w:ascii="Times New Roman" w:hAnsi="Times New Roman"/>
          <w:color w:val="000000"/>
          <w:sz w:val="24"/>
          <w:szCs w:val="24"/>
        </w:rPr>
      </w:pPr>
      <w:r w:rsidRPr="00E43B0B">
        <w:rPr>
          <w:rFonts w:ascii="Times New Roman" w:hAnsi="Times New Roman"/>
          <w:color w:val="000000"/>
          <w:sz w:val="24"/>
          <w:szCs w:val="24"/>
        </w:rPr>
        <w:t>累计</w:t>
      </w:r>
      <w:r w:rsidR="001C36D8" w:rsidRPr="00E43B0B">
        <w:rPr>
          <w:rFonts w:ascii="Times New Roman" w:hAnsi="Times New Roman"/>
          <w:color w:val="000000"/>
          <w:sz w:val="24"/>
          <w:szCs w:val="24"/>
        </w:rPr>
        <w:t>净值增长率与业绩比较基准收益率历史走势对比图</w:t>
      </w:r>
    </w:p>
    <w:p w:rsidP="003A4DA3" w:rsidR="001C36D8" w:rsidRDefault="001C36D8" w:rsidRPr="00E43B0B">
      <w:pPr>
        <w:spacing w:line="360" w:lineRule="auto"/>
        <w:jc w:val="center"/>
        <w:rPr>
          <w:sz w:val="24"/>
        </w:rPr>
      </w:pPr>
      <w:r w:rsidRPr="00E43B0B">
        <w:rPr>
          <w:color w:val="000000"/>
          <w:kern w:val="0"/>
          <w:sz w:val="24"/>
        </w:rPr>
        <w:t>（</w:t>
      </w:r>
      <w:r w:rsidRPr="00E43B0B">
        <w:rPr>
          <w:color w:val="000000"/>
          <w:kern w:val="0"/>
          <w:sz w:val="24"/>
        </w:rPr>
        <w:t/>
      </w:r>
      <w:proofErr w:type="spellStart"/>
      <w:r w:rsidRPr="00E43B0B">
        <w:rPr>
          <w:color w:val="000000"/>
          <w:kern w:val="0"/>
          <w:sz w:val="24"/>
        </w:rPr>
        <w:t/>
      </w:r>
      <w:proofErr w:type="spellEnd"/>
      <w:r w:rsidRPr="00E43B0B">
        <w:rPr>
          <w:color w:val="000000"/>
          <w:kern w:val="0"/>
          <w:sz w:val="24"/>
        </w:rPr>
        <w:t>2015年6月3日</w:t>
      </w:r>
      <w:r w:rsidRPr="00E43B0B">
        <w:rPr>
          <w:color w:val="000000"/>
          <w:kern w:val="0"/>
          <w:sz w:val="24"/>
        </w:rPr>
        <w:t>至</w:t>
      </w:r>
      <w:r w:rsidRPr="00E43B0B">
        <w:rPr>
          <w:color w:val="000000"/>
          <w:kern w:val="0"/>
          <w:sz w:val="24"/>
        </w:rPr>
        <w:t/>
      </w:r>
      <w:proofErr w:type="spellStart"/>
      <w:r w:rsidRPr="00E43B0B">
        <w:rPr>
          <w:color w:val="000000"/>
          <w:kern w:val="0"/>
          <w:sz w:val="24"/>
        </w:rPr>
        <w:t/>
      </w:r>
      <w:proofErr w:type="spellEnd"/>
      <w:r w:rsidRPr="00E43B0B">
        <w:rPr>
          <w:color w:val="000000"/>
          <w:kern w:val="0"/>
          <w:sz w:val="24"/>
        </w:rPr>
        <w:t>2020年9月30日</w:t>
      </w:r>
      <w:r w:rsidRPr="00E43B0B">
        <w:rPr>
          <w:color w:val="000000"/>
          <w:kern w:val="0"/>
          <w:sz w:val="24"/>
        </w:rPr>
        <w:t>）</w:t>
      </w:r>
    </w:p>
    <w:p w:rsidP="0042253F" w:rsidR="001C36D8" w:rsidRDefault="003F1D66" w:rsidRPr="00272E0C">
      <w:pPr>
        <w:tabs>
          <w:tab w:pos="1800" w:val="left"/>
        </w:tabs>
        <w:spacing w:line="360" w:lineRule="auto"/>
        <w:jc w:val="center"/>
        <w:rPr>
          <w:rFonts w:ascii="宋体"/>
          <w:color w:val="000000"/>
          <w:sz w:val="24"/>
        </w:rPr>
      </w:pPr>
      <w:r>
        <w:rPr>
          <w:rFonts w:ascii="宋体"/>
          <w:noProof/>
          <w:color w:val="000000"/>
          <w:sz w:val="24"/>
        </w:rPr>
        <w:lastRenderedPageBreak/>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1.4pt;height:241.5pt;visibility:visible" type="#_x0000_t75">
            <v:imagedata o:title="" r:id="rId10"/>
          </v:shape>
        </w:pic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注：自基金合同生效至报告期末，基金份额净值增长率为40.34%，同期业绩比较基准收益率为34.39%。</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4  </w:t>
      </w:r>
      <w:r w:rsidRPr="00272E0C">
        <w:rPr>
          <w:rFonts w:ascii="宋体" w:cs="Arial" w:hAnsi="宋体" w:hint="eastAsia"/>
          <w:color w:val="000000"/>
          <w:kern w:val="0"/>
          <w:sz w:val="24"/>
          <w:szCs w:val="24"/>
        </w:rPr>
        <w:t>管理人报告</w:t>
      </w:r>
    </w:p>
    <w:p w:rsidP="005C6DF3" w:rsidR="005C6DF3" w:rsidRDefault="001C36D8" w:rsidRPr="0078105B">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4.1 </w:t>
      </w:r>
      <w:r w:rsidRPr="00272E0C">
        <w:rPr>
          <w:rFonts w:ascii="宋体" w:cs="Arial" w:hAnsi="宋体" w:hint="eastAsia"/>
          <w:b/>
          <w:color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5C6DF3" w:rsidRPr="0078105B" w:rsidTr="00B7074C">
        <w:trPr>
          <w:cantSplit/>
        </w:trPr>
        <w:tc>
          <w:tcPr>
            <w:tcW w:type="dxa" w:w="567"/>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w:t>
            </w:r>
            <w:r w:rsidRPr="00FA472B">
              <w:rPr>
                <w:color w:val="000000"/>
                <w:kern w:val="0"/>
                <w:sz w:val="24"/>
              </w:rPr>
              <w:lastRenderedPageBreak/>
              <w:t>年限</w:t>
            </w:r>
          </w:p>
        </w:tc>
        <w:tc>
          <w:tcPr>
            <w:tcW w:type="dxa" w:w="2977"/>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lastRenderedPageBreak/>
              <w:t>说明</w:t>
            </w:r>
          </w:p>
        </w:tc>
      </w:tr>
      <w:tr w:rsidR="005C6DF3" w:rsidRPr="0078105B" w:rsidTr="00B7074C">
        <w:trPr>
          <w:cantSplit/>
        </w:trPr>
        <w:tc>
          <w:tcPr>
            <w:tcW w:type="dxa" w:w="567"/>
            <w:vMerge/>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p>
        </w:tc>
        <w:tc>
          <w:tcPr>
            <w:tcW w:type="dxa" w:w="2835"/>
            <w:vMerge/>
          </w:tcPr>
          <w:p w:rsidP="00B7074C" w:rsidR="005C6DF3" w:rsidRDefault="005C6DF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刘树荣</w:t>
            </w:r>
          </w:p>
        </w:tc>
        <w:tc>
          <w:tcPr>
            <w:vAlign w:val="center"/>
          </w:tcPr>
          <w:p>
            <w:pPr>
              <w:jc w:val="left"/>
            </w:pPr>
            <w:r>
              <w:rPr>
                <w:color w:val="000000"/>
                <w:sz w:val="24"/>
              </w:rPr>
              <w:t>本基金的基金经理、易方达银行指数分级证券投资基金的基金经理（自2017年07月18日至2020年08月06日）、易方达创业板交易型开放式指数证券投资基金联接基金的基金经理、易方达深证100交易型开放式指数证券投资基金联接基金的基金经理、易方达并购重组指数分级证券投资基金的基金经理、易方达中小板指数证券投资基金（LOF）的基金经理、易方达创业板交易型开放式指数证券投资基金的基金经理、易方达深证100交易型开放式指数基金的基金经理、易方达香港恒生综合小型股指数证券投资基金（LOF）的基金经理、易方达标普500指数证券投资基金（LOF）的基金经理、易方达上证中盘交易型开放式指数证券投资基金联接基金的基金经理、易方达上证中盘交易型开放式指数证券投资基金的基金经理、易方达中证800交易型开放式指数证券投资基金的基金经理、易方达中证800交易型开放式指数证券投资基金发起式联接基金的基金经理、易方达中证国企一带一路交易型开放式指数证券投资基金的基金经理、易方达中证国企一带一路交易型开放式指数证券投资基金发起式联接基金的基金经理、易方达中证浙江新动能交易型开放式指数证券投资基金联接基金的基金经理、易方达中证浙江新动能交易型开放式指数证券投资基金的基金经理、易方达中证银行指数证券投资基金（LOF）的基金经理</w:t>
            </w:r>
          </w:p>
        </w:tc>
        <w:tc>
          <w:tcPr>
            <w:vAlign w:val="center"/>
          </w:tcPr>
          <w:p>
            <w:pPr>
              <w:jc w:val="center"/>
            </w:pPr>
            <w:r>
              <w:rPr>
                <w:color w:val="000000"/>
                <w:sz w:val="24"/>
              </w:rPr>
              <w:t>2017-07-18</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硕士研究生，具有基金从业资格。曾任招商银行资产托管部基金会计，易方达基金管理有限公司核算部基金核算专员、指数与量化投资部运作支持专员、基金经理助理、易方达深证成指交易型开放式指数证券投资基金基金经理、易方达深证成指交易型开放式指数证券投资基金联接基金基金经理、易方达标普医疗保健指数证券投资基金（LOF）基金经理、易方达标普生物科技指数证券投资基金（LOF）基金经理、易方达标普信息科技指数证券投资基金（LOF）基金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2761" w:rsidR="00C72761" w:rsidRDefault="005C6DF3">
      <w:pPr>
        <w:tabs>
          <w:tab w:pos="426" w:val="left"/>
        </w:tabs>
        <w:spacing w:line="360" w:lineRule="auto"/>
        <w:ind w:firstLine="480" w:firstLineChars="200"/>
        <w:rPr>
          <w:kern w:val="0"/>
        </w:rPr>
      </w:pPr>
      <w:r w:rsidRPr="00DF18FE">
        <w:rPr>
          <w:color w:val="000000"/>
          <w:sz w:val="24"/>
        </w:rPr>
        <w:t/>
      </w:r>
      <w:proofErr w:type="gramStart"/>
      <w:r w:rsidRPr="00DF18FE">
        <w:rPr>
          <w:color w:val="000000"/>
          <w:sz w:val="24"/>
        </w:rPr>
        <w:t/>
      </w:r>
      <w:proofErr w:type="gramEnd"/>
      <w:r w:rsidRPr="00DF18FE">
        <w:rPr>
          <w:color w:val="000000"/>
          <w:sz w:val="24"/>
        </w:rPr>
        <w:t>2.证券从业的含义遵从《证券业从业人员资格管理办法》的相关规定。</w:t>
      </w:r>
    </w:p>
    <w:p w:rsidP="00CB041A"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4.2</w:t>
      </w:r>
      <w:r w:rsidRPr="00272E0C">
        <w:rPr>
          <w:rFonts w:ascii="宋体" w:hAnsi="宋体" w:hint="eastAsia"/>
          <w:b/>
          <w:bCs/>
          <w:color w:val="000000"/>
          <w:sz w:val="24"/>
        </w:rPr>
        <w:t>管理人对报告期内本基金运作遵规守信情况的说明</w: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lastRenderedPageBreak/>
        <w:t xml:space="preserve">4.3 </w:t>
      </w:r>
      <w:r w:rsidRPr="00272E0C">
        <w:rPr>
          <w:rFonts w:ascii="宋体" w:cs="Arial" w:hAnsi="宋体" w:hint="eastAsia"/>
          <w:b/>
          <w:color w:val="000000"/>
          <w:kern w:val="0"/>
          <w:sz w:val="24"/>
        </w:rPr>
        <w:t>公平交易专项说明</w:t>
      </w:r>
    </w:p>
    <w:p w:rsidP="003A4DA3" w:rsidR="001C36D8" w:rsidRDefault="001C36D8" w:rsidRPr="00272E0C">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hAnsi="宋体"/>
            <w:sz w:val="24"/>
          </w:rPr>
          <w:t>4.3.1</w:t>
        </w:r>
      </w:smartTag>
      <w:r w:rsidRPr="00272E0C">
        <w:rPr>
          <w:rFonts w:ascii="宋体" w:hAnsi="宋体" w:hint="eastAsia"/>
          <w:sz w:val="24"/>
        </w:rPr>
        <w:t>公平交易制度的执行情况</w:t>
      </w:r>
    </w:p>
    <w:p w:rsidP="0015779C"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3A4DA3" w:rsidR="001C36D8" w:rsidRDefault="001C36D8" w:rsidRPr="00272E0C">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hAnsi="宋体"/>
            <w:sz w:val="24"/>
          </w:rPr>
          <w:t>4.3.2</w:t>
        </w:r>
      </w:smartTag>
      <w:r w:rsidRPr="00272E0C">
        <w:rPr>
          <w:rFonts w:ascii="宋体" w:hAnsi="宋体" w:hint="eastAsia"/>
          <w:sz w:val="24"/>
        </w:rPr>
        <w:t>异常交易行为的专项说明</w:t>
      </w:r>
    </w:p>
    <w:p>
      <w:pPr>
        <w:spacing w:line="360" w:lineRule="auto"/>
        <w:ind w:firstLine="480" w:firstLineChars="200"/>
        <w:rPr>
          <w:rFonts w:ascii="宋体" w:cs="Arial"/>
          <w:b/>
          <w:color w:val="000000"/>
          <w:kern w:val="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061008" w:rsidR="001C36D8" w:rsidRDefault="001C36D8" w:rsidRPr="00272E0C">
      <w:pPr>
        <w:spacing w:line="360" w:lineRule="auto"/>
        <w:ind w:firstLine="480" w:firstLineChars="200"/>
        <w:rPr>
          <w:rFonts w:ascii="宋体" w:cs="Arial"/>
          <w:b/>
          <w:color w:val="000000"/>
          <w:kern w:val="0"/>
          <w:sz w:val="24"/>
        </w:rPr>
      </w:pPr>
      <w:r w:rsidRPr="003D22BD">
        <w:rPr>
          <w:color w:val="000000"/>
          <w:sz w:val="24"/>
        </w:rPr>
        <w:t/>
      </w:r>
      <w:proofErr w:type="spellStart"/>
      <w:proofErr w:type="gramStart"/>
      <w:r w:rsidRPr="003D22BD">
        <w:rPr>
          <w:color w:val="000000"/>
          <w:sz w:val="24"/>
        </w:rPr>
        <w:t/>
      </w:r>
      <w:proofErr w:type="spellEnd"/>
      <w:proofErr w:type="gramEnd"/>
      <w:r w:rsidRPr="003D22BD">
        <w:rPr>
          <w:color w:val="000000"/>
          <w:sz w:val="24"/>
        </w:rPr>
        <w:t>本报告期内，未发现本基金有可能导致不公平交易和利益输送的异常交易。</w:t>
      </w:r>
      <w:r w:rsidR="00061008" w:rsidRPr="00272E0C">
        <w:rPr>
          <w:rFonts w:ascii="宋体" w:cs="Arial"/>
          <w:b/>
          <w:color w:val="000000"/>
          <w:kern w:val="0"/>
          <w:sz w:val="24"/>
        </w:rPr>
        <w:t xml:space="preserve"> </w:t>
      </w:r>
    </w:p>
    <w:p w:rsidP="00061008" w:rsidR="001C36D8" w:rsidRDefault="00061008" w:rsidRPr="00061008">
      <w:pPr>
        <w:autoSpaceDE w:val="0"/>
        <w:autoSpaceDN w:val="0"/>
        <w:adjustRightInd w:val="0"/>
        <w:spacing w:line="360" w:lineRule="auto"/>
        <w:jc w:val="left"/>
        <w:rPr>
          <w:rFonts w:ascii="宋体" w:cs="Arial" w:hAnsi="宋体"/>
          <w:b/>
          <w:color w:val="000000"/>
          <w:kern w:val="0"/>
          <w:sz w:val="24"/>
        </w:rPr>
      </w:pPr>
      <w:r w:rsidRPr="00061008">
        <w:rPr>
          <w:rFonts w:ascii="宋体" w:cs="Arial" w:hAnsi="宋体"/>
          <w:b/>
          <w:color w:val="000000"/>
          <w:kern w:val="0"/>
          <w:sz w:val="24"/>
        </w:rPr>
        <w:t>4.4</w:t>
      </w:r>
      <w:r w:rsidRPr="00061008">
        <w:rPr>
          <w:rFonts w:ascii="宋体" w:cs="Arial" w:hAnsi="宋体" w:hint="eastAsia"/>
          <w:b/>
          <w:color w:val="000000"/>
          <w:kern w:val="0"/>
          <w:sz w:val="24"/>
        </w:rPr>
        <w:t xml:space="preserve"> </w:t>
      </w:r>
      <w:r w:rsidR="001C36D8" w:rsidRPr="00061008">
        <w:rPr>
          <w:rFonts w:ascii="宋体" w:cs="Arial" w:hAnsi="宋体" w:hint="eastAsia"/>
          <w:b/>
          <w:color w:val="000000"/>
          <w:kern w:val="0"/>
          <w:sz w:val="24"/>
        </w:rPr>
        <w:t>报告期内基金投资策略和运作分析</w:t>
      </w:r>
    </w:p>
    <w:p>
      <w:pPr>
        <w:spacing w:line="360" w:lineRule="auto"/>
        <w:ind w:firstLine="480" w:firstLineChars="200"/>
        <w:rPr>
          <w:color w:val="000000"/>
          <w:sz w:val="24"/>
        </w:rPr>
      </w:pPr>
      <w:r>
        <w:rPr>
          <w:color w:val="000000"/>
          <w:sz w:val="24"/>
        </w:rPr>
        <w:t>本基金跟踪的标的指数为中证万得生物科技指数，中证万得生物科技指数选取与生物科技相关业务关系密切的最具代表性的上市企业组成，属于新兴行业的代表指数之一。报告期内，本基金主要采取完全复制法的投资策略，即完全按照标的指数的成份股组成及其权重构建基金股票投资组合，并根据标的指数成份股及其权重的变动而进行相应调整。</w:t>
      </w:r>
    </w:p>
    <w:p>
      <w:pPr>
        <w:spacing w:line="360" w:lineRule="auto"/>
        <w:ind w:firstLine="480" w:firstLineChars="200"/>
        <w:rPr>
          <w:color w:val="000000"/>
          <w:sz w:val="24"/>
        </w:rPr>
      </w:pPr>
      <w:r>
        <w:rPr>
          <w:color w:val="000000"/>
          <w:sz w:val="24"/>
        </w:rPr>
        <w:t>生物科技板块弹性较大，板块表现受医药、科技类政策及市场情绪影响较大。三季度初期，中证万得生物科技指数走势持续冲高，涨幅一度超过27%。随后，在市场流动性边际收紧、投资者担心板块估值偏高等因素影响下，生物科技指数呈现高位震荡下跌态势。中证万得生物科技指数三季度小幅上涨1.5%，年初至三季度末上涨72.6%。</w:t>
      </w:r>
    </w:p>
    <w:p w:rsidP="0015779C"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基金运作层面，报告期内，本基金严守基金合同认真对待投资者申购、赎回以及成份股调整事项，保障基金的正常运作，基金跟踪误差以及日均偏离度等指标控制在合同规定范围之内。</w:t>
      </w:r>
    </w:p>
    <w:p w:rsidP="00061008" w:rsidR="001C36D8" w:rsidRDefault="001C36D8" w:rsidRPr="00061008">
      <w:pPr>
        <w:autoSpaceDE w:val="0"/>
        <w:autoSpaceDN w:val="0"/>
        <w:adjustRightInd w:val="0"/>
        <w:spacing w:line="360" w:lineRule="auto"/>
        <w:jc w:val="left"/>
        <w:rPr>
          <w:rFonts w:ascii="宋体" w:cs="Arial" w:hAnsi="宋体"/>
          <w:b/>
          <w:color w:val="000000"/>
          <w:kern w:val="0"/>
          <w:sz w:val="24"/>
        </w:rPr>
      </w:pPr>
      <w:r w:rsidRPr="00061008">
        <w:rPr>
          <w:rFonts w:ascii="宋体" w:cs="Arial" w:hAnsi="宋体"/>
          <w:b/>
          <w:color w:val="000000"/>
          <w:kern w:val="0"/>
          <w:sz w:val="24"/>
        </w:rPr>
        <w:t>4.</w:t>
      </w:r>
      <w:r w:rsidR="00061008">
        <w:rPr>
          <w:rFonts w:ascii="宋体" w:cs="Arial" w:hAnsi="宋体"/>
          <w:b/>
          <w:color w:val="000000"/>
          <w:kern w:val="0"/>
          <w:sz w:val="24"/>
        </w:rPr>
        <w:t>5</w:t>
      </w:r>
      <w:r w:rsidR="00061008">
        <w:rPr>
          <w:rFonts w:ascii="宋体" w:cs="Arial" w:hAnsi="宋体" w:hint="eastAsia"/>
          <w:b/>
          <w:color w:val="000000"/>
          <w:kern w:val="0"/>
          <w:sz w:val="24"/>
        </w:rPr>
        <w:t xml:space="preserve"> </w:t>
      </w:r>
      <w:r w:rsidRPr="00061008">
        <w:rPr>
          <w:rFonts w:ascii="宋体" w:cs="Arial" w:hAnsi="宋体" w:hint="eastAsia"/>
          <w:b/>
          <w:color w:val="000000"/>
          <w:kern w:val="0"/>
          <w:sz w:val="24"/>
        </w:rPr>
        <w:t>报告期内基金的业绩表现</w:t>
      </w:r>
    </w:p>
    <w:p w:rsidP="00061008" w:rsidR="001C36D8" w:rsidRDefault="001C36D8">
      <w:pPr>
        <w:spacing w:line="360" w:lineRule="auto"/>
        <w:ind w:firstLine="480" w:firstLineChars="200"/>
        <w:rPr>
          <w:color w:val="000000"/>
          <w:sz w:val="24"/>
        </w:rPr>
      </w:pPr>
      <w:r w:rsidRPr="003D22BD">
        <w:rPr>
          <w:color w:val="000000"/>
          <w:sz w:val="24"/>
        </w:rPr>
        <w:t/>
      </w:r>
      <w:proofErr w:type="spellStart"/>
      <w:proofErr w:type="gramStart"/>
      <w:r w:rsidRPr="003D22BD">
        <w:rPr>
          <w:color w:val="000000"/>
          <w:sz w:val="24"/>
        </w:rPr>
        <w:t/>
      </w:r>
      <w:proofErr w:type="spellEnd"/>
      <w:proofErr w:type="gramEnd"/>
      <w:r w:rsidRPr="003D22BD">
        <w:rPr>
          <w:color w:val="000000"/>
          <w:sz w:val="24"/>
        </w:rPr>
        <w:t>截至报告期末，本基金份额净值为0.9441元，本报告期份额净值增长率为3.41%，同期业绩比较基准收益率为1.54%，年化跟踪误差1.34%，各项指标均在合同规定的目标控制范围之内。</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5  </w:t>
      </w:r>
      <w:r w:rsidRPr="00272E0C">
        <w:rPr>
          <w:rFonts w:ascii="宋体" w:cs="Arial" w:hAnsi="宋体" w:hint="eastAsia"/>
          <w:color w:val="000000"/>
          <w:kern w:val="0"/>
          <w:sz w:val="24"/>
          <w:szCs w:val="24"/>
        </w:rPr>
        <w:t>投资组合报告</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5.1 </w:t>
      </w:r>
      <w:r w:rsidRPr="00272E0C">
        <w:rPr>
          <w:rFonts w:ascii="宋体" w:cs="Arial" w:hAnsi="宋体" w:hint="eastAsia"/>
          <w:b/>
          <w:color w:val="000000"/>
          <w:kern w:val="0"/>
          <w:sz w:val="24"/>
        </w:rPr>
        <w:t>报告期末基金资产组合情况</w:t>
      </w:r>
    </w:p>
    <w:tbl>
      <w:tblPr>
        <w:tblW w:type="dxa" w:w="874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643"/>
        <w:gridCol w:w="3283"/>
        <w:gridCol w:w="2977"/>
        <w:gridCol w:w="1843"/>
      </w:tblGrid>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序号</w:t>
            </w:r>
          </w:p>
        </w:tc>
        <w:tc>
          <w:tcPr>
            <w:tcW w:type="dxa" w:w="3283"/>
            <w:vAlign w:val="center"/>
          </w:tcPr>
          <w:p w:rsidP="001A09F9" w:rsidR="001C36D8" w:rsidRDefault="001C36D8" w:rsidRPr="005B1E0B">
            <w:pPr>
              <w:spacing w:before="29" w:line="360" w:lineRule="auto"/>
              <w:ind w:left="17"/>
              <w:jc w:val="center"/>
              <w:rPr>
                <w:color w:val="000000"/>
                <w:sz w:val="24"/>
              </w:rPr>
            </w:pPr>
            <w:r w:rsidRPr="005B1E0B">
              <w:rPr>
                <w:color w:val="000000"/>
                <w:sz w:val="24"/>
              </w:rPr>
              <w:t>项目</w:t>
            </w:r>
          </w:p>
        </w:tc>
        <w:tc>
          <w:tcPr>
            <w:tcW w:type="dxa" w:w="2977"/>
            <w:vAlign w:val="center"/>
          </w:tcPr>
          <w:p w:rsidP="0015779C" w:rsidR="001C36D8" w:rsidRDefault="001C36D8" w:rsidRPr="005B1E0B">
            <w:pPr>
              <w:spacing w:before="29" w:line="360" w:lineRule="auto"/>
              <w:ind w:left="17"/>
              <w:jc w:val="center"/>
              <w:rPr>
                <w:color w:val="000000"/>
                <w:sz w:val="24"/>
              </w:rPr>
            </w:pPr>
            <w:r w:rsidRPr="005B1E0B">
              <w:rPr>
                <w:color w:val="000000"/>
                <w:sz w:val="24"/>
              </w:rPr>
              <w:t>金额</w:t>
            </w:r>
            <w:r w:rsidR="0015779C" w:rsidRPr="005B1E0B">
              <w:rPr>
                <w:color w:val="000000"/>
                <w:sz w:val="24"/>
              </w:rPr>
              <w:t>（元）</w:t>
            </w:r>
          </w:p>
        </w:tc>
        <w:tc>
          <w:tcPr>
            <w:tcW w:type="dxa" w:w="1843"/>
            <w:vAlign w:val="center"/>
          </w:tcPr>
          <w:p w:rsidP="0015779C" w:rsidR="001C36D8" w:rsidRDefault="001C36D8" w:rsidRPr="005B1E0B">
            <w:pPr>
              <w:spacing w:before="29" w:line="360" w:lineRule="auto"/>
              <w:ind w:left="17"/>
              <w:jc w:val="center"/>
              <w:rPr>
                <w:color w:val="000000"/>
                <w:sz w:val="24"/>
              </w:rPr>
            </w:pPr>
            <w:r w:rsidRPr="005B1E0B">
              <w:rPr>
                <w:color w:val="000000"/>
                <w:sz w:val="24"/>
              </w:rPr>
              <w:t>占基金总资产的比例</w:t>
            </w:r>
            <w:r w:rsidR="0015779C" w:rsidRPr="005B1E0B">
              <w:rPr>
                <w:color w:val="000000"/>
                <w:sz w:val="24"/>
              </w:rPr>
              <w:t>（</w:t>
            </w:r>
            <w:r w:rsidR="0015779C" w:rsidRPr="005B1E0B">
              <w:rPr>
                <w:color w:val="000000"/>
                <w:sz w:val="24"/>
              </w:rPr>
              <w:t>%</w:t>
            </w:r>
            <w:r w:rsidR="0015779C"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1</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权益投资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519,550,139.45</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93.61</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其中：股票</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519,550,139.45</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93.61</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2</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固定收益投资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r w:rsidRPr="005B1E0B">
              <w:rPr>
                <w:color w:val="000000"/>
                <w:sz w:val="24"/>
              </w:rPr>
              <w:lastRenderedPageBreak/>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其中：债券</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autoSpaceDE w:val="0"/>
              <w:autoSpaceDN w:val="0"/>
              <w:adjustRightInd w:val="0"/>
              <w:spacing w:before="29" w:line="360" w:lineRule="auto"/>
              <w:ind w:left="17"/>
              <w:jc w:val="left"/>
              <w:rPr>
                <w:color w:val="000000"/>
                <w:sz w:val="24"/>
              </w:rPr>
            </w:pPr>
            <w:r w:rsidRPr="005B1E0B">
              <w:rPr>
                <w:color w:val="000000"/>
                <w:sz w:val="24"/>
              </w:rPr>
              <w:t>资产支持证券</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tcPr>
          <w:p w:rsidP="001A09F9" w:rsidR="001C36D8" w:rsidRDefault="001C36D8" w:rsidRPr="005B1E0B">
            <w:pPr>
              <w:spacing w:before="29" w:line="360" w:lineRule="auto"/>
              <w:ind w:left="17"/>
              <w:jc w:val="center"/>
              <w:rPr>
                <w:color w:val="000000"/>
                <w:sz w:val="24"/>
              </w:rPr>
            </w:pPr>
            <w:r w:rsidRPr="005B1E0B">
              <w:rPr>
                <w:color w:val="000000"/>
                <w:sz w:val="24"/>
              </w:rPr>
              <w:t>3</w:t>
            </w:r>
          </w:p>
        </w:tc>
        <w:tc>
          <w:tcPr>
            <w:tcW w:type="dxa" w:w="3283"/>
          </w:tcPr>
          <w:p w:rsidP="0015779C" w:rsidR="001C36D8" w:rsidRDefault="001C36D8" w:rsidRPr="005B1E0B">
            <w:pPr>
              <w:spacing w:before="29" w:line="360" w:lineRule="auto"/>
              <w:ind w:left="105" w:leftChars="50"/>
              <w:rPr>
                <w:color w:val="000000"/>
                <w:sz w:val="24"/>
              </w:rPr>
            </w:pPr>
            <w:r w:rsidRPr="005B1E0B">
              <w:rPr>
                <w:color w:val="000000"/>
                <w:sz w:val="24"/>
              </w:rPr>
              <w:t>贵金属投资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4</w:t>
            </w:r>
          </w:p>
        </w:tc>
        <w:tc>
          <w:tcPr>
            <w:tcW w:type="dxa" w:w="3283"/>
            <w:vAlign w:val="center"/>
          </w:tcPr>
          <w:p w:rsidP="001A09F9" w:rsidR="001C36D8" w:rsidRDefault="001C36D8" w:rsidRPr="005B1E0B">
            <w:pPr>
              <w:spacing w:before="29" w:line="360" w:lineRule="auto"/>
              <w:ind w:left="17"/>
              <w:jc w:val="left"/>
              <w:rPr>
                <w:color w:val="000000"/>
                <w:sz w:val="24"/>
              </w:rPr>
            </w:pPr>
            <w:r w:rsidRPr="005B1E0B">
              <w:rPr>
                <w:color w:val="000000"/>
                <w:sz w:val="24"/>
              </w:rPr>
              <w:t>金融衍生品投资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5</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买入返售金融资产</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r w:rsidRPr="005B1E0B">
              <w:rPr>
                <w:color w:val="000000"/>
                <w:sz w:val="24"/>
              </w:rPr>
              <w:lastRenderedPageBreak/>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其中：买断式回购的买入返售金融资产</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6</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银行存款和结算备付金合计</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33,569,948.93</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6.05</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7</w:t>
            </w:r>
          </w:p>
        </w:tc>
        <w:tc>
          <w:tcPr>
            <w:tcW w:type="dxa" w:w="3283"/>
            <w:vAlign w:val="center"/>
          </w:tcPr>
          <w:p w:rsidP="001A09F9" w:rsidR="001C36D8" w:rsidRDefault="001C36D8" w:rsidRPr="005B1E0B">
            <w:pPr>
              <w:jc w:val="left"/>
              <w:rPr>
                <w:sz w:val="24"/>
              </w:rPr>
            </w:pPr>
            <w:r w:rsidRPr="005B1E0B">
              <w:rPr>
                <w:color w:val="000000"/>
                <w:sz w:val="24"/>
              </w:rPr>
              <w:t>其他资产</w:t>
            </w:r>
          </w:p>
        </w:tc>
        <w:tc>
          <w:tcPr>
            <w:tcW w:type="dxa" w:w="2977"/>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1,897,421.56</w:t>
            </w:r>
          </w:p>
        </w:tc>
        <w:tc>
          <w:tcPr>
            <w:tcW w:type="dxa" w:w="1843"/>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0.34</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8</w:t>
            </w:r>
          </w:p>
        </w:tc>
        <w:tc>
          <w:tcPr>
            <w:tcW w:type="dxa" w:w="3283"/>
            <w:vAlign w:val="center"/>
          </w:tcPr>
          <w:p w:rsidP="001A09F9" w:rsidR="001C36D8" w:rsidRDefault="001C36D8" w:rsidRPr="005B1E0B">
            <w:pPr>
              <w:jc w:val="left"/>
              <w:rPr>
                <w:sz w:val="24"/>
              </w:rPr>
            </w:pPr>
            <w:r w:rsidRPr="005B1E0B">
              <w:rPr>
                <w:color w:val="000000"/>
                <w:sz w:val="24"/>
              </w:rPr>
              <w:t>合计</w:t>
            </w:r>
          </w:p>
        </w:tc>
        <w:tc>
          <w:tcPr>
            <w:tcW w:type="dxa" w:w="2977"/>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555,017,509.94</w:t>
            </w:r>
          </w:p>
        </w:tc>
        <w:tc>
          <w:tcPr>
            <w:tcW w:type="dxa" w:w="1843"/>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100.00</w:t>
            </w:r>
          </w:p>
        </w:tc>
      </w:tr>
    </w:tbl>
    <w:p w:rsidP="00737AB0" w:rsidR="00737AB0" w:rsidRDefault="00737AB0"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rPr>
      </w:pPr>
      <w:r w:rsidRPr="00220C32">
        <w:rPr>
          <w:rFonts w:asciiTheme="minorEastAsia" w:eastAsiaTheme="minorEastAsia" w:hAnsiTheme="minorEastAsia"/>
          <w:b/>
          <w:bCs/>
          <w:color w:themeColor="text1" w:val="000000"/>
          <w:kern w:val="0"/>
          <w:sz w:val="24"/>
        </w:rPr>
        <w:t xml:space="preserve">5.2 </w:t>
      </w:r>
      <w:r w:rsidRPr="00220C32">
        <w:rPr>
          <w:rFonts w:asciiTheme="minorEastAsia" w:eastAsiaTheme="minorEastAsia" w:hAnsiTheme="minorEastAsia" w:hint="eastAsia"/>
          <w:b/>
          <w:bCs/>
          <w:color w:themeColor="text1" w:val="000000"/>
          <w:kern w:val="0"/>
          <w:sz w:val="24"/>
        </w:rPr>
        <w:t>报告期末按行业分类的股票投资组合</w:t>
      </w:r>
    </w:p>
    <w:p w:rsidP="00737AB0" w:rsidR="00737AB0" w:rsidRDefault="00737AB0" w:rsidRPr="000D7474">
      <w:pPr>
        <w:rPr>
          <w:rFonts w:asciiTheme="minorEastAsia" w:eastAsiaTheme="minorEastAsia" w:hAnsiTheme="minorEastAsia"/>
          <w:b/>
          <w:bCs/>
          <w:color w:themeColor="text1" w:val="000000"/>
          <w:kern w:val="0"/>
          <w:sz w:val="24"/>
        </w:rPr>
      </w:pPr>
      <w:r w:rsidRPr="000D7474">
        <w:rPr>
          <w:rFonts w:asciiTheme="minorEastAsia" w:eastAsiaTheme="minorEastAsia" w:hAnsiTheme="minorEastAsia"/>
          <w:b/>
          <w:bCs/>
          <w:color w:themeColor="text1" w:val="000000"/>
          <w:kern w:val="0"/>
          <w:sz w:val="24"/>
        </w:rPr>
        <w:t/>
      </w:r>
      <w:proofErr w:type="spellStart"/>
      <w:r w:rsidRPr="000D7474">
        <w:rPr>
          <w:rFonts w:asciiTheme="minorEastAsia" w:eastAsiaTheme="minorEastAsia" w:hAnsiTheme="minorEastAsia"/>
          <w:b/>
          <w:bCs/>
          <w:color w:themeColor="text1" w:val="000000"/>
          <w:kern w:val="0"/>
          <w:sz w:val="24"/>
        </w:rPr>
        <w:t/>
      </w:r>
      <w:proofErr w:type="spellEnd"/>
      <w:r w:rsidRPr="000D7474">
        <w:rPr>
          <w:rFonts w:asciiTheme="minorEastAsia" w:eastAsiaTheme="minorEastAsia" w:hAnsiTheme="minorEastAsia"/>
          <w:b/>
          <w:bCs/>
          <w:color w:themeColor="text1" w:val="000000"/>
          <w:kern w:val="0"/>
          <w:sz w:val="24"/>
        </w:rPr>
        <w:t/>
      </w:r>
      <w:r w:rsidRPr="000D7474">
        <w:rPr>
          <w:rFonts w:asciiTheme="minorEastAsia" w:eastAsiaTheme="minorEastAsia" w:hAnsiTheme="minorEastAsia" w:hint="eastAsia"/>
          <w:b/>
          <w:bCs/>
          <w:color w:themeColor="text1" w:val="000000"/>
          <w:kern w:val="0"/>
          <w:sz w:val="24"/>
        </w:rPr>
        <w:t>5.2.1报告期末按行业分类的境内股票投资组合</w:t>
      </w:r>
    </w:p>
    <w:tbl>
      <w:tblPr>
        <w:tblW w:type="dxa" w:w="8976"/>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85"/>
        <w:gridCol w:w="3691"/>
        <w:gridCol w:w="2852"/>
        <w:gridCol w:w="1648"/>
      </w:tblGrid>
      <w:tr w:rsidR="00737AB0" w:rsidRPr="008C2A4F" w:rsidTr="00EF063B">
        <w:trPr>
          <w:trHeight w:val="390"/>
        </w:trPr>
        <w:tc>
          <w:tcPr>
            <w:tcW w:type="dxa" w:w="785"/>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代码</w:t>
            </w: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行业类别</w:t>
            </w:r>
          </w:p>
        </w:tc>
        <w:tc>
          <w:tcPr>
            <w:tcW w:type="dxa" w:w="2852"/>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公允价值（元）</w:t>
            </w:r>
          </w:p>
        </w:tc>
        <w:tc>
          <w:tcPr>
            <w:tcW w:type="dxa" w:w="1648"/>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占基金资产净值比例（％）</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A</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农、林、牧、渔业</w:t>
            </w:r>
          </w:p>
        </w:tc>
        <w:tc>
          <w:tcPr>
            <w:tcW w:type="dxa" w:w="2852"/>
            <w:vAlign w:val="center"/>
          </w:tcPr>
          <w:p w:rsidP="00D94F96" w:rsidR="00737AB0" w:rsidRDefault="00737AB0" w:rsidRPr="008C2A4F">
            <w:pPr>
              <w:autoSpaceDE w:val="0"/>
              <w:autoSpaceDN w:val="0"/>
              <w:adjustRightInd w:val="0"/>
              <w:spacing w:before="29" w:line="360" w:lineRule="auto"/>
              <w:ind w:left="15"/>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autoSpaceDE w:val="0"/>
              <w:autoSpaceDN w:val="0"/>
              <w:adjustRightInd w:val="0"/>
              <w:spacing w:before="29" w:line="360" w:lineRule="auto"/>
              <w:ind w:left="15"/>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B</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采矿业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p w:rsidP="00D94F96" w:rsidR="00737AB0" w:rsidRDefault="00737AB0" w:rsidRPr="008C2A4F">
            <w:pPr>
              <w:jc w:val="right"/>
              <w:rPr>
                <w:rFonts w:eastAsiaTheme="minorEastAsia"/>
                <w:color w:themeColor="text1" w:val="000000"/>
                <w:kern w:val="0"/>
                <w:sz w:val="24"/>
              </w:rPr>
            </w:pP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p w:rsidP="00D94F96" w:rsidR="00737AB0" w:rsidRDefault="00737AB0" w:rsidRPr="008C2A4F">
            <w:pPr>
              <w:jc w:val="right"/>
              <w:rPr>
                <w:rFonts w:eastAsiaTheme="minorEastAsia"/>
                <w:color w:themeColor="text1" w:val="000000"/>
                <w:kern w:val="0"/>
                <w:sz w:val="24"/>
              </w:rPr>
            </w:pP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C</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制造业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386,104,400.77</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70.09</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D</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电力、热力、燃气及水生产和供应业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E</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建筑业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13,029.12</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0.00</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F</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批发和零售业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11,470.24</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0.00</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G</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交通运输、仓储和邮政业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18,653.36</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0.00</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lastRenderedPageBreak/>
              <w:t>H</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住宿和餐饮业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I</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信息传输、软件和信息技术服务业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55,709.13</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0.01</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J</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金融业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K</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房地产业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L</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租赁和商务服务业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M</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科学研究和技术服务业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86,825,109.01</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15.76</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N</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水利、环境和公共设施管理业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41,958.98</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0.01</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O</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居民服务、修理和其他服务业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P</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教育</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Q</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卫生和社会工作</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r w:rsidRPr="008C2A4F">
              <w:rPr>
                <w:rFonts w:eastAsiaTheme="minorEastAsia"/>
                <w:color w:themeColor="text1" w:val="000000"/>
                <w:kern w:val="0"/>
                <w:sz w:val="24"/>
              </w:rPr>
              <w:lastRenderedPageBreak/>
              <w:t/>
            </w:r>
            <w:proofErr w:type="spellEnd"/>
            <w:r w:rsidRPr="008C2A4F">
              <w:rPr>
                <w:rFonts w:eastAsiaTheme="minorEastAsia"/>
                <w:color w:themeColor="text1" w:val="000000"/>
                <w:kern w:val="0"/>
                <w:sz w:val="24"/>
              </w:rPr>
              <w:t>46,461,802.92</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lastRenderedPageBreak/>
              <w:t/>
            </w:r>
            <w:proofErr w:type="spellStart"/>
            <w:r w:rsidRPr="008C2A4F">
              <w:rPr>
                <w:rFonts w:eastAsiaTheme="minorEastAsia"/>
                <w:color w:themeColor="text1" w:val="000000"/>
                <w:kern w:val="0"/>
                <w:sz w:val="24"/>
              </w:rPr>
              <w:t/>
            </w:r>
            <w:r w:rsidRPr="008C2A4F">
              <w:rPr>
                <w:rFonts w:eastAsiaTheme="minorEastAsia"/>
                <w:color w:themeColor="text1" w:val="000000"/>
                <w:kern w:val="0"/>
                <w:sz w:val="24"/>
              </w:rPr>
              <w:lastRenderedPageBreak/>
              <w:t/>
            </w:r>
            <w:proofErr w:type="spellEnd"/>
            <w:r w:rsidRPr="008C2A4F">
              <w:rPr>
                <w:rFonts w:eastAsiaTheme="minorEastAsia"/>
                <w:color w:themeColor="text1" w:val="000000"/>
                <w:kern w:val="0"/>
                <w:sz w:val="24"/>
              </w:rPr>
              <w:t>8.43</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lastRenderedPageBreak/>
              <w:t>R</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文化、体育和娱乐业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18,005.92</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0.00</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S</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综合</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合计</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519,550,139.45</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94.32</w:t>
            </w:r>
          </w:p>
        </w:tc>
      </w:tr>
    </w:tbl>
    <w:p w:rsidP="000F2837" w:rsidR="000F2837" w:rsidRDefault="001C36D8" w:rsidRPr="000F2837">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5.3</w:t>
      </w:r>
      <w:r w:rsidR="00291A74" w:rsidRPr="00291A74">
        <w:rPr>
          <w:rFonts w:ascii="宋体" w:cs="Arial" w:hAnsi="宋体" w:hint="eastAsia"/>
          <w:b/>
          <w:color w:val="000000"/>
          <w:kern w:val="0"/>
          <w:sz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0F2837" w:rsidRPr="00264E55" w:rsidTr="002406DE">
        <w:tc>
          <w:tcPr>
            <w:tcW w:type="dxa" w:w="851"/>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序号</w:t>
            </w:r>
          </w:p>
        </w:tc>
        <w:tc>
          <w:tcPr>
            <w:tcW w:type="dxa" w:w="1276"/>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股票代码</w:t>
            </w:r>
          </w:p>
        </w:tc>
        <w:tc>
          <w:tcPr>
            <w:tcW w:type="dxa" w:w="1418"/>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股票名称</w:t>
            </w:r>
          </w:p>
        </w:tc>
        <w:tc>
          <w:tcPr>
            <w:tcW w:type="dxa" w:w="1701"/>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数量（股）</w:t>
            </w:r>
          </w:p>
        </w:tc>
        <w:tc>
          <w:tcPr>
            <w:tcW w:type="dxa" w:w="1984"/>
            <w:vAlign w:val="center"/>
          </w:tcPr>
          <w:p w:rsidP="002406DE" w:rsidR="000F2837" w:rsidRDefault="000F2837" w:rsidRPr="00232B03">
            <w:pPr>
              <w:autoSpaceDE w:val="0"/>
              <w:autoSpaceDN w:val="0"/>
              <w:adjustRightInd w:val="0"/>
              <w:spacing w:before="29" w:line="360" w:lineRule="auto"/>
              <w:ind w:left="17"/>
              <w:jc w:val="center"/>
              <w:rPr>
                <w:color w:val="000000"/>
                <w:kern w:val="0"/>
                <w:sz w:val="24"/>
              </w:rPr>
            </w:pPr>
            <w:r w:rsidRPr="00232B03">
              <w:rPr>
                <w:color w:val="000000"/>
                <w:kern w:val="0"/>
                <w:sz w:val="24"/>
              </w:rPr>
              <w:t>公允价值（元）</w:t>
            </w:r>
          </w:p>
        </w:tc>
        <w:tc>
          <w:tcPr>
            <w:tcW w:type="dxa" w:w="1559"/>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占基金资产净值比例（％）</w:t>
            </w:r>
          </w:p>
        </w:tc>
      </w:tr>
      <w:tr>
        <w:tc>
          <w:tcPr>
            <w:vAlign w:val="center"/>
          </w:tcPr>
          <w:p>
            <w:pPr>
              <w:jc w:val="center"/>
            </w:pPr>
            <w:r>
              <w:rPr>
                <w:color w:val="000000"/>
                <w:kern w:val="0"/>
                <w:sz w:val="24"/>
              </w:rPr>
              <w:t>1</w:t>
            </w:r>
          </w:p>
        </w:tc>
        <w:tc>
          <w:tcPr>
            <w:vAlign w:val="center"/>
          </w:tcPr>
          <w:p>
            <w:pPr>
              <w:jc w:val="center"/>
            </w:pPr>
            <w:r>
              <w:rPr>
                <w:color w:val="000000"/>
                <w:kern w:val="0"/>
                <w:sz w:val="24"/>
              </w:rPr>
              <w:t>603259</w:t>
            </w:r>
          </w:p>
        </w:tc>
        <w:tc>
          <w:tcPr>
            <w:vAlign w:val="center"/>
          </w:tcPr>
          <w:p>
            <w:pPr>
              <w:jc w:val="center"/>
            </w:pPr>
            <w:r>
              <w:rPr>
                <w:color w:val="000000"/>
                <w:kern w:val="0"/>
                <w:sz w:val="24"/>
              </w:rPr>
              <w:t>药明康德</w:t>
            </w:r>
          </w:p>
        </w:tc>
        <w:tc>
          <w:tcPr>
            <w:vAlign w:val="center"/>
          </w:tcPr>
          <w:p>
            <w:pPr>
              <w:jc w:val="right"/>
            </w:pPr>
            <w:r>
              <w:rPr>
                <w:color w:val="000000"/>
                <w:kern w:val="0"/>
                <w:sz w:val="24"/>
              </w:rPr>
              <w:t>528,484</w:t>
            </w:r>
          </w:p>
        </w:tc>
        <w:tc>
          <w:tcPr>
            <w:vAlign w:val="center"/>
          </w:tcPr>
          <w:p>
            <w:pPr>
              <w:jc w:val="right"/>
            </w:pPr>
            <w:r>
              <w:rPr>
                <w:color w:val="000000"/>
                <w:kern w:val="0"/>
                <w:sz w:val="24"/>
              </w:rPr>
              <w:t>53,641,126.00</w:t>
            </w:r>
          </w:p>
        </w:tc>
        <w:tc>
          <w:tcPr>
            <w:vAlign w:val="center"/>
          </w:tcPr>
          <w:p>
            <w:pPr>
              <w:jc w:val="right"/>
            </w:pPr>
            <w:r>
              <w:rPr>
                <w:color w:val="000000"/>
                <w:kern w:val="0"/>
                <w:sz w:val="24"/>
              </w:rPr>
              <w:t>9.74</w:t>
            </w:r>
          </w:p>
        </w:tc>
      </w:tr>
      <w:tr>
        <w:tc>
          <w:tcPr>
            <w:vAlign w:val="center"/>
          </w:tcPr>
          <w:p>
            <w:pPr>
              <w:jc w:val="center"/>
            </w:pPr>
            <w:r>
              <w:rPr>
                <w:color w:val="000000"/>
                <w:kern w:val="0"/>
                <w:sz w:val="24"/>
              </w:rPr>
              <w:t>2</w:t>
            </w:r>
          </w:p>
        </w:tc>
        <w:tc>
          <w:tcPr>
            <w:vAlign w:val="center"/>
          </w:tcPr>
          <w:p>
            <w:pPr>
              <w:jc w:val="center"/>
            </w:pPr>
            <w:r>
              <w:rPr>
                <w:color w:val="000000"/>
                <w:kern w:val="0"/>
                <w:sz w:val="24"/>
              </w:rPr>
              <w:t>300122</w:t>
            </w:r>
          </w:p>
        </w:tc>
        <w:tc>
          <w:tcPr>
            <w:vAlign w:val="center"/>
          </w:tcPr>
          <w:p>
            <w:pPr>
              <w:jc w:val="center"/>
            </w:pPr>
            <w:r>
              <w:rPr>
                <w:color w:val="000000"/>
                <w:kern w:val="0"/>
                <w:sz w:val="24"/>
              </w:rPr>
              <w:t>智飞生物</w:t>
            </w:r>
          </w:p>
        </w:tc>
        <w:tc>
          <w:tcPr>
            <w:vAlign w:val="center"/>
          </w:tcPr>
          <w:p>
            <w:pPr>
              <w:jc w:val="right"/>
            </w:pPr>
            <w:r>
              <w:rPr>
                <w:color w:val="000000"/>
                <w:kern w:val="0"/>
                <w:sz w:val="24"/>
              </w:rPr>
              <w:t>383,954</w:t>
            </w:r>
          </w:p>
        </w:tc>
        <w:tc>
          <w:tcPr>
            <w:vAlign w:val="center"/>
          </w:tcPr>
          <w:p>
            <w:pPr>
              <w:jc w:val="right"/>
            </w:pPr>
            <w:r>
              <w:rPr>
                <w:color w:val="000000"/>
                <w:kern w:val="0"/>
                <w:sz w:val="24"/>
              </w:rPr>
              <w:t>53,488,631.74</w:t>
            </w:r>
          </w:p>
        </w:tc>
        <w:tc>
          <w:tcPr>
            <w:vAlign w:val="center"/>
          </w:tcPr>
          <w:p>
            <w:pPr>
              <w:jc w:val="right"/>
            </w:pPr>
            <w:r>
              <w:rPr>
                <w:color w:val="000000"/>
                <w:kern w:val="0"/>
                <w:sz w:val="24"/>
              </w:rPr>
              <w:t>9.71</w:t>
            </w:r>
          </w:p>
        </w:tc>
      </w:tr>
      <w:tr>
        <w:tc>
          <w:tcPr>
            <w:vAlign w:val="center"/>
          </w:tcPr>
          <w:p>
            <w:pPr>
              <w:jc w:val="center"/>
            </w:pPr>
            <w:r>
              <w:rPr>
                <w:color w:val="000000"/>
                <w:kern w:val="0"/>
                <w:sz w:val="24"/>
              </w:rPr>
              <w:t>3</w:t>
            </w:r>
          </w:p>
        </w:tc>
        <w:tc>
          <w:tcPr>
            <w:vAlign w:val="center"/>
          </w:tcPr>
          <w:p>
            <w:pPr>
              <w:jc w:val="center"/>
            </w:pPr>
            <w:r>
              <w:rPr>
                <w:color w:val="000000"/>
                <w:kern w:val="0"/>
                <w:sz w:val="24"/>
              </w:rPr>
              <w:t>000661</w:t>
            </w:r>
          </w:p>
        </w:tc>
        <w:tc>
          <w:tcPr>
            <w:vAlign w:val="center"/>
          </w:tcPr>
          <w:p>
            <w:pPr>
              <w:jc w:val="center"/>
            </w:pPr>
            <w:r>
              <w:rPr>
                <w:color w:val="000000"/>
                <w:kern w:val="0"/>
                <w:sz w:val="24"/>
              </w:rPr>
              <w:t>长春高新</w:t>
            </w:r>
          </w:p>
        </w:tc>
        <w:tc>
          <w:tcPr>
            <w:vAlign w:val="center"/>
          </w:tcPr>
          <w:p>
            <w:pPr>
              <w:jc w:val="right"/>
            </w:pPr>
            <w:r>
              <w:rPr>
                <w:color w:val="000000"/>
                <w:kern w:val="0"/>
                <w:sz w:val="24"/>
              </w:rPr>
              <w:t>130,812</w:t>
            </w:r>
          </w:p>
        </w:tc>
        <w:tc>
          <w:tcPr>
            <w:vAlign w:val="center"/>
          </w:tcPr>
          <w:p>
            <w:pPr>
              <w:jc w:val="right"/>
            </w:pPr>
            <w:r>
              <w:rPr>
                <w:color w:val="000000"/>
                <w:kern w:val="0"/>
                <w:sz w:val="24"/>
              </w:rPr>
              <w:t>48,353,347.68</w:t>
            </w:r>
          </w:p>
        </w:tc>
        <w:tc>
          <w:tcPr>
            <w:vAlign w:val="center"/>
          </w:tcPr>
          <w:p>
            <w:pPr>
              <w:jc w:val="right"/>
            </w:pPr>
            <w:r>
              <w:rPr>
                <w:color w:val="000000"/>
                <w:kern w:val="0"/>
                <w:sz w:val="24"/>
              </w:rPr>
              <w:t>8.78</w:t>
            </w:r>
          </w:p>
        </w:tc>
      </w:tr>
      <w:tr>
        <w:tc>
          <w:tcPr>
            <w:vAlign w:val="center"/>
          </w:tcPr>
          <w:p>
            <w:pPr>
              <w:jc w:val="center"/>
            </w:pPr>
            <w:r>
              <w:rPr>
                <w:color w:val="000000"/>
                <w:kern w:val="0"/>
                <w:sz w:val="24"/>
              </w:rPr>
              <w:t>4</w:t>
            </w:r>
          </w:p>
        </w:tc>
        <w:tc>
          <w:tcPr>
            <w:vAlign w:val="center"/>
          </w:tcPr>
          <w:p>
            <w:pPr>
              <w:jc w:val="center"/>
            </w:pPr>
            <w:r>
              <w:rPr>
                <w:color w:val="000000"/>
                <w:kern w:val="0"/>
                <w:sz w:val="24"/>
              </w:rPr>
              <w:t>300142</w:t>
            </w:r>
          </w:p>
        </w:tc>
        <w:tc>
          <w:tcPr>
            <w:vAlign w:val="center"/>
          </w:tcPr>
          <w:p>
            <w:pPr>
              <w:jc w:val="center"/>
            </w:pPr>
            <w:r>
              <w:rPr>
                <w:color w:val="000000"/>
                <w:kern w:val="0"/>
                <w:sz w:val="24"/>
              </w:rPr>
              <w:t>沃森生物</w:t>
            </w:r>
          </w:p>
        </w:tc>
        <w:tc>
          <w:tcPr>
            <w:vAlign w:val="center"/>
          </w:tcPr>
          <w:p>
            <w:pPr>
              <w:jc w:val="right"/>
            </w:pPr>
            <w:r>
              <w:rPr>
                <w:color w:val="000000"/>
                <w:kern w:val="0"/>
                <w:sz w:val="24"/>
              </w:rPr>
              <w:t>897,577</w:t>
            </w:r>
          </w:p>
        </w:tc>
        <w:tc>
          <w:tcPr>
            <w:vAlign w:val="center"/>
          </w:tcPr>
          <w:p>
            <w:pPr>
              <w:jc w:val="right"/>
            </w:pPr>
            <w:r>
              <w:rPr>
                <w:color w:val="000000"/>
                <w:kern w:val="0"/>
                <w:sz w:val="24"/>
              </w:rPr>
              <w:t>45,668,717.76</w:t>
            </w:r>
          </w:p>
        </w:tc>
        <w:tc>
          <w:tcPr>
            <w:vAlign w:val="center"/>
          </w:tcPr>
          <w:p>
            <w:pPr>
              <w:jc w:val="right"/>
            </w:pPr>
            <w:r>
              <w:rPr>
                <w:color w:val="000000"/>
                <w:kern w:val="0"/>
                <w:sz w:val="24"/>
              </w:rPr>
              <w:t>8.29</w:t>
            </w:r>
          </w:p>
        </w:tc>
      </w:tr>
      <w:tr>
        <w:tc>
          <w:tcPr>
            <w:vAlign w:val="center"/>
          </w:tcPr>
          <w:p>
            <w:pPr>
              <w:jc w:val="center"/>
            </w:pPr>
            <w:r>
              <w:rPr>
                <w:color w:val="000000"/>
                <w:kern w:val="0"/>
                <w:sz w:val="24"/>
              </w:rPr>
              <w:t>5</w:t>
            </w:r>
          </w:p>
        </w:tc>
        <w:tc>
          <w:tcPr>
            <w:vAlign w:val="center"/>
          </w:tcPr>
          <w:p>
            <w:pPr>
              <w:jc w:val="center"/>
            </w:pPr>
            <w:r>
              <w:rPr>
                <w:color w:val="000000"/>
                <w:kern w:val="0"/>
                <w:sz w:val="24"/>
              </w:rPr>
              <w:t>002007</w:t>
            </w:r>
          </w:p>
        </w:tc>
        <w:tc>
          <w:tcPr>
            <w:vAlign w:val="center"/>
          </w:tcPr>
          <w:p>
            <w:pPr>
              <w:jc w:val="center"/>
            </w:pPr>
            <w:r>
              <w:rPr>
                <w:color w:val="000000"/>
                <w:kern w:val="0"/>
                <w:sz w:val="24"/>
              </w:rPr>
              <w:t>华兰生物</w:t>
            </w:r>
          </w:p>
        </w:tc>
        <w:tc>
          <w:tcPr>
            <w:vAlign w:val="center"/>
          </w:tcPr>
          <w:p>
            <w:pPr>
              <w:jc w:val="right"/>
            </w:pPr>
            <w:r>
              <w:rPr>
                <w:color w:val="000000"/>
                <w:kern w:val="0"/>
                <w:sz w:val="24"/>
              </w:rPr>
              <w:t>656,704</w:t>
            </w:r>
          </w:p>
        </w:tc>
        <w:tc>
          <w:tcPr>
            <w:vAlign w:val="center"/>
          </w:tcPr>
          <w:p>
            <w:pPr>
              <w:jc w:val="right"/>
            </w:pPr>
            <w:r>
              <w:rPr>
                <w:color w:val="000000"/>
                <w:kern w:val="0"/>
                <w:sz w:val="24"/>
              </w:rPr>
              <w:t>37,425,560.96</w:t>
            </w:r>
          </w:p>
        </w:tc>
        <w:tc>
          <w:tcPr>
            <w:vAlign w:val="center"/>
          </w:tcPr>
          <w:p>
            <w:pPr>
              <w:jc w:val="right"/>
            </w:pPr>
            <w:r>
              <w:rPr>
                <w:color w:val="000000"/>
                <w:kern w:val="0"/>
                <w:sz w:val="24"/>
              </w:rPr>
              <w:t>6.79</w:t>
            </w:r>
          </w:p>
        </w:tc>
      </w:tr>
      <w:tr>
        <w:tc>
          <w:tcPr>
            <w:vAlign w:val="center"/>
          </w:tcPr>
          <w:p>
            <w:pPr>
              <w:jc w:val="center"/>
            </w:pPr>
            <w:r>
              <w:rPr>
                <w:color w:val="000000"/>
                <w:kern w:val="0"/>
                <w:sz w:val="24"/>
              </w:rPr>
              <w:t>6</w:t>
            </w:r>
          </w:p>
        </w:tc>
        <w:tc>
          <w:tcPr>
            <w:vAlign w:val="center"/>
          </w:tcPr>
          <w:p>
            <w:pPr>
              <w:jc w:val="center"/>
            </w:pPr>
            <w:r>
              <w:rPr>
                <w:color w:val="000000"/>
                <w:kern w:val="0"/>
                <w:sz w:val="24"/>
              </w:rPr>
              <w:t>300601</w:t>
            </w:r>
          </w:p>
        </w:tc>
        <w:tc>
          <w:tcPr>
            <w:vAlign w:val="center"/>
          </w:tcPr>
          <w:p>
            <w:pPr>
              <w:jc w:val="center"/>
            </w:pPr>
            <w:r>
              <w:rPr>
                <w:color w:val="000000"/>
                <w:kern w:val="0"/>
                <w:sz w:val="24"/>
              </w:rPr>
              <w:t>康泰生物</w:t>
            </w:r>
          </w:p>
        </w:tc>
        <w:tc>
          <w:tcPr>
            <w:vAlign w:val="center"/>
          </w:tcPr>
          <w:p>
            <w:pPr>
              <w:jc w:val="right"/>
            </w:pPr>
            <w:r>
              <w:rPr>
                <w:color w:val="000000"/>
                <w:kern w:val="0"/>
                <w:sz w:val="24"/>
              </w:rPr>
              <w:t>201,785</w:t>
            </w:r>
          </w:p>
        </w:tc>
        <w:tc>
          <w:tcPr>
            <w:vAlign w:val="center"/>
          </w:tcPr>
          <w:p>
            <w:pPr>
              <w:jc w:val="right"/>
            </w:pPr>
            <w:r>
              <w:rPr>
                <w:color w:val="000000"/>
                <w:kern w:val="0"/>
                <w:sz w:val="24"/>
              </w:rPr>
              <w:t>36,726,887.85</w:t>
            </w:r>
          </w:p>
        </w:tc>
        <w:tc>
          <w:tcPr>
            <w:vAlign w:val="center"/>
          </w:tcPr>
          <w:p>
            <w:pPr>
              <w:jc w:val="right"/>
            </w:pPr>
            <w:r>
              <w:rPr>
                <w:color w:val="000000"/>
                <w:kern w:val="0"/>
                <w:sz w:val="24"/>
              </w:rPr>
              <w:t>6.67</w:t>
            </w:r>
          </w:p>
        </w:tc>
      </w:tr>
      <w:tr>
        <w:tc>
          <w:tcPr>
            <w:vAlign w:val="center"/>
          </w:tcPr>
          <w:p>
            <w:pPr>
              <w:jc w:val="center"/>
            </w:pPr>
            <w:r>
              <w:rPr>
                <w:color w:val="000000"/>
                <w:kern w:val="0"/>
                <w:sz w:val="24"/>
              </w:rPr>
              <w:t>7</w:t>
            </w:r>
          </w:p>
        </w:tc>
        <w:tc>
          <w:tcPr>
            <w:vAlign w:val="center"/>
          </w:tcPr>
          <w:p>
            <w:pPr>
              <w:jc w:val="center"/>
            </w:pPr>
            <w:r>
              <w:rPr>
                <w:color w:val="000000"/>
                <w:kern w:val="0"/>
                <w:sz w:val="24"/>
              </w:rPr>
              <w:t>300347</w:t>
            </w:r>
          </w:p>
        </w:tc>
        <w:tc>
          <w:tcPr>
            <w:vAlign w:val="center"/>
          </w:tcPr>
          <w:p>
            <w:pPr>
              <w:jc w:val="center"/>
            </w:pPr>
            <w:r>
              <w:rPr>
                <w:color w:val="000000"/>
                <w:kern w:val="0"/>
                <w:sz w:val="24"/>
              </w:rPr>
              <w:t>泰格医药</w:t>
            </w:r>
          </w:p>
        </w:tc>
        <w:tc>
          <w:tcPr>
            <w:vAlign w:val="center"/>
          </w:tcPr>
          <w:p>
            <w:pPr>
              <w:jc w:val="right"/>
            </w:pPr>
            <w:r>
              <w:rPr>
                <w:color w:val="000000"/>
                <w:kern w:val="0"/>
                <w:sz w:val="24"/>
              </w:rPr>
              <w:t>314,760</w:t>
            </w:r>
          </w:p>
        </w:tc>
        <w:tc>
          <w:tcPr>
            <w:vAlign w:val="center"/>
          </w:tcPr>
          <w:p>
            <w:pPr>
              <w:jc w:val="right"/>
            </w:pPr>
            <w:r>
              <w:rPr>
                <w:color w:val="000000"/>
                <w:kern w:val="0"/>
                <w:sz w:val="24"/>
              </w:rPr>
              <w:t>32,404,542.00</w:t>
            </w:r>
          </w:p>
        </w:tc>
        <w:tc>
          <w:tcPr>
            <w:vAlign w:val="center"/>
          </w:tcPr>
          <w:p>
            <w:pPr>
              <w:jc w:val="right"/>
            </w:pPr>
            <w:r>
              <w:rPr>
                <w:color w:val="000000"/>
                <w:kern w:val="0"/>
                <w:sz w:val="24"/>
              </w:rPr>
              <w:t>5.88</w:t>
            </w:r>
          </w:p>
        </w:tc>
      </w:tr>
      <w:tr>
        <w:tc>
          <w:tcPr>
            <w:vAlign w:val="center"/>
          </w:tcPr>
          <w:p>
            <w:pPr>
              <w:jc w:val="center"/>
            </w:pPr>
            <w:r>
              <w:rPr>
                <w:color w:val="000000"/>
                <w:kern w:val="0"/>
                <w:sz w:val="24"/>
              </w:rPr>
              <w:t>8</w:t>
            </w:r>
          </w:p>
        </w:tc>
        <w:tc>
          <w:tcPr>
            <w:vAlign w:val="center"/>
          </w:tcPr>
          <w:p>
            <w:pPr>
              <w:jc w:val="center"/>
            </w:pPr>
            <w:r>
              <w:rPr>
                <w:color w:val="000000"/>
                <w:kern w:val="0"/>
                <w:sz w:val="24"/>
              </w:rPr>
              <w:t>600161</w:t>
            </w:r>
          </w:p>
        </w:tc>
        <w:tc>
          <w:tcPr>
            <w:vAlign w:val="center"/>
          </w:tcPr>
          <w:p>
            <w:pPr>
              <w:jc w:val="center"/>
            </w:pPr>
            <w:r>
              <w:rPr>
                <w:color w:val="000000"/>
                <w:kern w:val="0"/>
                <w:sz w:val="24"/>
              </w:rPr>
              <w:t>天坛生物</w:t>
            </w:r>
          </w:p>
        </w:tc>
        <w:tc>
          <w:tcPr>
            <w:vAlign w:val="center"/>
          </w:tcPr>
          <w:p>
            <w:pPr>
              <w:jc w:val="right"/>
            </w:pPr>
            <w:r>
              <w:rPr>
                <w:color w:val="000000"/>
                <w:kern w:val="0"/>
                <w:sz w:val="24"/>
              </w:rPr>
              <w:t>376,328</w:t>
            </w:r>
          </w:p>
        </w:tc>
        <w:tc>
          <w:tcPr>
            <w:vAlign w:val="center"/>
          </w:tcPr>
          <w:p>
            <w:pPr>
              <w:jc w:val="right"/>
            </w:pPr>
            <w:r>
              <w:rPr>
                <w:color w:val="000000"/>
                <w:kern w:val="0"/>
                <w:sz w:val="24"/>
              </w:rPr>
              <w:t>14,959,038.00</w:t>
            </w:r>
          </w:p>
        </w:tc>
        <w:tc>
          <w:tcPr>
            <w:vAlign w:val="center"/>
          </w:tcPr>
          <w:p>
            <w:pPr>
              <w:jc w:val="right"/>
            </w:pPr>
            <w:r>
              <w:rPr>
                <w:color w:val="000000"/>
                <w:kern w:val="0"/>
                <w:sz w:val="24"/>
              </w:rPr>
              <w:t>2.72</w:t>
            </w:r>
          </w:p>
        </w:tc>
      </w:tr>
      <w:tr>
        <w:tc>
          <w:tcPr>
            <w:vAlign w:val="center"/>
          </w:tcPr>
          <w:p>
            <w:pPr>
              <w:jc w:val="center"/>
            </w:pPr>
            <w:r>
              <w:rPr>
                <w:color w:val="000000"/>
                <w:kern w:val="0"/>
                <w:sz w:val="24"/>
              </w:rPr>
              <w:t>9</w:t>
            </w:r>
          </w:p>
        </w:tc>
        <w:tc>
          <w:tcPr>
            <w:vAlign w:val="center"/>
          </w:tcPr>
          <w:p>
            <w:pPr>
              <w:jc w:val="center"/>
            </w:pPr>
            <w:r>
              <w:rPr>
                <w:color w:val="000000"/>
                <w:kern w:val="0"/>
                <w:sz w:val="24"/>
              </w:rPr>
              <w:t>603882</w:t>
            </w:r>
          </w:p>
        </w:tc>
        <w:tc>
          <w:tcPr>
            <w:vAlign w:val="center"/>
          </w:tcPr>
          <w:p>
            <w:pPr>
              <w:jc w:val="center"/>
            </w:pPr>
            <w:r>
              <w:rPr>
                <w:color w:val="000000"/>
                <w:kern w:val="0"/>
                <w:sz w:val="24"/>
              </w:rPr>
              <w:t>金域医学</w:t>
            </w:r>
          </w:p>
        </w:tc>
        <w:tc>
          <w:tcPr>
            <w:vAlign w:val="center"/>
          </w:tcPr>
          <w:p>
            <w:pPr>
              <w:jc w:val="right"/>
            </w:pPr>
            <w:r>
              <w:rPr>
                <w:color w:val="000000"/>
                <w:kern w:val="0"/>
                <w:sz w:val="24"/>
              </w:rPr>
              <w:t>137,439</w:t>
            </w:r>
          </w:p>
        </w:tc>
        <w:tc>
          <w:tcPr>
            <w:vAlign w:val="center"/>
          </w:tcPr>
          <w:p>
            <w:pPr>
              <w:jc w:val="right"/>
            </w:pPr>
            <w:r>
              <w:rPr>
                <w:color w:val="000000"/>
                <w:kern w:val="0"/>
                <w:sz w:val="24"/>
              </w:rPr>
              <w:t>14,057,260.92</w:t>
            </w:r>
          </w:p>
        </w:tc>
        <w:tc>
          <w:tcPr>
            <w:vAlign w:val="center"/>
          </w:tcPr>
          <w:p>
            <w:pPr>
              <w:jc w:val="right"/>
            </w:pPr>
            <w:r>
              <w:rPr>
                <w:color w:val="000000"/>
                <w:kern w:val="0"/>
                <w:sz w:val="24"/>
              </w:rPr>
              <w:t>2.55</w:t>
            </w:r>
          </w:p>
        </w:tc>
      </w:tr>
      <w:tr>
        <w:tc>
          <w:tcPr>
            <w:vAlign w:val="center"/>
          </w:tcPr>
          <w:p>
            <w:pPr>
              <w:jc w:val="center"/>
            </w:pPr>
            <w:r>
              <w:rPr>
                <w:color w:val="000000"/>
                <w:kern w:val="0"/>
                <w:sz w:val="24"/>
              </w:rPr>
              <w:t>10</w:t>
            </w:r>
          </w:p>
        </w:tc>
        <w:tc>
          <w:tcPr>
            <w:vAlign w:val="center"/>
          </w:tcPr>
          <w:p>
            <w:pPr>
              <w:jc w:val="center"/>
            </w:pPr>
            <w:r>
              <w:rPr>
                <w:color w:val="000000"/>
                <w:kern w:val="0"/>
                <w:sz w:val="24"/>
              </w:rPr>
              <w:t>300676</w:t>
            </w:r>
          </w:p>
        </w:tc>
        <w:tc>
          <w:tcPr>
            <w:vAlign w:val="center"/>
          </w:tcPr>
          <w:p>
            <w:pPr>
              <w:jc w:val="center"/>
            </w:pPr>
            <w:r>
              <w:rPr>
                <w:color w:val="000000"/>
                <w:kern w:val="0"/>
                <w:sz w:val="24"/>
              </w:rPr>
              <w:t>华大基因</w:t>
            </w:r>
          </w:p>
        </w:tc>
        <w:tc>
          <w:tcPr>
            <w:vAlign w:val="center"/>
          </w:tcPr>
          <w:p>
            <w:pPr>
              <w:jc w:val="right"/>
            </w:pPr>
            <w:r>
              <w:rPr>
                <w:color w:val="000000"/>
                <w:kern w:val="0"/>
                <w:sz w:val="24"/>
              </w:rPr>
              <w:t>96,100</w:t>
            </w:r>
          </w:p>
        </w:tc>
        <w:tc>
          <w:tcPr>
            <w:vAlign w:val="center"/>
          </w:tcPr>
          <w:p>
            <w:pPr>
              <w:jc w:val="right"/>
            </w:pPr>
            <w:r>
              <w:rPr>
                <w:color w:val="000000"/>
                <w:kern w:val="0"/>
                <w:sz w:val="24"/>
              </w:rPr>
              <w:t>13,833,595.00</w:t>
            </w:r>
          </w:p>
        </w:tc>
        <w:tc>
          <w:tcPr>
            <w:vAlign w:val="center"/>
          </w:tcPr>
          <w:p>
            <w:pPr>
              <w:jc w:val="right"/>
            </w:pPr>
            <w:r>
              <w:rPr>
                <w:color w:val="000000"/>
                <w:kern w:val="0"/>
                <w:sz w:val="24"/>
              </w:rPr>
              <w:t>2.51</w:t>
            </w:r>
          </w:p>
        </w:tc>
      </w:tr>
    </w:tbl>
    <w:p w:rsidP="00653BAC" w:rsidR="00653BAC" w:rsidRDefault="001C36D8" w:rsidRPr="00653BAC">
      <w:pPr>
        <w:autoSpaceDE w:val="0"/>
        <w:autoSpaceDN w:val="0"/>
        <w:adjustRightInd w:val="0"/>
        <w:spacing w:line="360" w:lineRule="auto"/>
        <w:jc w:val="left"/>
        <w:rPr>
          <w:rFonts w:eastAsiaTheme="minorEastAsia"/>
          <w:b/>
          <w:color w:themeColor="text1" w:val="000000"/>
          <w:kern w:val="0"/>
          <w:sz w:val="24"/>
        </w:rPr>
      </w:pPr>
      <w:r w:rsidRPr="00272E0C">
        <w:rPr>
          <w:rFonts w:ascii="宋体" w:cs="Arial" w:hAnsi="宋体"/>
          <w:b/>
          <w:color w:val="000000"/>
          <w:kern w:val="0"/>
          <w:sz w:val="24"/>
        </w:rPr>
        <w:t xml:space="preserve">5.4 </w:t>
      </w:r>
      <w:r w:rsidRPr="00272E0C">
        <w:rPr>
          <w:rFonts w:ascii="宋体" w:cs="Arial" w:hAnsi="宋体" w:hint="eastAsia"/>
          <w:b/>
          <w:color w:val="000000"/>
          <w:kern w:val="0"/>
          <w:sz w:val="24"/>
        </w:rPr>
        <w:t>报告期末按债券品种分类的债券投资组合</w:t>
      </w:r>
    </w:p>
    <w:p w:rsidP="00653BAC" w:rsidR="001C36D8" w:rsidRDefault="00653BAC" w:rsidRPr="00653BAC">
      <w:pPr>
        <w:spacing w:line="360" w:lineRule="auto"/>
        <w:ind w:firstLine="480" w:firstLineChars="200"/>
        <w:rPr>
          <w:color w:val="000000"/>
          <w:sz w:val="24"/>
        </w:rPr>
      </w:pPr>
      <w:r w:rsidRPr="00653BAC">
        <w:rPr>
          <w:color w:val="000000"/>
          <w:sz w:val="24"/>
        </w:rPr>
        <w:lastRenderedPageBreak/>
        <w:t/>
      </w:r>
      <w:proofErr w:type="spellStart"/>
      <w:r w:rsidRPr="00653BAC">
        <w:rPr>
          <w:color w:val="000000"/>
          <w:sz w:val="24"/>
        </w:rPr>
        <w:t/>
      </w:r>
      <w:proofErr w:type="spellEnd"/>
      <w:r w:rsidRPr="00653BAC">
        <w:rPr>
          <w:color w:val="000000"/>
          <w:sz w:val="24"/>
        </w:rPr>
        <w:t/>
      </w:r>
      <w:proofErr w:type="spellStart"/>
      <w:r w:rsidRPr="00653BAC">
        <w:rPr>
          <w:color w:val="000000"/>
          <w:sz w:val="24"/>
        </w:rPr>
        <w:t/>
      </w:r>
      <w:proofErr w:type="spellEnd"/>
      <w:r w:rsidRPr="00653BAC">
        <w:rPr>
          <w:color w:val="000000"/>
          <w:sz w:val="24"/>
        </w:rPr>
        <w:t>本基金本报告期末未持有债券。</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5.5 </w:t>
      </w:r>
      <w:r w:rsidRPr="00272E0C">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272E0C">
        <w:rPr>
          <w:rFonts w:ascii="宋体" w:cs="Arial" w:hAnsi="宋体" w:hint="eastAsia"/>
          <w:b/>
          <w:color w:val="000000"/>
          <w:kern w:val="0"/>
          <w:sz w:val="24"/>
        </w:rPr>
        <w:t>的前五名债券投资明细</w:t>
      </w:r>
    </w:p>
    <w:p w:rsidP="005B1E0B" w:rsidR="001C36D8" w:rsidRDefault="001C36D8" w:rsidRPr="005B1E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本基金本报告期末未持有债券。</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5.6</w:t>
      </w:r>
      <w:r w:rsidRPr="00272E0C">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272E0C">
        <w:rPr>
          <w:rFonts w:ascii="宋体" w:cs="Arial" w:hAnsi="宋体" w:hint="eastAsia"/>
          <w:b/>
          <w:color w:val="000000"/>
          <w:kern w:val="0"/>
          <w:sz w:val="24"/>
        </w:rPr>
        <w:t>的前十名资产支持证券投资明细</w:t>
      </w:r>
    </w:p>
    <w:p w:rsidP="005B1E0B" w:rsidR="001C36D8" w:rsidRDefault="001C36D8" w:rsidRPr="005B1E0B">
      <w:pPr>
        <w:spacing w:line="360" w:lineRule="auto"/>
        <w:ind w:firstLine="480" w:firstLineChars="200"/>
        <w:rPr>
          <w:color w:val="000000"/>
          <w:sz w:val="24"/>
        </w:rPr>
      </w:pPr>
      <w:r w:rsidRPr="003D22BD">
        <w:rPr>
          <w:color w:val="000000"/>
          <w:sz w:val="24"/>
        </w:rPr>
        <w:lastRenderedPageBreak/>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本基金本报告期末未持有资产支持证券。</w:t>
      </w:r>
    </w:p>
    <w:p w:rsidP="001C123E" w:rsidR="001C36D8" w:rsidRDefault="001C36D8" w:rsidRPr="001D63BB">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rPr>
        <w:t/>
      </w:r>
      <w:r w:rsidRPr="001B0A62">
        <w:rPr>
          <w:rFonts w:ascii="宋体" w:hAnsi="宋体"/>
          <w:b/>
          <w:bCs/>
          <w:color w:val="000000"/>
          <w:kern w:val="0"/>
          <w:sz w:val="24"/>
        </w:rPr>
        <w:t>5.</w:t>
      </w:r>
      <w:r>
        <w:rPr>
          <w:rFonts w:ascii="宋体" w:hAnsi="宋体"/>
          <w:b/>
          <w:bCs/>
          <w:color w:val="000000"/>
          <w:kern w:val="0"/>
          <w:sz w:val="24"/>
        </w:rPr>
        <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P="005B1E0B" w:rsidR="001C36D8" w:rsidRDefault="001C36D8" w:rsidRPr="005B1E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本基金本报告期末未持有贵金属。</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Pr>
          <w:rFonts w:ascii="宋体"/>
          <w:b/>
          <w:bCs/>
          <w:color w:val="000000"/>
          <w:kern w:val="0"/>
          <w:sz w:val="24"/>
        </w:rPr>
        <w:t/>
      </w:r>
      <w:r>
        <w:rPr>
          <w:rFonts w:ascii="宋体" w:hAnsi="宋体"/>
          <w:b/>
          <w:bCs/>
          <w:color w:val="000000"/>
          <w:kern w:val="0"/>
          <w:sz w:val="24"/>
        </w:rPr>
        <w:t/>
      </w:r>
      <w:r w:rsidRPr="001B0A62">
        <w:rPr>
          <w:rFonts w:ascii="宋体"/>
          <w:b/>
          <w:bCs/>
          <w:color w:val="000000"/>
          <w:kern w:val="0"/>
          <w:sz w:val="24"/>
        </w:rPr>
        <w:t>5.</w:t>
      </w:r>
      <w:r w:rsidRPr="001B0A62">
        <w:rPr>
          <w:rFonts w:ascii="宋体" w:hAnsi="宋体"/>
          <w:b/>
          <w:bCs/>
          <w:color w:val="000000"/>
          <w:kern w:val="0"/>
          <w:sz w:val="24"/>
        </w:rPr>
        <w:t/>
      </w:r>
      <w:r>
        <w:rPr>
          <w:rFonts w:ascii="宋体" w:hAnsi="宋体"/>
          <w:b/>
          <w:bCs/>
          <w:color w:val="000000"/>
          <w:kern w:val="0"/>
          <w:sz w:val="24"/>
        </w:rPr>
        <w:t/>
      </w:r>
      <w:r w:rsidRPr="001B0A62">
        <w:rPr>
          <w:rFonts w:ascii="宋体"/>
          <w:b/>
          <w:bCs/>
          <w:color w:val="000000"/>
          <w:kern w:val="0"/>
          <w:sz w:val="24"/>
        </w:rPr>
        <w:t>8</w:t>
      </w:r>
      <w:r w:rsidRPr="00272E0C">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272E0C">
        <w:rPr>
          <w:rFonts w:ascii="宋体" w:hAnsi="宋体" w:hint="eastAsia"/>
          <w:b/>
          <w:bCs/>
          <w:color w:val="000000"/>
          <w:sz w:val="24"/>
        </w:rPr>
        <w:t>的前五名权证投资明细</w:t>
      </w:r>
    </w:p>
    <w:p w:rsidP="005B1E0B" w:rsidR="001C36D8" w:rsidRDefault="001C36D8" w:rsidRPr="005B1E0B">
      <w:pPr>
        <w:spacing w:line="360" w:lineRule="auto"/>
        <w:ind w:firstLine="480" w:firstLineChars="200"/>
        <w:rPr>
          <w:color w:val="000000"/>
          <w:sz w:val="24"/>
        </w:rPr>
      </w:pPr>
      <w:r w:rsidRPr="003D22BD">
        <w:rPr>
          <w:color w:val="000000"/>
          <w:sz w:val="24"/>
        </w:rPr>
        <w:lastRenderedPageBreak/>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本基金本报告期末未持有权证。</w:t>
      </w:r>
    </w:p>
    <w:p w:rsidP="00E57068" w:rsidR="001C36D8" w:rsidRDefault="00B55281"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r w:rsidR="001C36D8">
        <w:rPr>
          <w:rFonts w:ascii="宋体"/>
          <w:b/>
          <w:bCs/>
          <w:color w:val="000000"/>
          <w:kern w:val="0"/>
          <w:sz w:val="24"/>
        </w:rPr>
        <w:t/>
      </w:r>
      <w:r w:rsidR="001C36D8">
        <w:rPr>
          <w:rFonts w:ascii="宋体" w:hAnsi="宋体"/>
          <w:b/>
          <w:bCs/>
          <w:color w:val="000000"/>
          <w:kern w:val="0"/>
          <w:sz w:val="24"/>
        </w:rPr>
        <w:t/>
      </w:r>
      <w:r w:rsidR="001C36D8" w:rsidRPr="001B0A62">
        <w:rPr>
          <w:rFonts w:ascii="宋体"/>
          <w:b/>
          <w:bCs/>
          <w:color w:val="000000"/>
          <w:kern w:val="0"/>
          <w:sz w:val="24"/>
        </w:rPr>
        <w:t>5.</w:t>
      </w:r>
      <w:r w:rsidR="001C36D8" w:rsidRPr="001B0A62">
        <w:rPr>
          <w:rFonts w:ascii="宋体" w:hAnsi="宋体"/>
          <w:b/>
          <w:bCs/>
          <w:color w:val="000000"/>
          <w:kern w:val="0"/>
          <w:sz w:val="24"/>
        </w:rPr>
        <w:t/>
      </w:r>
      <w:r w:rsidR="001C36D8">
        <w:rPr>
          <w:rFonts w:ascii="宋体" w:hAnsi="宋体"/>
          <w:b/>
          <w:bCs/>
          <w:color w:val="000000"/>
          <w:kern w:val="0"/>
          <w:sz w:val="24"/>
        </w:rPr>
        <w:t/>
      </w:r>
      <w:r w:rsidR="001C36D8" w:rsidRPr="001B0A62">
        <w:rPr>
          <w:rFonts w:ascii="宋体"/>
          <w:b/>
          <w:bCs/>
          <w:color w:val="000000"/>
          <w:kern w:val="0"/>
          <w:sz w:val="24"/>
        </w:rPr>
        <w:t>9</w:t>
      </w:r>
      <w:r w:rsidR="001C36D8" w:rsidRPr="00E85E29">
        <w:rPr>
          <w:rFonts w:ascii="宋体" w:hAnsi="宋体" w:hint="eastAsia"/>
          <w:b/>
          <w:sz w:val="24"/>
        </w:rPr>
        <w:t>报告期末本基金投资的股指期货交易情况说明</w:t>
      </w:r>
    </w:p>
    <w:p w:rsidP="003B3D0C" w:rsidR="003B3D0C" w:rsidRDefault="003B3D0C">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576862" w:rsidR="001C36D8" w:rsidRDefault="00B55281" w:rsidRPr="00272E0C">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r w:rsidR="001C36D8">
        <w:rPr>
          <w:rFonts w:ascii="宋体"/>
          <w:b/>
          <w:sz w:val="24"/>
        </w:rPr>
        <w:t/>
      </w:r>
      <w:r w:rsidR="001C36D8">
        <w:rPr>
          <w:rFonts w:ascii="宋体" w:hAnsi="宋体"/>
          <w:b/>
          <w:sz w:val="24"/>
        </w:rPr>
        <w:t>5</w:t>
      </w:r>
      <w:r w:rsidR="001C36D8" w:rsidRPr="00272E0C">
        <w:rPr>
          <w:rFonts w:ascii="宋体"/>
          <w:b/>
          <w:sz w:val="24"/>
        </w:rPr>
        <w:t>.</w:t>
      </w:r>
      <w:r w:rsidR="001C36D8">
        <w:rPr>
          <w:rFonts w:ascii="宋体"/>
          <w:b/>
          <w:sz w:val="24"/>
        </w:rPr>
        <w:t/>
      </w:r>
      <w:r w:rsidR="001C36D8">
        <w:rPr>
          <w:rFonts w:ascii="宋体" w:hAnsi="宋体"/>
          <w:b/>
          <w:sz w:val="24"/>
        </w:rPr>
        <w:t>10</w:t>
      </w:r>
      <w:r w:rsidR="001C36D8" w:rsidRPr="00272E0C">
        <w:rPr>
          <w:rFonts w:ascii="宋体" w:hAnsi="宋体" w:hint="eastAsia"/>
          <w:b/>
          <w:sz w:val="24"/>
        </w:rPr>
        <w:t>报告期末本基金投资的国债期货交易情况说明</w:t>
      </w:r>
    </w:p>
    <w:p w:rsidP="000C44BD" w:rsidR="000C44BD" w:rsidRDefault="000C44BD">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Pr>
          <w:rFonts w:ascii="宋体" w:cs="Arial"/>
          <w:b/>
          <w:color w:val="000000"/>
          <w:kern w:val="0"/>
          <w:sz w:val="24"/>
        </w:rPr>
        <w:t/>
      </w:r>
      <w:r>
        <w:rPr>
          <w:rFonts w:ascii="宋体" w:cs="Arial" w:hAnsi="宋体"/>
          <w:b/>
          <w:color w:val="000000"/>
          <w:kern w:val="0"/>
          <w:sz w:val="24"/>
        </w:rPr>
        <w:t>5</w:t>
      </w:r>
      <w:r w:rsidRPr="00272E0C">
        <w:rPr>
          <w:rFonts w:ascii="宋体" w:cs="Arial"/>
          <w:b/>
          <w:color w:val="000000"/>
          <w:kern w:val="0"/>
          <w:sz w:val="24"/>
        </w:rPr>
        <w:t>.</w:t>
      </w:r>
      <w:r>
        <w:rPr>
          <w:rFonts w:ascii="宋体" w:cs="Arial"/>
          <w:b/>
          <w:color w:val="000000"/>
          <w:kern w:val="0"/>
          <w:sz w:val="24"/>
        </w:rPr>
        <w:t/>
      </w:r>
      <w:r>
        <w:rPr>
          <w:rFonts w:ascii="宋体" w:cs="Arial" w:hAnsi="宋体"/>
          <w:b/>
          <w:color w:val="000000"/>
          <w:kern w:val="0"/>
          <w:sz w:val="24"/>
        </w:rPr>
        <w:t>11</w:t>
      </w:r>
      <w:r w:rsidRPr="00272E0C">
        <w:rPr>
          <w:rFonts w:ascii="宋体" w:cs="Arial" w:hAnsi="宋体" w:hint="eastAsia"/>
          <w:b/>
          <w:color w:val="000000"/>
          <w:kern w:val="0"/>
          <w:sz w:val="24"/>
        </w:rPr>
        <w:t>投资组合报告附注</w:t>
      </w:r>
    </w:p>
    <w:p w:rsidP="00576862" w:rsidR="001C36D8" w:rsidRDefault="00B60FD1" w:rsidRPr="005B1E0B">
      <w:pPr>
        <w:spacing w:line="360" w:lineRule="auto"/>
        <w:rPr>
          <w:color w:val="000000"/>
          <w:kern w:val="0"/>
          <w:sz w:val="24"/>
        </w:rPr>
      </w:pPr>
      <w:r>
        <w:rPr>
          <w:rFonts w:hint="eastAsia"/>
          <w:color w:val="000000"/>
          <w:sz w:val="24"/>
        </w:rPr>
        <w:t/>
      </w:r>
      <w:proofErr w:type="spellStart"/>
      <w:r>
        <w:rPr>
          <w:rFonts w:hint="eastAsia"/>
          <w:color w:val="000000"/>
          <w:sz w:val="24"/>
        </w:rPr>
        <w:t/>
      </w:r>
      <w:proofErr w:type="spellEnd"/>
      <w:r>
        <w:rPr>
          <w:rFonts w:hint="eastAsia"/>
          <w:color w:val="000000"/>
          <w:sz w:val="24"/>
        </w:rPr>
        <w:t/>
      </w:r>
      <w:r w:rsidR="001C36D8" w:rsidRPr="001C123E">
        <w:rPr>
          <w:rFonts w:ascii="宋体"/>
          <w:bCs/>
          <w:color w:val="000000"/>
          <w:kern w:val="0"/>
          <w:sz w:val="24"/>
        </w:rPr>
        <w:t/>
      </w:r>
      <w:r w:rsidR="001C36D8" w:rsidRPr="001C123E">
        <w:rPr>
          <w:rFonts w:ascii="宋体" w:hAnsi="宋体"/>
          <w:bCs/>
          <w:color w:val="000000"/>
          <w:kern w:val="0"/>
          <w:sz w:val="24"/>
        </w:rPr>
        <w:t>5.11.1</w:t>
      </w:r>
      <w:r w:rsidR="00D8121C">
        <w:rPr>
          <w:rFonts w:ascii="宋体" w:hAnsi="宋体" w:hint="eastAsia"/>
          <w:bCs/>
          <w:color w:val="000000"/>
          <w:kern w:val="0"/>
          <w:sz w:val="24"/>
        </w:rPr>
        <w:t xml:space="preserve"> </w:t>
      </w:r>
      <w:r w:rsidR="001C36D8" w:rsidRPr="005B1E0B">
        <w:rPr>
          <w:color w:val="000000"/>
          <w:kern w:val="0"/>
          <w:sz w:val="24"/>
        </w:rPr>
        <w:t>2019年11月15日，杭州市税务局针对杭州泰格医药科技股份有限公司以下违法违规行为：1、员工支付补充商业医疗保险，支出未并计当月的工资薪金收入代扣代缴相应的个人所得税；2、将非本公司员工的补充商业医疗保险在管理费用列支，分别处以罚款69673元和20077.24元。</w:t>
      </w:r>
    </w:p>
    <w:p>
      <w:pPr>
        <w:spacing w:line="360" w:lineRule="auto"/>
        <w:rPr>
          <w:color w:val="000000"/>
          <w:kern w:val="0"/>
          <w:sz w:val="24"/>
        </w:rPr>
      </w:pPr>
      <w:r>
        <w:rPr>
          <w:color w:val="000000"/>
          <w:kern w:val="0"/>
          <w:sz w:val="24"/>
        </w:rPr>
        <w:t>本基金为指数型基金，上述股票系标的指数成份股，上述股票的投资决策程序符合公司投资制度的规定。除泰格医药外，本基金投资的前十名证券的发行主体本期没有出现被监管部门立案调查，或在报告编制日前一年内受到公开谴责、处罚的情形。</w:t>
      </w:r>
    </w:p>
    <w:p w:rsidP="00576862" w:rsidR="001C36D8" w:rsidRDefault="00B60FD1" w:rsidRPr="005B1E0B">
      <w:pPr>
        <w:spacing w:line="360" w:lineRule="auto"/>
        <w:rPr>
          <w:color w:val="000000"/>
          <w:kern w:val="0"/>
          <w:sz w:val="24"/>
        </w:rPr>
      </w:pPr>
      <w:r>
        <w:rPr>
          <w:rFonts w:hint="eastAsia"/>
          <w:color w:val="000000"/>
          <w:sz w:val="24"/>
        </w:rPr>
        <w:t/>
      </w:r>
      <w:r w:rsidR="001C36D8" w:rsidRPr="001C123E">
        <w:rPr>
          <w:rFonts w:ascii="宋体"/>
          <w:bCs/>
          <w:color w:val="000000"/>
          <w:kern w:val="0"/>
          <w:sz w:val="24"/>
        </w:rPr>
        <w:t/>
      </w:r>
      <w:r w:rsidR="001C36D8" w:rsidRPr="001C123E">
        <w:rPr>
          <w:rFonts w:ascii="宋体" w:hAnsi="宋体"/>
          <w:bCs/>
          <w:color w:val="000000"/>
          <w:kern w:val="0"/>
          <w:sz w:val="24"/>
        </w:rPr>
        <w:t>5.11.2</w:t>
      </w:r>
      <w:r w:rsidR="00D8121C">
        <w:rPr>
          <w:rFonts w:ascii="宋体" w:hAnsi="宋体" w:hint="eastAsia"/>
          <w:bCs/>
          <w:color w:val="000000"/>
          <w:kern w:val="0"/>
          <w:sz w:val="24"/>
        </w:rPr>
        <w:t xml:space="preserve"> </w:t>
      </w:r>
      <w:r w:rsidR="001C36D8" w:rsidRPr="005B1E0B">
        <w:rPr>
          <w:color w:val="000000"/>
          <w:kern w:val="0"/>
          <w:sz w:val="24"/>
        </w:rPr>
        <w:t>本基金投资的前十名股票没有超出基金合同规定的备选股票库。</w:t>
      </w:r>
    </w:p>
    <w:p w:rsidP="00576862" w:rsidR="001C36D8" w:rsidRDefault="001C36D8" w:rsidRPr="00717C29">
      <w:pPr>
        <w:autoSpaceDE w:val="0"/>
        <w:autoSpaceDN w:val="0"/>
        <w:adjustRightInd w:val="0"/>
        <w:spacing w:line="360" w:lineRule="auto"/>
        <w:jc w:val="left"/>
        <w:rPr>
          <w:rFonts w:ascii="宋体" w:cs="Arial"/>
          <w:color w:val="000000"/>
          <w:kern w:val="0"/>
          <w:sz w:val="24"/>
        </w:rPr>
      </w:pPr>
      <w:r w:rsidRPr="00717C29">
        <w:rPr>
          <w:rFonts w:ascii="宋体"/>
          <w:bCs/>
          <w:color w:val="000000"/>
          <w:kern w:val="0"/>
          <w:sz w:val="24"/>
        </w:rPr>
        <w:t/>
      </w:r>
      <w:r w:rsidRPr="00717C29">
        <w:rPr>
          <w:rFonts w:ascii="宋体" w:hAnsi="宋体"/>
          <w:bCs/>
          <w:color w:val="000000"/>
          <w:kern w:val="0"/>
          <w:sz w:val="24"/>
        </w:rPr>
        <w:t>5.11.3</w:t>
      </w:r>
      <w:r w:rsidR="00FE4BF2">
        <w:rPr>
          <w:rFonts w:ascii="宋体" w:cs="Arial" w:hAnsi="宋体" w:hint="eastAsia"/>
          <w:color w:val="000000"/>
          <w:kern w:val="0"/>
          <w:sz w:val="24"/>
        </w:rPr>
        <w:t>其他</w:t>
      </w:r>
      <w:r w:rsidRPr="00717C29">
        <w:rPr>
          <w:rFonts w:ascii="宋体" w:cs="Arial" w:hAnsi="宋体" w:hint="eastAsia"/>
          <w:color w:val="000000"/>
          <w:kern w:val="0"/>
          <w:sz w:val="24"/>
        </w:rPr>
        <w:t>资产构成</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59"/>
        <w:gridCol w:w="2761"/>
        <w:gridCol w:w="4808"/>
      </w:tblGrid>
      <w:tr w:rsidR="001C36D8" w:rsidRPr="00272E0C" w:rsidTr="001A09F9">
        <w:tc>
          <w:tcPr>
            <w:tcW w:type="dxa" w:w="959"/>
          </w:tcPr>
          <w:p w:rsidP="001A09F9" w:rsidR="001C36D8" w:rsidRDefault="001C36D8" w:rsidRPr="005B1E0B">
            <w:pPr>
              <w:autoSpaceDE w:val="0"/>
              <w:autoSpaceDN w:val="0"/>
              <w:adjustRightInd w:val="0"/>
              <w:spacing w:line="360" w:lineRule="auto"/>
              <w:jc w:val="left"/>
              <w:rPr>
                <w:color w:val="000000"/>
                <w:sz w:val="24"/>
              </w:rPr>
            </w:pPr>
            <w:r w:rsidRPr="005B1E0B">
              <w:rPr>
                <w:color w:val="000000"/>
                <w:sz w:val="24"/>
              </w:rPr>
              <w:t>序号</w:t>
            </w:r>
          </w:p>
        </w:tc>
        <w:tc>
          <w:tcPr>
            <w:tcW w:type="dxa" w:w="2761"/>
          </w:tcPr>
          <w:p w:rsidP="001A09F9" w:rsidR="001C36D8" w:rsidRDefault="001C36D8" w:rsidRPr="005B1E0B">
            <w:pPr>
              <w:autoSpaceDE w:val="0"/>
              <w:autoSpaceDN w:val="0"/>
              <w:adjustRightInd w:val="0"/>
              <w:spacing w:line="360" w:lineRule="auto"/>
              <w:jc w:val="left"/>
              <w:rPr>
                <w:color w:val="000000"/>
                <w:sz w:val="24"/>
              </w:rPr>
            </w:pPr>
            <w:r w:rsidRPr="005B1E0B">
              <w:rPr>
                <w:color w:val="000000"/>
                <w:sz w:val="24"/>
              </w:rPr>
              <w:t>名称</w:t>
            </w:r>
          </w:p>
        </w:tc>
        <w:tc>
          <w:tcPr>
            <w:tcW w:type="dxa" w:w="4808"/>
          </w:tcPr>
          <w:p w:rsidP="001A09F9" w:rsidR="001C36D8" w:rsidRDefault="001C36D8" w:rsidRPr="005B1E0B">
            <w:pPr>
              <w:autoSpaceDE w:val="0"/>
              <w:autoSpaceDN w:val="0"/>
              <w:adjustRightInd w:val="0"/>
              <w:spacing w:line="360" w:lineRule="auto"/>
              <w:jc w:val="left"/>
              <w:rPr>
                <w:color w:val="000000"/>
                <w:sz w:val="24"/>
              </w:rPr>
            </w:pPr>
            <w:r w:rsidRPr="005B1E0B">
              <w:rPr>
                <w:color w:val="000000"/>
                <w:sz w:val="24"/>
              </w:rPr>
              <w:t>金额（元）</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kern w:val="0"/>
                <w:sz w:val="24"/>
              </w:rPr>
            </w:pPr>
            <w:r w:rsidRPr="005B1E0B">
              <w:rPr>
                <w:color w:val="000000"/>
                <w:sz w:val="24"/>
              </w:rPr>
              <w:t>1</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存出保证金</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92,927.31</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2</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应收证券清算款</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36,218.10</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3</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应收股利</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lastRenderedPageBreak/>
              <w:t>4</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应收利息</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3,674.20</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5</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应收申购款</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1,764,601.95</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6</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其他应收款</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w:t>
            </w:r>
          </w:p>
        </w:tc>
      </w:tr>
      <w:tr w:rsidR="001C36D8" w:rsidRPr="00272E0C" w:rsidTr="001A09F9">
        <w:tc>
          <w:tcPr>
            <w:tcW w:type="dxa" w:w="959"/>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7</w:t>
            </w:r>
          </w:p>
        </w:tc>
        <w:tc>
          <w:tcPr>
            <w:tcW w:type="dxa" w:w="2761"/>
          </w:tcPr>
          <w:p w:rsidP="0015779C" w:rsidR="001C36D8" w:rsidRDefault="001C36D8" w:rsidRPr="005B1E0B">
            <w:pPr>
              <w:autoSpaceDE w:val="0"/>
              <w:autoSpaceDN w:val="0"/>
              <w:adjustRightInd w:val="0"/>
              <w:spacing w:before="29" w:line="360" w:lineRule="auto"/>
              <w:ind w:left="105" w:leftChars="50"/>
              <w:rPr>
                <w:color w:val="000000"/>
                <w:sz w:val="24"/>
              </w:rPr>
            </w:pPr>
            <w:r w:rsidRPr="005B1E0B">
              <w:rPr>
                <w:color w:val="000000"/>
                <w:sz w:val="24"/>
              </w:rPr>
              <w:t>待摊费用</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8</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其他</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9</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合计</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1,897,421.56</w:t>
            </w:r>
          </w:p>
        </w:tc>
      </w:tr>
    </w:tbl>
    <w:p w:rsidP="00576862" w:rsidR="001C36D8" w:rsidRDefault="001C36D8" w:rsidRPr="00717C29">
      <w:pPr>
        <w:autoSpaceDE w:val="0"/>
        <w:autoSpaceDN w:val="0"/>
        <w:adjustRightInd w:val="0"/>
        <w:spacing w:line="360" w:lineRule="auto"/>
        <w:jc w:val="left"/>
        <w:rPr>
          <w:rFonts w:ascii="宋体" w:cs="Arial"/>
          <w:color w:val="000000"/>
          <w:kern w:val="0"/>
          <w:sz w:val="24"/>
        </w:rPr>
      </w:pPr>
      <w:r w:rsidRPr="00717C29">
        <w:rPr>
          <w:rFonts w:ascii="宋体"/>
          <w:bCs/>
          <w:color w:val="000000"/>
          <w:kern w:val="0"/>
          <w:sz w:val="24"/>
        </w:rPr>
        <w:t/>
      </w:r>
      <w:r w:rsidRPr="00717C29">
        <w:rPr>
          <w:rFonts w:ascii="宋体" w:hAnsi="宋体"/>
          <w:bCs/>
          <w:color w:val="000000"/>
          <w:kern w:val="0"/>
          <w:sz w:val="24"/>
        </w:rPr>
        <w:t>5.11.4</w:t>
      </w:r>
      <w:r w:rsidRPr="00717C29">
        <w:rPr>
          <w:rFonts w:ascii="宋体" w:cs="Arial" w:hAnsi="宋体" w:hint="eastAsia"/>
          <w:color w:val="000000"/>
          <w:kern w:val="0"/>
          <w:sz w:val="24"/>
        </w:rPr>
        <w:t>报告期末持有的处于转股期的可转换债券明细</w:t>
      </w:r>
    </w:p>
    <w:p w:rsidP="003D22BD"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本基金本报告期末未持有处于转股期的可转换债券。</w:t>
      </w:r>
    </w:p>
    <w:p w:rsidP="00924A95" w:rsidR="00924A95" w:rsidRDefault="00924A95" w:rsidRPr="001C7E00">
      <w:pPr>
        <w:autoSpaceDE w:val="0"/>
        <w:autoSpaceDN w:val="0"/>
        <w:adjustRightInd w:val="0"/>
        <w:spacing w:line="360" w:lineRule="auto"/>
        <w:jc w:val="left"/>
        <w:rPr>
          <w:rFonts w:ascii="宋体"/>
          <w:bCs/>
          <w:color w:val="000000"/>
          <w:kern w:val="0"/>
          <w:sz w:val="24"/>
        </w:rPr>
      </w:pPr>
      <w:r w:rsidRPr="001C7E00">
        <w:rPr>
          <w:rFonts w:ascii="宋体"/>
          <w:bCs/>
          <w:color w:val="000000"/>
          <w:kern w:val="0"/>
          <w:sz w:val="24"/>
        </w:rPr>
        <w:t/>
      </w:r>
      <w:r w:rsidRPr="001C7E00">
        <w:rPr>
          <w:rFonts w:ascii="宋体" w:hAnsi="宋体"/>
          <w:bCs/>
          <w:color w:val="000000"/>
          <w:kern w:val="0"/>
          <w:sz w:val="24"/>
        </w:rPr>
        <w:t>5.11.5</w:t>
      </w:r>
      <w:r w:rsidRPr="001C7E00">
        <w:rPr>
          <w:rFonts w:ascii="宋体" w:hAnsi="宋体" w:hint="eastAsia"/>
          <w:bCs/>
          <w:color w:val="000000"/>
          <w:kern w:val="0"/>
          <w:sz w:val="24"/>
        </w:rPr>
        <w:t>报告期末前十名股票中存在流通受限情况的说明</w:t>
      </w:r>
    </w:p>
    <w:p w:rsidP="005B1E0B" w:rsidR="001C36D8" w:rsidRDefault="00924A95" w:rsidRPr="005B1E0B">
      <w:pPr>
        <w:spacing w:line="360" w:lineRule="auto"/>
        <w:ind w:firstLine="480" w:firstLineChars="200"/>
        <w:rPr>
          <w:color w:val="000000"/>
          <w:sz w:val="24"/>
        </w:rPr>
      </w:pPr>
      <w:r w:rsidRPr="006C56AA">
        <w:rPr>
          <w:color w:val="000000"/>
          <w:sz w:val="24"/>
        </w:rPr>
        <w:lastRenderedPageBreak/>
        <w:t>本基金本报告期末前十名股票中不存在流通受限情况。</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6</w:t>
      </w:r>
      <w:r w:rsidR="005D2CC7" w:rsidRPr="00272E0C">
        <w:rPr>
          <w:rFonts w:ascii="宋体" w:cs="Arial" w:hAnsi="宋体"/>
          <w:color w:val="000000"/>
          <w:kern w:val="0"/>
          <w:sz w:val="24"/>
          <w:szCs w:val="24"/>
        </w:rPr>
        <w:t xml:space="preserve">  </w:t>
      </w:r>
      <w:r w:rsidRPr="00272E0C">
        <w:rPr>
          <w:rFonts w:ascii="宋体" w:cs="Arial" w:hAnsi="宋体" w:hint="eastAsia"/>
          <w:color w:val="000000"/>
          <w:kern w:val="0"/>
          <w:sz w:val="24"/>
          <w:szCs w:val="24"/>
        </w:rPr>
        <w:t>开放式基金份额变动</w:t>
      </w:r>
    </w:p>
    <w:p w:rsidP="0019563C" w:rsidR="001C36D8" w:rsidRDefault="001C36D8" w:rsidRPr="00272E0C">
      <w:pPr>
        <w:autoSpaceDE w:val="0"/>
        <w:autoSpaceDN w:val="0"/>
        <w:adjustRightInd w:val="0"/>
        <w:spacing w:before="29" w:line="360" w:lineRule="auto"/>
        <w:ind w:left="15"/>
        <w:jc w:val="right"/>
        <w:rPr>
          <w:rFonts w:ascii="宋体" w:cs="Arial"/>
          <w:color w:val="000000"/>
          <w:kern w:val="0"/>
          <w:sz w:val="24"/>
        </w:rPr>
      </w:pPr>
      <w:r w:rsidRPr="00272E0C">
        <w:rPr>
          <w:rFonts w:ascii="宋体" w:cs="Arial" w:hAnsi="宋体" w:hint="eastAsia"/>
          <w:color w:val="000000"/>
          <w:kern w:val="0"/>
          <w:sz w:val="24"/>
        </w:rPr>
        <w:t>单位：份</w:t>
      </w:r>
    </w:p>
    <w:tbl>
      <w:tblPr>
        <w:tblW w:type="dxa" w:w="8719"/>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1774"/>
        <w:gridCol w:w="2409"/>
        <w:gridCol w:w="2410"/>
        <w:gridCol w:w="2126"/>
      </w:tblGrid>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项目</w:t>
            </w:r>
          </w:p>
        </w:tc>
        <w:tc>
          <w:tcPr>
            <w:tcW w:type="dxa" w:w="2409"/>
            <w:vAlign w:val="center"/>
          </w:tcPr>
          <w:p w:rsidP="005B14F0" w:rsidR="001C36D8" w:rsidRDefault="001C36D8" w:rsidRPr="005B1E0B">
            <w:pPr>
              <w:autoSpaceDE w:val="0"/>
              <w:autoSpaceDN w:val="0"/>
              <w:adjustRightInd w:val="0"/>
              <w:spacing w:before="29" w:line="360" w:lineRule="auto"/>
              <w:ind w:left="17"/>
              <w:jc w:val="right"/>
              <w:rPr>
                <w:sz w:val="24"/>
              </w:rPr>
            </w:pPr>
            <w:r w:rsidRPr="005B1E0B">
              <w:rPr>
                <w:color w:val="000000"/>
                <w:kern w:val="0"/>
                <w:sz w:val="24"/>
              </w:rPr>
              <w:t/>
            </w:r>
            <w:proofErr w:type="spellStart"/>
            <w:r w:rsidRPr="005B1E0B">
              <w:rPr>
                <w:sz w:val="24"/>
              </w:rPr>
              <w:t/>
            </w:r>
            <w:proofErr w:type="spellEnd"/>
            <w:r w:rsidRPr="005B1E0B">
              <w:rPr>
                <w:sz w:val="24"/>
              </w:rPr>
              <w:t>易方达生物分级</w:t>
            </w:r>
          </w:p>
        </w:tc>
        <w:tc>
          <w:tcPr>
            <w:tcW w:type="dxa" w:w="2410"/>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kern w:val="0"/>
                <w:sz w:val="24"/>
              </w:rPr>
              <w:t/>
            </w:r>
            <w:proofErr w:type="spellStart"/>
            <w:r w:rsidRPr="005B1E0B">
              <w:rPr>
                <w:sz w:val="24"/>
              </w:rPr>
              <w:t/>
            </w:r>
            <w:proofErr w:type="spellEnd"/>
            <w:r w:rsidRPr="005B1E0B">
              <w:rPr>
                <w:sz w:val="24"/>
              </w:rPr>
              <w:t>易方达生物分级A</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kern w:val="0"/>
                <w:sz w:val="24"/>
              </w:rPr>
              <w:t/>
            </w:r>
            <w:proofErr w:type="spellStart"/>
            <w:r w:rsidRPr="005B1E0B">
              <w:rPr>
                <w:sz w:val="24"/>
              </w:rPr>
              <w:t/>
            </w:r>
            <w:proofErr w:type="spellEnd"/>
            <w:r w:rsidRPr="005B1E0B">
              <w:rPr>
                <w:sz w:val="24"/>
              </w:rPr>
              <w:t>易方达生物分级B</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报告期期初基金份额总额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179,404,356.53</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4,146,719.00</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
            </w:r>
            <w:r w:rsidRPr="005B1E0B">
              <w:rPr>
                <w:sz w:val="24"/>
              </w:rPr>
              <w:t>4,146,719.00</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报告期</w:t>
            </w:r>
            <w:r w:rsidRPr="005B1E0B">
              <w:rPr>
                <w:color w:val="000000"/>
                <w:kern w:val="0"/>
                <w:sz w:val="24"/>
              </w:rPr>
              <w:t>基金总申购份额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550,852,912.03</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
            </w:r>
            <w:r w:rsidRPr="005B1E0B">
              <w:rPr>
                <w:sz w:val="24"/>
              </w:rPr>
              <w:t>-</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减：</w:t>
            </w:r>
            <w:r w:rsidRPr="005B1E0B">
              <w:rPr>
                <w:color w:val="000000"/>
                <w:kern w:val="0"/>
                <w:sz w:val="24"/>
              </w:rPr>
              <w:t/>
            </w:r>
            <w:proofErr w:type="spellStart"/>
            <w:r w:rsidRPr="005B1E0B">
              <w:rPr>
                <w:color w:val="000000"/>
                <w:kern w:val="0"/>
                <w:sz w:val="24"/>
              </w:rPr>
              <w:t/>
            </w:r>
            <w:r w:rsidRPr="005B1E0B">
              <w:rPr>
                <w:color w:val="000000"/>
                <w:kern w:val="0"/>
                <w:sz w:val="24"/>
              </w:rPr>
              <w:lastRenderedPageBreak/>
              <w:t/>
            </w:r>
            <w:proofErr w:type="spellEnd"/>
            <w:r w:rsidRPr="005B1E0B">
              <w:rPr>
                <w:color w:val="000000"/>
                <w:kern w:val="0"/>
                <w:sz w:val="24"/>
              </w:rPr>
              <w:t>报告期</w:t>
            </w:r>
            <w:r w:rsidRPr="005B1E0B">
              <w:rPr>
                <w:color w:val="000000"/>
                <w:kern w:val="0"/>
                <w:sz w:val="24"/>
              </w:rPr>
              <w:t>基金总赎回份额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lastRenderedPageBreak/>
              <w:t/>
            </w:r>
            <w:proofErr w:type="spellStart"/>
            <w:r w:rsidRPr="005B1E0B">
              <w:rPr>
                <w:color w:val="000000"/>
                <w:sz w:val="24"/>
              </w:rPr>
              <w:t/>
            </w:r>
            <w:r w:rsidRPr="005B1E0B">
              <w:rPr>
                <w:color w:val="000000"/>
                <w:sz w:val="24"/>
              </w:rPr>
              <w:lastRenderedPageBreak/>
              <w:t/>
            </w:r>
            <w:proofErr w:type="spellEnd"/>
            <w:r w:rsidRPr="005B1E0B">
              <w:rPr>
                <w:color w:val="000000"/>
                <w:sz w:val="24"/>
              </w:rPr>
              <w:t>259,842,411.70</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lastRenderedPageBreak/>
              <w:t/>
            </w:r>
            <w:proofErr w:type="spellStart"/>
            <w:r w:rsidRPr="005B1E0B">
              <w:rPr>
                <w:color w:val="000000"/>
                <w:sz w:val="24"/>
              </w:rPr>
              <w:t/>
            </w:r>
            <w:r w:rsidRPr="005B1E0B">
              <w:rPr>
                <w:color w:val="000000"/>
                <w:sz w:val="24"/>
              </w:rPr>
              <w:lastRenderedPageBreak/>
              <w:t/>
            </w:r>
            <w:proofErr w:type="spellEnd"/>
            <w:r w:rsidRPr="005B1E0B">
              <w:rPr>
                <w:color w:val="000000"/>
                <w:sz w:val="24"/>
              </w:rPr>
              <w:t>-</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lastRenderedPageBreak/>
              <w:t/>
            </w:r>
            <w:proofErr w:type="spellStart"/>
            <w:r w:rsidRPr="005B1E0B">
              <w:rPr>
                <w:color w:val="000000"/>
                <w:sz w:val="24"/>
              </w:rPr>
              <w:t/>
            </w:r>
            <w:r w:rsidRPr="005B1E0B">
              <w:rPr>
                <w:color w:val="000000"/>
                <w:sz w:val="24"/>
              </w:rPr>
              <w:lastRenderedPageBreak/>
              <w:t/>
            </w:r>
            <w:proofErr w:type="spellEnd"/>
            <w:r w:rsidRPr="005B1E0B">
              <w:rPr>
                <w:color w:val="000000"/>
                <w:sz w:val="24"/>
              </w:rPr>
              <w:t/>
            </w:r>
            <w:r w:rsidRPr="005B1E0B">
              <w:rPr>
                <w:sz w:val="24"/>
              </w:rPr>
              <w:t>-</w:t>
            </w:r>
          </w:p>
        </w:tc>
      </w:tr>
      <w:tr w:rsidR="001C36D8" w:rsidRPr="00272E0C" w:rsidTr="00EF063B">
        <w:trPr>
          <w:trHeight w:val="1718"/>
        </w:trPr>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lastRenderedPageBreak/>
              <w:t/>
            </w:r>
            <w:proofErr w:type="spellStart"/>
            <w:r w:rsidRPr="005B1E0B">
              <w:rPr>
                <w:color w:val="000000"/>
                <w:kern w:val="0"/>
                <w:sz w:val="24"/>
              </w:rPr>
              <w:t/>
            </w:r>
            <w:proofErr w:type="spellEnd"/>
            <w:r w:rsidRPr="005B1E0B">
              <w:rPr>
                <w:color w:val="000000"/>
                <w:kern w:val="0"/>
                <w:sz w:val="24"/>
              </w:rPr>
              <w:t>报告期</w:t>
            </w:r>
            <w:r w:rsidRPr="005B1E0B">
              <w:rPr>
                <w:color w:val="000000"/>
                <w:kern w:val="0"/>
                <w:sz w:val="24"/>
              </w:rPr>
              <w:t>基金拆分变动份额</w:t>
            </w:r>
            <w:r w:rsidR="005541BC" w:rsidRPr="00921BFA">
              <w:rPr>
                <w:rFonts w:hint="eastAsia"/>
                <w:color w:val="000000"/>
                <w:kern w:val="0"/>
                <w:sz w:val="24"/>
              </w:rPr>
              <w:t>（份额减少以“</w:t>
            </w:r>
            <w:r w:rsidR="005541BC" w:rsidRPr="00921BFA">
              <w:rPr>
                <w:rFonts w:hint="eastAsia"/>
                <w:color w:val="000000"/>
                <w:kern w:val="0"/>
                <w:sz w:val="24"/>
              </w:rPr>
              <w:t>-</w:t>
            </w:r>
            <w:r w:rsidR="005541BC" w:rsidRPr="00921BFA">
              <w:rPr>
                <w:rFonts w:hint="eastAsia"/>
                <w:color w:val="000000"/>
                <w:kern w:val="0"/>
                <w:sz w:val="24"/>
              </w:rPr>
              <w:t>”填列）</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102,855,444.05</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932,062.00</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
            </w:r>
            <w:r w:rsidRPr="005B1E0B">
              <w:rPr>
                <w:sz w:val="24"/>
              </w:rPr>
              <w:t>932,062.00</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报告期期末基金份额总额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573,270,300.91</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5,078,781.00</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r w:rsidRPr="005B1E0B">
              <w:rPr>
                <w:sz w:val="24"/>
              </w:rPr>
              <w:t/>
            </w:r>
            <w:proofErr w:type="spellEnd"/>
            <w:r w:rsidRPr="005B1E0B">
              <w:rPr>
                <w:sz w:val="24"/>
              </w:rPr>
              <w:t>5,078,781.00</w:t>
            </w:r>
          </w:p>
        </w:tc>
      </w:tr>
    </w:tbl>
    <w:p w:rsidP="003D22BD"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注：拆分变动份额包括三类份额之间的配对转换份额及折算调整份额。</w:t>
      </w:r>
    </w:p>
    <w:p w:rsidP="005C6DF3" w:rsidR="001C36D8" w:rsidRDefault="001C36D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olor w:val="000000"/>
          <w:kern w:val="0"/>
          <w:sz w:val="24"/>
          <w:szCs w:val="24"/>
        </w:rPr>
        <w:t/>
      </w:r>
      <w:proofErr w:type="spellStart"/>
      <w:r>
        <w:rPr>
          <w:rFonts w:ascii="宋体" w:hAnsi="宋体"/>
          <w:color w:val="000000"/>
          <w:kern w:val="0"/>
          <w:sz w:val="24"/>
          <w:szCs w:val="24"/>
        </w:rPr>
        <w:t/>
      </w:r>
      <w:proofErr w:type="spellEnd"/>
      <w:r>
        <w:rPr>
          <w:rFonts w:ascii="宋体" w:hAnsi="宋体"/>
          <w:color w:val="000000"/>
          <w:kern w:val="0"/>
          <w:sz w:val="24"/>
          <w:szCs w:val="24"/>
        </w:rPr>
        <w:t/>
      </w: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3D4E5A" w:rsidR="001C36D8" w:rsidRDefault="001C36D8">
      <w:pPr>
        <w:spacing w:line="360" w:lineRule="auto"/>
        <w:jc w:val="left"/>
        <w:rPr>
          <w:sz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5B1E0B" w:rsidR="001C36D8" w:rsidRDefault="00BF63AF" w:rsidRPr="005B1E0B">
      <w:pPr>
        <w:spacing w:line="360" w:lineRule="auto"/>
        <w:ind w:firstLine="480" w:firstLineChars="200"/>
        <w:rPr>
          <w:color w:val="000000"/>
          <w:sz w:val="24"/>
        </w:rPr>
      </w:pPr>
      <w:r w:rsidRPr="00510DAB">
        <w:rPr>
          <w:color w:val="000000"/>
          <w:sz w:val="24"/>
        </w:rPr>
        <w:t/>
      </w:r>
      <w:proofErr w:type="spellStart"/>
      <w:r w:rsidRPr="00510DAB">
        <w:rPr>
          <w:color w:val="000000"/>
          <w:sz w:val="24"/>
        </w:rPr>
        <w:t/>
      </w:r>
      <w:proofErr w:type="spellEnd"/>
      <w:r w:rsidRPr="00510DAB">
        <w:rPr>
          <w:color w:val="000000"/>
          <w:sz w:val="24"/>
        </w:rPr>
        <w:t>本报告期内基金管理人未持有本基金份额。</w:t>
      </w:r>
    </w:p>
    <w:p w:rsidP="003D4E5A" w:rsidR="001C36D8" w:rsidRDefault="001C36D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3D22BD"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本报告期内基金管理人未运用固有资金申购、赎回、买卖本基金份额。</w:t>
      </w:r>
    </w:p>
    <w:p w:rsidP="00A12EEF" w:rsidR="00A12EEF" w:rsidRDefault="00A12EEF" w:rsidRPr="005D2CC7">
      <w:pPr>
        <w:pStyle w:val="1"/>
        <w:spacing w:after="312" w:afterLines="100" w:before="312" w:beforeLines="100" w:line="360" w:lineRule="auto"/>
        <w:jc w:val="center"/>
        <w:rPr>
          <w:rFonts w:ascii="宋体" w:cs="Arial" w:hAnsi="宋体"/>
          <w:color w:val="000000"/>
          <w:kern w:val="0"/>
          <w:sz w:val="24"/>
          <w:szCs w:val="24"/>
        </w:rPr>
      </w:pPr>
      <w:r w:rsidRPr="005D2CC7">
        <w:rPr>
          <w:rFonts w:ascii="宋体" w:cs="Arial" w:hAnsi="宋体"/>
          <w:color w:val="000000"/>
          <w:kern w:val="0"/>
          <w:sz w:val="24"/>
          <w:szCs w:val="24"/>
        </w:rPr>
        <w:lastRenderedPageBreak/>
        <w:t/>
      </w:r>
      <w:proofErr w:type="spellStart"/>
      <w:r w:rsidRPr="005D2CC7">
        <w:rPr>
          <w:rFonts w:ascii="宋体" w:cs="Arial" w:hAnsi="宋体"/>
          <w:color w:val="000000"/>
          <w:kern w:val="0"/>
          <w:sz w:val="24"/>
          <w:szCs w:val="24"/>
        </w:rPr>
        <w:t/>
      </w:r>
      <w:proofErr w:type="spellEnd"/>
      <w:r w:rsidRPr="005D2CC7">
        <w:rPr>
          <w:rFonts w:ascii="宋体" w:cs="Arial" w:hAnsi="宋体"/>
          <w:color w:val="000000"/>
          <w:kern w:val="0"/>
          <w:sz w:val="24"/>
          <w:szCs w:val="24"/>
        </w:rPr>
        <w:t>§8</w:t>
      </w:r>
      <w:r w:rsidR="005D2CC7" w:rsidRPr="00272E0C">
        <w:rPr>
          <w:rFonts w:ascii="宋体" w:cs="Arial" w:hAnsi="宋体"/>
          <w:color w:val="000000"/>
          <w:kern w:val="0"/>
          <w:sz w:val="24"/>
          <w:szCs w:val="24"/>
        </w:rPr>
        <w:t xml:space="preserve">  </w:t>
      </w:r>
      <w:r w:rsidRPr="005D2CC7">
        <w:rPr>
          <w:rFonts w:ascii="宋体" w:cs="Arial" w:hAnsi="宋体"/>
          <w:color w:val="000000"/>
          <w:kern w:val="0"/>
          <w:sz w:val="24"/>
          <w:szCs w:val="24"/>
        </w:rPr>
        <w:t>影响投资者决策的其他重要信息</w:t>
      </w:r>
    </w:p>
    <w:p w:rsidP="004B7CA0" w:rsidR="004B7CA0" w:rsidRDefault="004B7CA0" w:rsidRPr="00654C5E">
      <w:pPr>
        <w:autoSpaceDE w:val="0"/>
        <w:autoSpaceDN w:val="0"/>
        <w:adjustRightInd w:val="0"/>
        <w:spacing w:line="360" w:lineRule="auto"/>
        <w:jc w:val="left"/>
        <w:rPr>
          <w:rFonts w:ascii="宋体"/>
          <w:b/>
          <w:bCs/>
          <w:color w:val="000000"/>
          <w:kern w:val="0"/>
          <w:sz w:val="24"/>
        </w:rPr>
      </w:pPr>
      <w:r w:rsidRPr="00654C5E">
        <w:rPr>
          <w:rFonts w:ascii="宋体"/>
          <w:b/>
          <w:bCs/>
          <w:color w:val="000000"/>
          <w:kern w:val="0"/>
          <w:sz w:val="24"/>
        </w:rPr>
        <w:t/>
      </w:r>
      <w:proofErr w:type="spellStart"/>
      <w:r w:rsidRPr="00654C5E">
        <w:rPr>
          <w:rFonts w:ascii="宋体"/>
          <w:b/>
          <w:bCs/>
          <w:color w:val="000000"/>
          <w:kern w:val="0"/>
          <w:sz w:val="24"/>
        </w:rPr>
        <w:t/>
      </w:r>
      <w:proofErr w:type="spellEnd"/>
      <w:r w:rsidRPr="00654C5E">
        <w:rPr>
          <w:rFonts w:ascii="宋体"/>
          <w:b/>
          <w:bCs/>
          <w:color w:val="000000"/>
          <w:kern w:val="0"/>
          <w:sz w:val="24"/>
        </w:rPr>
        <w:t>8.1 影响投资者决策的其他重要信息</w:t>
      </w:r>
    </w:p>
    <w:p w:rsidP="004B7CA0" w:rsidR="001C36D8" w:rsidRDefault="004B7CA0" w:rsidRPr="003D22BD">
      <w:pPr>
        <w:spacing w:line="360" w:lineRule="auto"/>
        <w:ind w:firstLine="480" w:firstLineChars="200"/>
        <w:rPr>
          <w:color w:val="000000"/>
          <w:sz w:val="24"/>
        </w:rPr>
      </w:pPr>
      <w:r w:rsidRPr="00FC0759">
        <w:rPr>
          <w:rFonts w:eastAsiaTheme="minorEastAsia"/>
          <w:color w:themeColor="text1" w:val="000000"/>
          <w:sz w:val="24"/>
        </w:rPr>
        <w:t/>
      </w:r>
      <w:proofErr w:type="spellStart"/>
      <w:r w:rsidRPr="00FC0759">
        <w:rPr>
          <w:color w:themeColor="text1" w:val="000000"/>
          <w:sz w:val="24"/>
        </w:rPr>
        <w:t/>
      </w:r>
      <w:proofErr w:type="spellEnd"/>
      <w:r w:rsidRPr="00FC0759">
        <w:rPr>
          <w:rFonts w:eastAsiaTheme="minorEastAsia"/>
          <w:color w:themeColor="text1" w:val="000000"/>
          <w:sz w:val="24"/>
        </w:rPr>
        <w:t>根据中国人民银行、中国银行保险监督管理委员会、中国证券监督管理委员会、国家外汇管理局联合发布的《关于规范金融机构资产管理业务的指导意见》，本基金将在2020年底前完成规范整改，请投资者理性投资并关注基金管理人届时发布的相关公告。</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lastRenderedPageBreak/>
        <w:t>§</w:t>
      </w:r>
      <w:r w:rsidRPr="00272E0C">
        <w:rPr>
          <w:rFonts w:ascii="宋体" w:cs="Arial"/>
          <w:color w:val="000000"/>
          <w:kern w:val="0"/>
          <w:sz w:val="24"/>
          <w:szCs w:val="24"/>
        </w:rPr>
        <w:t/>
      </w:r>
      <w:r w:rsidRPr="00272E0C">
        <w:rPr>
          <w:rFonts w:ascii="宋体" w:cs="Arial" w:hAnsi="宋体"/>
          <w:color w:val="000000"/>
          <w:kern w:val="0"/>
          <w:sz w:val="24"/>
          <w:szCs w:val="24"/>
        </w:rPr>
        <w:t>9</w:t>
      </w:r>
      <w:r w:rsidR="005D2CC7" w:rsidRPr="00272E0C">
        <w:rPr>
          <w:rFonts w:ascii="宋体" w:cs="Arial" w:hAnsi="宋体"/>
          <w:color w:val="000000"/>
          <w:kern w:val="0"/>
          <w:sz w:val="24"/>
          <w:szCs w:val="24"/>
        </w:rPr>
        <w:t xml:space="preserve">  </w:t>
      </w:r>
      <w:r w:rsidRPr="00272E0C">
        <w:rPr>
          <w:rFonts w:ascii="宋体" w:cs="Arial" w:hAnsi="宋体" w:hint="eastAsia"/>
          <w:color w:val="000000"/>
          <w:kern w:val="0"/>
          <w:sz w:val="24"/>
          <w:szCs w:val="24"/>
        </w:rPr>
        <w:t>备查文件目录</w:t>
      </w:r>
    </w:p>
    <w:p w:rsidP="001078B6" w:rsidR="001C36D8" w:rsidRDefault="001C36D8" w:rsidRPr="00CE2DE4">
      <w:pPr>
        <w:spacing w:line="360" w:lineRule="auto"/>
        <w:rPr>
          <w:rFonts w:ascii="宋体"/>
          <w:b/>
          <w:color w:val="000000"/>
          <w:kern w:val="0"/>
          <w:sz w:val="24"/>
        </w:rPr>
      </w:pPr>
      <w:r w:rsidRPr="00CE2DE4">
        <w:rPr>
          <w:rFonts w:ascii="宋体"/>
          <w:b/>
          <w:color w:val="000000"/>
          <w:sz w:val="24"/>
        </w:rPr>
        <w:t/>
      </w:r>
      <w:r w:rsidRPr="00CE2DE4">
        <w:rPr>
          <w:rFonts w:ascii="宋体" w:hAnsi="宋体"/>
          <w:b/>
          <w:color w:val="000000"/>
          <w:sz w:val="24"/>
        </w:rPr>
        <w:t xml:space="preserve">9.1 </w:t>
      </w:r>
      <w:r w:rsidRPr="00CE2DE4">
        <w:rPr>
          <w:rFonts w:ascii="宋体" w:hAnsi="宋体" w:hint="eastAsia"/>
          <w:b/>
          <w:color w:val="000000"/>
          <w:sz w:val="24"/>
        </w:rPr>
        <w:t>备查文件目录</w:t>
      </w:r>
    </w:p>
    <w:p>
      <w:pPr>
        <w:spacing w:line="360" w:lineRule="auto"/>
        <w:ind w:firstLine="480" w:firstLineChars="200"/>
        <w:rPr>
          <w:color w:val="000000"/>
          <w:sz w:val="24"/>
        </w:rPr>
      </w:pPr>
      <w:r>
        <w:rPr>
          <w:color w:val="000000"/>
          <w:sz w:val="24"/>
        </w:rPr>
        <w:t>1.中国证监会准予易方达生物科技指数分级证券投资基金募集注册的文件；</w:t>
      </w:r>
    </w:p>
    <w:p>
      <w:pPr>
        <w:spacing w:line="360" w:lineRule="auto"/>
        <w:ind w:firstLine="480" w:firstLineChars="200"/>
        <w:rPr>
          <w:color w:val="000000"/>
          <w:sz w:val="24"/>
        </w:rPr>
      </w:pPr>
      <w:r>
        <w:rPr>
          <w:color w:val="000000"/>
          <w:sz w:val="24"/>
        </w:rPr>
        <w:t>2.《易方达生物科技指数分级证券投资基金基金合同》；</w:t>
      </w:r>
    </w:p>
    <w:p>
      <w:pPr>
        <w:spacing w:line="360" w:lineRule="auto"/>
        <w:ind w:firstLine="480" w:firstLineChars="200"/>
        <w:rPr>
          <w:color w:val="000000"/>
          <w:sz w:val="24"/>
        </w:rPr>
      </w:pPr>
      <w:r>
        <w:rPr>
          <w:color w:val="000000"/>
          <w:sz w:val="24"/>
        </w:rPr>
        <w:t>3.《易方达生物科技指数分级证券投资基金托管协议》；</w: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4.基金管理人业务资格批件和营业执照。</w:t>
      </w:r>
    </w:p>
    <w:p w:rsidP="001078B6" w:rsidR="001C36D8" w:rsidRDefault="001C36D8" w:rsidRPr="00CE2DE4">
      <w:pPr>
        <w:spacing w:line="360" w:lineRule="auto"/>
        <w:rPr>
          <w:rFonts w:ascii="宋体"/>
          <w:b/>
          <w:color w:val="000000"/>
          <w:sz w:val="24"/>
        </w:rPr>
      </w:pPr>
      <w:r w:rsidRPr="00CE2DE4">
        <w:rPr>
          <w:rFonts w:ascii="宋体"/>
          <w:b/>
          <w:color w:val="000000"/>
          <w:sz w:val="24"/>
        </w:rPr>
        <w:t/>
      </w:r>
      <w:r w:rsidRPr="00CE2DE4">
        <w:rPr>
          <w:rFonts w:ascii="宋体" w:hAnsi="宋体"/>
          <w:b/>
          <w:color w:val="000000"/>
          <w:sz w:val="24"/>
        </w:rPr>
        <w:t xml:space="preserve">9.2 </w:t>
      </w:r>
      <w:r w:rsidRPr="00CE2DE4">
        <w:rPr>
          <w:rFonts w:ascii="宋体" w:hAnsi="宋体" w:hint="eastAsia"/>
          <w:b/>
          <w:color w:val="000000"/>
          <w:sz w:val="24"/>
        </w:rPr>
        <w:t>存放地点</w: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广州市天河区珠江新城珠江东路30号广州银行大厦40-43楼。</w:t>
      </w:r>
    </w:p>
    <w:p w:rsidP="001078B6" w:rsidR="001C36D8" w:rsidRDefault="001C36D8" w:rsidRPr="00CE2DE4">
      <w:pPr>
        <w:spacing w:line="360" w:lineRule="auto"/>
        <w:rPr>
          <w:rFonts w:ascii="宋体"/>
          <w:b/>
          <w:color w:val="000000"/>
          <w:sz w:val="24"/>
        </w:rPr>
      </w:pPr>
      <w:r w:rsidRPr="00CE2DE4">
        <w:rPr>
          <w:rFonts w:ascii="宋体"/>
          <w:b/>
          <w:color w:val="000000"/>
          <w:sz w:val="24"/>
        </w:rPr>
        <w:t/>
      </w:r>
      <w:r w:rsidRPr="00CE2DE4">
        <w:rPr>
          <w:rFonts w:ascii="宋体" w:hAnsi="宋体"/>
          <w:b/>
          <w:color w:val="000000"/>
          <w:sz w:val="24"/>
        </w:rPr>
        <w:t xml:space="preserve">9.3 </w:t>
      </w:r>
      <w:r w:rsidRPr="00CE2DE4">
        <w:rPr>
          <w:rFonts w:ascii="宋体" w:hAnsi="宋体" w:hint="eastAsia"/>
          <w:b/>
          <w:color w:val="000000"/>
          <w:sz w:val="24"/>
        </w:rPr>
        <w:t>查阅方式</w:t>
      </w:r>
    </w:p>
    <w:p w:rsidP="0015779C"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投资者可在营业时间免费查阅，也可按工本费购买复印件。</w:t>
      </w:r>
    </w:p>
    <w:p w:rsidP="0019563C" w:rsidR="001C36D8" w:rsidRDefault="001C36D8" w:rsidRPr="00272E0C">
      <w:pPr>
        <w:spacing w:line="360" w:lineRule="auto"/>
        <w:ind w:left="840"/>
        <w:jc w:val="right"/>
        <w:rPr>
          <w:rFonts w:ascii="宋体"/>
          <w:color w:val="000000"/>
          <w:sz w:val="24"/>
        </w:rPr>
      </w:pPr>
      <w:r w:rsidRPr="00272E0C">
        <w:rPr>
          <w:rFonts w:ascii="宋体"/>
          <w:color w:val="000000"/>
          <w:sz w:val="24"/>
        </w:rPr>
        <w:tab/>
      </w:r>
    </w:p>
    <w:p w:rsidP="0019563C" w:rsidR="001C36D8" w:rsidRDefault="001C36D8">
      <w:pPr>
        <w:spacing w:line="360" w:lineRule="auto"/>
        <w:ind w:left="840"/>
        <w:jc w:val="right"/>
        <w:rPr>
          <w:rFonts w:ascii="宋体"/>
          <w:color w:val="000000"/>
          <w:sz w:val="24"/>
        </w:rPr>
      </w:pPr>
    </w:p>
    <w:p w:rsidP="0019563C" w:rsidR="001C36D8" w:rsidRDefault="001C36D8">
      <w:pPr>
        <w:spacing w:line="360" w:lineRule="auto"/>
        <w:ind w:left="840"/>
        <w:jc w:val="right"/>
        <w:rPr>
          <w:rFonts w:ascii="宋体"/>
          <w:color w:val="000000"/>
          <w:sz w:val="24"/>
        </w:rPr>
      </w:pPr>
    </w:p>
    <w:p w:rsidP="0019563C" w:rsidR="001C36D8" w:rsidRDefault="001C36D8">
      <w:pPr>
        <w:spacing w:line="360" w:lineRule="auto"/>
        <w:ind w:left="840"/>
        <w:jc w:val="right"/>
        <w:rPr>
          <w:rFonts w:ascii="宋体"/>
          <w:color w:val="000000"/>
          <w:sz w:val="24"/>
        </w:rPr>
      </w:pPr>
    </w:p>
    <w:p w:rsidP="0019563C" w:rsidR="001C36D8" w:rsidRDefault="001C36D8" w:rsidRPr="00272E0C">
      <w:pPr>
        <w:spacing w:line="360" w:lineRule="auto"/>
        <w:ind w:left="840"/>
        <w:jc w:val="right"/>
        <w:rPr>
          <w:rFonts w:ascii="宋体"/>
          <w:color w:val="000000"/>
          <w:sz w:val="24"/>
        </w:rPr>
      </w:pPr>
    </w:p>
    <w:p w:rsidP="0019563C" w:rsidR="001C36D8" w:rsidRDefault="001C36D8" w:rsidRPr="00272E0C">
      <w:pPr>
        <w:spacing w:line="360" w:lineRule="auto"/>
        <w:ind w:left="840"/>
        <w:jc w:val="right"/>
        <w:rPr>
          <w:rFonts w:ascii="宋体"/>
          <w:color w:val="000000"/>
          <w:sz w:val="24"/>
        </w:rPr>
      </w:pPr>
    </w:p>
    <w:p w:rsidP="001078B6" w:rsidR="001C36D8" w:rsidRDefault="001C36D8" w:rsidRPr="00272E0C">
      <w:pPr>
        <w:spacing w:line="360" w:lineRule="auto"/>
        <w:jc w:val="right"/>
        <w:rPr>
          <w:rFonts w:ascii="宋体" w:hAnsi="宋体"/>
          <w:b/>
          <w:bCs/>
          <w:sz w:val="24"/>
        </w:rPr>
      </w:pPr>
      <w:r w:rsidRPr="00272E0C">
        <w:rPr>
          <w:rFonts w:ascii="宋体"/>
          <w:b/>
          <w:bCs/>
          <w:sz w:val="24"/>
        </w:rPr>
        <w:t/>
      </w:r>
      <w:proofErr w:type="spellStart"/>
      <w:r w:rsidRPr="00272E0C">
        <w:rPr>
          <w:rFonts w:ascii="宋体" w:hAnsi="宋体"/>
          <w:b/>
          <w:bCs/>
          <w:sz w:val="24"/>
        </w:rPr>
        <w:t/>
      </w:r>
      <w:proofErr w:type="spellEnd"/>
      <w:r w:rsidRPr="00272E0C">
        <w:rPr>
          <w:rFonts w:ascii="宋体" w:hAnsi="宋体"/>
          <w:b/>
          <w:bCs/>
          <w:sz w:val="24"/>
        </w:rPr>
        <w:t>易方达基金管理有限公司</w:t>
      </w:r>
    </w:p>
    <w:p w:rsidP="008C2A97" w:rsidR="001C36D8" w:rsidRDefault="001C36D8" w:rsidRPr="008C2A97">
      <w:pPr>
        <w:spacing w:line="360" w:lineRule="auto"/>
        <w:jc w:val="right"/>
        <w:rPr>
          <w:rFonts w:ascii="宋体" w:hAnsi="宋体"/>
          <w:b/>
          <w:bCs/>
          <w:sz w:val="24"/>
        </w:rPr>
      </w:pPr>
      <w:r w:rsidRPr="00272E0C">
        <w:rPr>
          <w:rFonts w:ascii="宋体" w:hAnsi="宋体"/>
          <w:b/>
          <w:bCs/>
          <w:sz w:val="24"/>
        </w:rPr>
        <w:t/>
      </w:r>
      <w:proofErr w:type="spellStart"/>
      <w:r w:rsidRPr="00272E0C">
        <w:rPr>
          <w:rFonts w:ascii="宋体" w:hAnsi="宋体"/>
          <w:b/>
          <w:bCs/>
          <w:sz w:val="24"/>
        </w:rPr>
        <w:t/>
      </w:r>
      <w:proofErr w:type="spellEnd"/>
      <w:r w:rsidRPr="00272E0C">
        <w:rPr>
          <w:rFonts w:ascii="宋体" w:hAnsi="宋体"/>
          <w:b/>
          <w:bCs/>
          <w:sz w:val="24"/>
        </w:rPr>
        <w:t>二〇二〇年十月二十八日</w:t>
      </w:r>
    </w:p>
    <w:sectPr w:rsidR="001C36D8" w:rsidRPr="008C2A97" w:rsidSect="00DB4450">
      <w:footerReference r:id="rId11" w:type="even"/>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65" w:rsidRDefault="008E0865">
      <w:r>
        <w:separator/>
      </w:r>
    </w:p>
  </w:endnote>
  <w:endnote w:type="continuationSeparator" w:id="0">
    <w:p w:rsidR="008E0865" w:rsidRDefault="008E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230A66" w:rsidR="00E43B0B" w:rsidRDefault="00E43B0B" w:rsidRPr="001D0DB0">
    <w:pPr>
      <w:pStyle w:val="a6"/>
      <w:jc w:val="center"/>
    </w:pPr>
    <w:r>
      <w:rPr>
        <w:rFonts w:hint="eastAsia"/>
        <w:kern w:val="0"/>
        <w:szCs w:val="21"/>
      </w:rPr>
      <w:t>第</w:t>
    </w:r>
    <w:r w:rsidR="0015021E">
      <w:rPr>
        <w:kern w:val="0"/>
        <w:szCs w:val="21"/>
      </w:rPr>
      <w:fldChar w:fldCharType="begin"/>
    </w:r>
    <w:r>
      <w:rPr>
        <w:kern w:val="0"/>
        <w:szCs w:val="21"/>
      </w:rPr>
      <w:instrText xml:space="preserve"> PAGE </w:instrText>
    </w:r>
    <w:r w:rsidR="0015021E">
      <w:rPr>
        <w:kern w:val="0"/>
        <w:szCs w:val="21"/>
      </w:rPr>
      <w:fldChar w:fldCharType="separate"/>
    </w:r>
    <w:r w:rsidR="003F1D66">
      <w:rPr>
        <w:noProof/>
        <w:kern w:val="0"/>
        <w:szCs w:val="21"/>
      </w:rPr>
      <w:t>1</w:t>
    </w:r>
    <w:r w:rsidR="0015021E">
      <w:rPr>
        <w:kern w:val="0"/>
        <w:szCs w:val="21"/>
      </w:rPr>
      <w:fldChar w:fldCharType="end"/>
    </w:r>
    <w:proofErr w:type="gramStart"/>
    <w:r>
      <w:rPr>
        <w:rFonts w:hint="eastAsia"/>
        <w:kern w:val="0"/>
        <w:szCs w:val="21"/>
      </w:rPr>
      <w:t>页共</w:t>
    </w:r>
    <w:proofErr w:type="gramEnd"/>
    <w:r w:rsidR="0015021E">
      <w:rPr>
        <w:kern w:val="0"/>
        <w:szCs w:val="21"/>
      </w:rPr>
      <w:fldChar w:fldCharType="begin"/>
    </w:r>
    <w:r>
      <w:rPr>
        <w:kern w:val="0"/>
        <w:szCs w:val="21"/>
      </w:rPr>
      <w:instrText xml:space="preserve"> NUMPAGES </w:instrText>
    </w:r>
    <w:r w:rsidR="0015021E">
      <w:rPr>
        <w:kern w:val="0"/>
        <w:szCs w:val="21"/>
      </w:rPr>
      <w:fldChar w:fldCharType="separate"/>
    </w:r>
    <w:r w:rsidR="003F1D66">
      <w:rPr>
        <w:noProof/>
        <w:kern w:val="0"/>
        <w:szCs w:val="21"/>
      </w:rPr>
      <w:t>1</w:t>
    </w:r>
    <w:r w:rsidR="0015021E">
      <w:rPr>
        <w:kern w:val="0"/>
        <w:szCs w:val="21"/>
      </w:rPr>
      <w:fldChar w:fldCharType="end"/>
    </w:r>
    <w:r>
      <w:rPr>
        <w:rFonts w:hint="eastAsia"/>
        <w:kern w:val="0"/>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E43B0B" w:rsidRDefault="0015021E">
    <w:pPr>
      <w:pStyle w:val="a6"/>
      <w:framePr w:hAnchor="margin" w:vAnchor="text" w:wrap="around" w:xAlign="center" w:y="1"/>
      <w:rPr>
        <w:rStyle w:val="a7"/>
      </w:rPr>
    </w:pPr>
    <w:r>
      <w:rPr>
        <w:rStyle w:val="a7"/>
      </w:rPr>
      <w:fldChar w:fldCharType="begin"/>
    </w:r>
    <w:r w:rsidR="00E43B0B">
      <w:rPr>
        <w:rStyle w:val="a7"/>
      </w:rPr>
      <w:instrText xml:space="preserve">PAGE  </w:instrText>
    </w:r>
    <w:r>
      <w:rPr>
        <w:rStyle w:val="a7"/>
      </w:rPr>
      <w:fldChar w:fldCharType="end"/>
    </w:r>
  </w:p>
  <w:p w:rsidR="00E43B0B" w:rsidRDefault="00E43B0B">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E43B0B" w:rsidRDefault="0015021E">
    <w:pPr>
      <w:pStyle w:val="a6"/>
      <w:framePr w:hAnchor="margin" w:vAnchor="text" w:wrap="around" w:xAlign="center" w:y="1"/>
      <w:rPr>
        <w:rStyle w:val="a7"/>
      </w:rPr>
    </w:pPr>
    <w:r>
      <w:rPr>
        <w:rStyle w:val="a7"/>
      </w:rPr>
      <w:fldChar w:fldCharType="begin"/>
    </w:r>
    <w:r w:rsidR="00E43B0B">
      <w:rPr>
        <w:rStyle w:val="a7"/>
      </w:rPr>
      <w:instrText xml:space="preserve">PAGE  </w:instrText>
    </w:r>
    <w:r>
      <w:rPr>
        <w:rStyle w:val="a7"/>
      </w:rPr>
      <w:fldChar w:fldCharType="separate"/>
    </w:r>
    <w:r w:rsidR="003F1D66">
      <w:rPr>
        <w:rStyle w:val="a7"/>
        <w:noProof/>
      </w:rPr>
      <w:t>6</w:t>
    </w:r>
    <w:r>
      <w:rPr>
        <w:rStyle w:val="a7"/>
      </w:rPr>
      <w:fldChar w:fldCharType="end"/>
    </w:r>
  </w:p>
  <w:p w:rsidR="00E43B0B" w:rsidRDefault="00E43B0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8E0865" w:rsidRDefault="008E0865">
      <w:r>
        <w:separator/>
      </w:r>
    </w:p>
  </w:footnote>
  <w:footnote w:id="0" w:type="continuationSeparator">
    <w:p w:rsidR="008E0865" w:rsidRDefault="008E0865">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B572A" w:rsidR="00E43B0B" w:rsidRDefault="00E43B0B" w:rsidRPr="00717C29">
    <w:pPr>
      <w:pStyle w:val="a9"/>
      <w:pBdr>
        <w:bottom w:color="auto" w:space="0" w:sz="6" w:val="single"/>
      </w:pBdr>
      <w:jc w:val="right"/>
      <w:rPr>
        <w:sz w:val="15"/>
      </w:rPr>
    </w:pPr>
    <w:r w:rsidRPr="00717C29">
      <w:rPr>
        <w:szCs w:val="21"/>
      </w:rPr>
      <w:t/>
    </w:r>
    <w:proofErr w:type="spellStart"/>
    <w:proofErr w:type="gramStart"/>
    <w:r w:rsidRPr="00717C29">
      <w:rPr>
        <w:szCs w:val="21"/>
      </w:rPr>
      <w:t/>
    </w:r>
    <w:proofErr w:type="spellEnd"/>
    <w:proofErr w:type="gramEnd"/>
    <w:r w:rsidRPr="00717C29">
      <w:rPr>
        <w:szCs w:val="21"/>
      </w:rPr>
      <w:t>易方达生物科技指数分级证券投资基金</w:t>
    </w:r>
    <w:proofErr w:type="spellStart"/>
    <w:r w:rsidRPr="00717C29">
      <w:rPr>
        <w:szCs w:val="21"/>
      </w:rPr>
      <w:t/>
    </w:r>
    <w:proofErr w:type="spellEnd"/>
    <w:r w:rsidRPr="00717C29">
      <w:rPr>
        <w:szCs w:val="21"/>
      </w:rPr>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116E"/>
    <w:rsid w:val="0000403B"/>
    <w:rsid w:val="00005911"/>
    <w:rsid w:val="0000595B"/>
    <w:rsid w:val="00010A83"/>
    <w:rsid w:val="00010A8E"/>
    <w:rsid w:val="00010AC3"/>
    <w:rsid w:val="000118A9"/>
    <w:rsid w:val="00011EB5"/>
    <w:rsid w:val="0001280C"/>
    <w:rsid w:val="00013023"/>
    <w:rsid w:val="000148F1"/>
    <w:rsid w:val="00014E17"/>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5190"/>
    <w:rsid w:val="00055AF1"/>
    <w:rsid w:val="00056A75"/>
    <w:rsid w:val="00057DD3"/>
    <w:rsid w:val="00061008"/>
    <w:rsid w:val="000625A6"/>
    <w:rsid w:val="000627CD"/>
    <w:rsid w:val="00062BCE"/>
    <w:rsid w:val="00064AE3"/>
    <w:rsid w:val="00066524"/>
    <w:rsid w:val="00070CD1"/>
    <w:rsid w:val="0007171B"/>
    <w:rsid w:val="00074E9F"/>
    <w:rsid w:val="00081D05"/>
    <w:rsid w:val="0008378B"/>
    <w:rsid w:val="00085449"/>
    <w:rsid w:val="00087CF7"/>
    <w:rsid w:val="00090B0F"/>
    <w:rsid w:val="00090D91"/>
    <w:rsid w:val="00091214"/>
    <w:rsid w:val="00094876"/>
    <w:rsid w:val="00095912"/>
    <w:rsid w:val="00095CE0"/>
    <w:rsid w:val="00096933"/>
    <w:rsid w:val="00097230"/>
    <w:rsid w:val="0009778D"/>
    <w:rsid w:val="000A457E"/>
    <w:rsid w:val="000A53FD"/>
    <w:rsid w:val="000A549A"/>
    <w:rsid w:val="000A72F2"/>
    <w:rsid w:val="000B0C56"/>
    <w:rsid w:val="000B3E43"/>
    <w:rsid w:val="000B5974"/>
    <w:rsid w:val="000B5CC0"/>
    <w:rsid w:val="000C1038"/>
    <w:rsid w:val="000C1723"/>
    <w:rsid w:val="000C1B20"/>
    <w:rsid w:val="000C4107"/>
    <w:rsid w:val="000C44BD"/>
    <w:rsid w:val="000C45E7"/>
    <w:rsid w:val="000C57A8"/>
    <w:rsid w:val="000D0149"/>
    <w:rsid w:val="000D01F4"/>
    <w:rsid w:val="000D0D4E"/>
    <w:rsid w:val="000D1519"/>
    <w:rsid w:val="000E1618"/>
    <w:rsid w:val="000E4456"/>
    <w:rsid w:val="000F175F"/>
    <w:rsid w:val="000F17D1"/>
    <w:rsid w:val="000F2837"/>
    <w:rsid w:val="000F399F"/>
    <w:rsid w:val="000F60FF"/>
    <w:rsid w:val="000F635F"/>
    <w:rsid w:val="000F6C61"/>
    <w:rsid w:val="001008A1"/>
    <w:rsid w:val="00100C12"/>
    <w:rsid w:val="00102E56"/>
    <w:rsid w:val="001049B6"/>
    <w:rsid w:val="001051C6"/>
    <w:rsid w:val="001078B6"/>
    <w:rsid w:val="0011177A"/>
    <w:rsid w:val="00111D44"/>
    <w:rsid w:val="00116E31"/>
    <w:rsid w:val="00120BED"/>
    <w:rsid w:val="0012304E"/>
    <w:rsid w:val="001248EF"/>
    <w:rsid w:val="001257C7"/>
    <w:rsid w:val="00126DDF"/>
    <w:rsid w:val="001270BF"/>
    <w:rsid w:val="00127BAC"/>
    <w:rsid w:val="00134868"/>
    <w:rsid w:val="001366D4"/>
    <w:rsid w:val="00140FF8"/>
    <w:rsid w:val="00142A56"/>
    <w:rsid w:val="00144DF5"/>
    <w:rsid w:val="00145A97"/>
    <w:rsid w:val="00146485"/>
    <w:rsid w:val="00147338"/>
    <w:rsid w:val="0015021E"/>
    <w:rsid w:val="001506B4"/>
    <w:rsid w:val="00150A6E"/>
    <w:rsid w:val="00150AD6"/>
    <w:rsid w:val="00153B40"/>
    <w:rsid w:val="00154ADA"/>
    <w:rsid w:val="0015531A"/>
    <w:rsid w:val="00155953"/>
    <w:rsid w:val="0015779C"/>
    <w:rsid w:val="001600E8"/>
    <w:rsid w:val="00163B27"/>
    <w:rsid w:val="00165317"/>
    <w:rsid w:val="00170F80"/>
    <w:rsid w:val="00171BAD"/>
    <w:rsid w:val="001744B4"/>
    <w:rsid w:val="001756A1"/>
    <w:rsid w:val="001761EE"/>
    <w:rsid w:val="0017638D"/>
    <w:rsid w:val="00176EAA"/>
    <w:rsid w:val="0017725A"/>
    <w:rsid w:val="00177C4B"/>
    <w:rsid w:val="0018325A"/>
    <w:rsid w:val="00183C9E"/>
    <w:rsid w:val="00184556"/>
    <w:rsid w:val="00185D2B"/>
    <w:rsid w:val="00186199"/>
    <w:rsid w:val="001878B0"/>
    <w:rsid w:val="001928F7"/>
    <w:rsid w:val="00193F07"/>
    <w:rsid w:val="00194537"/>
    <w:rsid w:val="0019563C"/>
    <w:rsid w:val="001A09F9"/>
    <w:rsid w:val="001A14DB"/>
    <w:rsid w:val="001A21A9"/>
    <w:rsid w:val="001A363B"/>
    <w:rsid w:val="001A59D8"/>
    <w:rsid w:val="001A5FA6"/>
    <w:rsid w:val="001B0A62"/>
    <w:rsid w:val="001B2F0C"/>
    <w:rsid w:val="001B64E7"/>
    <w:rsid w:val="001C123E"/>
    <w:rsid w:val="001C19E0"/>
    <w:rsid w:val="001C36D8"/>
    <w:rsid w:val="001C37F6"/>
    <w:rsid w:val="001C4BEC"/>
    <w:rsid w:val="001C6288"/>
    <w:rsid w:val="001C7DE9"/>
    <w:rsid w:val="001D0DB0"/>
    <w:rsid w:val="001D0F6A"/>
    <w:rsid w:val="001D21BC"/>
    <w:rsid w:val="001D2FA5"/>
    <w:rsid w:val="001D35E0"/>
    <w:rsid w:val="001D5045"/>
    <w:rsid w:val="001D5387"/>
    <w:rsid w:val="001D5A44"/>
    <w:rsid w:val="001D63BB"/>
    <w:rsid w:val="001D724B"/>
    <w:rsid w:val="001E11D3"/>
    <w:rsid w:val="001E2A6A"/>
    <w:rsid w:val="001E3DC2"/>
    <w:rsid w:val="001E56FF"/>
    <w:rsid w:val="001E5C6B"/>
    <w:rsid w:val="001E6E4D"/>
    <w:rsid w:val="001F03E1"/>
    <w:rsid w:val="001F0DE2"/>
    <w:rsid w:val="001F218E"/>
    <w:rsid w:val="001F3CC6"/>
    <w:rsid w:val="001F40BA"/>
    <w:rsid w:val="001F4530"/>
    <w:rsid w:val="002010DE"/>
    <w:rsid w:val="00202968"/>
    <w:rsid w:val="00202A66"/>
    <w:rsid w:val="00202C32"/>
    <w:rsid w:val="00203AEF"/>
    <w:rsid w:val="00210344"/>
    <w:rsid w:val="00211A26"/>
    <w:rsid w:val="002125F7"/>
    <w:rsid w:val="00213171"/>
    <w:rsid w:val="00213917"/>
    <w:rsid w:val="00214463"/>
    <w:rsid w:val="00214756"/>
    <w:rsid w:val="00215CF2"/>
    <w:rsid w:val="00215E33"/>
    <w:rsid w:val="00216232"/>
    <w:rsid w:val="00220542"/>
    <w:rsid w:val="00220684"/>
    <w:rsid w:val="00221174"/>
    <w:rsid w:val="00225ADC"/>
    <w:rsid w:val="00230732"/>
    <w:rsid w:val="00230A66"/>
    <w:rsid w:val="00230EC2"/>
    <w:rsid w:val="002359EB"/>
    <w:rsid w:val="002363AB"/>
    <w:rsid w:val="00237FA3"/>
    <w:rsid w:val="0024172D"/>
    <w:rsid w:val="00241B12"/>
    <w:rsid w:val="0024260D"/>
    <w:rsid w:val="00243E40"/>
    <w:rsid w:val="00245012"/>
    <w:rsid w:val="0024504E"/>
    <w:rsid w:val="0024651F"/>
    <w:rsid w:val="002470BA"/>
    <w:rsid w:val="00250BE3"/>
    <w:rsid w:val="00251290"/>
    <w:rsid w:val="0025158D"/>
    <w:rsid w:val="00251D17"/>
    <w:rsid w:val="00251F3A"/>
    <w:rsid w:val="0025281A"/>
    <w:rsid w:val="00253D3C"/>
    <w:rsid w:val="0025435F"/>
    <w:rsid w:val="00255292"/>
    <w:rsid w:val="00260200"/>
    <w:rsid w:val="00263563"/>
    <w:rsid w:val="002648D8"/>
    <w:rsid w:val="00264E55"/>
    <w:rsid w:val="00270548"/>
    <w:rsid w:val="00272E0C"/>
    <w:rsid w:val="00273F86"/>
    <w:rsid w:val="002752B0"/>
    <w:rsid w:val="002774F0"/>
    <w:rsid w:val="0028459B"/>
    <w:rsid w:val="00284C5F"/>
    <w:rsid w:val="002873F0"/>
    <w:rsid w:val="00291A74"/>
    <w:rsid w:val="00292198"/>
    <w:rsid w:val="002964F9"/>
    <w:rsid w:val="00297EF3"/>
    <w:rsid w:val="002A1F14"/>
    <w:rsid w:val="002A2678"/>
    <w:rsid w:val="002A2E01"/>
    <w:rsid w:val="002A398F"/>
    <w:rsid w:val="002A44F9"/>
    <w:rsid w:val="002A5C6B"/>
    <w:rsid w:val="002A5D31"/>
    <w:rsid w:val="002A714F"/>
    <w:rsid w:val="002A74FB"/>
    <w:rsid w:val="002B1851"/>
    <w:rsid w:val="002B27FF"/>
    <w:rsid w:val="002B4429"/>
    <w:rsid w:val="002B6793"/>
    <w:rsid w:val="002C1726"/>
    <w:rsid w:val="002C1DF3"/>
    <w:rsid w:val="002C21A6"/>
    <w:rsid w:val="002C26D5"/>
    <w:rsid w:val="002C2DE0"/>
    <w:rsid w:val="002C5777"/>
    <w:rsid w:val="002C7FC3"/>
    <w:rsid w:val="002D1791"/>
    <w:rsid w:val="002D32E3"/>
    <w:rsid w:val="002D55E7"/>
    <w:rsid w:val="002E0FEB"/>
    <w:rsid w:val="002E1EBA"/>
    <w:rsid w:val="002F0F79"/>
    <w:rsid w:val="002F280E"/>
    <w:rsid w:val="002F3709"/>
    <w:rsid w:val="002F3A6C"/>
    <w:rsid w:val="002F3E9C"/>
    <w:rsid w:val="002F4296"/>
    <w:rsid w:val="00300951"/>
    <w:rsid w:val="003023C9"/>
    <w:rsid w:val="00302CA8"/>
    <w:rsid w:val="00302DE9"/>
    <w:rsid w:val="003041B1"/>
    <w:rsid w:val="00305084"/>
    <w:rsid w:val="003168E2"/>
    <w:rsid w:val="003204E9"/>
    <w:rsid w:val="00320DDA"/>
    <w:rsid w:val="00321E8C"/>
    <w:rsid w:val="00322A65"/>
    <w:rsid w:val="00322A86"/>
    <w:rsid w:val="00323AE8"/>
    <w:rsid w:val="00324548"/>
    <w:rsid w:val="003251F4"/>
    <w:rsid w:val="003303E3"/>
    <w:rsid w:val="00331FA4"/>
    <w:rsid w:val="003329EA"/>
    <w:rsid w:val="00332FDE"/>
    <w:rsid w:val="003407A5"/>
    <w:rsid w:val="00341188"/>
    <w:rsid w:val="0034147B"/>
    <w:rsid w:val="0034432A"/>
    <w:rsid w:val="00350238"/>
    <w:rsid w:val="0035109C"/>
    <w:rsid w:val="00351F0A"/>
    <w:rsid w:val="0035432B"/>
    <w:rsid w:val="00357EB5"/>
    <w:rsid w:val="00361E7E"/>
    <w:rsid w:val="003669EF"/>
    <w:rsid w:val="00370AA4"/>
    <w:rsid w:val="00371FF4"/>
    <w:rsid w:val="00373015"/>
    <w:rsid w:val="00375D24"/>
    <w:rsid w:val="00377520"/>
    <w:rsid w:val="00380D36"/>
    <w:rsid w:val="003822D3"/>
    <w:rsid w:val="0038409E"/>
    <w:rsid w:val="00384BC3"/>
    <w:rsid w:val="00386630"/>
    <w:rsid w:val="00390522"/>
    <w:rsid w:val="00390B25"/>
    <w:rsid w:val="00390C86"/>
    <w:rsid w:val="00397156"/>
    <w:rsid w:val="00397351"/>
    <w:rsid w:val="00397960"/>
    <w:rsid w:val="003A20AA"/>
    <w:rsid w:val="003A3BC4"/>
    <w:rsid w:val="003A458A"/>
    <w:rsid w:val="003A4DA3"/>
    <w:rsid w:val="003A768B"/>
    <w:rsid w:val="003B07C8"/>
    <w:rsid w:val="003B2082"/>
    <w:rsid w:val="003B2F13"/>
    <w:rsid w:val="003B3D0C"/>
    <w:rsid w:val="003B405E"/>
    <w:rsid w:val="003B57D3"/>
    <w:rsid w:val="003C1F58"/>
    <w:rsid w:val="003C792F"/>
    <w:rsid w:val="003D124B"/>
    <w:rsid w:val="003D18F3"/>
    <w:rsid w:val="003D22BD"/>
    <w:rsid w:val="003D4E5A"/>
    <w:rsid w:val="003D5951"/>
    <w:rsid w:val="003D74F2"/>
    <w:rsid w:val="003D78B5"/>
    <w:rsid w:val="003E1062"/>
    <w:rsid w:val="003E244F"/>
    <w:rsid w:val="003E3AE8"/>
    <w:rsid w:val="003E62A6"/>
    <w:rsid w:val="003E695F"/>
    <w:rsid w:val="003E6C9B"/>
    <w:rsid w:val="003E709C"/>
    <w:rsid w:val="003E7B89"/>
    <w:rsid w:val="003F1D66"/>
    <w:rsid w:val="003F20D3"/>
    <w:rsid w:val="003F4241"/>
    <w:rsid w:val="003F7C45"/>
    <w:rsid w:val="0040132C"/>
    <w:rsid w:val="00405085"/>
    <w:rsid w:val="004066FC"/>
    <w:rsid w:val="00407C10"/>
    <w:rsid w:val="004113B4"/>
    <w:rsid w:val="00414827"/>
    <w:rsid w:val="00416C10"/>
    <w:rsid w:val="004217C8"/>
    <w:rsid w:val="0042180E"/>
    <w:rsid w:val="004222C8"/>
    <w:rsid w:val="0042253F"/>
    <w:rsid w:val="00424726"/>
    <w:rsid w:val="00424EF3"/>
    <w:rsid w:val="004268BB"/>
    <w:rsid w:val="00431047"/>
    <w:rsid w:val="004318F0"/>
    <w:rsid w:val="00431B86"/>
    <w:rsid w:val="00431BC5"/>
    <w:rsid w:val="004344A5"/>
    <w:rsid w:val="004408EC"/>
    <w:rsid w:val="00441B38"/>
    <w:rsid w:val="00441D14"/>
    <w:rsid w:val="00441E6A"/>
    <w:rsid w:val="004432B9"/>
    <w:rsid w:val="00443C8F"/>
    <w:rsid w:val="00452481"/>
    <w:rsid w:val="00453E40"/>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68F"/>
    <w:rsid w:val="00491ABD"/>
    <w:rsid w:val="0049297D"/>
    <w:rsid w:val="004929F2"/>
    <w:rsid w:val="00495A03"/>
    <w:rsid w:val="00497079"/>
    <w:rsid w:val="004A1BBA"/>
    <w:rsid w:val="004A1E8A"/>
    <w:rsid w:val="004A3E3C"/>
    <w:rsid w:val="004A3F71"/>
    <w:rsid w:val="004B0E6D"/>
    <w:rsid w:val="004B16E8"/>
    <w:rsid w:val="004B2326"/>
    <w:rsid w:val="004B4D2D"/>
    <w:rsid w:val="004B6250"/>
    <w:rsid w:val="004B76B1"/>
    <w:rsid w:val="004B7CA0"/>
    <w:rsid w:val="004C0057"/>
    <w:rsid w:val="004C04AE"/>
    <w:rsid w:val="004C0541"/>
    <w:rsid w:val="004C2C46"/>
    <w:rsid w:val="004C6E88"/>
    <w:rsid w:val="004C7235"/>
    <w:rsid w:val="004C7955"/>
    <w:rsid w:val="004D047F"/>
    <w:rsid w:val="004D3D96"/>
    <w:rsid w:val="004D650F"/>
    <w:rsid w:val="004D67E0"/>
    <w:rsid w:val="004E12E1"/>
    <w:rsid w:val="004E2133"/>
    <w:rsid w:val="004E32E2"/>
    <w:rsid w:val="004E5AB9"/>
    <w:rsid w:val="004E60FB"/>
    <w:rsid w:val="004F779C"/>
    <w:rsid w:val="004F7846"/>
    <w:rsid w:val="005000D4"/>
    <w:rsid w:val="005015FA"/>
    <w:rsid w:val="00505411"/>
    <w:rsid w:val="00510CAF"/>
    <w:rsid w:val="00510DAB"/>
    <w:rsid w:val="005128C5"/>
    <w:rsid w:val="00514754"/>
    <w:rsid w:val="0051478B"/>
    <w:rsid w:val="0051566A"/>
    <w:rsid w:val="00515D7B"/>
    <w:rsid w:val="005166E9"/>
    <w:rsid w:val="0052009E"/>
    <w:rsid w:val="0052302C"/>
    <w:rsid w:val="00525E59"/>
    <w:rsid w:val="00530D61"/>
    <w:rsid w:val="005318CC"/>
    <w:rsid w:val="00531D1B"/>
    <w:rsid w:val="005349B1"/>
    <w:rsid w:val="005374BC"/>
    <w:rsid w:val="00537A4E"/>
    <w:rsid w:val="00543188"/>
    <w:rsid w:val="00543367"/>
    <w:rsid w:val="00543BFA"/>
    <w:rsid w:val="00547D9C"/>
    <w:rsid w:val="00547DA1"/>
    <w:rsid w:val="005505E1"/>
    <w:rsid w:val="005541BC"/>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61D7"/>
    <w:rsid w:val="00597057"/>
    <w:rsid w:val="00597D8B"/>
    <w:rsid w:val="005A1C30"/>
    <w:rsid w:val="005A229D"/>
    <w:rsid w:val="005A3295"/>
    <w:rsid w:val="005A46FF"/>
    <w:rsid w:val="005A5AE2"/>
    <w:rsid w:val="005B011E"/>
    <w:rsid w:val="005B14F0"/>
    <w:rsid w:val="005B1E0B"/>
    <w:rsid w:val="005B2E84"/>
    <w:rsid w:val="005B70C6"/>
    <w:rsid w:val="005B7B0E"/>
    <w:rsid w:val="005C526E"/>
    <w:rsid w:val="005C5409"/>
    <w:rsid w:val="005C69AC"/>
    <w:rsid w:val="005C6DCF"/>
    <w:rsid w:val="005C6DF3"/>
    <w:rsid w:val="005C722E"/>
    <w:rsid w:val="005D01A4"/>
    <w:rsid w:val="005D14DE"/>
    <w:rsid w:val="005D2CC7"/>
    <w:rsid w:val="005D44E4"/>
    <w:rsid w:val="005D45B3"/>
    <w:rsid w:val="005D4CEB"/>
    <w:rsid w:val="005D5F80"/>
    <w:rsid w:val="005E0C14"/>
    <w:rsid w:val="005E1D51"/>
    <w:rsid w:val="005F04E6"/>
    <w:rsid w:val="005F43B9"/>
    <w:rsid w:val="005F68CB"/>
    <w:rsid w:val="005F6A4A"/>
    <w:rsid w:val="006033E3"/>
    <w:rsid w:val="00603663"/>
    <w:rsid w:val="0061321C"/>
    <w:rsid w:val="006159E5"/>
    <w:rsid w:val="00620DB0"/>
    <w:rsid w:val="0062386E"/>
    <w:rsid w:val="00623D9A"/>
    <w:rsid w:val="00623F01"/>
    <w:rsid w:val="006242FB"/>
    <w:rsid w:val="00626E2D"/>
    <w:rsid w:val="00627D94"/>
    <w:rsid w:val="00630B42"/>
    <w:rsid w:val="00631DB3"/>
    <w:rsid w:val="00634900"/>
    <w:rsid w:val="00637BA7"/>
    <w:rsid w:val="00642072"/>
    <w:rsid w:val="006440ED"/>
    <w:rsid w:val="00645293"/>
    <w:rsid w:val="00651B78"/>
    <w:rsid w:val="00652263"/>
    <w:rsid w:val="00652881"/>
    <w:rsid w:val="00653BAC"/>
    <w:rsid w:val="00657CAF"/>
    <w:rsid w:val="00661974"/>
    <w:rsid w:val="00662F58"/>
    <w:rsid w:val="00664551"/>
    <w:rsid w:val="0066704D"/>
    <w:rsid w:val="006676A0"/>
    <w:rsid w:val="006706B6"/>
    <w:rsid w:val="00670857"/>
    <w:rsid w:val="00671124"/>
    <w:rsid w:val="006727B0"/>
    <w:rsid w:val="0067307E"/>
    <w:rsid w:val="006848C1"/>
    <w:rsid w:val="006868CD"/>
    <w:rsid w:val="00686EEA"/>
    <w:rsid w:val="00687AD5"/>
    <w:rsid w:val="00690EC4"/>
    <w:rsid w:val="00691D14"/>
    <w:rsid w:val="00695251"/>
    <w:rsid w:val="00695296"/>
    <w:rsid w:val="00695ADE"/>
    <w:rsid w:val="00695C0D"/>
    <w:rsid w:val="00696356"/>
    <w:rsid w:val="00696DDE"/>
    <w:rsid w:val="006A72C6"/>
    <w:rsid w:val="006B02DA"/>
    <w:rsid w:val="006B0806"/>
    <w:rsid w:val="006B10DA"/>
    <w:rsid w:val="006B2065"/>
    <w:rsid w:val="006B3940"/>
    <w:rsid w:val="006B5B3E"/>
    <w:rsid w:val="006C168D"/>
    <w:rsid w:val="006C4465"/>
    <w:rsid w:val="006C642C"/>
    <w:rsid w:val="006C6FC6"/>
    <w:rsid w:val="006D0E4F"/>
    <w:rsid w:val="006D0F50"/>
    <w:rsid w:val="006D676F"/>
    <w:rsid w:val="006D7693"/>
    <w:rsid w:val="006E231B"/>
    <w:rsid w:val="006E346E"/>
    <w:rsid w:val="006E34B7"/>
    <w:rsid w:val="006F103E"/>
    <w:rsid w:val="006F4C30"/>
    <w:rsid w:val="006F4CD8"/>
    <w:rsid w:val="006F53D9"/>
    <w:rsid w:val="007004DC"/>
    <w:rsid w:val="00701347"/>
    <w:rsid w:val="007027B6"/>
    <w:rsid w:val="00703E8A"/>
    <w:rsid w:val="00707FB8"/>
    <w:rsid w:val="0071006D"/>
    <w:rsid w:val="00711522"/>
    <w:rsid w:val="007124FE"/>
    <w:rsid w:val="007125A9"/>
    <w:rsid w:val="00713186"/>
    <w:rsid w:val="00713757"/>
    <w:rsid w:val="00716F79"/>
    <w:rsid w:val="00717772"/>
    <w:rsid w:val="00717C29"/>
    <w:rsid w:val="00721AF1"/>
    <w:rsid w:val="0072280F"/>
    <w:rsid w:val="00722B5E"/>
    <w:rsid w:val="0072708F"/>
    <w:rsid w:val="00727C6C"/>
    <w:rsid w:val="0073150B"/>
    <w:rsid w:val="00732D1D"/>
    <w:rsid w:val="00736034"/>
    <w:rsid w:val="0073681C"/>
    <w:rsid w:val="00737AB0"/>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91053"/>
    <w:rsid w:val="00791A3A"/>
    <w:rsid w:val="00794196"/>
    <w:rsid w:val="007941EA"/>
    <w:rsid w:val="007951F3"/>
    <w:rsid w:val="0079671E"/>
    <w:rsid w:val="00797637"/>
    <w:rsid w:val="007A0A57"/>
    <w:rsid w:val="007A3680"/>
    <w:rsid w:val="007A59B8"/>
    <w:rsid w:val="007A6BEA"/>
    <w:rsid w:val="007B2191"/>
    <w:rsid w:val="007B2862"/>
    <w:rsid w:val="007B3C32"/>
    <w:rsid w:val="007B505A"/>
    <w:rsid w:val="007B662A"/>
    <w:rsid w:val="007C2BCC"/>
    <w:rsid w:val="007C7E22"/>
    <w:rsid w:val="007D1C16"/>
    <w:rsid w:val="007D28C9"/>
    <w:rsid w:val="007D3CC8"/>
    <w:rsid w:val="007D62F9"/>
    <w:rsid w:val="007D63A4"/>
    <w:rsid w:val="007E008D"/>
    <w:rsid w:val="007E0F0C"/>
    <w:rsid w:val="007E1AA2"/>
    <w:rsid w:val="007E1AD0"/>
    <w:rsid w:val="007E4C1F"/>
    <w:rsid w:val="007E5EDC"/>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1C19"/>
    <w:rsid w:val="008174D4"/>
    <w:rsid w:val="00820FE6"/>
    <w:rsid w:val="00821985"/>
    <w:rsid w:val="00821A66"/>
    <w:rsid w:val="00822476"/>
    <w:rsid w:val="00822882"/>
    <w:rsid w:val="00823E6D"/>
    <w:rsid w:val="00824200"/>
    <w:rsid w:val="00825D22"/>
    <w:rsid w:val="00825F68"/>
    <w:rsid w:val="00827CB9"/>
    <w:rsid w:val="008305BF"/>
    <w:rsid w:val="00832748"/>
    <w:rsid w:val="00835408"/>
    <w:rsid w:val="008359DA"/>
    <w:rsid w:val="00836D2A"/>
    <w:rsid w:val="00837CEF"/>
    <w:rsid w:val="00840035"/>
    <w:rsid w:val="00840220"/>
    <w:rsid w:val="00840677"/>
    <w:rsid w:val="00840C20"/>
    <w:rsid w:val="008428A9"/>
    <w:rsid w:val="00844112"/>
    <w:rsid w:val="00844CBE"/>
    <w:rsid w:val="008456C9"/>
    <w:rsid w:val="0084611D"/>
    <w:rsid w:val="00850C62"/>
    <w:rsid w:val="00854463"/>
    <w:rsid w:val="00857643"/>
    <w:rsid w:val="00863011"/>
    <w:rsid w:val="0086312D"/>
    <w:rsid w:val="00863392"/>
    <w:rsid w:val="00865075"/>
    <w:rsid w:val="0086734C"/>
    <w:rsid w:val="0086748F"/>
    <w:rsid w:val="00872CE4"/>
    <w:rsid w:val="00874F4B"/>
    <w:rsid w:val="0087539B"/>
    <w:rsid w:val="00877B62"/>
    <w:rsid w:val="00880016"/>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2A97"/>
    <w:rsid w:val="008C3990"/>
    <w:rsid w:val="008C5A67"/>
    <w:rsid w:val="008C61D6"/>
    <w:rsid w:val="008C64F1"/>
    <w:rsid w:val="008D1BB0"/>
    <w:rsid w:val="008D20FF"/>
    <w:rsid w:val="008D3DE6"/>
    <w:rsid w:val="008D4223"/>
    <w:rsid w:val="008D44CC"/>
    <w:rsid w:val="008D46E3"/>
    <w:rsid w:val="008D6709"/>
    <w:rsid w:val="008D671F"/>
    <w:rsid w:val="008E083A"/>
    <w:rsid w:val="008E0865"/>
    <w:rsid w:val="008E0E7C"/>
    <w:rsid w:val="008E2450"/>
    <w:rsid w:val="008E6497"/>
    <w:rsid w:val="008E7896"/>
    <w:rsid w:val="008F1C17"/>
    <w:rsid w:val="008F2477"/>
    <w:rsid w:val="00900DD1"/>
    <w:rsid w:val="009010F0"/>
    <w:rsid w:val="00901162"/>
    <w:rsid w:val="0090223A"/>
    <w:rsid w:val="009028E2"/>
    <w:rsid w:val="00904082"/>
    <w:rsid w:val="009055EC"/>
    <w:rsid w:val="009100C0"/>
    <w:rsid w:val="0091247B"/>
    <w:rsid w:val="0091320A"/>
    <w:rsid w:val="00914EAB"/>
    <w:rsid w:val="009150A1"/>
    <w:rsid w:val="00916808"/>
    <w:rsid w:val="00922D49"/>
    <w:rsid w:val="0092482C"/>
    <w:rsid w:val="00924A95"/>
    <w:rsid w:val="009259CF"/>
    <w:rsid w:val="00925E37"/>
    <w:rsid w:val="00925EDD"/>
    <w:rsid w:val="00927D0E"/>
    <w:rsid w:val="009309DA"/>
    <w:rsid w:val="00935771"/>
    <w:rsid w:val="00936688"/>
    <w:rsid w:val="00937CFA"/>
    <w:rsid w:val="009406B3"/>
    <w:rsid w:val="00945CF5"/>
    <w:rsid w:val="00946D66"/>
    <w:rsid w:val="009500A1"/>
    <w:rsid w:val="0095037E"/>
    <w:rsid w:val="00952AAD"/>
    <w:rsid w:val="00952F4F"/>
    <w:rsid w:val="00954567"/>
    <w:rsid w:val="009547A9"/>
    <w:rsid w:val="00957466"/>
    <w:rsid w:val="0096260B"/>
    <w:rsid w:val="00963F05"/>
    <w:rsid w:val="00965469"/>
    <w:rsid w:val="009664D5"/>
    <w:rsid w:val="0097008C"/>
    <w:rsid w:val="00970C69"/>
    <w:rsid w:val="009716AF"/>
    <w:rsid w:val="00971F1C"/>
    <w:rsid w:val="0097211D"/>
    <w:rsid w:val="00972E10"/>
    <w:rsid w:val="0097328D"/>
    <w:rsid w:val="009746CA"/>
    <w:rsid w:val="0097608D"/>
    <w:rsid w:val="0097659D"/>
    <w:rsid w:val="0097692D"/>
    <w:rsid w:val="00980242"/>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2B7"/>
    <w:rsid w:val="009D0628"/>
    <w:rsid w:val="009D1EA4"/>
    <w:rsid w:val="009D27AA"/>
    <w:rsid w:val="009D2D8B"/>
    <w:rsid w:val="009D38BA"/>
    <w:rsid w:val="009D4991"/>
    <w:rsid w:val="009D5BB5"/>
    <w:rsid w:val="009D696D"/>
    <w:rsid w:val="009D6ED2"/>
    <w:rsid w:val="009E08E9"/>
    <w:rsid w:val="009E0D5D"/>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2EEF"/>
    <w:rsid w:val="00A14AE3"/>
    <w:rsid w:val="00A16675"/>
    <w:rsid w:val="00A22CD6"/>
    <w:rsid w:val="00A234EC"/>
    <w:rsid w:val="00A2417A"/>
    <w:rsid w:val="00A26668"/>
    <w:rsid w:val="00A27804"/>
    <w:rsid w:val="00A36822"/>
    <w:rsid w:val="00A36AB5"/>
    <w:rsid w:val="00A37A23"/>
    <w:rsid w:val="00A411D1"/>
    <w:rsid w:val="00A43389"/>
    <w:rsid w:val="00A43E71"/>
    <w:rsid w:val="00A45753"/>
    <w:rsid w:val="00A47B15"/>
    <w:rsid w:val="00A52F84"/>
    <w:rsid w:val="00A5533F"/>
    <w:rsid w:val="00A554CA"/>
    <w:rsid w:val="00A56394"/>
    <w:rsid w:val="00A56B05"/>
    <w:rsid w:val="00A57678"/>
    <w:rsid w:val="00A60E2F"/>
    <w:rsid w:val="00A63284"/>
    <w:rsid w:val="00A64CB8"/>
    <w:rsid w:val="00A67018"/>
    <w:rsid w:val="00A672F3"/>
    <w:rsid w:val="00A673DC"/>
    <w:rsid w:val="00A67D40"/>
    <w:rsid w:val="00A7076E"/>
    <w:rsid w:val="00A709BE"/>
    <w:rsid w:val="00A7162E"/>
    <w:rsid w:val="00A7195A"/>
    <w:rsid w:val="00A72D71"/>
    <w:rsid w:val="00A7519C"/>
    <w:rsid w:val="00A75705"/>
    <w:rsid w:val="00A77C69"/>
    <w:rsid w:val="00A83953"/>
    <w:rsid w:val="00A83A77"/>
    <w:rsid w:val="00A85AF5"/>
    <w:rsid w:val="00A900E7"/>
    <w:rsid w:val="00A903B6"/>
    <w:rsid w:val="00A90F4F"/>
    <w:rsid w:val="00A92E44"/>
    <w:rsid w:val="00A9418A"/>
    <w:rsid w:val="00A947AA"/>
    <w:rsid w:val="00A9769C"/>
    <w:rsid w:val="00AA1B53"/>
    <w:rsid w:val="00AA3556"/>
    <w:rsid w:val="00AA35FD"/>
    <w:rsid w:val="00AA3DB7"/>
    <w:rsid w:val="00AB0340"/>
    <w:rsid w:val="00AB3012"/>
    <w:rsid w:val="00AB321C"/>
    <w:rsid w:val="00AB5B99"/>
    <w:rsid w:val="00AB688F"/>
    <w:rsid w:val="00AB75EA"/>
    <w:rsid w:val="00AB7AA2"/>
    <w:rsid w:val="00AB7BE2"/>
    <w:rsid w:val="00AC4BC1"/>
    <w:rsid w:val="00AD04BD"/>
    <w:rsid w:val="00AD1C72"/>
    <w:rsid w:val="00AD25F6"/>
    <w:rsid w:val="00AD46E6"/>
    <w:rsid w:val="00AD7214"/>
    <w:rsid w:val="00AE1066"/>
    <w:rsid w:val="00AE2AD2"/>
    <w:rsid w:val="00AE4518"/>
    <w:rsid w:val="00AE5D7F"/>
    <w:rsid w:val="00AE79F0"/>
    <w:rsid w:val="00AF2089"/>
    <w:rsid w:val="00AF3350"/>
    <w:rsid w:val="00AF4305"/>
    <w:rsid w:val="00AF5585"/>
    <w:rsid w:val="00AF561C"/>
    <w:rsid w:val="00AF6EC1"/>
    <w:rsid w:val="00B00331"/>
    <w:rsid w:val="00B01A80"/>
    <w:rsid w:val="00B02675"/>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2B4A"/>
    <w:rsid w:val="00B54370"/>
    <w:rsid w:val="00B55185"/>
    <w:rsid w:val="00B55281"/>
    <w:rsid w:val="00B60FD1"/>
    <w:rsid w:val="00B61923"/>
    <w:rsid w:val="00B621D6"/>
    <w:rsid w:val="00B63EF5"/>
    <w:rsid w:val="00B65D6F"/>
    <w:rsid w:val="00B67C23"/>
    <w:rsid w:val="00B70DC7"/>
    <w:rsid w:val="00B715FD"/>
    <w:rsid w:val="00B73042"/>
    <w:rsid w:val="00B74BB9"/>
    <w:rsid w:val="00B75283"/>
    <w:rsid w:val="00B75735"/>
    <w:rsid w:val="00B77142"/>
    <w:rsid w:val="00B807F5"/>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2FA"/>
    <w:rsid w:val="00BD3EB4"/>
    <w:rsid w:val="00BD5C65"/>
    <w:rsid w:val="00BD71EE"/>
    <w:rsid w:val="00BE6018"/>
    <w:rsid w:val="00BF1F57"/>
    <w:rsid w:val="00BF4086"/>
    <w:rsid w:val="00BF426C"/>
    <w:rsid w:val="00BF58D0"/>
    <w:rsid w:val="00BF63AF"/>
    <w:rsid w:val="00BF7D6A"/>
    <w:rsid w:val="00C013E1"/>
    <w:rsid w:val="00C01611"/>
    <w:rsid w:val="00C02D59"/>
    <w:rsid w:val="00C030B6"/>
    <w:rsid w:val="00C03284"/>
    <w:rsid w:val="00C050D7"/>
    <w:rsid w:val="00C05B5F"/>
    <w:rsid w:val="00C06911"/>
    <w:rsid w:val="00C104CC"/>
    <w:rsid w:val="00C12898"/>
    <w:rsid w:val="00C152FE"/>
    <w:rsid w:val="00C16739"/>
    <w:rsid w:val="00C22C7D"/>
    <w:rsid w:val="00C22CCE"/>
    <w:rsid w:val="00C231D6"/>
    <w:rsid w:val="00C23BA2"/>
    <w:rsid w:val="00C272C4"/>
    <w:rsid w:val="00C31C12"/>
    <w:rsid w:val="00C32AF2"/>
    <w:rsid w:val="00C33204"/>
    <w:rsid w:val="00C338EB"/>
    <w:rsid w:val="00C3465D"/>
    <w:rsid w:val="00C35643"/>
    <w:rsid w:val="00C379E9"/>
    <w:rsid w:val="00C439FB"/>
    <w:rsid w:val="00C43F23"/>
    <w:rsid w:val="00C50011"/>
    <w:rsid w:val="00C52CA1"/>
    <w:rsid w:val="00C5755E"/>
    <w:rsid w:val="00C6379C"/>
    <w:rsid w:val="00C645E6"/>
    <w:rsid w:val="00C64D82"/>
    <w:rsid w:val="00C64FBC"/>
    <w:rsid w:val="00C65A83"/>
    <w:rsid w:val="00C724F2"/>
    <w:rsid w:val="00C72761"/>
    <w:rsid w:val="00C72C6F"/>
    <w:rsid w:val="00C75057"/>
    <w:rsid w:val="00C77034"/>
    <w:rsid w:val="00C80F23"/>
    <w:rsid w:val="00C81151"/>
    <w:rsid w:val="00C81EFA"/>
    <w:rsid w:val="00C82CC6"/>
    <w:rsid w:val="00C850A3"/>
    <w:rsid w:val="00C85C32"/>
    <w:rsid w:val="00C87568"/>
    <w:rsid w:val="00C90DB6"/>
    <w:rsid w:val="00C913B6"/>
    <w:rsid w:val="00C9394F"/>
    <w:rsid w:val="00C93B1A"/>
    <w:rsid w:val="00C96F5F"/>
    <w:rsid w:val="00CA4126"/>
    <w:rsid w:val="00CA4574"/>
    <w:rsid w:val="00CA5927"/>
    <w:rsid w:val="00CA79EC"/>
    <w:rsid w:val="00CB041A"/>
    <w:rsid w:val="00CB39C2"/>
    <w:rsid w:val="00CB4664"/>
    <w:rsid w:val="00CB4C8C"/>
    <w:rsid w:val="00CB6782"/>
    <w:rsid w:val="00CC080A"/>
    <w:rsid w:val="00CC0994"/>
    <w:rsid w:val="00CC0C03"/>
    <w:rsid w:val="00CD0AAD"/>
    <w:rsid w:val="00CD6177"/>
    <w:rsid w:val="00CE182E"/>
    <w:rsid w:val="00CE2DAB"/>
    <w:rsid w:val="00CE2DE4"/>
    <w:rsid w:val="00CE2E79"/>
    <w:rsid w:val="00CE5277"/>
    <w:rsid w:val="00CE5A79"/>
    <w:rsid w:val="00CE6358"/>
    <w:rsid w:val="00CF2D54"/>
    <w:rsid w:val="00CF592C"/>
    <w:rsid w:val="00CF6992"/>
    <w:rsid w:val="00CF6AD7"/>
    <w:rsid w:val="00CF7B8C"/>
    <w:rsid w:val="00D03538"/>
    <w:rsid w:val="00D049B8"/>
    <w:rsid w:val="00D0516C"/>
    <w:rsid w:val="00D05EE7"/>
    <w:rsid w:val="00D068D0"/>
    <w:rsid w:val="00D078D1"/>
    <w:rsid w:val="00D129A8"/>
    <w:rsid w:val="00D12FB9"/>
    <w:rsid w:val="00D13FE2"/>
    <w:rsid w:val="00D200BD"/>
    <w:rsid w:val="00D22399"/>
    <w:rsid w:val="00D24B11"/>
    <w:rsid w:val="00D310BA"/>
    <w:rsid w:val="00D32C0A"/>
    <w:rsid w:val="00D33751"/>
    <w:rsid w:val="00D3382F"/>
    <w:rsid w:val="00D33924"/>
    <w:rsid w:val="00D34559"/>
    <w:rsid w:val="00D36F6E"/>
    <w:rsid w:val="00D3705B"/>
    <w:rsid w:val="00D37343"/>
    <w:rsid w:val="00D4205E"/>
    <w:rsid w:val="00D45DB6"/>
    <w:rsid w:val="00D5574C"/>
    <w:rsid w:val="00D604CE"/>
    <w:rsid w:val="00D61982"/>
    <w:rsid w:val="00D6267A"/>
    <w:rsid w:val="00D67D12"/>
    <w:rsid w:val="00D7585A"/>
    <w:rsid w:val="00D77B06"/>
    <w:rsid w:val="00D80618"/>
    <w:rsid w:val="00D8121C"/>
    <w:rsid w:val="00D82494"/>
    <w:rsid w:val="00D84A4B"/>
    <w:rsid w:val="00D92168"/>
    <w:rsid w:val="00D940B5"/>
    <w:rsid w:val="00D95CB0"/>
    <w:rsid w:val="00D977C0"/>
    <w:rsid w:val="00DA00A3"/>
    <w:rsid w:val="00DA13F3"/>
    <w:rsid w:val="00DA23C3"/>
    <w:rsid w:val="00DA2DE3"/>
    <w:rsid w:val="00DA475D"/>
    <w:rsid w:val="00DA7146"/>
    <w:rsid w:val="00DA716A"/>
    <w:rsid w:val="00DB1F4F"/>
    <w:rsid w:val="00DB37EE"/>
    <w:rsid w:val="00DB4450"/>
    <w:rsid w:val="00DB7B69"/>
    <w:rsid w:val="00DC234A"/>
    <w:rsid w:val="00DC27AD"/>
    <w:rsid w:val="00DC41E4"/>
    <w:rsid w:val="00DC5116"/>
    <w:rsid w:val="00DC7C77"/>
    <w:rsid w:val="00DD074A"/>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6313"/>
    <w:rsid w:val="00E1738C"/>
    <w:rsid w:val="00E207A1"/>
    <w:rsid w:val="00E22C7E"/>
    <w:rsid w:val="00E22D28"/>
    <w:rsid w:val="00E230E3"/>
    <w:rsid w:val="00E27A14"/>
    <w:rsid w:val="00E30EDF"/>
    <w:rsid w:val="00E30F3C"/>
    <w:rsid w:val="00E31EC2"/>
    <w:rsid w:val="00E31FBA"/>
    <w:rsid w:val="00E32CB6"/>
    <w:rsid w:val="00E34042"/>
    <w:rsid w:val="00E34CDF"/>
    <w:rsid w:val="00E36AAE"/>
    <w:rsid w:val="00E41773"/>
    <w:rsid w:val="00E428DD"/>
    <w:rsid w:val="00E43B0B"/>
    <w:rsid w:val="00E44A50"/>
    <w:rsid w:val="00E477F6"/>
    <w:rsid w:val="00E50841"/>
    <w:rsid w:val="00E513F6"/>
    <w:rsid w:val="00E52F3B"/>
    <w:rsid w:val="00E53A45"/>
    <w:rsid w:val="00E53D94"/>
    <w:rsid w:val="00E53DEA"/>
    <w:rsid w:val="00E548E9"/>
    <w:rsid w:val="00E553CC"/>
    <w:rsid w:val="00E55667"/>
    <w:rsid w:val="00E57068"/>
    <w:rsid w:val="00E57630"/>
    <w:rsid w:val="00E616DB"/>
    <w:rsid w:val="00E627A4"/>
    <w:rsid w:val="00E630ED"/>
    <w:rsid w:val="00E74EC5"/>
    <w:rsid w:val="00E75FDC"/>
    <w:rsid w:val="00E76B86"/>
    <w:rsid w:val="00E8342F"/>
    <w:rsid w:val="00E847A7"/>
    <w:rsid w:val="00E85E29"/>
    <w:rsid w:val="00E85F25"/>
    <w:rsid w:val="00E86E79"/>
    <w:rsid w:val="00E87313"/>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4874"/>
    <w:rsid w:val="00EE79A6"/>
    <w:rsid w:val="00EF063B"/>
    <w:rsid w:val="00EF6111"/>
    <w:rsid w:val="00EF6232"/>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0868"/>
    <w:rsid w:val="00F423BD"/>
    <w:rsid w:val="00F4255D"/>
    <w:rsid w:val="00F432FF"/>
    <w:rsid w:val="00F46DF9"/>
    <w:rsid w:val="00F4715C"/>
    <w:rsid w:val="00F54869"/>
    <w:rsid w:val="00F556B2"/>
    <w:rsid w:val="00F57252"/>
    <w:rsid w:val="00F5754B"/>
    <w:rsid w:val="00F576DE"/>
    <w:rsid w:val="00F63BF7"/>
    <w:rsid w:val="00F64563"/>
    <w:rsid w:val="00F65617"/>
    <w:rsid w:val="00F65D71"/>
    <w:rsid w:val="00F70112"/>
    <w:rsid w:val="00F710BE"/>
    <w:rsid w:val="00F723B1"/>
    <w:rsid w:val="00F736D2"/>
    <w:rsid w:val="00F7564C"/>
    <w:rsid w:val="00F76220"/>
    <w:rsid w:val="00F769BE"/>
    <w:rsid w:val="00F81C33"/>
    <w:rsid w:val="00F82A1D"/>
    <w:rsid w:val="00F82E6B"/>
    <w:rsid w:val="00F91F6D"/>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C1CA5"/>
    <w:rsid w:val="00FC2098"/>
    <w:rsid w:val="00FC219C"/>
    <w:rsid w:val="00FC2979"/>
    <w:rsid w:val="00FD1C3C"/>
    <w:rsid w:val="00FD1E02"/>
    <w:rsid w:val="00FD38A8"/>
    <w:rsid w:val="00FD6AC8"/>
    <w:rsid w:val="00FE3EA1"/>
    <w:rsid w:val="00FE4818"/>
    <w:rsid w:val="00FE4BF2"/>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iPriority="0" w:unhideWhenUsed="0"/>
    <w:lsdException w:locked="1" w:name="HTML Preformatted"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FD1E02"/>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C1289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FD1E02"/>
    <w:rPr>
      <w:rFonts w:cs="Times New Roman"/>
      <w:b/>
      <w:bCs/>
      <w:kern w:val="44"/>
      <w:sz w:val="44"/>
      <w:szCs w:val="44"/>
    </w:rPr>
  </w:style>
  <w:style w:customStyle="1" w:styleId="2Char" w:type="character">
    <w:name w:val="标题 2 Char"/>
    <w:link w:val="2"/>
    <w:uiPriority w:val="99"/>
    <w:semiHidden/>
    <w:locked/>
    <w:rsid w:val="00140FF8"/>
    <w:rPr>
      <w:rFonts w:ascii="Cambria" w:cs="Times New Roman" w:eastAsia="宋体" w:hAnsi="Cambria"/>
      <w:b/>
      <w:bCs/>
      <w:sz w:val="32"/>
      <w:szCs w:val="32"/>
    </w:rPr>
  </w:style>
  <w:style w:styleId="a0" w:type="paragraph">
    <w:name w:val="Normal Indent"/>
    <w:basedOn w:val="a"/>
    <w:uiPriority w:val="99"/>
    <w:rsid w:val="00C12898"/>
    <w:pPr>
      <w:ind w:firstLine="420" w:firstLineChars="200"/>
    </w:pPr>
  </w:style>
  <w:style w:styleId="a4" w:type="paragraph">
    <w:name w:val="Body Text Indent"/>
    <w:basedOn w:val="a"/>
    <w:link w:val="Char"/>
    <w:uiPriority w:val="99"/>
    <w:rsid w:val="00C12898"/>
    <w:pPr>
      <w:widowControl/>
      <w:spacing w:after="100" w:afterAutospacing="1" w:before="100" w:beforeAutospacing="1"/>
      <w:jc w:val="left"/>
    </w:pPr>
    <w:rPr>
      <w:rFonts w:ascii="Arial Unicode MS" w:cs="Arial Unicode MS" w:eastAsia="Arial Unicode MS" w:hAnsi="Arial Unicode MS"/>
      <w:kern w:val="0"/>
      <w:sz w:val="24"/>
    </w:rPr>
  </w:style>
  <w:style w:customStyle="1" w:styleId="Char" w:type="character">
    <w:name w:val="正文文本缩进 Char"/>
    <w:link w:val="a4"/>
    <w:uiPriority w:val="99"/>
    <w:semiHidden/>
    <w:locked/>
    <w:rsid w:val="00140FF8"/>
    <w:rPr>
      <w:rFonts w:cs="Times New Roman"/>
      <w:sz w:val="24"/>
      <w:szCs w:val="24"/>
    </w:rPr>
  </w:style>
  <w:style w:styleId="a5" w:type="paragraph">
    <w:name w:val="Plain Text"/>
    <w:basedOn w:val="a"/>
    <w:link w:val="Char0"/>
    <w:uiPriority w:val="99"/>
    <w:rsid w:val="00C12898"/>
    <w:rPr>
      <w:rFonts w:ascii="宋体" w:hAnsi="Courier New"/>
      <w:szCs w:val="21"/>
    </w:rPr>
  </w:style>
  <w:style w:customStyle="1" w:styleId="Char0" w:type="character">
    <w:name w:val="纯文本 Char"/>
    <w:link w:val="a5"/>
    <w:uiPriority w:val="99"/>
    <w:locked/>
    <w:rsid w:val="0042253F"/>
    <w:rPr>
      <w:rFonts w:ascii="宋体" w:cs="Times New Roman" w:hAnsi="Courier New"/>
      <w:kern w:val="2"/>
      <w:sz w:val="21"/>
    </w:rPr>
  </w:style>
  <w:style w:styleId="20" w:type="paragraph">
    <w:name w:val="Body Text Indent 2"/>
    <w:basedOn w:val="a"/>
    <w:link w:val="2Char0"/>
    <w:uiPriority w:val="99"/>
    <w:rsid w:val="00C12898"/>
    <w:pPr>
      <w:spacing w:line="560" w:lineRule="exact"/>
      <w:ind w:firstLine="480" w:firstLineChars="200"/>
    </w:pPr>
    <w:rPr>
      <w:rFonts w:ascii="宋体" w:hAnsi="宋体"/>
      <w:color w:val="FF0000"/>
      <w:sz w:val="24"/>
    </w:rPr>
  </w:style>
  <w:style w:customStyle="1" w:styleId="2Char0" w:type="character">
    <w:name w:val="正文文本缩进 2 Char"/>
    <w:link w:val="20"/>
    <w:uiPriority w:val="99"/>
    <w:semiHidden/>
    <w:locked/>
    <w:rsid w:val="00140FF8"/>
    <w:rPr>
      <w:rFonts w:cs="Times New Roman"/>
      <w:sz w:val="24"/>
      <w:szCs w:val="24"/>
    </w:rPr>
  </w:style>
  <w:style w:styleId="a6" w:type="paragraph">
    <w:name w:val="footer"/>
    <w:basedOn w:val="a"/>
    <w:link w:val="Char1"/>
    <w:uiPriority w:val="99"/>
    <w:rsid w:val="00C12898"/>
    <w:pPr>
      <w:tabs>
        <w:tab w:pos="4153" w:val="center"/>
        <w:tab w:pos="8306" w:val="right"/>
      </w:tabs>
      <w:snapToGrid w:val="0"/>
      <w:jc w:val="left"/>
    </w:pPr>
    <w:rPr>
      <w:sz w:val="18"/>
      <w:szCs w:val="18"/>
    </w:rPr>
  </w:style>
  <w:style w:customStyle="1" w:styleId="Char1" w:type="character">
    <w:name w:val="页脚 Char"/>
    <w:link w:val="a6"/>
    <w:uiPriority w:val="99"/>
    <w:semiHidden/>
    <w:locked/>
    <w:rsid w:val="00140FF8"/>
    <w:rPr>
      <w:rFonts w:cs="Times New Roman"/>
      <w:sz w:val="18"/>
      <w:szCs w:val="18"/>
    </w:rPr>
  </w:style>
  <w:style w:styleId="a7" w:type="character">
    <w:name w:val="page number"/>
    <w:uiPriority w:val="99"/>
    <w:rsid w:val="00C12898"/>
    <w:rPr>
      <w:rFonts w:cs="Times New Roman"/>
    </w:rPr>
  </w:style>
  <w:style w:styleId="a8" w:type="character">
    <w:name w:val="Hyperlink"/>
    <w:uiPriority w:val="99"/>
    <w:rsid w:val="00C12898"/>
    <w:rPr>
      <w:rFonts w:cs="Times New Roman"/>
      <w:color w:val="0000FF"/>
      <w:u w:val="single"/>
    </w:rPr>
  </w:style>
  <w:style w:styleId="3" w:type="paragraph">
    <w:name w:val="Body Text Indent 3"/>
    <w:basedOn w:val="a"/>
    <w:link w:val="3Char"/>
    <w:uiPriority w:val="99"/>
    <w:rsid w:val="00C12898"/>
    <w:pPr>
      <w:spacing w:line="560" w:lineRule="exact"/>
      <w:ind w:firstLine="420" w:firstLineChars="200"/>
    </w:pPr>
    <w:rPr>
      <w:rFonts w:ascii="Arial" w:cs="Arial" w:hAnsi="Arial"/>
      <w:color w:val="FF0000"/>
    </w:rPr>
  </w:style>
  <w:style w:customStyle="1" w:styleId="3Char" w:type="character">
    <w:name w:val="正文文本缩进 3 Char"/>
    <w:link w:val="3"/>
    <w:uiPriority w:val="99"/>
    <w:semiHidden/>
    <w:locked/>
    <w:rsid w:val="00140FF8"/>
    <w:rPr>
      <w:rFonts w:cs="Times New Roman"/>
      <w:sz w:val="16"/>
      <w:szCs w:val="16"/>
    </w:rPr>
  </w:style>
  <w:style w:styleId="a9" w:type="paragraph">
    <w:name w:val="header"/>
    <w:basedOn w:val="a"/>
    <w:link w:val="Char2"/>
    <w:uiPriority w:val="99"/>
    <w:rsid w:val="00C12898"/>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FB572A"/>
    <w:rPr>
      <w:rFonts w:cs="Times New Roman"/>
      <w:kern w:val="2"/>
      <w:sz w:val="18"/>
      <w:szCs w:val="18"/>
    </w:rPr>
  </w:style>
  <w:style w:styleId="aa" w:type="character">
    <w:name w:val="FollowedHyperlink"/>
    <w:uiPriority w:val="99"/>
    <w:rsid w:val="00C12898"/>
    <w:rPr>
      <w:rFonts w:cs="Times New Roman"/>
      <w:color w:val="800080"/>
      <w:u w:val="single"/>
    </w:rPr>
  </w:style>
  <w:style w:styleId="ab" w:type="paragraph">
    <w:name w:val="List"/>
    <w:basedOn w:val="ac"/>
    <w:uiPriority w:val="99"/>
    <w:rsid w:val="00C12898"/>
    <w:pPr>
      <w:spacing w:after="220" w:line="220" w:lineRule="atLeast"/>
      <w:ind w:hanging="360" w:left="1440"/>
    </w:pPr>
    <w:rPr>
      <w:szCs w:val="20"/>
    </w:rPr>
  </w:style>
  <w:style w:styleId="ac" w:type="paragraph">
    <w:name w:val="Body Text"/>
    <w:basedOn w:val="a"/>
    <w:link w:val="Char3"/>
    <w:uiPriority w:val="99"/>
    <w:rsid w:val="00C12898"/>
    <w:pPr>
      <w:spacing w:after="120"/>
    </w:pPr>
  </w:style>
  <w:style w:customStyle="1" w:styleId="Char3" w:type="character">
    <w:name w:val="正文文本 Char"/>
    <w:link w:val="ac"/>
    <w:uiPriority w:val="99"/>
    <w:semiHidden/>
    <w:locked/>
    <w:rsid w:val="00140FF8"/>
    <w:rPr>
      <w:rFonts w:cs="Times New Roman"/>
      <w:sz w:val="24"/>
      <w:szCs w:val="24"/>
    </w:rPr>
  </w:style>
  <w:style w:styleId="ad" w:type="paragraph">
    <w:name w:val="Date"/>
    <w:basedOn w:val="a"/>
    <w:next w:val="a"/>
    <w:link w:val="Char4"/>
    <w:uiPriority w:val="99"/>
    <w:rsid w:val="00C12898"/>
    <w:rPr>
      <w:sz w:val="24"/>
      <w:szCs w:val="20"/>
    </w:rPr>
  </w:style>
  <w:style w:customStyle="1" w:styleId="Char4" w:type="character">
    <w:name w:val="日期 Char"/>
    <w:link w:val="ad"/>
    <w:uiPriority w:val="99"/>
    <w:locked/>
    <w:rsid w:val="00F27C38"/>
    <w:rPr>
      <w:rFonts w:cs="Times New Roman"/>
      <w:kern w:val="2"/>
      <w:sz w:val="24"/>
    </w:rPr>
  </w:style>
  <w:style w:customStyle="1" w:styleId="c1" w:type="character">
    <w:name w:val="c1"/>
    <w:uiPriority w:val="99"/>
    <w:rsid w:val="00C12898"/>
    <w:rPr>
      <w:rFonts w:cs="Times New Roman"/>
      <w:color w:val="000000"/>
      <w:sz w:val="18"/>
      <w:szCs w:val="18"/>
    </w:rPr>
  </w:style>
  <w:style w:styleId="10" w:type="paragraph">
    <w:name w:val="index 1"/>
    <w:basedOn w:val="a"/>
    <w:next w:val="a"/>
    <w:autoRedefine/>
    <w:uiPriority w:val="99"/>
    <w:semiHidden/>
    <w:rsid w:val="00C12898"/>
    <w:pPr>
      <w:jc w:val="right"/>
    </w:pPr>
    <w:rPr>
      <w:color w:val="008000"/>
    </w:rPr>
  </w:style>
  <w:style w:customStyle="1" w:styleId="font5" w:type="paragraph">
    <w:name w:val="font5"/>
    <w:basedOn w:val="a"/>
    <w:uiPriority w:val="99"/>
    <w:rsid w:val="00C12898"/>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C1289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C1289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C1289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C1289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C1289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C1289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C1289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C12898"/>
    <w:rPr>
      <w:sz w:val="18"/>
      <w:szCs w:val="18"/>
    </w:rPr>
  </w:style>
  <w:style w:customStyle="1" w:styleId="Char5" w:type="character">
    <w:name w:val="批注框文本 Char"/>
    <w:link w:val="ae"/>
    <w:uiPriority w:val="99"/>
    <w:semiHidden/>
    <w:locked/>
    <w:rsid w:val="00140FF8"/>
    <w:rPr>
      <w:rFonts w:cs="Times New Roman"/>
      <w:sz w:val="2"/>
    </w:rPr>
  </w:style>
  <w:style w:styleId="af" w:type="character">
    <w:name w:val="annotation reference"/>
    <w:uiPriority w:val="99"/>
    <w:semiHidden/>
    <w:rsid w:val="00C12898"/>
    <w:rPr>
      <w:rFonts w:cs="Times New Roman"/>
      <w:sz w:val="21"/>
      <w:szCs w:val="21"/>
    </w:rPr>
  </w:style>
  <w:style w:styleId="af0" w:type="paragraph">
    <w:name w:val="annotation text"/>
    <w:basedOn w:val="a"/>
    <w:link w:val="Char6"/>
    <w:uiPriority w:val="99"/>
    <w:semiHidden/>
    <w:rsid w:val="00C12898"/>
    <w:pPr>
      <w:jc w:val="left"/>
    </w:pPr>
  </w:style>
  <w:style w:customStyle="1" w:styleId="Char6" w:type="character">
    <w:name w:val="批注文字 Char"/>
    <w:link w:val="af0"/>
    <w:uiPriority w:val="99"/>
    <w:semiHidden/>
    <w:locked/>
    <w:rsid w:val="00140FF8"/>
    <w:rPr>
      <w:rFonts w:cs="Times New Roman"/>
      <w:sz w:val="24"/>
      <w:szCs w:val="24"/>
    </w:rPr>
  </w:style>
  <w:style w:styleId="af1" w:type="paragraph">
    <w:name w:val="annotation subject"/>
    <w:basedOn w:val="af0"/>
    <w:next w:val="af0"/>
    <w:link w:val="Char7"/>
    <w:uiPriority w:val="99"/>
    <w:semiHidden/>
    <w:rsid w:val="00C12898"/>
    <w:rPr>
      <w:b/>
      <w:bCs/>
    </w:rPr>
  </w:style>
  <w:style w:customStyle="1" w:styleId="Char7" w:type="character">
    <w:name w:val="批注主题 Char"/>
    <w:link w:val="af1"/>
    <w:uiPriority w:val="99"/>
    <w:semiHidden/>
    <w:locked/>
    <w:rsid w:val="00140FF8"/>
    <w:rPr>
      <w:rFonts w:cs="Times New Roman"/>
      <w:b/>
      <w:bCs/>
      <w:sz w:val="24"/>
      <w:szCs w:val="24"/>
    </w:rPr>
  </w:style>
  <w:style w:customStyle="1" w:styleId="Char8" w:type="paragraph">
    <w:name w:val="Char"/>
    <w:basedOn w:val="a"/>
    <w:uiPriority w:val="99"/>
    <w:rsid w:val="00C12898"/>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140FF8"/>
    <w:rPr>
      <w:rFonts w:cs="Times New Roman"/>
      <w:sz w:val="2"/>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sz w:val="18"/>
      <w:szCs w:val="18"/>
    </w:rPr>
  </w:style>
  <w:style w:customStyle="1" w:styleId="Chara" w:type="character">
    <w:name w:val="脚注文本 Char"/>
    <w:link w:val="af4"/>
    <w:uiPriority w:val="99"/>
    <w:semiHidden/>
    <w:locked/>
    <w:rsid w:val="00140FF8"/>
    <w:rPr>
      <w:rFonts w:cs="Times New Roman"/>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695296"/>
    <w:pPr>
      <w:widowControl w:val="0"/>
      <w:autoSpaceDE w:val="0"/>
      <w:autoSpaceDN w:val="0"/>
      <w:adjustRightInd w:val="0"/>
    </w:pPr>
    <w:rPr>
      <w:rFonts w:ascii="FangSong" w:cs="FangSong" w:hAnsi="FangSong"/>
      <w:color w:val="000000"/>
      <w:sz w:val="24"/>
      <w:szCs w:val="24"/>
    </w:rPr>
  </w:style>
  <w:style w:styleId="HTML" w:type="paragraph">
    <w:name w:val="HTML Preformatted"/>
    <w:basedOn w:val="a"/>
    <w:link w:val="HTMLChar"/>
    <w:uiPriority w:val="99"/>
    <w:rsid w:val="00634900"/>
    <w:pPr>
      <w:widowControl/>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jc w:val="left"/>
    </w:pPr>
    <w:rPr>
      <w:rFonts w:ascii="宋体" w:cs="宋体" w:hAnsi="宋体"/>
      <w:kern w:val="0"/>
      <w:sz w:val="24"/>
    </w:rPr>
  </w:style>
  <w:style w:customStyle="1" w:styleId="HTMLChar" w:type="character">
    <w:name w:val="HTML 预设格式 Char"/>
    <w:link w:val="HTML"/>
    <w:uiPriority w:val="99"/>
    <w:locked/>
    <w:rsid w:val="00634900"/>
    <w:rPr>
      <w:rFonts w:ascii="宋体" w:cs="宋体" w:eastAsia="宋体"/>
      <w:sz w:val="24"/>
      <w:szCs w:val="24"/>
    </w:rPr>
  </w:style>
  <w:style w:styleId="af8" w:type="character">
    <w:name w:val="Strong"/>
    <w:basedOn w:val="a1"/>
    <w:uiPriority w:val="22"/>
    <w:qFormat/>
    <w:locked/>
    <w:rsid w:val="00193F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2775">
      <w:bodyDiv w:val="1"/>
      <w:marLeft w:val="0"/>
      <w:marRight w:val="0"/>
      <w:marTop w:val="0"/>
      <w:marBottom w:val="0"/>
      <w:divBdr>
        <w:top w:val="none" w:sz="0" w:space="0" w:color="auto"/>
        <w:left w:val="none" w:sz="0" w:space="0" w:color="auto"/>
        <w:bottom w:val="none" w:sz="0" w:space="0" w:color="auto"/>
        <w:right w:val="none" w:sz="0" w:space="0" w:color="auto"/>
      </w:divBdr>
    </w:div>
    <w:div w:id="367880750">
      <w:bodyDiv w:val="1"/>
      <w:marLeft w:val="0"/>
      <w:marRight w:val="0"/>
      <w:marTop w:val="0"/>
      <w:marBottom w:val="0"/>
      <w:divBdr>
        <w:top w:val="none" w:sz="0" w:space="0" w:color="auto"/>
        <w:left w:val="none" w:sz="0" w:space="0" w:color="auto"/>
        <w:bottom w:val="none" w:sz="0" w:space="0" w:color="auto"/>
        <w:right w:val="none" w:sz="0" w:space="0" w:color="auto"/>
      </w:divBdr>
    </w:div>
    <w:div w:id="919413930">
      <w:bodyDiv w:val="1"/>
      <w:marLeft w:val="0"/>
      <w:marRight w:val="0"/>
      <w:marTop w:val="0"/>
      <w:marBottom w:val="0"/>
      <w:divBdr>
        <w:top w:val="none" w:sz="0" w:space="0" w:color="auto"/>
        <w:left w:val="none" w:sz="0" w:space="0" w:color="auto"/>
        <w:bottom w:val="none" w:sz="0" w:space="0" w:color="auto"/>
        <w:right w:val="none" w:sz="0" w:space="0" w:color="auto"/>
      </w:divBdr>
    </w:div>
    <w:div w:id="1077090524">
      <w:bodyDiv w:val="1"/>
      <w:marLeft w:val="0"/>
      <w:marRight w:val="0"/>
      <w:marTop w:val="0"/>
      <w:marBottom w:val="0"/>
      <w:divBdr>
        <w:top w:val="none" w:sz="0" w:space="0" w:color="auto"/>
        <w:left w:val="none" w:sz="0" w:space="0" w:color="auto"/>
        <w:bottom w:val="none" w:sz="0" w:space="0" w:color="auto"/>
        <w:right w:val="none" w:sz="0" w:space="0" w:color="auto"/>
      </w:divBdr>
    </w:div>
    <w:div w:id="1682857254">
      <w:marLeft w:val="0"/>
      <w:marRight w:val="0"/>
      <w:marTop w:val="0"/>
      <w:marBottom w:val="0"/>
      <w:divBdr>
        <w:top w:val="none" w:sz="0" w:space="0" w:color="auto"/>
        <w:left w:val="none" w:sz="0" w:space="0" w:color="auto"/>
        <w:bottom w:val="none" w:sz="0" w:space="0" w:color="auto"/>
        <w:right w:val="none" w:sz="0" w:space="0" w:color="auto"/>
      </w:divBdr>
    </w:div>
    <w:div w:id="1682857255">
      <w:marLeft w:val="0"/>
      <w:marRight w:val="0"/>
      <w:marTop w:val="0"/>
      <w:marBottom w:val="0"/>
      <w:divBdr>
        <w:top w:val="none" w:sz="0" w:space="0" w:color="auto"/>
        <w:left w:val="none" w:sz="0" w:space="0" w:color="auto"/>
        <w:bottom w:val="none" w:sz="0" w:space="0" w:color="auto"/>
        <w:right w:val="none" w:sz="0" w:space="0" w:color="auto"/>
      </w:divBdr>
    </w:div>
    <w:div w:id="1682857256">
      <w:marLeft w:val="0"/>
      <w:marRight w:val="0"/>
      <w:marTop w:val="0"/>
      <w:marBottom w:val="0"/>
      <w:divBdr>
        <w:top w:val="none" w:sz="0" w:space="0" w:color="auto"/>
        <w:left w:val="none" w:sz="0" w:space="0" w:color="auto"/>
        <w:bottom w:val="none" w:sz="0" w:space="0" w:color="auto"/>
        <w:right w:val="none" w:sz="0" w:space="0" w:color="auto"/>
      </w:divBdr>
    </w:div>
    <w:div w:id="1682857257">
      <w:marLeft w:val="0"/>
      <w:marRight w:val="0"/>
      <w:marTop w:val="0"/>
      <w:marBottom w:val="0"/>
      <w:divBdr>
        <w:top w:val="none" w:sz="0" w:space="0" w:color="auto"/>
        <w:left w:val="none" w:sz="0" w:space="0" w:color="auto"/>
        <w:bottom w:val="none" w:sz="0" w:space="0" w:color="auto"/>
        <w:right w:val="none" w:sz="0" w:space="0" w:color="auto"/>
      </w:divBdr>
    </w:div>
    <w:div w:id="1682857258">
      <w:marLeft w:val="0"/>
      <w:marRight w:val="0"/>
      <w:marTop w:val="0"/>
      <w:marBottom w:val="0"/>
      <w:divBdr>
        <w:top w:val="none" w:sz="0" w:space="0" w:color="auto"/>
        <w:left w:val="none" w:sz="0" w:space="0" w:color="auto"/>
        <w:bottom w:val="none" w:sz="0" w:space="0" w:color="auto"/>
        <w:right w:val="none" w:sz="0" w:space="0" w:color="auto"/>
      </w:divBdr>
    </w:div>
    <w:div w:id="1682857259">
      <w:marLeft w:val="0"/>
      <w:marRight w:val="0"/>
      <w:marTop w:val="0"/>
      <w:marBottom w:val="0"/>
      <w:divBdr>
        <w:top w:val="none" w:sz="0" w:space="0" w:color="auto"/>
        <w:left w:val="none" w:sz="0" w:space="0" w:color="auto"/>
        <w:bottom w:val="none" w:sz="0" w:space="0" w:color="auto"/>
        <w:right w:val="none" w:sz="0" w:space="0" w:color="auto"/>
      </w:divBdr>
    </w:div>
    <w:div w:id="1682857260">
      <w:marLeft w:val="0"/>
      <w:marRight w:val="0"/>
      <w:marTop w:val="0"/>
      <w:marBottom w:val="0"/>
      <w:divBdr>
        <w:top w:val="none" w:sz="0" w:space="0" w:color="auto"/>
        <w:left w:val="none" w:sz="0" w:space="0" w:color="auto"/>
        <w:bottom w:val="none" w:sz="0" w:space="0" w:color="auto"/>
        <w:right w:val="none" w:sz="0" w:space="0" w:color="auto"/>
      </w:divBdr>
    </w:div>
    <w:div w:id="1682857261">
      <w:marLeft w:val="0"/>
      <w:marRight w:val="0"/>
      <w:marTop w:val="0"/>
      <w:marBottom w:val="0"/>
      <w:divBdr>
        <w:top w:val="none" w:sz="0" w:space="0" w:color="auto"/>
        <w:left w:val="none" w:sz="0" w:space="0" w:color="auto"/>
        <w:bottom w:val="none" w:sz="0" w:space="0" w:color="auto"/>
        <w:right w:val="none" w:sz="0" w:space="0" w:color="auto"/>
      </w:divBdr>
    </w:div>
    <w:div w:id="1682857262">
      <w:marLeft w:val="0"/>
      <w:marRight w:val="0"/>
      <w:marTop w:val="0"/>
      <w:marBottom w:val="0"/>
      <w:divBdr>
        <w:top w:val="none" w:sz="0" w:space="0" w:color="auto"/>
        <w:left w:val="none" w:sz="0" w:space="0" w:color="auto"/>
        <w:bottom w:val="none" w:sz="0" w:space="0" w:color="auto"/>
        <w:right w:val="none" w:sz="0" w:space="0" w:color="auto"/>
      </w:divBdr>
    </w:div>
    <w:div w:id="1682857263">
      <w:marLeft w:val="0"/>
      <w:marRight w:val="0"/>
      <w:marTop w:val="0"/>
      <w:marBottom w:val="0"/>
      <w:divBdr>
        <w:top w:val="none" w:sz="0" w:space="0" w:color="auto"/>
        <w:left w:val="none" w:sz="0" w:space="0" w:color="auto"/>
        <w:bottom w:val="none" w:sz="0" w:space="0" w:color="auto"/>
        <w:right w:val="none" w:sz="0" w:space="0" w:color="auto"/>
      </w:divBdr>
    </w:div>
    <w:div w:id="1682857264">
      <w:marLeft w:val="0"/>
      <w:marRight w:val="0"/>
      <w:marTop w:val="0"/>
      <w:marBottom w:val="0"/>
      <w:divBdr>
        <w:top w:val="none" w:sz="0" w:space="0" w:color="auto"/>
        <w:left w:val="none" w:sz="0" w:space="0" w:color="auto"/>
        <w:bottom w:val="none" w:sz="0" w:space="0" w:color="auto"/>
        <w:right w:val="none" w:sz="0" w:space="0" w:color="auto"/>
      </w:divBdr>
    </w:div>
    <w:div w:id="1682857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footer2.xml" Type="http://schemas.openxmlformats.org/officeDocument/2006/relationships/foot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29</Pages>
  <Words>4249</Words>
  <Characters>24222</Characters>
  <Application>Microsoft Office Word</Application>
  <DocSecurity>0</DocSecurity>
  <Lines>201</Lines>
  <Paragraphs>56</Paragraphs>
  <ScaleCrop>false</ScaleCrop>
  <Company>TRT. Ltd. Co.</Company>
  <LinksUpToDate>false</LinksUpToDate>
  <CharactersWithSpaces>28415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2012-11-28T02:28:00Z</dcterms:created>
  <cp:lastModifiedBy>sirong han</cp:lastModifiedBy>
  <cp:lastPrinted>2007-07-19T00:46:00Z</cp:lastPrinted>
  <dcterms:modified xsi:type="dcterms:W3CDTF">2020-10-20T06:20:00Z</dcterms:modified>
  <cp:revision>192</cp:revision>
</cp:coreProperties>
</file>