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FC13C8" w:rsidR="00F016DD" w:rsidRDefault="00F016DD" w:rsidRPr="0078105B">
      <w:pPr>
        <w:spacing w:line="360" w:lineRule="auto"/>
        <w:jc w:val="center"/>
        <w:rPr>
          <w:rFonts w:ascii="宋体" w:hAnsi="宋体"/>
          <w:b/>
          <w:sz w:val="36"/>
          <w:szCs w:val="36"/>
        </w:rPr>
      </w:pPr>
      <w:r w:rsidRPr="0078105B">
        <w:rPr>
          <w:rFonts w:ascii="宋体"/>
          <w:b/>
          <w:sz w:val="36"/>
          <w:szCs w:val="36"/>
        </w:rPr>
        <w:t/>
      </w:r>
      <w:proofErr w:type="spellStart"/>
      <w:proofErr w:type="gramStart"/>
      <w:r w:rsidRPr="0078105B">
        <w:rPr>
          <w:rFonts w:ascii="宋体" w:hAnsi="宋体"/>
          <w:b/>
          <w:sz w:val="36"/>
          <w:szCs w:val="36"/>
        </w:rPr>
        <w:t/>
      </w:r>
      <w:proofErr w:type="spellEnd"/>
      <w:proofErr w:type="gramEnd"/>
      <w:r w:rsidRPr="0078105B">
        <w:rPr>
          <w:rFonts w:ascii="宋体" w:hAnsi="宋体"/>
          <w:b/>
          <w:sz w:val="36"/>
          <w:szCs w:val="36"/>
        </w:rPr>
        <w:t>易方达信用债债券型证券投资基金</w:t>
      </w:r>
    </w:p>
    <w:p w:rsidP="00FC13C8" w:rsidR="00F016DD" w:rsidRDefault="00F016DD" w:rsidRPr="0078105B">
      <w:pPr>
        <w:spacing w:line="360" w:lineRule="auto"/>
        <w:jc w:val="center"/>
        <w:rPr>
          <w:rFonts w:ascii="宋体" w:hAnsi="宋体"/>
          <w:b/>
          <w:sz w:val="36"/>
          <w:szCs w:val="36"/>
        </w:rPr>
      </w:pPr>
      <w:r w:rsidRPr="0078105B">
        <w:rPr>
          <w:rFonts w:ascii="宋体" w:hAnsi="宋体"/>
          <w:b/>
          <w:sz w:val="36"/>
          <w:szCs w:val="36"/>
        </w:rPr>
        <w:t/>
      </w:r>
      <w:proofErr w:type="spellStart"/>
      <w:r w:rsidRPr="0078105B">
        <w:rPr>
          <w:rFonts w:ascii="宋体" w:hAnsi="宋体"/>
          <w:b/>
          <w:sz w:val="36"/>
          <w:szCs w:val="36"/>
        </w:rPr>
        <w:t/>
      </w:r>
      <w:proofErr w:type="spellEnd"/>
      <w:r w:rsidRPr="0078105B">
        <w:rPr>
          <w:rFonts w:ascii="宋体" w:hAnsi="宋体"/>
          <w:b/>
          <w:sz w:val="36"/>
          <w:szCs w:val="36"/>
        </w:rPr>
        <w:t>2020年第3季度报告</w:t>
      </w:r>
    </w:p>
    <w:p w:rsidP="00FC13C8" w:rsidR="00F016DD" w:rsidRDefault="00F016DD" w:rsidRPr="00DA451D">
      <w:pPr>
        <w:spacing w:line="360" w:lineRule="auto"/>
        <w:jc w:val="center"/>
        <w:rPr>
          <w:rFonts w:ascii="宋体" w:hAnsi="宋体"/>
          <w:b/>
          <w:sz w:val="24"/>
        </w:rPr>
      </w:pPr>
      <w:r w:rsidRPr="00DA451D">
        <w:rPr>
          <w:rFonts w:ascii="宋体"/>
          <w:b/>
          <w:sz w:val="24"/>
        </w:rPr>
        <w:t/>
      </w:r>
      <w:proofErr w:type="spellStart"/>
      <w:proofErr w:type="gramStart"/>
      <w:r w:rsidRPr="00DA451D">
        <w:rPr>
          <w:rFonts w:ascii="宋体" w:hAnsi="宋体"/>
          <w:b/>
          <w:sz w:val="24"/>
        </w:rPr>
        <w:t/>
      </w:r>
      <w:proofErr w:type="spellEnd"/>
      <w:proofErr w:type="gramEnd"/>
      <w:r w:rsidRPr="00DA451D">
        <w:rPr>
          <w:rFonts w:ascii="宋体" w:hAnsi="宋体"/>
          <w:b/>
          <w:sz w:val="24"/>
        </w:rPr>
        <w:t>2020年9月30日</w:t>
      </w: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E27360" w:rsidR="00F016DD" w:rsidRDefault="00F016DD" w:rsidRPr="0078105B">
      <w:pPr>
        <w:spacing w:line="360" w:lineRule="auto"/>
        <w:jc w:val="center"/>
        <w:rPr>
          <w:rFonts w:ascii="宋体"/>
          <w:b/>
          <w:color w:val="000000"/>
          <w:sz w:val="24"/>
        </w:rPr>
      </w:pPr>
    </w:p>
    <w:p w:rsidP="00E27360"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rPr>
          <w:rFonts w:ascii="宋体"/>
          <w:b/>
          <w:color w:val="000000"/>
          <w:sz w:val="24"/>
        </w:rPr>
      </w:pPr>
    </w:p>
    <w:p w:rsidP="00174038" w:rsidR="00F016DD" w:rsidRDefault="00F016DD" w:rsidRPr="0078105B">
      <w:pPr>
        <w:spacing w:line="360" w:lineRule="auto"/>
        <w:ind w:firstLine="2168" w:firstLineChars="900"/>
        <w:rPr>
          <w:rFonts w:ascii="宋体" w:hAnsi="宋体"/>
          <w:b/>
          <w:color w:val="000000"/>
          <w:sz w:val="24"/>
        </w:rPr>
      </w:pPr>
      <w:r w:rsidRPr="0078105B">
        <w:rPr>
          <w:rFonts w:ascii="宋体" w:hAnsi="宋体" w:hint="eastAsia"/>
          <w:b/>
          <w:color w:val="000000"/>
          <w:sz w:val="24"/>
        </w:rPr>
        <w:t>基金管理人：</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易方达基金管理有限公司</w:t>
      </w:r>
    </w:p>
    <w:p w:rsidP="00174038" w:rsidR="00F016DD" w:rsidRDefault="00F016DD" w:rsidRPr="0078105B">
      <w:pPr>
        <w:spacing w:line="360" w:lineRule="auto"/>
        <w:ind w:firstLine="2168" w:firstLineChars="900"/>
        <w:rPr>
          <w:rFonts w:ascii="宋体" w:hAnsi="宋体"/>
          <w:b/>
          <w:color w:val="000000"/>
          <w:sz w:val="24"/>
        </w:rPr>
      </w:pPr>
      <w:r w:rsidRPr="0078105B">
        <w:rPr>
          <w:rFonts w:ascii="宋体" w:hAnsi="宋体" w:hint="eastAsia"/>
          <w:b/>
          <w:color w:val="000000"/>
          <w:sz w:val="24"/>
        </w:rPr>
        <w:t>基金托管人：</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中国工商银行股份有限公司</w:t>
      </w:r>
    </w:p>
    <w:p w:rsidP="00174038" w:rsidR="00F016DD" w:rsidRDefault="00F016DD" w:rsidRPr="0078105B">
      <w:pPr>
        <w:spacing w:line="360" w:lineRule="auto"/>
        <w:ind w:firstLine="2168" w:firstLineChars="900"/>
        <w:rPr>
          <w:rFonts w:ascii="宋体"/>
          <w:sz w:val="24"/>
        </w:rPr>
        <w:sectPr w:rsidR="00F016DD" w:rsidRPr="0078105B" w:rsidSect="00F7094A">
          <w:headerReference r:id="rId8" w:type="default"/>
          <w:footerReference r:id="rId9" w:type="default"/>
          <w:pgSz w:h="15840" w:w="11926"/>
          <w:pgMar w:bottom="851" w:footer="992" w:gutter="0" w:header="851" w:left="1418" w:right="1418" w:top="1418"/>
          <w:cols w:space="720"/>
          <w:noEndnote/>
        </w:sectPr>
      </w:pPr>
      <w:r w:rsidRPr="0078105B">
        <w:rPr>
          <w:rFonts w:ascii="宋体" w:hAnsi="宋体" w:hint="eastAsia"/>
          <w:b/>
          <w:color w:val="000000"/>
          <w:sz w:val="24"/>
        </w:rPr>
        <w:t>报告送出日期：</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二〇二〇年十月二十八日</w:t>
      </w:r>
    </w:p>
    <w:p w:rsidP="00B54884" w:rsidR="00F016DD" w:rsidRDefault="00F016DD" w:rsidRPr="0078105B">
      <w:pPr>
        <w:pStyle w:val="1"/>
        <w:spacing w:after="312" w:afterLines="100" w:before="312" w:beforeLines="100" w:line="360" w:lineRule="auto"/>
        <w:jc w:val="center"/>
        <w:rPr>
          <w:rFonts w:ascii="宋体" w:cs="Arial"/>
          <w:b w:val="0"/>
          <w:color w:val="000000"/>
          <w:kern w:val="0"/>
          <w:sz w:val="24"/>
          <w:szCs w:val="24"/>
        </w:rPr>
      </w:pPr>
      <w:r w:rsidRPr="0078105B">
        <w:rPr>
          <w:rFonts w:ascii="宋体" w:cs="Arial" w:hAnsi="宋体" w:hint="eastAsia"/>
          <w:color w:val="000000"/>
          <w:kern w:val="0"/>
          <w:sz w:val="24"/>
          <w:szCs w:val="24"/>
        </w:rPr>
        <w:lastRenderedPageBreak/>
        <w:t>§</w:t>
      </w:r>
      <w:r w:rsidRPr="0078105B">
        <w:rPr>
          <w:rFonts w:ascii="宋体" w:cs="Arial" w:hAnsi="宋体"/>
          <w:color w:val="000000"/>
          <w:kern w:val="0"/>
          <w:sz w:val="24"/>
          <w:szCs w:val="24"/>
        </w:rPr>
        <w:t xml:space="preserve">1  </w:t>
      </w:r>
      <w:r w:rsidRPr="0078105B">
        <w:rPr>
          <w:rFonts w:ascii="宋体" w:cs="Arial" w:hAnsi="宋体" w:hint="eastAsia"/>
          <w:color w:val="000000"/>
          <w:kern w:val="0"/>
          <w:sz w:val="24"/>
          <w:szCs w:val="24"/>
        </w:rPr>
        <w:t>重要提示</w:t>
      </w:r>
    </w:p>
    <w:p>
      <w:pPr>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rPr>
      </w:pPr>
      <w:r>
        <w:rPr>
          <w:color w:val="000000"/>
          <w:sz w:val="24"/>
        </w:rPr>
        <w:t xml:space="preserve">基金托管人中国工商银行股份有限公司根据本基金合同规定，于2020年10月26日复核了本报告中的财务指标、净值表现和投资组合报告等内容，保证复核内容不存在虚假记载、误导性陈述或者重大遗漏。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rPr>
      </w:pPr>
      <w:r>
        <w:rPr>
          <w:color w:val="000000"/>
          <w:sz w:val="24"/>
        </w:rPr>
        <w:t>本报告中财务资料未经审计。</w:t>
      </w:r>
    </w:p>
    <w:p w:rsidP="00C30CFF" w:rsidR="00F016DD" w:rsidRDefault="00F016DD" w:rsidRPr="00C30CFF">
      <w:pPr>
        <w:spacing w:line="360" w:lineRule="auto"/>
        <w:ind w:firstLine="480" w:firstLineChars="200"/>
        <w:rPr>
          <w:color w:val="000000"/>
          <w:sz w:val="24"/>
        </w:rPr>
      </w:pPr>
      <w:r w:rsidRPr="00C30CFF">
        <w:rPr>
          <w:color w:val="000000"/>
          <w:sz w:val="24"/>
        </w:rPr>
        <w:t/>
      </w:r>
      <w:proofErr w:type="spellStart"/>
      <w:proofErr w:type="gramStart"/>
      <w:r w:rsidRPr="00C30CFF">
        <w:rPr>
          <w:color w:val="000000"/>
          <w:sz w:val="24"/>
        </w:rPr>
        <w:t/>
      </w:r>
      <w:proofErr w:type="spellEnd"/>
      <w:proofErr w:type="gramEnd"/>
      <w:r w:rsidRPr="00C30CFF">
        <w:rPr>
          <w:color w:val="000000"/>
          <w:sz w:val="24"/>
        </w:rPr>
        <w:t>本报告期自2020年7月1日起至9月30日止。</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2  </w:t>
      </w:r>
      <w:r w:rsidRPr="0078105B">
        <w:rPr>
          <w:rFonts w:ascii="宋体" w:cs="Arial"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90"/>
      </w:tblGrid>
      <w:tr w:rsidR="00F016DD" w:rsidRPr="0078105B" w:rsidTr="00414367">
        <w:tc>
          <w:tcPr>
            <w:tcW w:type="dxa" w:w="2835"/>
          </w:tcPr>
          <w:p w:rsidP="00E205AA" w:rsidR="00F016DD" w:rsidRDefault="00F016DD" w:rsidRPr="00C30CFF">
            <w:pPr>
              <w:adjustRightInd w:val="0"/>
              <w:spacing w:before="29" w:line="360" w:lineRule="auto"/>
              <w:ind w:left="17"/>
              <w:jc w:val="left"/>
              <w:rPr>
                <w:kern w:val="0"/>
                <w:sz w:val="24"/>
              </w:rPr>
            </w:pPr>
            <w:r w:rsidRPr="00C30CFF">
              <w:rPr>
                <w:kern w:val="0"/>
                <w:sz w:val="24"/>
              </w:rPr>
              <w:t>基金简称</w:t>
            </w:r>
          </w:p>
        </w:tc>
        <w:tc>
          <w:tcPr>
            <w:tcW w:type="dxa" w:w="5529"/>
            <w:gridSpan w:val="2"/>
          </w:tcPr>
          <w:p w:rsidP="00E205AA"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易方达信用债债券</w:t>
            </w:r>
          </w:p>
        </w:tc>
      </w:tr>
      <w:tr w:rsidR="00F016DD" w:rsidRPr="0078105B" w:rsidTr="00414367">
        <w:tc>
          <w:tcPr>
            <w:tcW w:type="dxa" w:w="2835"/>
          </w:tcPr>
          <w:p w:rsidP="00E205AA" w:rsidR="00F016DD" w:rsidRDefault="00F016DD" w:rsidRPr="00C30CFF">
            <w:pPr>
              <w:adjustRightInd w:val="0"/>
              <w:spacing w:before="29" w:line="360" w:lineRule="auto"/>
              <w:ind w:left="17"/>
              <w:jc w:val="left"/>
              <w:rPr>
                <w:kern w:val="0"/>
                <w:sz w:val="24"/>
              </w:rPr>
            </w:pPr>
            <w:r w:rsidRPr="00C30CFF">
              <w:rPr>
                <w:kern w:val="0"/>
                <w:sz w:val="24"/>
              </w:rPr>
              <w:t>基金主代码</w:t>
            </w:r>
          </w:p>
        </w:tc>
        <w:tc>
          <w:tcPr>
            <w:tcW w:type="dxa" w:w="5529"/>
            <w:gridSpan w:val="2"/>
          </w:tcPr>
          <w:p w:rsidP="00E205AA"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000032</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基金运作方式</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契约型开放式</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基金合同生效日</w:t>
            </w:r>
          </w:p>
        </w:tc>
        <w:tc>
          <w:tcPr>
            <w:tcW w:type="dxa" w:w="5529"/>
            <w:gridSpan w:val="2"/>
          </w:tcPr>
          <w:p w:rsidP="00121533"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2013年4月24日</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报告期末基金份额总额</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4,844,873,647.69</w:t>
            </w:r>
            <w:r w:rsidRPr="00C30CFF">
              <w:rPr>
                <w:color w:val="000000"/>
                <w:kern w:val="0"/>
                <w:sz w:val="24"/>
              </w:rPr>
              <w:t>份</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投资目标</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本基金主要投资于信用债券，力争获得高于业绩比较基准的投资收益。</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投资策略</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采取积极管理的投资策略，在分析和判断宏观经济运行状况和金融市场运行趋势的基础上，确定和动态调整信用债券、非信用债券和银行存款等资产类别的配置比例；自上而下地决定债券组合久期及类属配置；同时在严谨深入的信用分析的基础上，自下而上地精选个券，力争获得超越业绩比较基准的投资回报。</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业绩比较基准</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中债-信用债总指数</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风险收益特征</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本基金为债券型基金，其长期平均风险和预期收益率理论上低于股票型基金、混合型基金，高于货币市场基金。</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基金管理人</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易方达基金管理有限公司</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基金托管人</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中国工商银行股份有限公司</w:t>
            </w:r>
          </w:p>
        </w:tc>
      </w:tr>
      <w:tr w:rsidR="00F016DD" w:rsidRPr="0078105B" w:rsidTr="00414367">
        <w:tc>
          <w:tcPr>
            <w:tcW w:type="dxa" w:w="2835"/>
          </w:tcPr>
          <w:p w:rsidP="003F13CD" w:rsidR="00F016DD" w:rsidRDefault="00F016DD" w:rsidRPr="00C30CFF">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type="dxa" w:w="2739"/>
            <w:vAlign w:val="center"/>
          </w:tcPr>
          <w:p w:rsidP="00950413" w:rsidR="00F016DD" w:rsidRDefault="00F016DD"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易方达信用债债券A</w:t>
            </w:r>
          </w:p>
        </w:tc>
        <w:tc>
          <w:tcPr>
            <w:tcW w:type="dxa" w:w="2790"/>
            <w:vAlign w:val="center"/>
          </w:tcPr>
          <w:p w:rsidP="00950413" w:rsidR="00F016DD" w:rsidRDefault="00F016DD" w:rsidRPr="00C30CFF">
            <w:pPr>
              <w:jc w:val="left"/>
              <w:rPr>
                <w:sz w:val="24"/>
              </w:rPr>
            </w:pPr>
            <w:r w:rsidRPr="00C30CFF">
              <w:rPr>
                <w:color w:val="000000"/>
                <w:kern w:val="0"/>
                <w:sz w:val="24"/>
              </w:rPr>
              <w:t/>
            </w:r>
            <w:r w:rsidRPr="00C30CFF">
              <w:rPr>
                <w:sz w:val="24"/>
              </w:rPr>
              <w:t>易方达信用债债券C</w:t>
            </w:r>
          </w:p>
        </w:tc>
      </w:tr>
      <w:tr w:rsidR="00F016DD" w:rsidRPr="004D29A9" w:rsidTr="00414367">
        <w:tc>
          <w:tcPr>
            <w:tcW w:type="dxa" w:w="2835"/>
          </w:tcPr>
          <w:p w:rsidP="003F13CD" w:rsidR="00F016DD" w:rsidRDefault="00F016DD" w:rsidRPr="00C30CFF">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w:t>
            </w:r>
            <w:r w:rsidRPr="00C30CFF">
              <w:rPr>
                <w:color w:val="000000"/>
                <w:sz w:val="24"/>
              </w:rPr>
              <w:lastRenderedPageBreak/>
              <w:t>码</w:t>
            </w:r>
            <w:r w:rsidRPr="00C30CFF">
              <w:rPr>
                <w:color w:val="000000"/>
                <w:sz w:val="24"/>
              </w:rPr>
              <w:t/>
            </w:r>
            <w:proofErr w:type="spellStart"/>
            <w:r w:rsidRPr="00C30CFF">
              <w:rPr>
                <w:color w:val="000000"/>
              </w:rPr>
              <w:t/>
            </w:r>
            <w:proofErr w:type="spellEnd"/>
            <w:r w:rsidRPr="00C30CFF">
              <w:rPr>
                <w:color w:val="000000"/>
                <w:sz w:val="24"/>
              </w:rPr>
              <w:t/>
            </w:r>
          </w:p>
        </w:tc>
        <w:tc>
          <w:tcPr>
            <w:tcW w:type="dxa" w:w="2739"/>
            <w:vAlign w:val="center"/>
          </w:tcPr>
          <w:p w:rsidP="00950413" w:rsidR="00F016DD" w:rsidRDefault="00F016DD" w:rsidRPr="00C30CFF">
            <w:pPr>
              <w:jc w:val="left"/>
              <w:rPr>
                <w:color w:val="000000"/>
                <w:sz w:val="24"/>
              </w:rPr>
            </w:pPr>
            <w:r w:rsidRPr="00C30CFF">
              <w:rPr>
                <w:color w:val="000000"/>
                <w:kern w:val="0"/>
                <w:sz w:val="24"/>
              </w:rPr>
              <w:lastRenderedPageBreak/>
              <w:t/>
            </w:r>
            <w:proofErr w:type="spellStart"/>
            <w:r w:rsidRPr="00C30CFF">
              <w:rPr>
                <w:color w:val="000000"/>
                <w:kern w:val="0"/>
                <w:sz w:val="24"/>
              </w:rPr>
              <w:t/>
            </w:r>
            <w:proofErr w:type="spellEnd"/>
            <w:r w:rsidRPr="00C30CFF">
              <w:rPr>
                <w:color w:val="000000"/>
                <w:kern w:val="0"/>
                <w:sz w:val="24"/>
              </w:rPr>
              <w:t/>
            </w:r>
            <w:proofErr w:type="spellStart"/>
            <w:r w:rsidRPr="00C30CFF">
              <w:rPr>
                <w:color w:val="000000"/>
                <w:sz w:val="24"/>
              </w:rPr>
              <w:t/>
            </w:r>
            <w:proofErr w:type="spellEnd"/>
            <w:r w:rsidRPr="00C30CFF">
              <w:rPr>
                <w:color w:val="000000"/>
                <w:sz w:val="24"/>
              </w:rPr>
              <w:t/>
            </w:r>
            <w:r w:rsidRPr="00C30CFF">
              <w:rPr>
                <w:color w:val="000000"/>
                <w:sz w:val="24"/>
              </w:rPr>
              <w:lastRenderedPageBreak/>
              <w:t>000032</w:t>
            </w:r>
          </w:p>
        </w:tc>
        <w:tc>
          <w:tcPr>
            <w:tcW w:type="dxa" w:w="2790"/>
            <w:vAlign w:val="center"/>
          </w:tcPr>
          <w:p w:rsidP="00950413" w:rsidR="00F016DD" w:rsidRDefault="00F016DD" w:rsidRPr="00C30CFF">
            <w:pPr>
              <w:jc w:val="left"/>
              <w:rPr>
                <w:color w:val="000000"/>
                <w:sz w:val="24"/>
              </w:rPr>
            </w:pPr>
            <w:r w:rsidRPr="00C30CFF">
              <w:rPr>
                <w:color w:val="000000"/>
                <w:kern w:val="0"/>
                <w:sz w:val="24"/>
              </w:rPr>
              <w:lastRenderedPageBreak/>
              <w:t/>
            </w:r>
            <w:proofErr w:type="spellStart"/>
            <w:r w:rsidRPr="00C30CFF">
              <w:rPr>
                <w:color w:val="000000"/>
                <w:kern w:val="0"/>
                <w:sz w:val="24"/>
              </w:rPr>
              <w:t/>
            </w:r>
            <w:proofErr w:type="spellEnd"/>
            <w:r w:rsidRPr="00C30CFF">
              <w:rPr>
                <w:color w:val="000000"/>
                <w:kern w:val="0"/>
                <w:sz w:val="24"/>
              </w:rPr>
              <w:t/>
            </w:r>
            <w:r w:rsidRPr="00C30CFF">
              <w:rPr>
                <w:color w:val="000000"/>
                <w:sz w:val="24"/>
              </w:rPr>
              <w:t>000033</w:t>
            </w:r>
          </w:p>
        </w:tc>
      </w:tr>
      <w:tr w:rsidR="00F016DD" w:rsidRPr="0078105B" w:rsidTr="00414367">
        <w:tc>
          <w:tcPr>
            <w:tcW w:type="dxa" w:w="2835"/>
          </w:tcPr>
          <w:p w:rsidP="00162D92" w:rsidR="00F016DD" w:rsidRDefault="00F016DD" w:rsidRPr="00C30CFF">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type="dxa" w:w="2739"/>
            <w:vAlign w:val="center"/>
          </w:tcPr>
          <w:p w:rsidP="00950413" w:rsidR="00F016DD" w:rsidRDefault="00F016DD"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4,070,331,500.74</w:t>
            </w:r>
            <w:r w:rsidRPr="00C30CFF">
              <w:rPr>
                <w:color w:val="000000"/>
                <w:kern w:val="0"/>
                <w:sz w:val="24"/>
              </w:rPr>
              <w:t>份</w:t>
            </w:r>
          </w:p>
        </w:tc>
        <w:tc>
          <w:tcPr>
            <w:tcW w:type="dxa" w:w="2790"/>
            <w:vAlign w:val="center"/>
          </w:tcPr>
          <w:p w:rsidP="00950413" w:rsidR="00F016DD" w:rsidRDefault="00F016DD" w:rsidRPr="00C30CFF">
            <w:pPr>
              <w:jc w:val="left"/>
              <w:rPr>
                <w:sz w:val="24"/>
              </w:rPr>
            </w:pPr>
            <w:r w:rsidRPr="00C30CFF">
              <w:rPr>
                <w:color w:val="000000"/>
                <w:kern w:val="0"/>
                <w:sz w:val="24"/>
              </w:rPr>
              <w:t/>
            </w:r>
            <w:r w:rsidRPr="00C30CFF">
              <w:rPr>
                <w:sz w:val="24"/>
              </w:rPr>
              <w:t>774,542,146.95</w:t>
            </w:r>
            <w:r w:rsidRPr="00C30CFF">
              <w:rPr>
                <w:color w:val="000000"/>
                <w:kern w:val="0"/>
                <w:sz w:val="24"/>
              </w:rPr>
              <w:t>份</w:t>
            </w:r>
          </w:p>
        </w:tc>
      </w:tr>
    </w:tbl>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3  </w:t>
      </w:r>
      <w:r w:rsidRPr="0078105B">
        <w:rPr>
          <w:rFonts w:ascii="宋体" w:cs="Arial" w:hAnsi="宋体" w:hint="eastAsia"/>
          <w:color w:val="000000"/>
          <w:kern w:val="0"/>
          <w:sz w:val="24"/>
          <w:szCs w:val="24"/>
        </w:rPr>
        <w:t>主要财务指标和基金净值表现</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3.1 </w:t>
      </w:r>
      <w:r w:rsidRPr="0078105B">
        <w:rPr>
          <w:rFonts w:ascii="宋体" w:cs="Arial" w:hAnsi="宋体" w:hint="eastAsia"/>
          <w:b/>
          <w:color w:val="000000"/>
          <w:kern w:val="0"/>
          <w:sz w:val="24"/>
        </w:rPr>
        <w:t>主要财务指标</w:t>
      </w:r>
    </w:p>
    <w:p w:rsidP="00E27360" w:rsidR="00F016DD" w:rsidRDefault="00F016DD" w:rsidRPr="00FA472B">
      <w:pPr>
        <w:autoSpaceDE w:val="0"/>
        <w:autoSpaceDN w:val="0"/>
        <w:adjustRightInd w:val="0"/>
        <w:spacing w:before="29" w:line="288" w:lineRule="auto"/>
        <w:ind w:left="15" w:right="480"/>
        <w:jc w:val="right"/>
        <w:rPr>
          <w:rFonts w:ascii="宋体" w:cs="Arial" w:hAnsi="宋体"/>
          <w:color w:val="000000"/>
          <w:kern w:val="0"/>
          <w:sz w:val="24"/>
        </w:rPr>
      </w:pPr>
      <w:r w:rsidRPr="00FA472B">
        <w:rPr>
          <w:rFonts w:ascii="宋体" w:cs="Arial" w:hAnsi="宋体" w:hint="eastAsia"/>
          <w:color w:val="000000"/>
          <w:kern w:val="0"/>
          <w:sz w:val="24"/>
        </w:rPr>
        <w:t>单位：人民币元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481"/>
        <w:gridCol w:w="2481"/>
      </w:tblGrid>
      <w:tr w:rsidR="00F016DD" w:rsidRPr="00FA472B" w:rsidTr="008B5312">
        <w:tc>
          <w:tcPr>
            <w:tcW w:type="dxa" w:w="3402"/>
            <w:vMerge w:val="restart"/>
            <w:vAlign w:val="center"/>
          </w:tcPr>
          <w:p w:rsidP="00E205AA" w:rsidR="00F016DD" w:rsidRDefault="00F016DD" w:rsidRPr="00FA472B">
            <w:pPr>
              <w:adjustRightInd w:val="0"/>
              <w:spacing w:before="29" w:line="360" w:lineRule="auto"/>
              <w:ind w:left="17"/>
              <w:jc w:val="center"/>
              <w:rPr>
                <w:kern w:val="0"/>
                <w:sz w:val="24"/>
              </w:rPr>
            </w:pPr>
            <w:r w:rsidRPr="00FA472B">
              <w:rPr>
                <w:kern w:val="0"/>
                <w:sz w:val="24"/>
              </w:rPr>
              <w:t>主要财务指标</w:t>
            </w:r>
          </w:p>
        </w:tc>
        <w:tc>
          <w:tcPr>
            <w:tcW w:type="dxa" w:w="4962"/>
            <w:gridSpan w:val="2"/>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sz w:val="24"/>
              </w:rPr>
              <w:t>报告期</w:t>
            </w:r>
          </w:p>
          <w:p w:rsidP="00E205AA" w:rsidR="00F016DD" w:rsidRDefault="00F016DD" w:rsidRPr="00FA472B">
            <w:pPr>
              <w:adjustRightInd w:val="0"/>
              <w:spacing w:before="29" w:line="360" w:lineRule="auto"/>
              <w:ind w:left="17"/>
              <w:jc w:val="center"/>
              <w:rPr>
                <w:color w:val="000000"/>
                <w:sz w:val="24"/>
              </w:rPr>
            </w:pPr>
            <w:r w:rsidRPr="00FA472B">
              <w:rPr>
                <w:color w:val="000000"/>
                <w:sz w:val="24"/>
              </w:rPr>
              <w:t>(</w:t>
            </w:r>
            <w:proofErr w:type="spellStart"/>
            <w:r w:rsidRPr="00FA472B">
              <w:rPr>
                <w:color w:val="000000"/>
                <w:sz w:val="24"/>
              </w:rPr>
              <w:t/>
            </w:r>
            <w:proofErr w:type="spellEnd"/>
            <w:r w:rsidRPr="00FA472B">
              <w:rPr>
                <w:color w:val="000000"/>
                <w:sz w:val="24"/>
              </w:rPr>
              <w:t>2020年7月1日-</w:t>
            </w:r>
            <w:proofErr w:type="spellStart"/>
            <w:r w:rsidRPr="00FA472B">
              <w:rPr>
                <w:color w:val="000000"/>
                <w:sz w:val="24"/>
              </w:rPr>
              <w:t/>
            </w:r>
            <w:proofErr w:type="spellEnd"/>
            <w:r w:rsidRPr="00FA472B">
              <w:rPr>
                <w:color w:val="000000"/>
                <w:sz w:val="24"/>
              </w:rPr>
              <w:t>2020年9月30日)</w:t>
            </w:r>
          </w:p>
        </w:tc>
      </w:tr>
      <w:tr w:rsidR="00F016DD" w:rsidRPr="00FA472B" w:rsidTr="008B5312">
        <w:tc>
          <w:tcPr>
            <w:tcW w:type="dxa" w:w="3402"/>
            <w:vMerge/>
            <w:vAlign w:val="center"/>
          </w:tcPr>
          <w:p w:rsidP="00E205AA" w:rsidR="00F016DD" w:rsidRDefault="00F016DD" w:rsidRPr="00FA472B">
            <w:pPr>
              <w:adjustRightInd w:val="0"/>
              <w:spacing w:before="29" w:line="360" w:lineRule="auto"/>
              <w:ind w:left="17"/>
              <w:jc w:val="center"/>
              <w:rPr>
                <w:kern w:val="0"/>
                <w:sz w:val="24"/>
              </w:rPr>
            </w:pPr>
          </w:p>
        </w:tc>
        <w:tc>
          <w:tcPr>
            <w:tcW w:type="dxa" w:w="2481"/>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kern w:val="0"/>
                <w:sz w:val="24"/>
              </w:rPr>
              <w:t/>
            </w:r>
            <w:proofErr w:type="spellStart"/>
            <w:r w:rsidRPr="00FA472B">
              <w:rPr>
                <w:sz w:val="24"/>
              </w:rPr>
              <w:t/>
            </w:r>
            <w:proofErr w:type="spellEnd"/>
            <w:r w:rsidRPr="00FA472B">
              <w:rPr>
                <w:sz w:val="24"/>
              </w:rPr>
              <w:t>易方达信用债债券A</w:t>
            </w:r>
          </w:p>
        </w:tc>
        <w:tc>
          <w:tcPr>
            <w:tcW w:type="dxa" w:w="2481"/>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kern w:val="0"/>
                <w:sz w:val="24"/>
              </w:rPr>
              <w:t/>
            </w:r>
            <w:r w:rsidRPr="00FA472B">
              <w:rPr>
                <w:sz w:val="24"/>
              </w:rPr>
              <w:t>易方达信用债债券C</w:t>
            </w:r>
          </w:p>
        </w:tc>
      </w:tr>
      <w:tr w:rsidR="00F016DD" w:rsidRPr="00FA472B" w:rsidTr="00973B57">
        <w:tc>
          <w:tcPr>
            <w:tcW w:type="dxa" w:w="3402"/>
          </w:tcPr>
          <w:p w:rsidP="00973B57" w:rsidR="00F016DD" w:rsidRDefault="00F016DD" w:rsidRPr="00FA472B">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type="dxa" w:w="2481"/>
            <w:vAlign w:val="bottom"/>
          </w:tcPr>
          <w:p w:rsidP="00973B57" w:rsidR="00F016DD" w:rsidRDefault="00F016DD" w:rsidRPr="00FA472B">
            <w:pPr>
              <w:adjustRightInd w:val="0"/>
              <w:spacing w:before="29" w:line="360" w:lineRule="auto"/>
              <w:ind w:left="17"/>
              <w:jc w:val="right"/>
              <w:rPr>
                <w:color w:val="000000"/>
                <w:sz w:val="24"/>
              </w:rPr>
            </w:pPr>
            <w:r w:rsidRPr="00FA472B">
              <w:rPr>
                <w:color w:val="000000"/>
                <w:sz w:val="24"/>
              </w:rPr>
              <w:t>15,249,867.33</w:t>
            </w:r>
          </w:p>
        </w:tc>
        <w:tc>
          <w:tcPr>
            <w:tcW w:type="dxa" w:w="2481"/>
            <w:vAlign w:val="bottom"/>
          </w:tcPr>
          <w:p w:rsidP="0037768B" w:rsidR="00F016DD" w:rsidRDefault="00F016DD" w:rsidRPr="00FA472B">
            <w:pPr>
              <w:adjustRightInd w:val="0"/>
              <w:spacing w:before="29" w:line="360" w:lineRule="auto"/>
              <w:ind w:left="17"/>
              <w:jc w:val="right"/>
              <w:rPr>
                <w:color w:val="000000"/>
                <w:sz w:val="24"/>
              </w:rPr>
            </w:pPr>
            <w:r w:rsidRPr="00FA472B">
              <w:rPr>
                <w:color w:val="000000"/>
                <w:sz w:val="24"/>
              </w:rPr>
              <w:t>1,540,444.44</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2.</w:t>
            </w:r>
            <w:r w:rsidRPr="00FA472B">
              <w:rPr>
                <w:kern w:val="0"/>
                <w:sz w:val="24"/>
              </w:rPr>
              <w:t>本期利润</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-1,249,973.58</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-2,083,683.34</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-0.0003</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-0.0025</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4,467,964,171.44</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847,242,315.40</w:t>
            </w:r>
          </w:p>
        </w:tc>
      </w:tr>
      <w:tr w:rsidR="00F016DD" w:rsidRPr="00FA472B" w:rsidTr="009A5C1D">
        <w:trPr>
          <w:trHeight w:val="158"/>
        </w:trPr>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lastRenderedPageBreak/>
              <w:t>5.</w:t>
            </w:r>
            <w:r w:rsidRPr="00FA472B">
              <w:rPr>
                <w:kern w:val="0"/>
                <w:sz w:val="24"/>
              </w:rPr>
              <w:t>期末基金份额净值</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1.098</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1.094</w:t>
            </w:r>
          </w:p>
        </w:tc>
      </w:tr>
    </w:tbl>
    <w:p>
      <w:pPr>
        <w:spacing w:line="360" w:lineRule="auto"/>
        <w:ind w:firstLine="480" w:firstLineChars="200"/>
        <w:rPr>
          <w:color w:val="000000"/>
          <w:sz w:val="24"/>
        </w:rPr>
      </w:pPr>
      <w:r>
        <w:rPr>
          <w:color w:val="000000"/>
          <w:sz w:val="24"/>
        </w:rPr>
        <w:t>注：1.所述基金业绩指标不包括持有人认购或交易基金的各项费用，计入费用后实际收益水平要低于所列数字。</w:t>
      </w:r>
    </w:p>
    <w:p w:rsidP="00C30CFF" w:rsidR="00F016DD" w:rsidRDefault="00F016DD" w:rsidRPr="00C30CFF">
      <w:pPr>
        <w:spacing w:line="360" w:lineRule="auto"/>
        <w:ind w:firstLine="480" w:firstLineChars="200"/>
        <w:rPr>
          <w:color w:val="000000"/>
          <w:sz w:val="24"/>
        </w:rPr>
      </w:pPr>
      <w:r w:rsidRPr="00C30CFF">
        <w:rPr>
          <w:color w:val="000000"/>
          <w:sz w:val="24"/>
        </w:rPr>
        <w:t/>
      </w:r>
      <w:proofErr w:type="spellStart"/>
      <w:proofErr w:type="gramStart"/>
      <w:r w:rsidRPr="00C30CFF">
        <w:rPr>
          <w:color w:val="000000"/>
          <w:sz w:val="24"/>
        </w:rPr>
        <w:t/>
      </w:r>
      <w:proofErr w:type="spellEnd"/>
      <w:proofErr w:type="gramEnd"/>
      <w:r w:rsidRPr="00C30CFF">
        <w:rPr>
          <w:color w:val="000000"/>
          <w:sz w:val="24"/>
        </w:rPr>
        <w:t>2.本期已实现收益指基金本期利息收入、投资收益、其他收入（不含公允价值变动收益）扣除相关费用后的余额，本期利润为本期已实现收益加上本期公允价值变动收益。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3.2 </w:t>
      </w:r>
      <w:r w:rsidRPr="0078105B">
        <w:rPr>
          <w:rFonts w:ascii="宋体" w:cs="Arial" w:hAnsi="宋体" w:hint="eastAsia"/>
          <w:b/>
          <w:color w:val="000000"/>
          <w:kern w:val="0"/>
          <w:sz w:val="24"/>
        </w:rPr>
        <w:t>基金净值表现</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3.2.1</w:t>
      </w:r>
      <w:r w:rsidRPr="0078105B">
        <w:rPr>
          <w:rFonts w:ascii="宋体" w:cs="Arial" w:hAnsi="宋体" w:hint="eastAsia"/>
          <w:b/>
          <w:color w:val="000000"/>
          <w:kern w:val="0"/>
          <w:sz w:val="24"/>
        </w:rPr>
        <w:t>本报告</w:t>
      </w:r>
      <w:proofErr w:type="gramStart"/>
      <w:r w:rsidRPr="0078105B">
        <w:rPr>
          <w:rFonts w:ascii="宋体" w:cs="Arial" w:hAnsi="宋体" w:hint="eastAsia"/>
          <w:b/>
          <w:color w:val="000000"/>
          <w:kern w:val="0"/>
          <w:sz w:val="24"/>
        </w:rPr>
        <w:t>期基金</w:t>
      </w:r>
      <w:proofErr w:type="gramEnd"/>
      <w:r w:rsidRPr="0078105B">
        <w:rPr>
          <w:rFonts w:ascii="宋体" w:cs="Arial" w:hAnsi="宋体" w:hint="eastAsia"/>
          <w:b/>
          <w:color w:val="000000"/>
          <w:kern w:val="0"/>
          <w:sz w:val="24"/>
        </w:rPr>
        <w:t>份额净值增长率及其与同期业绩比较基准收益率的比较</w:t>
      </w:r>
    </w:p>
    <w:p w:rsidP="00174038" w:rsidR="00F016DD" w:rsidRDefault="00F016DD" w:rsidRPr="0078105B">
      <w:pPr>
        <w:spacing w:line="360" w:lineRule="auto"/>
        <w:ind w:firstLine="361" w:firstLineChars="150"/>
        <w:rPr>
          <w:rFonts w:ascii="宋体"/>
          <w:b/>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spellStart"/>
      <w:r w:rsidRPr="0078105B">
        <w:rPr>
          <w:rFonts w:ascii="宋体" w:cs="Arial" w:hAnsi="宋体"/>
          <w:b/>
          <w:color w:val="000000"/>
          <w:kern w:val="0"/>
          <w:sz w:val="24"/>
        </w:rPr>
        <w:t/>
      </w:r>
      <w:proofErr w:type="spellEnd"/>
      <w:r w:rsidRPr="0078105B">
        <w:rPr>
          <w:rFonts w:ascii="宋体" w:cs="Arial" w:hAnsi="宋体"/>
          <w:b/>
          <w:color w:val="000000"/>
          <w:kern w:val="0"/>
          <w:sz w:val="24"/>
        </w:rPr>
        <w:t/>
      </w:r>
      <w:proofErr w:type="gramEnd"/>
      <w:r w:rsidRPr="0078105B">
        <w:rPr>
          <w:rFonts w:ascii="宋体" w:cs="Arial" w:hAnsi="宋体"/>
          <w:b/>
          <w:color w:val="000000"/>
          <w:kern w:val="0"/>
          <w:sz w:val="24"/>
        </w:rPr>
        <w:t>易方达信用债债券A</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F016DD" w:rsidRPr="0078105B" w:rsidTr="00414367">
        <w:tc>
          <w:tcPr>
            <w:tcW w:type="dxa" w:w="1290"/>
            <w:vAlign w:val="center"/>
          </w:tcPr>
          <w:p w:rsidP="00F4518C" w:rsidR="00F016DD" w:rsidRDefault="00F016DD"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0.00%</w:t>
            </w:r>
          </w:p>
        </w:tc>
        <w:tc>
          <w:tcPr>
            <w:vAlign w:val="center"/>
          </w:tcPr>
          <w:p>
            <w:pPr>
              <w:jc w:val="center"/>
            </w:pPr>
            <w:r>
              <w:rPr>
                <w:color w:val="000000"/>
                <w:sz w:val="24"/>
              </w:rPr>
              <w:t>0.08%</w:t>
            </w:r>
          </w:p>
        </w:tc>
        <w:tc>
          <w:tcPr>
            <w:vAlign w:val="center"/>
          </w:tcPr>
          <w:p>
            <w:pPr>
              <w:jc w:val="center"/>
            </w:pPr>
            <w:r>
              <w:rPr>
                <w:color w:val="000000"/>
                <w:sz w:val="24"/>
              </w:rPr>
              <w:t>-0.40%</w:t>
            </w:r>
          </w:p>
        </w:tc>
        <w:tc>
          <w:tcPr>
            <w:vAlign w:val="center"/>
          </w:tcPr>
          <w:p>
            <w:pPr>
              <w:jc w:val="center"/>
            </w:pPr>
            <w:r>
              <w:rPr>
                <w:color w:val="000000"/>
                <w:sz w:val="24"/>
              </w:rPr>
              <w:t>0.04%</w:t>
            </w:r>
          </w:p>
        </w:tc>
        <w:tc>
          <w:tcPr>
            <w:vAlign w:val="center"/>
          </w:tcPr>
          <w:p>
            <w:pPr>
              <w:jc w:val="center"/>
            </w:pPr>
            <w:r>
              <w:rPr>
                <w:color w:val="000000"/>
                <w:sz w:val="24"/>
              </w:rPr>
              <w:t>0.40%</w:t>
            </w:r>
          </w:p>
        </w:tc>
        <w:tc>
          <w:tcPr>
            <w:vAlign w:val="center"/>
          </w:tcPr>
          <w:p>
            <w:pPr>
              <w:jc w:val="center"/>
            </w:pPr>
            <w:r>
              <w:rPr>
                <w:color w:val="000000"/>
                <w:sz w:val="24"/>
              </w:rPr>
              <w:t>0.04%</w:t>
            </w:r>
          </w:p>
        </w:tc>
      </w:tr>
      <w:tr>
        <w:tc>
          <w:tcPr>
            <w:vAlign w:val="center"/>
          </w:tcPr>
          <w:p>
            <w:pPr>
              <w:jc w:val="left"/>
            </w:pPr>
            <w:r>
              <w:rPr>
                <w:color w:val="000000"/>
                <w:sz w:val="24"/>
              </w:rPr>
              <w:t>过去六个月</w:t>
            </w:r>
          </w:p>
        </w:tc>
        <w:tc>
          <w:tcPr>
            <w:vAlign w:val="center"/>
          </w:tcPr>
          <w:p>
            <w:pPr>
              <w:jc w:val="center"/>
            </w:pPr>
            <w:r>
              <w:rPr>
                <w:color w:val="000000"/>
                <w:sz w:val="24"/>
              </w:rPr>
              <w:t>-0.18%</w:t>
            </w:r>
          </w:p>
        </w:tc>
        <w:tc>
          <w:tcPr>
            <w:vAlign w:val="center"/>
          </w:tcPr>
          <w:p>
            <w:pPr>
              <w:jc w:val="center"/>
            </w:pPr>
            <w:r>
              <w:rPr>
                <w:color w:val="000000"/>
                <w:sz w:val="24"/>
              </w:rPr>
              <w:t>0.10%</w:t>
            </w:r>
          </w:p>
        </w:tc>
        <w:tc>
          <w:tcPr>
            <w:vAlign w:val="center"/>
          </w:tcPr>
          <w:p>
            <w:pPr>
              <w:jc w:val="center"/>
            </w:pPr>
            <w:r>
              <w:rPr>
                <w:color w:val="000000"/>
                <w:sz w:val="24"/>
              </w:rPr>
              <w:t>-0.85%</w:t>
            </w:r>
          </w:p>
        </w:tc>
        <w:tc>
          <w:tcPr>
            <w:vAlign w:val="center"/>
          </w:tcPr>
          <w:p>
            <w:pPr>
              <w:jc w:val="center"/>
            </w:pPr>
            <w:r>
              <w:rPr>
                <w:color w:val="000000"/>
                <w:sz w:val="24"/>
              </w:rPr>
              <w:t>0.05%</w:t>
            </w:r>
          </w:p>
        </w:tc>
        <w:tc>
          <w:tcPr>
            <w:vAlign w:val="center"/>
          </w:tcPr>
          <w:p>
            <w:pPr>
              <w:jc w:val="center"/>
            </w:pPr>
            <w:r>
              <w:rPr>
                <w:color w:val="000000"/>
                <w:sz w:val="24"/>
              </w:rPr>
              <w:t>0.67%</w:t>
            </w:r>
          </w:p>
        </w:tc>
        <w:tc>
          <w:tcPr>
            <w:vAlign w:val="center"/>
          </w:tcPr>
          <w:p>
            <w:pPr>
              <w:jc w:val="center"/>
            </w:pPr>
            <w:r>
              <w:rPr>
                <w:color w:val="000000"/>
                <w:sz w:val="24"/>
              </w:rPr>
              <w:t>0.05%</w:t>
            </w:r>
          </w:p>
        </w:tc>
      </w:tr>
      <w:tr>
        <w:tc>
          <w:tcPr>
            <w:vAlign w:val="center"/>
          </w:tcPr>
          <w:p>
            <w:pPr>
              <w:jc w:val="left"/>
            </w:pPr>
            <w:r>
              <w:rPr>
                <w:color w:val="000000"/>
                <w:sz w:val="24"/>
              </w:rPr>
              <w:t>过去一年</w:t>
            </w:r>
          </w:p>
        </w:tc>
        <w:tc>
          <w:tcPr>
            <w:vAlign w:val="center"/>
          </w:tcPr>
          <w:p>
            <w:pPr>
              <w:jc w:val="center"/>
            </w:pPr>
            <w:r>
              <w:rPr>
                <w:color w:val="000000"/>
                <w:sz w:val="24"/>
              </w:rPr>
              <w:t>2.80%</w:t>
            </w:r>
          </w:p>
        </w:tc>
        <w:tc>
          <w:tcPr>
            <w:vAlign w:val="center"/>
          </w:tcPr>
          <w:p>
            <w:pPr>
              <w:jc w:val="center"/>
            </w:pPr>
            <w:r>
              <w:rPr>
                <w:color w:val="000000"/>
                <w:sz w:val="24"/>
              </w:rPr>
              <w:t>0.08%</w:t>
            </w:r>
          </w:p>
        </w:tc>
        <w:tc>
          <w:tcPr>
            <w:vAlign w:val="center"/>
          </w:tcPr>
          <w:p>
            <w:pPr>
              <w:jc w:val="center"/>
            </w:pPr>
            <w:r>
              <w:rPr>
                <w:color w:val="000000"/>
                <w:sz w:val="24"/>
              </w:rPr>
              <w:t>0.38%</w:t>
            </w:r>
          </w:p>
        </w:tc>
        <w:tc>
          <w:tcPr>
            <w:vAlign w:val="center"/>
          </w:tcPr>
          <w:p>
            <w:pPr>
              <w:jc w:val="center"/>
            </w:pPr>
            <w:r>
              <w:rPr>
                <w:color w:val="000000"/>
                <w:sz w:val="24"/>
              </w:rPr>
              <w:t>0.05%</w:t>
            </w:r>
          </w:p>
        </w:tc>
        <w:tc>
          <w:tcPr>
            <w:vAlign w:val="center"/>
          </w:tcPr>
          <w:p>
            <w:pPr>
              <w:jc w:val="center"/>
            </w:pPr>
            <w:r>
              <w:rPr>
                <w:color w:val="000000"/>
                <w:sz w:val="24"/>
              </w:rPr>
              <w:t>2.42%</w:t>
            </w:r>
          </w:p>
        </w:tc>
        <w:tc>
          <w:tcPr>
            <w:vAlign w:val="center"/>
          </w:tcPr>
          <w:p>
            <w:pPr>
              <w:jc w:val="center"/>
            </w:pPr>
            <w:r>
              <w:rPr>
                <w:color w:val="000000"/>
                <w:sz w:val="24"/>
              </w:rPr>
              <w:t>0.03%</w:t>
            </w:r>
          </w:p>
        </w:tc>
      </w:tr>
      <w:tr>
        <w:tc>
          <w:tcPr>
            <w:vAlign w:val="center"/>
          </w:tcPr>
          <w:p>
            <w:pPr>
              <w:jc w:val="left"/>
            </w:pPr>
            <w:r>
              <w:rPr>
                <w:color w:val="000000"/>
                <w:sz w:val="24"/>
              </w:rPr>
              <w:t>过去三年</w:t>
            </w:r>
          </w:p>
        </w:tc>
        <w:tc>
          <w:tcPr>
            <w:vAlign w:val="center"/>
          </w:tcPr>
          <w:p>
            <w:pPr>
              <w:jc w:val="center"/>
            </w:pPr>
            <w:r>
              <w:rPr>
                <w:color w:val="000000"/>
                <w:sz w:val="24"/>
              </w:rPr>
              <w:t>14.84%</w:t>
            </w:r>
          </w:p>
        </w:tc>
        <w:tc>
          <w:tcPr>
            <w:vAlign w:val="center"/>
          </w:tcPr>
          <w:p>
            <w:pPr>
              <w:jc w:val="center"/>
            </w:pPr>
            <w:r>
              <w:rPr>
                <w:color w:val="000000"/>
                <w:sz w:val="24"/>
              </w:rPr>
              <w:t>0.07%</w:t>
            </w:r>
          </w:p>
        </w:tc>
        <w:tc>
          <w:tcPr>
            <w:vAlign w:val="center"/>
          </w:tcPr>
          <w:p>
            <w:pPr>
              <w:jc w:val="center"/>
            </w:pPr>
            <w:r>
              <w:rPr>
                <w:color w:val="000000"/>
                <w:sz w:val="24"/>
              </w:rPr>
              <w:t>4.31%</w:t>
            </w:r>
          </w:p>
        </w:tc>
        <w:tc>
          <w:tcPr>
            <w:vAlign w:val="center"/>
          </w:tcPr>
          <w:p>
            <w:pPr>
              <w:jc w:val="center"/>
            </w:pPr>
            <w:r>
              <w:rPr>
                <w:color w:val="000000"/>
                <w:sz w:val="24"/>
              </w:rPr>
              <w:t>0.04%</w:t>
            </w:r>
          </w:p>
        </w:tc>
        <w:tc>
          <w:tcPr>
            <w:vAlign w:val="center"/>
          </w:tcPr>
          <w:p>
            <w:pPr>
              <w:jc w:val="center"/>
            </w:pPr>
            <w:r>
              <w:rPr>
                <w:color w:val="000000"/>
                <w:sz w:val="24"/>
              </w:rPr>
              <w:t>10.53%</w:t>
            </w:r>
          </w:p>
        </w:tc>
        <w:tc>
          <w:tcPr>
            <w:vAlign w:val="center"/>
          </w:tcPr>
          <w:p>
            <w:pPr>
              <w:jc w:val="center"/>
            </w:pPr>
            <w:r>
              <w:rPr>
                <w:color w:val="000000"/>
                <w:sz w:val="24"/>
              </w:rPr>
              <w:t>0.03%</w:t>
            </w:r>
          </w:p>
        </w:tc>
      </w:tr>
      <w:tr>
        <w:tc>
          <w:tcPr>
            <w:vAlign w:val="center"/>
          </w:tcPr>
          <w:p>
            <w:pPr>
              <w:jc w:val="left"/>
            </w:pPr>
            <w:r>
              <w:rPr>
                <w:color w:val="000000"/>
                <w:sz w:val="24"/>
              </w:rPr>
              <w:t>过去五年</w:t>
            </w:r>
          </w:p>
        </w:tc>
        <w:tc>
          <w:tcPr>
            <w:vAlign w:val="center"/>
          </w:tcPr>
          <w:p>
            <w:pPr>
              <w:jc w:val="center"/>
            </w:pPr>
            <w:r>
              <w:rPr>
                <w:color w:val="000000"/>
                <w:sz w:val="24"/>
              </w:rPr>
              <w:t>23.59%</w:t>
            </w:r>
          </w:p>
        </w:tc>
        <w:tc>
          <w:tcPr>
            <w:vAlign w:val="center"/>
          </w:tcPr>
          <w:p>
            <w:pPr>
              <w:jc w:val="center"/>
            </w:pPr>
            <w:r>
              <w:rPr>
                <w:color w:val="000000"/>
                <w:sz w:val="24"/>
              </w:rPr>
              <w:t>0.07%</w:t>
            </w:r>
          </w:p>
        </w:tc>
        <w:tc>
          <w:tcPr>
            <w:vAlign w:val="center"/>
          </w:tcPr>
          <w:p>
            <w:pPr>
              <w:jc w:val="center"/>
            </w:pPr>
            <w:r>
              <w:rPr>
                <w:color w:val="000000"/>
                <w:sz w:val="24"/>
              </w:rPr>
              <w:t>0.97%</w:t>
            </w:r>
          </w:p>
        </w:tc>
        <w:tc>
          <w:tcPr>
            <w:vAlign w:val="center"/>
          </w:tcPr>
          <w:p>
            <w:pPr>
              <w:jc w:val="center"/>
            </w:pPr>
            <w:r>
              <w:rPr>
                <w:color w:val="000000"/>
                <w:sz w:val="24"/>
              </w:rPr>
              <w:t>0.06%</w:t>
            </w:r>
          </w:p>
        </w:tc>
        <w:tc>
          <w:tcPr>
            <w:vAlign w:val="center"/>
          </w:tcPr>
          <w:p>
            <w:pPr>
              <w:jc w:val="center"/>
            </w:pPr>
            <w:r>
              <w:rPr>
                <w:color w:val="000000"/>
                <w:sz w:val="24"/>
              </w:rPr>
              <w:t>22.62%</w:t>
            </w:r>
          </w:p>
        </w:tc>
        <w:tc>
          <w:tcPr>
            <w:vAlign w:val="center"/>
          </w:tcPr>
          <w:p>
            <w:pPr>
              <w:jc w:val="center"/>
            </w:pPr>
            <w:r>
              <w:rPr>
                <w:color w:val="000000"/>
                <w:sz w:val="24"/>
              </w:rPr>
              <w:t>0.01%</w:t>
            </w:r>
          </w:p>
        </w:tc>
      </w:tr>
      <w:tr>
        <w:tc>
          <w:tcPr>
            <w:vAlign w:val="center"/>
          </w:tcPr>
          <w:p>
            <w:pPr>
              <w:jc w:val="left"/>
            </w:pPr>
            <w:r>
              <w:rPr>
                <w:color w:val="000000"/>
                <w:sz w:val="24"/>
              </w:rPr>
              <w:t>自基金合同生效起至今</w:t>
            </w:r>
          </w:p>
        </w:tc>
        <w:tc>
          <w:tcPr>
            <w:vAlign w:val="center"/>
          </w:tcPr>
          <w:p>
            <w:pPr>
              <w:jc w:val="center"/>
            </w:pPr>
            <w:r>
              <w:rPr>
                <w:color w:val="000000"/>
                <w:sz w:val="24"/>
              </w:rPr>
              <w:t>42.63%</w:t>
            </w:r>
          </w:p>
        </w:tc>
        <w:tc>
          <w:tcPr>
            <w:vAlign w:val="center"/>
          </w:tcPr>
          <w:p>
            <w:pPr>
              <w:jc w:val="center"/>
            </w:pPr>
            <w:r>
              <w:rPr>
                <w:color w:val="000000"/>
                <w:sz w:val="24"/>
              </w:rPr>
              <w:t>0.10%</w:t>
            </w:r>
          </w:p>
        </w:tc>
        <w:tc>
          <w:tcPr>
            <w:vAlign w:val="center"/>
          </w:tcPr>
          <w:p>
            <w:pPr>
              <w:jc w:val="center"/>
            </w:pPr>
            <w:r>
              <w:rPr>
                <w:color w:val="000000"/>
                <w:sz w:val="24"/>
              </w:rPr>
              <w:t>6.40%</w:t>
            </w:r>
          </w:p>
        </w:tc>
        <w:tc>
          <w:tcPr>
            <w:vAlign w:val="center"/>
          </w:tcPr>
          <w:p>
            <w:pPr>
              <w:jc w:val="center"/>
            </w:pPr>
            <w:r>
              <w:rPr>
                <w:color w:val="000000"/>
                <w:sz w:val="24"/>
              </w:rPr>
              <w:t>0.07%</w:t>
            </w:r>
          </w:p>
        </w:tc>
        <w:tc>
          <w:tcPr>
            <w:vAlign w:val="center"/>
          </w:tcPr>
          <w:p>
            <w:pPr>
              <w:jc w:val="center"/>
            </w:pPr>
            <w:r>
              <w:rPr>
                <w:color w:val="000000"/>
                <w:sz w:val="24"/>
              </w:rPr>
              <w:t>36.23%</w:t>
            </w:r>
          </w:p>
        </w:tc>
        <w:tc>
          <w:tcPr>
            <w:vAlign w:val="center"/>
          </w:tcPr>
          <w:p>
            <w:pPr>
              <w:jc w:val="center"/>
            </w:pPr>
            <w:r>
              <w:rPr>
                <w:color w:val="000000"/>
                <w:sz w:val="24"/>
              </w:rPr>
              <w:t>0.03%</w:t>
            </w:r>
          </w:p>
        </w:tc>
      </w:tr>
    </w:tbl>
    <w:p w:rsidP="00174038" w:rsidR="00F016DD" w:rsidRDefault="00F016DD" w:rsidRPr="0078105B">
      <w:pPr>
        <w:adjustRightInd w:val="0"/>
        <w:spacing w:line="360" w:lineRule="auto"/>
        <w:ind w:firstLine="361" w:firstLineChars="150"/>
        <w:rPr>
          <w:rFonts w:ascii="宋体" w:cs="Arial"/>
          <w:b/>
          <w:color w:val="000000"/>
          <w:kern w:val="0"/>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gramEnd"/>
      <w:r w:rsidRPr="0078105B">
        <w:rPr>
          <w:rFonts w:ascii="宋体" w:cs="Arial" w:hAnsi="宋体"/>
          <w:b/>
          <w:color w:val="000000"/>
          <w:kern w:val="0"/>
          <w:sz w:val="24"/>
        </w:rPr>
        <w:t>易方达信用债债券C</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F016DD" w:rsidRPr="0078105B" w:rsidTr="00F4518C">
        <w:tc>
          <w:tcPr>
            <w:tcW w:type="dxa" w:w="1290"/>
            <w:vAlign w:val="center"/>
          </w:tcPr>
          <w:p w:rsidP="00F4518C" w:rsidR="00F016DD" w:rsidRDefault="00F016DD"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F4518C" w:rsidR="00F016DD" w:rsidRDefault="00F016DD" w:rsidRPr="00FA472B">
            <w:pPr>
              <w:snapToGrid w:val="0"/>
              <w:spacing w:line="288" w:lineRule="auto"/>
              <w:jc w:val="center"/>
              <w:rPr>
                <w:color w:val="000000"/>
                <w:sz w:val="24"/>
                <w:highlight w:val="green"/>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F4518C" w:rsidR="00F016DD" w:rsidRDefault="00F016DD" w:rsidRPr="00FA472B">
            <w:pPr>
              <w:snapToGrid w:val="0"/>
              <w:spacing w:line="288" w:lineRule="auto"/>
              <w:jc w:val="center"/>
              <w:rPr>
                <w:color w:val="000000"/>
                <w:sz w:val="24"/>
                <w:highlight w:val="green"/>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-0.09%</w:t>
            </w:r>
          </w:p>
        </w:tc>
        <w:tc>
          <w:tcPr>
            <w:vAlign w:val="center"/>
          </w:tcPr>
          <w:p>
            <w:pPr>
              <w:jc w:val="center"/>
            </w:pPr>
            <w:r>
              <w:rPr>
                <w:color w:val="000000"/>
                <w:sz w:val="24"/>
              </w:rPr>
              <w:t>0.07%</w:t>
            </w:r>
          </w:p>
        </w:tc>
        <w:tc>
          <w:tcPr>
            <w:vAlign w:val="center"/>
          </w:tcPr>
          <w:p>
            <w:pPr>
              <w:jc w:val="center"/>
            </w:pPr>
            <w:r>
              <w:rPr>
                <w:color w:val="000000"/>
                <w:sz w:val="24"/>
              </w:rPr>
              <w:t>-0.40%</w:t>
            </w:r>
          </w:p>
        </w:tc>
        <w:tc>
          <w:tcPr>
            <w:vAlign w:val="center"/>
          </w:tcPr>
          <w:p>
            <w:pPr>
              <w:jc w:val="center"/>
            </w:pPr>
            <w:r>
              <w:rPr>
                <w:color w:val="000000"/>
                <w:sz w:val="24"/>
              </w:rPr>
              <w:t>0.04%</w:t>
            </w:r>
          </w:p>
        </w:tc>
        <w:tc>
          <w:tcPr>
            <w:vAlign w:val="center"/>
          </w:tcPr>
          <w:p>
            <w:pPr>
              <w:jc w:val="center"/>
            </w:pPr>
            <w:r>
              <w:rPr>
                <w:color w:val="000000"/>
                <w:sz w:val="24"/>
              </w:rPr>
              <w:t>0.31%</w:t>
            </w:r>
          </w:p>
        </w:tc>
        <w:tc>
          <w:tcPr>
            <w:vAlign w:val="center"/>
          </w:tcPr>
          <w:p>
            <w:pPr>
              <w:jc w:val="center"/>
            </w:pPr>
            <w:r>
              <w:rPr>
                <w:color w:val="000000"/>
                <w:sz w:val="24"/>
              </w:rPr>
              <w:t>0.03%</w:t>
            </w:r>
          </w:p>
        </w:tc>
      </w:tr>
      <w:tr>
        <w:tc>
          <w:tcPr>
            <w:vAlign w:val="center"/>
          </w:tcPr>
          <w:p>
            <w:pPr>
              <w:jc w:val="left"/>
            </w:pPr>
            <w:r>
              <w:rPr>
                <w:color w:val="000000"/>
                <w:sz w:val="24"/>
              </w:rPr>
              <w:t>过去六个月</w:t>
            </w:r>
          </w:p>
        </w:tc>
        <w:tc>
          <w:tcPr>
            <w:vAlign w:val="center"/>
          </w:tcPr>
          <w:p>
            <w:pPr>
              <w:jc w:val="center"/>
            </w:pPr>
            <w:r>
              <w:rPr>
                <w:color w:val="000000"/>
                <w:sz w:val="24"/>
              </w:rPr>
              <w:t>-0.36%</w:t>
            </w:r>
          </w:p>
        </w:tc>
        <w:tc>
          <w:tcPr>
            <w:vAlign w:val="center"/>
          </w:tcPr>
          <w:p>
            <w:pPr>
              <w:jc w:val="center"/>
            </w:pPr>
            <w:r>
              <w:rPr>
                <w:color w:val="000000"/>
                <w:sz w:val="24"/>
              </w:rPr>
              <w:t>0.10%</w:t>
            </w:r>
          </w:p>
        </w:tc>
        <w:tc>
          <w:tcPr>
            <w:vAlign w:val="center"/>
          </w:tcPr>
          <w:p>
            <w:pPr>
              <w:jc w:val="center"/>
            </w:pPr>
            <w:r>
              <w:rPr>
                <w:color w:val="000000"/>
                <w:sz w:val="24"/>
              </w:rPr>
              <w:t>-0.85%</w:t>
            </w:r>
          </w:p>
        </w:tc>
        <w:tc>
          <w:tcPr>
            <w:vAlign w:val="center"/>
          </w:tcPr>
          <w:p>
            <w:pPr>
              <w:jc w:val="center"/>
            </w:pPr>
            <w:r>
              <w:rPr>
                <w:color w:val="000000"/>
                <w:sz w:val="24"/>
              </w:rPr>
              <w:t>0.05%</w:t>
            </w:r>
          </w:p>
        </w:tc>
        <w:tc>
          <w:tcPr>
            <w:vAlign w:val="center"/>
          </w:tcPr>
          <w:p>
            <w:pPr>
              <w:jc w:val="center"/>
            </w:pPr>
            <w:r>
              <w:rPr>
                <w:color w:val="000000"/>
                <w:sz w:val="24"/>
              </w:rPr>
              <w:t>0.49%</w:t>
            </w:r>
          </w:p>
        </w:tc>
        <w:tc>
          <w:tcPr>
            <w:vAlign w:val="center"/>
          </w:tcPr>
          <w:p>
            <w:pPr>
              <w:jc w:val="center"/>
            </w:pPr>
            <w:r>
              <w:rPr>
                <w:color w:val="000000"/>
                <w:sz w:val="24"/>
              </w:rPr>
              <w:t>0.05%</w:t>
            </w:r>
          </w:p>
        </w:tc>
      </w:tr>
      <w:tr>
        <w:tc>
          <w:tcPr>
            <w:vAlign w:val="center"/>
          </w:tcPr>
          <w:p>
            <w:pPr>
              <w:jc w:val="left"/>
            </w:pPr>
            <w:r>
              <w:rPr>
                <w:color w:val="000000"/>
                <w:sz w:val="24"/>
              </w:rPr>
              <w:t>过去一年</w:t>
            </w:r>
          </w:p>
        </w:tc>
        <w:tc>
          <w:tcPr>
            <w:vAlign w:val="center"/>
          </w:tcPr>
          <w:p>
            <w:pPr>
              <w:jc w:val="center"/>
            </w:pPr>
            <w:r>
              <w:rPr>
                <w:color w:val="000000"/>
                <w:sz w:val="24"/>
              </w:rPr>
              <w:t>2.36%</w:t>
            </w:r>
          </w:p>
        </w:tc>
        <w:tc>
          <w:tcPr>
            <w:vAlign w:val="center"/>
          </w:tcPr>
          <w:p>
            <w:pPr>
              <w:jc w:val="center"/>
            </w:pPr>
            <w:r>
              <w:rPr>
                <w:color w:val="000000"/>
                <w:sz w:val="24"/>
              </w:rPr>
              <w:t>0.08%</w:t>
            </w:r>
          </w:p>
        </w:tc>
        <w:tc>
          <w:tcPr>
            <w:vAlign w:val="center"/>
          </w:tcPr>
          <w:p>
            <w:pPr>
              <w:jc w:val="center"/>
            </w:pPr>
            <w:r>
              <w:rPr>
                <w:color w:val="000000"/>
                <w:sz w:val="24"/>
              </w:rPr>
              <w:t>0.38%</w:t>
            </w:r>
          </w:p>
        </w:tc>
        <w:tc>
          <w:tcPr>
            <w:vAlign w:val="center"/>
          </w:tcPr>
          <w:p>
            <w:pPr>
              <w:jc w:val="center"/>
            </w:pPr>
            <w:r>
              <w:rPr>
                <w:color w:val="000000"/>
                <w:sz w:val="24"/>
              </w:rPr>
              <w:t>0.05%</w:t>
            </w:r>
          </w:p>
        </w:tc>
        <w:tc>
          <w:tcPr>
            <w:vAlign w:val="center"/>
          </w:tcPr>
          <w:p>
            <w:pPr>
              <w:jc w:val="center"/>
            </w:pPr>
            <w:r>
              <w:rPr>
                <w:color w:val="000000"/>
                <w:sz w:val="24"/>
              </w:rPr>
              <w:t>1.98%</w:t>
            </w:r>
          </w:p>
        </w:tc>
        <w:tc>
          <w:tcPr>
            <w:vAlign w:val="center"/>
          </w:tcPr>
          <w:p>
            <w:pPr>
              <w:jc w:val="center"/>
            </w:pPr>
            <w:r>
              <w:rPr>
                <w:color w:val="000000"/>
                <w:sz w:val="24"/>
              </w:rPr>
              <w:t>0.03%</w:t>
            </w:r>
          </w:p>
        </w:tc>
      </w:tr>
      <w:tr>
        <w:tc>
          <w:tcPr>
            <w:vAlign w:val="center"/>
          </w:tcPr>
          <w:p>
            <w:pPr>
              <w:jc w:val="left"/>
            </w:pPr>
            <w:r>
              <w:rPr>
                <w:color w:val="000000"/>
                <w:sz w:val="24"/>
              </w:rPr>
              <w:t>过去三年</w:t>
            </w:r>
          </w:p>
        </w:tc>
        <w:tc>
          <w:tcPr>
            <w:vAlign w:val="center"/>
          </w:tcPr>
          <w:p>
            <w:pPr>
              <w:jc w:val="center"/>
            </w:pPr>
            <w:r>
              <w:rPr>
                <w:color w:val="000000"/>
                <w:sz w:val="24"/>
              </w:rPr>
              <w:t>13.75%</w:t>
            </w:r>
          </w:p>
        </w:tc>
        <w:tc>
          <w:tcPr>
            <w:vAlign w:val="center"/>
          </w:tcPr>
          <w:p>
            <w:pPr>
              <w:jc w:val="center"/>
            </w:pPr>
            <w:r>
              <w:rPr>
                <w:color w:val="000000"/>
                <w:sz w:val="24"/>
              </w:rPr>
              <w:t>0.07%</w:t>
            </w:r>
          </w:p>
        </w:tc>
        <w:tc>
          <w:tcPr>
            <w:vAlign w:val="center"/>
          </w:tcPr>
          <w:p>
            <w:pPr>
              <w:jc w:val="center"/>
            </w:pPr>
            <w:r>
              <w:rPr>
                <w:color w:val="000000"/>
                <w:sz w:val="24"/>
              </w:rPr>
              <w:t>4.31%</w:t>
            </w:r>
          </w:p>
        </w:tc>
        <w:tc>
          <w:tcPr>
            <w:vAlign w:val="center"/>
          </w:tcPr>
          <w:p>
            <w:pPr>
              <w:jc w:val="center"/>
            </w:pPr>
            <w:r>
              <w:rPr>
                <w:color w:val="000000"/>
                <w:sz w:val="24"/>
              </w:rPr>
              <w:t>0.04%</w:t>
            </w:r>
          </w:p>
        </w:tc>
        <w:tc>
          <w:tcPr>
            <w:vAlign w:val="center"/>
          </w:tcPr>
          <w:p>
            <w:pPr>
              <w:jc w:val="center"/>
            </w:pPr>
            <w:r>
              <w:rPr>
                <w:color w:val="000000"/>
                <w:sz w:val="24"/>
              </w:rPr>
              <w:t>9.44%</w:t>
            </w:r>
          </w:p>
        </w:tc>
        <w:tc>
          <w:tcPr>
            <w:vAlign w:val="center"/>
          </w:tcPr>
          <w:p>
            <w:pPr>
              <w:jc w:val="center"/>
            </w:pPr>
            <w:r>
              <w:rPr>
                <w:color w:val="000000"/>
                <w:sz w:val="24"/>
              </w:rPr>
              <w:t>0.03%</w:t>
            </w:r>
          </w:p>
        </w:tc>
      </w:tr>
      <w:tr>
        <w:tc>
          <w:tcPr>
            <w:vAlign w:val="center"/>
          </w:tcPr>
          <w:p>
            <w:pPr>
              <w:jc w:val="left"/>
            </w:pPr>
            <w:r>
              <w:rPr>
                <w:color w:val="000000"/>
                <w:sz w:val="24"/>
              </w:rPr>
              <w:t>过去五年</w:t>
            </w:r>
          </w:p>
        </w:tc>
        <w:tc>
          <w:tcPr>
            <w:vAlign w:val="center"/>
          </w:tcPr>
          <w:p>
            <w:pPr>
              <w:jc w:val="center"/>
            </w:pPr>
            <w:r>
              <w:rPr>
                <w:color w:val="000000"/>
                <w:sz w:val="24"/>
              </w:rPr>
              <w:t>21.52%</w:t>
            </w:r>
          </w:p>
        </w:tc>
        <w:tc>
          <w:tcPr>
            <w:vAlign w:val="center"/>
          </w:tcPr>
          <w:p>
            <w:pPr>
              <w:jc w:val="center"/>
            </w:pPr>
            <w:r>
              <w:rPr>
                <w:color w:val="000000"/>
                <w:sz w:val="24"/>
              </w:rPr>
              <w:t>0.07%</w:t>
            </w:r>
          </w:p>
        </w:tc>
        <w:tc>
          <w:tcPr>
            <w:vAlign w:val="center"/>
          </w:tcPr>
          <w:p>
            <w:pPr>
              <w:jc w:val="center"/>
            </w:pPr>
            <w:r>
              <w:rPr>
                <w:color w:val="000000"/>
                <w:sz w:val="24"/>
              </w:rPr>
              <w:t>0.97%</w:t>
            </w:r>
          </w:p>
        </w:tc>
        <w:tc>
          <w:tcPr>
            <w:vAlign w:val="center"/>
          </w:tcPr>
          <w:p>
            <w:pPr>
              <w:jc w:val="center"/>
            </w:pPr>
            <w:r>
              <w:rPr>
                <w:color w:val="000000"/>
                <w:sz w:val="24"/>
              </w:rPr>
              <w:t>0.06%</w:t>
            </w:r>
          </w:p>
        </w:tc>
        <w:tc>
          <w:tcPr>
            <w:vAlign w:val="center"/>
          </w:tcPr>
          <w:p>
            <w:pPr>
              <w:jc w:val="center"/>
            </w:pPr>
            <w:r>
              <w:rPr>
                <w:color w:val="000000"/>
                <w:sz w:val="24"/>
              </w:rPr>
              <w:t>20.55%</w:t>
            </w:r>
          </w:p>
        </w:tc>
        <w:tc>
          <w:tcPr>
            <w:vAlign w:val="center"/>
          </w:tcPr>
          <w:p>
            <w:pPr>
              <w:jc w:val="center"/>
            </w:pPr>
            <w:r>
              <w:rPr>
                <w:color w:val="000000"/>
                <w:sz w:val="24"/>
              </w:rPr>
              <w:t>0.01%</w:t>
            </w:r>
          </w:p>
        </w:tc>
      </w:tr>
      <w:tr>
        <w:tc>
          <w:tcPr>
            <w:vAlign w:val="center"/>
          </w:tcPr>
          <w:p>
            <w:pPr>
              <w:jc w:val="left"/>
            </w:pPr>
            <w:r>
              <w:rPr>
                <w:color w:val="000000"/>
                <w:sz w:val="24"/>
              </w:rPr>
              <w:t>自基金合同生效起至今</w:t>
            </w:r>
          </w:p>
        </w:tc>
        <w:tc>
          <w:tcPr>
            <w:vAlign w:val="center"/>
          </w:tcPr>
          <w:p>
            <w:pPr>
              <w:jc w:val="center"/>
            </w:pPr>
            <w:r>
              <w:rPr>
                <w:color w:val="000000"/>
                <w:sz w:val="24"/>
              </w:rPr>
              <w:t>38.66%</w:t>
            </w:r>
          </w:p>
        </w:tc>
        <w:tc>
          <w:tcPr>
            <w:vAlign w:val="center"/>
          </w:tcPr>
          <w:p>
            <w:pPr>
              <w:jc w:val="center"/>
            </w:pPr>
            <w:r>
              <w:rPr>
                <w:color w:val="000000"/>
                <w:sz w:val="24"/>
              </w:rPr>
              <w:t>0.10%</w:t>
            </w:r>
          </w:p>
        </w:tc>
        <w:tc>
          <w:tcPr>
            <w:vAlign w:val="center"/>
          </w:tcPr>
          <w:p>
            <w:pPr>
              <w:jc w:val="center"/>
            </w:pPr>
            <w:r>
              <w:rPr>
                <w:color w:val="000000"/>
                <w:sz w:val="24"/>
              </w:rPr>
              <w:t>6.40%</w:t>
            </w:r>
          </w:p>
        </w:tc>
        <w:tc>
          <w:tcPr>
            <w:vAlign w:val="center"/>
          </w:tcPr>
          <w:p>
            <w:pPr>
              <w:jc w:val="center"/>
            </w:pPr>
            <w:r>
              <w:rPr>
                <w:color w:val="000000"/>
                <w:sz w:val="24"/>
              </w:rPr>
              <w:t>0.07%</w:t>
            </w:r>
          </w:p>
        </w:tc>
        <w:tc>
          <w:tcPr>
            <w:vAlign w:val="center"/>
          </w:tcPr>
          <w:p>
            <w:pPr>
              <w:jc w:val="center"/>
            </w:pPr>
            <w:r>
              <w:rPr>
                <w:color w:val="000000"/>
                <w:sz w:val="24"/>
              </w:rPr>
              <w:t>32.26%</w:t>
            </w:r>
          </w:p>
        </w:tc>
        <w:tc>
          <w:tcPr>
            <w:vAlign w:val="center"/>
          </w:tcPr>
          <w:p>
            <w:pPr>
              <w:jc w:val="center"/>
            </w:pPr>
            <w:r>
              <w:rPr>
                <w:color w:val="000000"/>
                <w:sz w:val="24"/>
              </w:rPr>
              <w:t>0.03%</w:t>
            </w:r>
          </w:p>
        </w:tc>
      </w:tr>
    </w:tbl>
    <w:p w:rsidP="00FC13C8" w:rsidR="00F016DD" w:rsidRDefault="00F016DD" w:rsidRPr="0078105B">
      <w:pPr>
        <w:spacing w:line="360" w:lineRule="auto"/>
        <w:rPr>
          <w:rFonts w:ascii="宋体" w:cs="Arial"/>
          <w:b/>
          <w:color w:val="000000"/>
          <w:kern w:val="0"/>
          <w:sz w:val="24"/>
        </w:rPr>
      </w:pPr>
      <w:r w:rsidRPr="0078105B">
        <w:rPr>
          <w:rFonts w:ascii="宋体" w:cs="Arial" w:hAnsi="宋体"/>
          <w:b/>
          <w:color w:val="000000"/>
          <w:kern w:val="0"/>
          <w:sz w:val="24"/>
        </w:rPr>
        <w:t>3.2.2</w:t>
      </w:r>
      <w:r w:rsidRPr="0078105B">
        <w:rPr>
          <w:rFonts w:ascii="宋体" w:cs="Arial" w:hAnsi="宋体" w:hint="eastAsia"/>
          <w:b/>
          <w:color w:val="000000"/>
          <w:kern w:val="0"/>
          <w:sz w:val="24"/>
        </w:rPr>
        <w:t xml:space="preserve">　</w:t>
      </w:r>
      <w:r w:rsidR="00AE2480" w:rsidRPr="00370BEA">
        <w:rPr>
          <w:rStyle w:val="af6"/>
          <w:rFonts w:hint="eastAsia"/>
          <w:color w:val="000000"/>
          <w:sz w:val="24"/>
          <w:shd w:color="auto" w:fill="FFFFFF" w:val="clear"/>
        </w:rPr>
        <w:t/>
      </w:r>
      <w:proofErr w:type="spellStart"/>
      <w:r w:rsidR="00AE2480" w:rsidRPr="00370BEA">
        <w:rPr>
          <w:rStyle w:val="af6"/>
          <w:rFonts w:hint="eastAsia"/>
          <w:color w:val="000000"/>
          <w:sz w:val="24"/>
          <w:shd w:color="auto" w:fill="FFFFFF" w:val="clear"/>
        </w:rPr>
        <w:t/>
      </w:r>
      <w:proofErr w:type="spellEnd"/>
      <w:r w:rsidR="00AE2480" w:rsidRPr="00370BEA">
        <w:rPr>
          <w:rStyle w:val="af6"/>
          <w:rFonts w:hint="eastAsia"/>
          <w:color w:val="000000"/>
          <w:sz w:val="24"/>
          <w:shd w:color="auto" w:fill="FFFFFF" w:val="clear"/>
        </w:rPr>
        <w:t>自基金合同生效以来</w:t>
      </w:r>
      <w:r w:rsidRPr="0078105B">
        <w:rPr>
          <w:rFonts w:ascii="宋体" w:hAnsi="宋体" w:hint="eastAsia"/>
          <w:b/>
          <w:color w:val="000000"/>
          <w:sz w:val="24"/>
        </w:rPr>
        <w:t>基金累计净值增长率变动及其与同期业绩比较基准收益率变动的比较</w:t>
      </w:r>
    </w:p>
    <w:p w:rsidP="00FC13C8" w:rsidR="00F016DD" w:rsidRDefault="00F016DD" w:rsidRPr="00FA472B">
      <w:pPr>
        <w:spacing w:line="360" w:lineRule="auto"/>
        <w:jc w:val="center"/>
        <w:rPr>
          <w:color w:val="000000"/>
          <w:sz w:val="24"/>
        </w:rPr>
      </w:pPr>
      <w:r w:rsidRPr="00FA472B">
        <w:rPr>
          <w:color w:val="000000"/>
          <w:sz w:val="24"/>
        </w:rPr>
        <w:t/>
      </w:r>
      <w:proofErr w:type="spellStart"/>
      <w:proofErr w:type="gramStart"/>
      <w:r w:rsidRPr="00FA472B">
        <w:rPr>
          <w:color w:val="000000"/>
          <w:sz w:val="24"/>
        </w:rPr>
        <w:t/>
      </w:r>
      <w:proofErr w:type="spellEnd"/>
      <w:proofErr w:type="gramEnd"/>
      <w:r w:rsidRPr="00FA472B">
        <w:rPr>
          <w:color w:val="000000"/>
          <w:sz w:val="24"/>
        </w:rPr>
        <w:t>易方达信用债债券型证券投资基金</w:t>
      </w:r>
    </w:p>
    <w:p w:rsidP="00526282" w:rsidR="00526282" w:rsidRDefault="00F016DD">
      <w:pPr>
        <w:pStyle w:val="a5"/>
        <w:snapToGrid w:val="0"/>
        <w:spacing w:line="360" w:lineRule="auto"/>
        <w:jc w:val="center"/>
        <w:rPr>
          <w:rFonts w:ascii="Times New Roman" w:eastAsiaTheme="minorEastAsia" w:hAnsi="Times New Roman"/>
          <w:color w:themeColor="text1" w:val="000000"/>
          <w:sz w:val="24"/>
          <w:szCs w:val="24"/>
        </w:rPr>
      </w:pPr>
      <w:r w:rsidRPr="00FA472B">
        <w:rPr>
          <w:rFonts w:ascii="Times New Roman" w:hAnsi="Times New Roman"/>
          <w:color w:val="000000"/>
          <w:sz w:val="24"/>
          <w:szCs w:val="24"/>
        </w:rPr>
        <w:t>累计净值增长率与业绩比较基准收益率的历史走势对比图</w:t>
      </w:r>
    </w:p>
    <w:p w:rsidP="00D477DB" w:rsidR="00F016DD" w:rsidRDefault="00526282" w:rsidRPr="00FA472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
      </w:r>
      <w:proofErr w:type="spellStart"/>
      <w:proofErr w:type="gramStart"/>
      <w:r w:rsidRPr="00526282">
        <w:rPr>
          <w:rFonts w:ascii="Times New Roman" w:hAnsi="Times New Roman"/>
          <w:sz w:val="24"/>
          <w:szCs w:val="24"/>
        </w:rPr>
        <w:t/>
      </w:r>
      <w:proofErr w:type="spellEnd"/>
      <w:r w:rsidRPr="00526282">
        <w:rPr>
          <w:rFonts w:ascii="Times New Roman" w:hAnsi="Times New Roman"/>
          <w:sz w:val="24"/>
          <w:szCs w:val="24"/>
        </w:rPr>
        <w:t/>
      </w:r>
      <w:proofErr w:type="gramEnd"/>
      <w:r w:rsidRPr="00526282">
        <w:rPr>
          <w:rFonts w:ascii="Times New Roman" w:hAnsi="Times New Roman"/>
          <w:sz w:val="24"/>
          <w:szCs w:val="24"/>
        </w:rPr>
        <w:t>（2013年4月24日至2020年9月30日）</w:t>
      </w:r>
    </w:p>
    <w:p w:rsidP="00526282" w:rsidR="00526282" w:rsidRDefault="00F016DD">
      <w:pPr>
        <w:snapToGrid w:val="0"/>
        <w:spacing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spellStart"/>
      <w:r w:rsidRPr="00611CB2">
        <w:rPr>
          <w:color w:val="000000"/>
          <w:sz w:val="24"/>
        </w:rPr>
        <w:t/>
      </w:r>
      <w:proofErr w:type="spellEnd"/>
      <w:r w:rsidRPr="00611CB2">
        <w:rPr>
          <w:color w:val="000000"/>
          <w:sz w:val="24"/>
        </w:rPr>
        <w:t/>
      </w:r>
      <w:proofErr w:type="gramEnd"/>
      <w:r w:rsidRPr="00611CB2">
        <w:rPr>
          <w:color w:val="000000"/>
          <w:sz w:val="24"/>
        </w:rPr>
        <w:t>易方达信用债债券A</w:t>
      </w:r>
    </w:p>
    <w:p w:rsidP="00FC7F43" w:rsidR="00F016DD" w:rsidRDefault="003177CA" w:rsidRPr="0078105B">
      <w:pPr>
        <w:pStyle w:val="20"/>
        <w:spacing w:line="288" w:lineRule="auto"/>
        <w:ind w:firstLine="0" w:firstLineChars="0"/>
        <w:jc w:val="center"/>
        <w:rPr>
          <w:color w:val="000000"/>
        </w:rPr>
      </w:pPr>
      <w:r>
        <w:rPr>
          <w:noProof/>
          <w:color w:val="000000"/>
        </w:rPr>
        <w:lastRenderedPageBreak/>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2" o:spid="_x0000_i1025" style="width:435.75pt;height:258pt;visibility:visible" type="#_x0000_t75">
            <v:imagedata o:title="" r:id="rId10"/>
          </v:shape>
        </w:pict>
      </w:r>
    </w:p>
    <w:p w:rsidP="00526282" w:rsidR="00526282" w:rsidRDefault="00F016DD">
      <w:pPr>
        <w:snapToGrid w:val="0"/>
        <w:spacing w:before="312" w:beforeLines="100"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gramEnd"/>
      <w:r w:rsidRPr="00611CB2">
        <w:rPr>
          <w:color w:val="000000"/>
          <w:sz w:val="24"/>
        </w:rPr>
        <w:t>易方达信用债债券C</w:t>
      </w:r>
    </w:p>
    <w:p w:rsidP="00FC7F43" w:rsidR="00F016DD" w:rsidRDefault="003177CA" w:rsidRPr="0078105B">
      <w:pPr>
        <w:pStyle w:val="20"/>
        <w:spacing w:line="288" w:lineRule="auto"/>
        <w:ind w:firstLine="0" w:firstLineChars="0"/>
        <w:jc w:val="center"/>
        <w:rPr>
          <w:color w:val="000000"/>
        </w:rPr>
      </w:pPr>
      <w:r>
        <w:rPr>
          <w:noProof/>
          <w:color w:val="000000"/>
        </w:rPr>
        <w:pict>
          <v:shape id="图片 3" o:spid="_x0000_i1026" style="width:435.75pt;height:258pt;visibility:visible" type="#_x0000_t75">
            <v:imagedata o:title="" r:id="rId11"/>
          </v:shape>
        </w:pict>
      </w:r>
    </w:p>
    <w:p w:rsidP="00DF18FE" w:rsidR="00F016DD" w:rsidRDefault="00F016DD" w:rsidRPr="00DF18FE">
      <w:pPr>
        <w:spacing w:line="360" w:lineRule="auto"/>
        <w:ind w:firstLine="480" w:firstLineChars="200"/>
        <w:rPr>
          <w:color w:val="000000"/>
          <w:sz w:val="24"/>
        </w:rPr>
      </w:pPr>
      <w:r w:rsidRPr="00DF18FE">
        <w:rPr>
          <w:color w:val="000000"/>
          <w:sz w:val="24"/>
        </w:rPr>
        <w:lastRenderedPageBreak/>
        <w:t/>
      </w:r>
      <w:proofErr w:type="gramStart"/>
      <w:r w:rsidRPr="00DF18FE">
        <w:rPr>
          <w:color w:val="000000"/>
          <w:sz w:val="24"/>
        </w:rPr>
        <w:t/>
      </w:r>
      <w:proofErr w:type="gramEnd"/>
      <w:r w:rsidRPr="00DF18FE">
        <w:rPr>
          <w:color w:val="000000"/>
          <w:sz w:val="24"/>
        </w:rPr>
        <w:t>注：自基金合同生效至报告期末，A类基金份额净值增长率为42.63%，C类基金份额净值增长率为38.66%，同期业绩比较基准收益率为6.40%。</w:t>
      </w:r>
    </w:p>
    <w:p w:rsidP="006C5BC9" w:rsidR="00F016DD" w:rsidRDefault="00F016DD" w:rsidRPr="00FA472B">
      <w:pPr>
        <w:tabs>
          <w:tab w:pos="1800" w:val="left"/>
        </w:tabs>
        <w:spacing w:line="288" w:lineRule="auto"/>
        <w:rPr>
          <w:color w:val="000000"/>
          <w:sz w:val="24"/>
        </w:rPr>
      </w:pP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4  </w:t>
      </w:r>
      <w:r w:rsidRPr="0078105B">
        <w:rPr>
          <w:rFonts w:ascii="宋体" w:cs="Arial" w:hAnsi="宋体" w:hint="eastAsia"/>
          <w:color w:val="000000"/>
          <w:kern w:val="0"/>
          <w:sz w:val="24"/>
          <w:szCs w:val="24"/>
        </w:rPr>
        <w:t>管理人报告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4.1 </w:t>
      </w:r>
      <w:r w:rsidRPr="0078105B">
        <w:rPr>
          <w:rFonts w:ascii="宋体" w:cs="Arial" w:hAnsi="宋体" w:hint="eastAsia"/>
          <w:b/>
          <w:color w:val="000000"/>
          <w:kern w:val="0"/>
          <w:sz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F016DD" w:rsidRPr="0078105B" w:rsidTr="00B54884">
        <w:trPr>
          <w:cantSplit/>
        </w:trPr>
        <w:tc>
          <w:tcPr>
            <w:tcW w:type="dxa" w:w="567"/>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58694E" w:rsidR="00F016DD" w:rsidRDefault="00F016DD" w:rsidRPr="00FA472B">
            <w:pPr>
              <w:autoSpaceDE w:val="0"/>
              <w:autoSpaceDN w:val="0"/>
              <w:adjustRightInd w:val="0"/>
              <w:spacing w:before="29" w:line="288" w:lineRule="auto"/>
              <w:ind w:left="15"/>
              <w:jc w:val="center"/>
              <w:rPr>
                <w:color w:val="000000"/>
                <w:kern w:val="0"/>
                <w:sz w:val="24"/>
              </w:rPr>
            </w:pPr>
            <w:proofErr w:type="gramStart"/>
            <w:r w:rsidRPr="00FA472B">
              <w:rPr>
                <w:color w:val="000000"/>
                <w:kern w:val="0"/>
                <w:sz w:val="24"/>
              </w:rPr>
              <w:t>任本基金</w:t>
            </w:r>
            <w:proofErr w:type="gramEnd"/>
            <w:r w:rsidRPr="00FA472B">
              <w:rPr>
                <w:color w:val="000000"/>
                <w:kern w:val="0"/>
                <w:sz w:val="24"/>
              </w:rPr>
              <w:t>的基金经理期限</w:t>
            </w:r>
          </w:p>
        </w:tc>
        <w:tc>
          <w:tcPr>
            <w:tcW w:type="dxa" w:w="851"/>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type="dxa" w:w="567"/>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2835"/>
            <w:vMerge/>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胡剑</w:t>
            </w:r>
          </w:p>
        </w:tc>
        <w:tc>
          <w:tcPr>
            <w:vAlign w:val="center"/>
          </w:tcPr>
          <w:p>
            <w:pPr>
              <w:jc w:val="left"/>
            </w:pPr>
            <w:r>
              <w:rPr>
                <w:color w:val="000000"/>
                <w:sz w:val="24"/>
              </w:rPr>
              <w:t>本基金的基金经理、易方达稳健收益债券型证券投资基金的基金经理、易方达裕惠回报定期开放式混合型发起式证券投资基金的基金经理、易方达瑞富灵活配置混合型证券投资基金的基金经理、易方达3年封闭运作战略配售灵活配置混合型证券投资基金（LOF）的基金经理、易方达岁丰添利债券型证券投资基金的基金经理、易方达恒利3个月定期开放债券型发起式证券投资基金的基金经理、易方达恒益定期开放债券型发起式证券投资基金的基金经理、易方达恒盛3个月定期开放混合型发起式证券投资基金的基金经理、易方达富惠纯债债券型证券投资基金的基金经理、易方达中债3-5年期国债指数证券投资基金的基金经理、易方达中债7-10年期国开行债券指数证券投资基金的基金经理、易方达恒惠定期开放债券型发起式证券投资基金的基金经理、副总经理级高级管理人员、固定收益研究部总经理、固定收益投资部总经理、固定收益投资决策委员会委员</w:t>
            </w:r>
          </w:p>
        </w:tc>
        <w:tc>
          <w:tcPr>
            <w:vAlign w:val="center"/>
          </w:tcPr>
          <w:p>
            <w:pPr>
              <w:jc w:val="center"/>
            </w:pPr>
            <w:r>
              <w:rPr>
                <w:color w:val="000000"/>
                <w:sz w:val="24"/>
              </w:rPr>
              <w:t>2013-04-24</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硕士研究生，具有基金从业资格。曾任易方达基金管理有限公司债券研究员、基金经理助理、固定收益研究部负责人、固定收益总部总经理助理、易方达中债新综合债券指数发起式证券投资基金（LOF）基金经理、易方达纯债债券型证券投资基金基金经理、易方达永旭添利定期开放债券型证券投资基金基金经理、易方达纯债1年定期开放债券型证券投资基金基金经理、易方达裕景添利6个月定期开放债券型证券投资基金基金经理、易方达瑞智灵活配置混合型证券投资基金基金经理、易方达瑞兴灵活配置混合型证券投资基金基金经理、易方达瑞祥灵活配置混合型证券投资基金基金经理、易方达高等级信用债债券型证券投资基金基金经理、易方达瑞祺灵活配置混合型证券投资基金基金经理、易方达瑞财灵活配置混合型证券投资基金基金经理、易方达丰惠混合型证券投资基金基金经理。</w:t>
            </w:r>
          </w:p>
        </w:tc>
      </w:tr>
      <w:tr>
        <w:tc>
          <w:tcPr>
            <w:vAlign w:val="center"/>
          </w:tcPr>
          <w:p>
            <w:pPr>
              <w:jc w:val="center"/>
            </w:pPr>
            <w:r>
              <w:rPr>
                <w:color w:val="000000"/>
                <w:sz w:val="24"/>
              </w:rPr>
              <w:t>纪玲云</w:t>
            </w:r>
          </w:p>
        </w:tc>
        <w:tc>
          <w:tcPr>
            <w:vAlign w:val="center"/>
          </w:tcPr>
          <w:p>
            <w:pPr>
              <w:jc w:val="left"/>
            </w:pPr>
            <w:r>
              <w:rPr>
                <w:color w:val="000000"/>
                <w:sz w:val="24"/>
              </w:rPr>
              <w:t>本基金的基金经理、易方达3年封闭运作战略配售灵活配置混合型证券投资基金（LOF）的基金经理、易方达瑞财灵活配置混合型证券投资基金的基金经理、易方达恒利3个月定期开放债券型发起式证券投资基金的基金经理、易方达恒盛3个月定期开放混合型发起式证券投资基金的基金经理、易方达恒裕一年定期开放债券型发起式证券投资基金的基金经理、易方达稳健收益债券型证券投资基金的基金经理助理、固定收益研究部总经理助理、投资经理</w:t>
            </w:r>
          </w:p>
        </w:tc>
        <w:tc>
          <w:tcPr>
            <w:vAlign w:val="center"/>
          </w:tcPr>
          <w:p>
            <w:pPr>
              <w:jc w:val="center"/>
            </w:pPr>
            <w:r>
              <w:rPr>
                <w:color w:val="000000"/>
                <w:sz w:val="24"/>
              </w:rPr>
              <w:t>2013-09-14</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硕士研究生，具有基金从业资格。曾任易方达基金管理有限公司固定收益研究员、投资经理助理。</w:t>
            </w:r>
          </w:p>
        </w:tc>
      </w:tr>
    </w:tbl>
    <w:p>
      <w:pPr>
        <w:tabs>
          <w:tab w:pos="426" w:val="left"/>
        </w:tabs>
        <w:spacing w:line="360" w:lineRule="auto"/>
        <w:ind w:firstLine="480" w:firstLineChars="200"/>
        <w:rPr>
          <w:kern w:val="0"/>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D86D97" w:rsidR="00D86D97" w:rsidRDefault="00F016DD" w:rsidRPr="00AF5C11">
      <w:pPr>
        <w:tabs>
          <w:tab w:pos="426" w:val="left"/>
        </w:tabs>
        <w:spacing w:line="360" w:lineRule="auto"/>
        <w:ind w:firstLine="480" w:firstLineChars="200"/>
        <w:rPr>
          <w:kern w:val="0"/>
        </w:rPr>
      </w:pPr>
      <w:r w:rsidRPr="00DF18FE">
        <w:rPr>
          <w:color w:val="000000"/>
          <w:sz w:val="24"/>
        </w:rPr>
        <w:t/>
      </w:r>
      <w:proofErr w:type="gramStart"/>
      <w:r w:rsidRPr="00DF18FE">
        <w:rPr>
          <w:color w:val="000000"/>
          <w:sz w:val="24"/>
        </w:rPr>
        <w:t/>
      </w:r>
      <w:proofErr w:type="gramEnd"/>
      <w:r w:rsidRPr="00DF18FE">
        <w:rPr>
          <w:color w:val="000000"/>
          <w:sz w:val="24"/>
        </w:rPr>
        <w:t>2.证券从业的含义遵从《证券业从业人员资格管理办法》的相关规定。</w:t>
      </w:r>
    </w:p>
    <w:p w:rsidP="0004626C" w:rsidR="00D86D97" w:rsidRDefault="00D86D97" w:rsidRPr="0004626C">
      <w:pPr>
        <w:autoSpaceDE w:val="0"/>
        <w:autoSpaceDN w:val="0"/>
        <w:adjustRightInd w:val="0"/>
        <w:spacing w:line="360" w:lineRule="auto"/>
        <w:jc w:val="left"/>
        <w:rPr>
          <w:rFonts w:ascii="宋体" w:cs="Arial" w:hAnsi="宋体"/>
          <w:b/>
          <w:color w:val="000000"/>
          <w:kern w:val="0"/>
          <w:sz w:val="24"/>
        </w:rPr>
      </w:pPr>
      <w:bookmarkStart w:id="0" w:name="_Hlk44921484"/>
      <w:r w:rsidRPr="0004626C">
        <w:rPr>
          <w:rFonts w:ascii="宋体" w:cs="Arial" w:hAnsi="宋体"/>
          <w:b/>
          <w:color w:val="000000"/>
          <w:kern w:val="0"/>
          <w:sz w:val="24"/>
        </w:rPr>
        <w:t/>
      </w:r>
      <w:proofErr w:type="spellStart"/>
      <w:r w:rsidRPr="0004626C">
        <w:rPr>
          <w:rFonts w:ascii="宋体" w:cs="Arial" w:hAnsi="宋体"/>
          <w:b/>
          <w:color w:val="000000"/>
          <w:kern w:val="0"/>
          <w:sz w:val="24"/>
        </w:rPr>
        <w:t/>
      </w:r>
      <w:proofErr w:type="spellEnd"/>
      <w:r w:rsidRPr="0004626C">
        <w:rPr>
          <w:rFonts w:ascii="宋体" w:cs="Arial" w:hAnsi="宋体"/>
          <w:b/>
          <w:color w:val="000000"/>
          <w:kern w:val="0"/>
          <w:sz w:val="24"/>
        </w:rPr>
        <w:t>4.1.1 期末兼任私募资产管理计划投资经理的基金经理同时管理的产品情况</w:t>
      </w:r>
      <w:bookmarkEnd w:id="0"/>
    </w:p>
    <w:tbl>
      <w:tblPr>
        <w:tblW w:w="0" w:type="dxa"/>
        <w:tblBorders>
          <w:top w:val="single"/>
          <w:left w:val="single"/>
          <w:bottom w:val="single"/>
          <w:right w:val="single"/>
          <w:insideH w:val="single"/>
          <w:insideV w:val="single"/>
        </w:tblBorders>
      </w:tblPr>
      <w:tr w:rsidR="00D86D97" w:rsidRPr="00C71BA1" w:rsidTr="00712CA7">
        <w:tc>
          <w:tcPr>
            <w:tcW w:type="dxa" w:w="959"/>
            <w:vAlign w:val="center"/>
            <w:hideMark/>
          </w:tcPr>
          <w:p w:rsidP="00712CA7" w:rsidR="00D86D97" w:rsidRDefault="00D86D97" w:rsidRPr="00C71BA1">
            <w:pPr>
              <w:adjustRightInd w:val="0"/>
              <w:snapToGrid w:val="0"/>
              <w:spacing w:line="300" w:lineRule="exact"/>
              <w:jc w:val="center"/>
              <w:rPr>
                <w:rFonts w:eastAsiaTheme="minorEastAsia"/>
                <w:color w:themeColor="text1" w:val="000000"/>
                <w:sz w:val="24"/>
              </w:rPr>
            </w:pPr>
            <w:r w:rsidRPr="00C71BA1">
              <w:rPr>
                <w:rFonts w:eastAsiaTheme="minorEastAsia" w:hint="eastAsia"/>
                <w:color w:themeColor="text1" w:val="000000"/>
                <w:sz w:val="24"/>
              </w:rPr>
              <w:t>姓名</w:t>
            </w:r>
          </w:p>
        </w:tc>
        <w:tc>
          <w:tcPr>
            <w:tcW w:type="dxa" w:w="2410"/>
            <w:vAlign w:val="center"/>
            <w:hideMark/>
          </w:tcPr>
          <w:p w:rsidP="00712CA7" w:rsidR="00D86D97" w:rsidRDefault="00D86D97" w:rsidRPr="00C71BA1">
            <w:pPr>
              <w:adjustRightInd w:val="0"/>
              <w:snapToGrid w:val="0"/>
              <w:spacing w:line="300" w:lineRule="exact"/>
              <w:jc w:val="center"/>
              <w:rPr>
                <w:rFonts w:eastAsiaTheme="minorEastAsia"/>
                <w:color w:themeColor="text1" w:val="000000"/>
                <w:sz w:val="24"/>
              </w:rPr>
            </w:pPr>
            <w:r w:rsidRPr="00C71BA1">
              <w:rPr>
                <w:rFonts w:eastAsiaTheme="minorEastAsia" w:hint="eastAsia"/>
                <w:color w:themeColor="text1" w:val="000000"/>
                <w:sz w:val="24"/>
              </w:rPr>
              <w:t>产品类型</w:t>
            </w:r>
          </w:p>
        </w:tc>
        <w:tc>
          <w:tcPr>
            <w:tcW w:type="dxa" w:w="2693"/>
            <w:vAlign w:val="center"/>
            <w:hideMark/>
          </w:tcPr>
          <w:p w:rsidP="00712CA7" w:rsidR="00D86D97" w:rsidRDefault="00D86D97" w:rsidRPr="00C71BA1">
            <w:pPr>
              <w:adjustRightInd w:val="0"/>
              <w:snapToGrid w:val="0"/>
              <w:spacing w:line="300" w:lineRule="exact"/>
              <w:jc w:val="center"/>
              <w:rPr>
                <w:rFonts w:eastAsiaTheme="minorEastAsia"/>
                <w:color w:themeColor="text1" w:val="000000"/>
                <w:sz w:val="24"/>
              </w:rPr>
            </w:pPr>
            <w:r w:rsidRPr="00C71BA1">
              <w:rPr>
                <w:rFonts w:eastAsiaTheme="minorEastAsia" w:hint="eastAsia"/>
                <w:color w:themeColor="text1" w:val="000000"/>
                <w:sz w:val="24"/>
              </w:rPr>
              <w:t>产品数量（只）</w:t>
            </w:r>
          </w:p>
        </w:tc>
        <w:tc>
          <w:tcPr>
            <w:tcW w:type="dxa" w:w="1843"/>
            <w:vAlign w:val="center"/>
            <w:hideMark/>
          </w:tcPr>
          <w:p w:rsidP="00712CA7" w:rsidR="00D86D97" w:rsidRDefault="00D86D97" w:rsidRPr="00C71BA1">
            <w:pPr>
              <w:adjustRightInd w:val="0"/>
              <w:snapToGrid w:val="0"/>
              <w:spacing w:line="300" w:lineRule="exact"/>
              <w:jc w:val="center"/>
              <w:rPr>
                <w:rFonts w:eastAsiaTheme="minorEastAsia"/>
                <w:color w:themeColor="text1" w:val="000000"/>
                <w:sz w:val="24"/>
              </w:rPr>
            </w:pPr>
            <w:r w:rsidRPr="00C71BA1">
              <w:rPr>
                <w:rFonts w:eastAsiaTheme="minorEastAsia" w:hint="eastAsia"/>
                <w:color w:themeColor="text1" w:val="000000"/>
                <w:sz w:val="24"/>
              </w:rPr>
              <w:t>资产净值</w:t>
            </w:r>
            <w:r w:rsidRPr="00C71BA1">
              <w:rPr>
                <w:rFonts w:eastAsiaTheme="minorEastAsia"/>
                <w:color w:themeColor="text1" w:val="000000"/>
                <w:sz w:val="24"/>
              </w:rPr>
              <w:t>(</w:t>
            </w:r>
            <w:r w:rsidRPr="00C71BA1">
              <w:rPr>
                <w:rFonts w:eastAsiaTheme="minorEastAsia" w:hint="eastAsia"/>
                <w:color w:themeColor="text1" w:val="000000"/>
                <w:sz w:val="24"/>
              </w:rPr>
              <w:t>元</w:t>
            </w:r>
            <w:r w:rsidRPr="00C71BA1">
              <w:rPr>
                <w:rFonts w:eastAsiaTheme="minorEastAsia"/>
                <w:color w:themeColor="text1" w:val="000000"/>
                <w:sz w:val="24"/>
              </w:rPr>
              <w:t>)</w:t>
            </w:r>
          </w:p>
        </w:tc>
        <w:tc>
          <w:tcPr>
            <w:tcW w:type="dxa" w:w="1381"/>
            <w:vAlign w:val="center"/>
            <w:hideMark/>
          </w:tcPr>
          <w:p w:rsidP="00712CA7" w:rsidR="00D86D97" w:rsidRDefault="00D86D97" w:rsidRPr="00C71BA1">
            <w:pPr>
              <w:widowControl/>
              <w:jc w:val="center"/>
              <w:rPr>
                <w:rFonts w:eastAsiaTheme="minorEastAsia"/>
                <w:color w:themeColor="text1" w:val="000000"/>
                <w:sz w:val="24"/>
              </w:rPr>
            </w:pPr>
            <w:r w:rsidRPr="00C71BA1">
              <w:rPr>
                <w:rFonts w:eastAsiaTheme="minorEastAsia" w:hint="eastAsia"/>
                <w:color w:themeColor="text1" w:val="000000"/>
                <w:sz w:val="24"/>
              </w:rPr>
              <w:t>任职时间</w:t>
            </w:r>
          </w:p>
        </w:tc>
      </w:tr>
      <w:tr w:rsidR="00D86D97" w:rsidRPr="00C71BA1" w:rsidTr="00712CA7">
        <w:tc>
          <w:tcPr>
            <w:tcW w:type="dxa" w:w="959"/>
            <w:vMerge w:val="restart"/>
            <w:vAlign w:val="center"/>
            <w:hideMark/>
          </w:tcPr>
          <w:p w:rsidP="00712CA7" w:rsidR="00D86D97" w:rsidRDefault="00D86D97" w:rsidRPr="00C71BA1">
            <w:pPr>
              <w:widowControl/>
              <w:jc w:val="center"/>
              <w:rPr>
                <w:rFonts w:eastAsiaTheme="minorEastAsia"/>
                <w:color w:themeColor="text1" w:val="000000"/>
                <w:kern w:val="0"/>
                <w:sz w:val="24"/>
              </w:rPr>
            </w:pPr>
            <w:r w:rsidRPr="00C71BA1">
              <w:rPr>
                <w:rFonts w:eastAsiaTheme="minorEastAsia"/>
                <w:color w:themeColor="text1" w:val="000000"/>
                <w:sz w:val="24"/>
              </w:rPr>
              <w:t/>
            </w:r>
            <w:proofErr w:type="spellStart"/>
            <w:r w:rsidRPr="00C71BA1">
              <w:rPr>
                <w:rFonts w:eastAsiaTheme="minorEastAsia"/>
                <w:color w:themeColor="text1" w:val="000000"/>
                <w:sz w:val="24"/>
              </w:rPr>
              <w:t/>
            </w:r>
            <w:r w:rsidRPr="00C71BA1">
              <w:rPr>
                <w:rFonts w:eastAsiaTheme="minorEastAsia"/>
                <w:color w:themeColor="text1" w:val="000000"/>
                <w:sz w:val="24"/>
              </w:rPr>
              <w:lastRenderedPageBreak/>
              <w:t/>
            </w:r>
            <w:proofErr w:type="spellEnd"/>
            <w:r w:rsidRPr="00C71BA1">
              <w:rPr>
                <w:rFonts w:eastAsiaTheme="minorEastAsia"/>
                <w:color w:themeColor="text1" w:val="000000"/>
                <w:sz w:val="24"/>
              </w:rPr>
              <w:t>纪玲云</w:t>
            </w:r>
          </w:p>
        </w:tc>
        <w:tc>
          <w:tcPr>
            <w:tcW w:type="dxa" w:w="2410"/>
            <w:hideMark/>
          </w:tcPr>
          <w:p w:rsidP="00712CA7" w:rsidR="00D86D97" w:rsidRDefault="00D86D97" w:rsidRPr="00C71BA1">
            <w:pPr>
              <w:widowControl/>
              <w:jc w:val="left"/>
              <w:rPr>
                <w:rFonts w:eastAsiaTheme="minorEastAsia"/>
                <w:color w:themeColor="text1" w:val="000000"/>
                <w:kern w:val="0"/>
                <w:sz w:val="24"/>
              </w:rPr>
            </w:pPr>
            <w:r w:rsidRPr="00C71BA1">
              <w:rPr>
                <w:rFonts w:eastAsiaTheme="minorEastAsia" w:hint="eastAsia"/>
                <w:color w:themeColor="text1" w:val="000000"/>
                <w:sz w:val="24"/>
              </w:rPr>
              <w:lastRenderedPageBreak/>
              <w:t>公</w:t>
            </w:r>
            <w:proofErr w:type="gramStart"/>
            <w:r w:rsidRPr="00C71BA1">
              <w:rPr>
                <w:rFonts w:eastAsiaTheme="minorEastAsia" w:hint="eastAsia"/>
                <w:color w:themeColor="text1" w:val="000000"/>
                <w:sz w:val="24"/>
              </w:rPr>
              <w:t>募基金</w:t>
            </w:r>
            <w:proofErr w:type="gramEnd"/>
          </w:p>
        </w:tc>
        <w:tc>
          <w:tcPr>
            <w:tcW w:type="dxa" w:w="2693"/>
            <w:vAlign w:val="center"/>
            <w:hideMark/>
          </w:tcPr>
          <w:p w:rsidP="00712CA7" w:rsidR="00D86D97" w:rsidRDefault="00D86D97" w:rsidRPr="007A1AB6">
            <w:pPr>
              <w:widowControl/>
              <w:jc w:val="center"/>
              <w:rPr>
                <w:rFonts w:eastAsiaTheme="minorEastAsia"/>
                <w:color w:themeColor="text1" w:val="000000"/>
                <w:kern w:val="0"/>
                <w:sz w:val="24"/>
              </w:rPr>
            </w:pPr>
            <w:r w:rsidRPr="007A1AB6">
              <w:rPr>
                <w:rFonts w:eastAsiaTheme="minorEastAsia"/>
                <w:color w:themeColor="text1" w:val="000000"/>
                <w:sz w:val="24"/>
              </w:rPr>
              <w:t/>
            </w:r>
            <w:proofErr w:type="spellStart"/>
            <w:r w:rsidRPr="007A1AB6">
              <w:rPr>
                <w:rFonts w:eastAsiaTheme="minorEastAsia"/>
                <w:color w:themeColor="text1" w:val="000000"/>
                <w:sz w:val="24"/>
              </w:rPr>
              <w:t/>
            </w:r>
            <w:r w:rsidRPr="007A1AB6">
              <w:rPr>
                <w:rFonts w:eastAsiaTheme="minorEastAsia"/>
                <w:color w:themeColor="text1" w:val="000000"/>
                <w:sz w:val="24"/>
              </w:rPr>
              <w:lastRenderedPageBreak/>
              <w:t/>
            </w:r>
            <w:proofErr w:type="spellEnd"/>
            <w:r w:rsidRPr="007A1AB6">
              <w:rPr>
                <w:rFonts w:eastAsiaTheme="minorEastAsia"/>
                <w:color w:themeColor="text1" w:val="000000"/>
                <w:sz w:val="24"/>
              </w:rPr>
              <w:t>6</w:t>
            </w:r>
          </w:p>
        </w:tc>
        <w:tc>
          <w:tcPr>
            <w:tcW w:type="dxa" w:w="1843"/>
            <w:vAlign w:val="center"/>
            <w:hideMark/>
          </w:tcPr>
          <w:p w:rsidP="00712CA7" w:rsidR="00D86D97" w:rsidRDefault="00D86D97" w:rsidRPr="007A1AB6">
            <w:pPr>
              <w:widowControl/>
              <w:jc w:val="right"/>
              <w:rPr>
                <w:rFonts w:eastAsiaTheme="minorEastAsia"/>
                <w:color w:themeColor="text1" w:val="000000"/>
                <w:kern w:val="0"/>
                <w:sz w:val="24"/>
              </w:rPr>
            </w:pPr>
            <w:r w:rsidRPr="007A1AB6">
              <w:rPr>
                <w:rFonts w:eastAsiaTheme="minorEastAsia"/>
                <w:color w:themeColor="text1" w:val="000000"/>
                <w:sz w:val="24"/>
              </w:rPr>
              <w:lastRenderedPageBreak/>
              <w:t/>
            </w:r>
            <w:proofErr w:type="spellStart"/>
            <w:r w:rsidRPr="007A1AB6">
              <w:rPr>
                <w:rFonts w:eastAsiaTheme="minorEastAsia"/>
                <w:color w:themeColor="text1" w:val="000000"/>
                <w:sz w:val="24"/>
              </w:rPr>
              <w:t/>
            </w:r>
            <w:r w:rsidRPr="007A1AB6">
              <w:rPr>
                <w:rFonts w:eastAsiaTheme="minorEastAsia"/>
                <w:color w:themeColor="text1" w:val="000000"/>
                <w:sz w:val="24"/>
              </w:rPr>
              <w:lastRenderedPageBreak/>
              <w:t/>
            </w:r>
            <w:proofErr w:type="spellEnd"/>
            <w:r w:rsidRPr="007A1AB6">
              <w:rPr>
                <w:rFonts w:eastAsiaTheme="minorEastAsia"/>
                <w:color w:themeColor="text1" w:val="000000"/>
                <w:sz w:val="24"/>
              </w:rPr>
              <w:t>36,686,109,815.64</w:t>
            </w:r>
          </w:p>
        </w:tc>
        <w:tc>
          <w:tcPr>
            <w:tcW w:type="dxa" w:w="1381"/>
            <w:vAlign w:val="center"/>
            <w:hideMark/>
          </w:tcPr>
          <w:p w:rsidP="00712CA7" w:rsidR="00D86D97" w:rsidRDefault="00D86D97" w:rsidRPr="007A1AB6">
            <w:pPr>
              <w:widowControl/>
              <w:jc w:val="center"/>
              <w:rPr>
                <w:rFonts w:eastAsiaTheme="minorEastAsia"/>
                <w:color w:themeColor="text1" w:val="000000"/>
                <w:kern w:val="0"/>
                <w:sz w:val="24"/>
              </w:rPr>
            </w:pPr>
            <w:r w:rsidRPr="007A1AB6">
              <w:rPr>
                <w:rFonts w:eastAsiaTheme="minorEastAsia"/>
                <w:color w:themeColor="text1" w:val="000000"/>
                <w:sz w:val="24"/>
              </w:rPr>
              <w:lastRenderedPageBreak/>
              <w:t/>
            </w:r>
            <w:proofErr w:type="spellStart"/>
            <w:r w:rsidRPr="007A1AB6">
              <w:rPr>
                <w:rFonts w:eastAsiaTheme="minorEastAsia"/>
                <w:color w:themeColor="text1" w:val="000000"/>
                <w:sz w:val="24"/>
              </w:rPr>
              <w:t/>
            </w:r>
            <w:r w:rsidRPr="007A1AB6">
              <w:rPr>
                <w:rFonts w:eastAsiaTheme="minorEastAsia"/>
                <w:color w:themeColor="text1" w:val="000000"/>
                <w:sz w:val="24"/>
              </w:rPr>
              <w:lastRenderedPageBreak/>
              <w:t/>
            </w:r>
            <w:proofErr w:type="spellEnd"/>
            <w:r w:rsidRPr="007A1AB6">
              <w:rPr>
                <w:rFonts w:eastAsiaTheme="minorEastAsia"/>
                <w:color w:themeColor="text1" w:val="000000"/>
                <w:sz w:val="24"/>
              </w:rPr>
              <w:t>2013-09-14</w:t>
            </w:r>
          </w:p>
        </w:tc>
      </w:tr>
      <w:tr w:rsidR="00D86D97" w:rsidRPr="00C71BA1" w:rsidTr="00712CA7">
        <w:tc>
          <w:tcPr>
            <w:tcW w:type="dxa" w:w="9286"/>
            <w:vMerge/>
            <w:vAlign w:val="center"/>
            <w:hideMark/>
          </w:tcPr>
          <w:p w:rsidP="00712CA7" w:rsidR="00D86D97" w:rsidRDefault="00D86D97" w:rsidRPr="00C71BA1">
            <w:pPr>
              <w:widowControl/>
              <w:jc w:val="left"/>
              <w:rPr>
                <w:rFonts w:eastAsiaTheme="minorEastAsia"/>
                <w:color w:themeColor="text1" w:val="000000"/>
                <w:kern w:val="0"/>
                <w:sz w:val="24"/>
              </w:rPr>
            </w:pPr>
          </w:p>
        </w:tc>
        <w:tc>
          <w:tcPr>
            <w:tcW w:type="dxa" w:w="2410"/>
            <w:hideMark/>
          </w:tcPr>
          <w:p w:rsidP="00712CA7" w:rsidR="00D86D97" w:rsidRDefault="00D86D97" w:rsidRPr="00C71BA1">
            <w:pPr>
              <w:widowControl/>
              <w:jc w:val="left"/>
              <w:rPr>
                <w:rFonts w:eastAsiaTheme="minorEastAsia"/>
                <w:color w:themeColor="text1" w:val="000000"/>
                <w:kern w:val="0"/>
                <w:sz w:val="24"/>
              </w:rPr>
            </w:pPr>
            <w:r w:rsidRPr="00C71BA1">
              <w:rPr>
                <w:rFonts w:eastAsiaTheme="minorEastAsia" w:hint="eastAsia"/>
                <w:color w:themeColor="text1" w:val="000000"/>
                <w:sz w:val="24"/>
              </w:rPr>
              <w:t>私募资产管理计划</w:t>
            </w:r>
          </w:p>
        </w:tc>
        <w:tc>
          <w:tcPr>
            <w:tcW w:type="dxa" w:w="2693"/>
            <w:vAlign w:val="center"/>
            <w:hideMark/>
          </w:tcPr>
          <w:p w:rsidP="00712CA7" w:rsidR="00D86D97" w:rsidRDefault="00D86D97" w:rsidRPr="007A1AB6">
            <w:pPr>
              <w:widowControl/>
              <w:jc w:val="center"/>
              <w:rPr>
                <w:rFonts w:eastAsiaTheme="minorEastAsia"/>
                <w:color w:themeColor="text1" w:val="000000"/>
                <w:kern w:val="0"/>
                <w:sz w:val="24"/>
              </w:rPr>
            </w:pPr>
            <w:r w:rsidRPr="007A1AB6">
              <w:rPr>
                <w:rFonts w:eastAsiaTheme="minorEastAsia"/>
                <w:color w:themeColor="text1" w:val="000000"/>
                <w:sz w:val="24"/>
              </w:rPr>
              <w:t/>
            </w:r>
            <w:proofErr w:type="spellStart"/>
            <w:r w:rsidRPr="007A1AB6">
              <w:rPr>
                <w:rFonts w:eastAsiaTheme="minorEastAsia"/>
                <w:color w:themeColor="text1" w:val="000000"/>
                <w:sz w:val="24"/>
              </w:rPr>
              <w:t/>
            </w:r>
            <w:proofErr w:type="spellEnd"/>
            <w:r w:rsidRPr="007A1AB6">
              <w:rPr>
                <w:rFonts w:eastAsiaTheme="minorEastAsia"/>
                <w:color w:themeColor="text1" w:val="000000"/>
                <w:sz w:val="24"/>
              </w:rPr>
              <w:t>1</w:t>
            </w:r>
          </w:p>
        </w:tc>
        <w:tc>
          <w:tcPr>
            <w:tcW w:type="dxa" w:w="1843"/>
            <w:vAlign w:val="center"/>
            <w:hideMark/>
          </w:tcPr>
          <w:p w:rsidP="00712CA7" w:rsidR="00D86D97" w:rsidRDefault="00D86D97" w:rsidRPr="007A1AB6">
            <w:pPr>
              <w:widowControl/>
              <w:jc w:val="right"/>
              <w:rPr>
                <w:rFonts w:eastAsiaTheme="minorEastAsia"/>
                <w:color w:themeColor="text1" w:val="000000"/>
                <w:kern w:val="0"/>
                <w:sz w:val="24"/>
              </w:rPr>
            </w:pPr>
            <w:r w:rsidRPr="007A1AB6">
              <w:rPr>
                <w:rFonts w:eastAsiaTheme="minorEastAsia"/>
                <w:color w:themeColor="text1" w:val="000000"/>
                <w:sz w:val="24"/>
              </w:rPr>
              <w:t/>
            </w:r>
            <w:proofErr w:type="spellStart"/>
            <w:r w:rsidRPr="007A1AB6">
              <w:rPr>
                <w:rFonts w:eastAsiaTheme="minorEastAsia"/>
                <w:color w:themeColor="text1" w:val="000000"/>
                <w:sz w:val="24"/>
              </w:rPr>
              <w:t/>
            </w:r>
            <w:proofErr w:type="spellEnd"/>
            <w:r w:rsidRPr="007A1AB6">
              <w:rPr>
                <w:rFonts w:eastAsiaTheme="minorEastAsia"/>
                <w:color w:themeColor="text1" w:val="000000"/>
                <w:sz w:val="24"/>
              </w:rPr>
              <w:t>10,968,722.13</w:t>
            </w:r>
          </w:p>
        </w:tc>
        <w:tc>
          <w:tcPr>
            <w:tcW w:type="dxa" w:w="1381"/>
            <w:vAlign w:val="center"/>
            <w:hideMark/>
          </w:tcPr>
          <w:p w:rsidP="00712CA7" w:rsidR="00D86D97" w:rsidRDefault="00D86D97" w:rsidRPr="007A1AB6">
            <w:pPr>
              <w:widowControl/>
              <w:jc w:val="center"/>
              <w:rPr>
                <w:rFonts w:eastAsiaTheme="minorEastAsia"/>
                <w:color w:themeColor="text1" w:val="000000"/>
                <w:kern w:val="0"/>
                <w:sz w:val="24"/>
              </w:rPr>
            </w:pPr>
            <w:r w:rsidRPr="007A1AB6">
              <w:rPr>
                <w:rFonts w:eastAsiaTheme="minorEastAsia"/>
                <w:color w:themeColor="text1" w:val="000000"/>
                <w:sz w:val="24"/>
              </w:rPr>
              <w:t/>
            </w:r>
            <w:proofErr w:type="spellStart"/>
            <w:r w:rsidRPr="007A1AB6">
              <w:rPr>
                <w:rFonts w:eastAsiaTheme="minorEastAsia"/>
                <w:color w:themeColor="text1" w:val="000000"/>
                <w:sz w:val="24"/>
              </w:rPr>
              <w:t/>
            </w:r>
            <w:proofErr w:type="spellEnd"/>
            <w:r w:rsidRPr="007A1AB6">
              <w:rPr>
                <w:rFonts w:eastAsiaTheme="minorEastAsia"/>
                <w:color w:themeColor="text1" w:val="000000"/>
                <w:sz w:val="24"/>
              </w:rPr>
              <w:t>2019-11-22</w:t>
            </w:r>
          </w:p>
        </w:tc>
      </w:tr>
      <w:tr w:rsidR="00D86D97" w:rsidRPr="00C71BA1" w:rsidTr="00712CA7">
        <w:tc>
          <w:tcPr>
            <w:tcW w:type="dxa" w:w="9286"/>
            <w:vMerge/>
            <w:vAlign w:val="center"/>
            <w:hideMark/>
          </w:tcPr>
          <w:p w:rsidP="00712CA7" w:rsidR="00D86D97" w:rsidRDefault="00D86D97" w:rsidRPr="00C71BA1">
            <w:pPr>
              <w:widowControl/>
              <w:jc w:val="left"/>
              <w:rPr>
                <w:rFonts w:eastAsiaTheme="minorEastAsia"/>
                <w:color w:themeColor="text1" w:val="000000"/>
                <w:kern w:val="0"/>
                <w:sz w:val="24"/>
              </w:rPr>
            </w:pPr>
          </w:p>
        </w:tc>
        <w:tc>
          <w:tcPr>
            <w:tcW w:type="dxa" w:w="2410"/>
            <w:hideMark/>
          </w:tcPr>
          <w:p w:rsidP="00712CA7" w:rsidR="00D86D97" w:rsidRDefault="00D86D97" w:rsidRPr="00C71BA1">
            <w:pPr>
              <w:widowControl/>
              <w:jc w:val="left"/>
              <w:rPr>
                <w:rFonts w:eastAsiaTheme="minorEastAsia"/>
                <w:color w:themeColor="text1" w:val="000000"/>
                <w:sz w:val="24"/>
              </w:rPr>
            </w:pPr>
            <w:r w:rsidRPr="00C71BA1">
              <w:rPr>
                <w:rFonts w:eastAsiaTheme="minorEastAsia" w:hint="eastAsia"/>
                <w:color w:themeColor="text1" w:val="000000"/>
                <w:sz w:val="24"/>
              </w:rPr>
              <w:t>其他组合</w:t>
            </w:r>
          </w:p>
        </w:tc>
        <w:tc>
          <w:tcPr>
            <w:tcW w:type="dxa" w:w="2693"/>
            <w:vAlign w:val="center"/>
            <w:hideMark/>
          </w:tcPr>
          <w:p w:rsidP="00712CA7" w:rsidR="00D86D97" w:rsidRDefault="00D86D97" w:rsidRPr="007A1AB6">
            <w:pPr>
              <w:jc w:val="center"/>
              <w:rPr>
                <w:rFonts w:eastAsiaTheme="minorEastAsia"/>
                <w:color w:themeColor="text1" w:val="000000"/>
                <w:sz w:val="24"/>
              </w:rPr>
            </w:pPr>
            <w:r w:rsidRPr="007A1AB6">
              <w:rPr>
                <w:rFonts w:eastAsiaTheme="minorEastAsia"/>
                <w:color w:themeColor="text1" w:val="000000"/>
                <w:sz w:val="24"/>
              </w:rPr>
              <w:t/>
            </w:r>
            <w:proofErr w:type="spellStart"/>
            <w:r w:rsidRPr="007A1AB6">
              <w:rPr>
                <w:rFonts w:eastAsiaTheme="minorEastAsia"/>
                <w:color w:themeColor="text1" w:val="000000"/>
                <w:sz w:val="24"/>
              </w:rPr>
              <w:t/>
            </w:r>
            <w:proofErr w:type="spellEnd"/>
            <w:r w:rsidRPr="007A1AB6">
              <w:rPr>
                <w:rFonts w:eastAsiaTheme="minorEastAsia"/>
                <w:color w:themeColor="text1" w:val="000000"/>
                <w:sz w:val="24"/>
              </w:rPr>
              <w:t>8</w:t>
            </w:r>
          </w:p>
        </w:tc>
        <w:tc>
          <w:tcPr>
            <w:tcW w:type="dxa" w:w="1843"/>
            <w:vAlign w:val="center"/>
            <w:hideMark/>
          </w:tcPr>
          <w:p w:rsidP="00712CA7" w:rsidR="00D86D97" w:rsidRDefault="00D86D97" w:rsidRPr="007A1AB6">
            <w:pPr>
              <w:jc w:val="right"/>
              <w:rPr>
                <w:rFonts w:eastAsiaTheme="minorEastAsia"/>
                <w:color w:themeColor="text1" w:val="000000"/>
                <w:sz w:val="24"/>
              </w:rPr>
            </w:pPr>
            <w:r w:rsidRPr="007A1AB6">
              <w:rPr>
                <w:rFonts w:eastAsiaTheme="minorEastAsia"/>
                <w:color w:themeColor="text1" w:val="000000"/>
                <w:sz w:val="24"/>
              </w:rPr>
              <w:t/>
            </w:r>
            <w:proofErr w:type="spellStart"/>
            <w:r w:rsidRPr="007A1AB6">
              <w:rPr>
                <w:rFonts w:eastAsiaTheme="minorEastAsia"/>
                <w:color w:themeColor="text1" w:val="000000"/>
                <w:sz w:val="24"/>
              </w:rPr>
              <w:t/>
            </w:r>
            <w:proofErr w:type="spellEnd"/>
            <w:r w:rsidRPr="007A1AB6">
              <w:rPr>
                <w:rFonts w:eastAsiaTheme="minorEastAsia"/>
                <w:color w:themeColor="text1" w:val="000000"/>
                <w:sz w:val="24"/>
              </w:rPr>
              <w:t>100,902,421,358.75</w:t>
            </w:r>
          </w:p>
        </w:tc>
        <w:tc>
          <w:tcPr>
            <w:tcW w:type="dxa" w:w="1381"/>
            <w:vAlign w:val="center"/>
            <w:hideMark/>
          </w:tcPr>
          <w:p w:rsidP="00712CA7" w:rsidR="00D86D97" w:rsidRDefault="00D86D97" w:rsidRPr="007320AD">
            <w:pPr>
              <w:jc w:val="center"/>
              <w:rPr>
                <w:rFonts w:eastAsiaTheme="minorEastAsia"/>
                <w:color w:themeColor="text1" w:val="000000"/>
                <w:sz w:val="24"/>
              </w:rPr>
            </w:pPr>
            <w:r w:rsidRPr="007320AD">
              <w:rPr>
                <w:rFonts w:eastAsiaTheme="minorEastAsia"/>
                <w:color w:themeColor="text1" w:val="000000"/>
                <w:sz w:val="24"/>
              </w:rPr>
              <w:t/>
            </w:r>
            <w:proofErr w:type="spellStart"/>
            <w:r w:rsidRPr="007320AD">
              <w:rPr>
                <w:rFonts w:eastAsiaTheme="minorEastAsia"/>
                <w:color w:themeColor="text1" w:val="000000"/>
                <w:sz w:val="24"/>
              </w:rPr>
              <w:t/>
            </w:r>
            <w:proofErr w:type="spellEnd"/>
            <w:r w:rsidRPr="007320AD">
              <w:rPr>
                <w:rFonts w:eastAsiaTheme="minorEastAsia"/>
                <w:color w:themeColor="text1" w:val="000000"/>
                <w:sz w:val="24"/>
              </w:rPr>
              <w:t>2015-11-27</w:t>
            </w:r>
          </w:p>
        </w:tc>
      </w:tr>
      <w:tr w:rsidR="00D86D97" w:rsidRPr="00C71BA1" w:rsidTr="00712CA7">
        <w:tc>
          <w:tcPr>
            <w:tcW w:type="dxa" w:w="9286"/>
            <w:vMerge/>
            <w:vAlign w:val="center"/>
            <w:hideMark/>
          </w:tcPr>
          <w:p w:rsidP="00712CA7" w:rsidR="00D86D97" w:rsidRDefault="00D86D97" w:rsidRPr="00C71BA1">
            <w:pPr>
              <w:widowControl/>
              <w:jc w:val="left"/>
              <w:rPr>
                <w:rFonts w:eastAsiaTheme="minorEastAsia"/>
                <w:color w:themeColor="text1" w:val="000000"/>
                <w:kern w:val="0"/>
                <w:sz w:val="24"/>
              </w:rPr>
            </w:pPr>
          </w:p>
        </w:tc>
        <w:tc>
          <w:tcPr>
            <w:tcW w:type="dxa" w:w="2410"/>
            <w:hideMark/>
          </w:tcPr>
          <w:p w:rsidP="00712CA7" w:rsidR="00D86D97" w:rsidRDefault="00D86D97" w:rsidRPr="00C71BA1">
            <w:pPr>
              <w:widowControl/>
              <w:jc w:val="left"/>
              <w:rPr>
                <w:rFonts w:eastAsiaTheme="minorEastAsia"/>
                <w:color w:themeColor="text1" w:val="000000"/>
                <w:sz w:val="24"/>
              </w:rPr>
            </w:pPr>
            <w:r w:rsidRPr="00C71BA1">
              <w:rPr>
                <w:rFonts w:eastAsiaTheme="minorEastAsia" w:hint="eastAsia"/>
                <w:color w:themeColor="text1" w:val="000000"/>
                <w:sz w:val="24"/>
              </w:rPr>
              <w:t>合计</w:t>
            </w:r>
          </w:p>
        </w:tc>
        <w:tc>
          <w:tcPr>
            <w:tcW w:type="dxa" w:w="2693"/>
            <w:vAlign w:val="center"/>
            <w:hideMark/>
          </w:tcPr>
          <w:p w:rsidP="00712CA7" w:rsidR="00D86D97" w:rsidRDefault="00D86D97" w:rsidRPr="007A1AB6">
            <w:pPr>
              <w:jc w:val="center"/>
              <w:rPr>
                <w:rFonts w:eastAsiaTheme="minorEastAsia"/>
                <w:color w:themeColor="text1" w:val="000000"/>
                <w:sz w:val="24"/>
              </w:rPr>
            </w:pPr>
            <w:r w:rsidRPr="007A1AB6">
              <w:rPr>
                <w:rFonts w:eastAsiaTheme="minorEastAsia"/>
                <w:color w:themeColor="text1" w:val="000000"/>
                <w:sz w:val="24"/>
              </w:rPr>
              <w:t/>
            </w:r>
            <w:proofErr w:type="spellStart"/>
            <w:r w:rsidRPr="007A1AB6">
              <w:rPr>
                <w:rFonts w:eastAsiaTheme="minorEastAsia"/>
                <w:color w:themeColor="text1" w:val="000000"/>
                <w:sz w:val="24"/>
              </w:rPr>
              <w:t/>
            </w:r>
            <w:proofErr w:type="spellEnd"/>
            <w:r w:rsidRPr="007A1AB6">
              <w:rPr>
                <w:rFonts w:eastAsiaTheme="minorEastAsia"/>
                <w:color w:themeColor="text1" w:val="000000"/>
                <w:sz w:val="24"/>
              </w:rPr>
              <w:t>15</w:t>
            </w:r>
          </w:p>
        </w:tc>
        <w:tc>
          <w:tcPr>
            <w:tcW w:type="dxa" w:w="1843"/>
            <w:vAlign w:val="center"/>
            <w:hideMark/>
          </w:tcPr>
          <w:p w:rsidP="00712CA7" w:rsidR="00D86D97" w:rsidRDefault="00D86D97" w:rsidRPr="007A1AB6">
            <w:pPr>
              <w:jc w:val="right"/>
              <w:rPr>
                <w:rFonts w:eastAsiaTheme="minorEastAsia"/>
                <w:color w:themeColor="text1" w:val="000000"/>
                <w:sz w:val="24"/>
              </w:rPr>
            </w:pPr>
            <w:r w:rsidRPr="007A1AB6">
              <w:rPr>
                <w:rFonts w:eastAsiaTheme="minorEastAsia"/>
                <w:color w:themeColor="text1" w:val="000000"/>
                <w:sz w:val="24"/>
              </w:rPr>
              <w:t/>
            </w:r>
            <w:proofErr w:type="spellStart"/>
            <w:r w:rsidRPr="007A1AB6">
              <w:rPr>
                <w:rFonts w:eastAsiaTheme="minorEastAsia"/>
                <w:color w:themeColor="text1" w:val="000000"/>
                <w:sz w:val="24"/>
              </w:rPr>
              <w:t/>
            </w:r>
            <w:proofErr w:type="spellEnd"/>
            <w:r w:rsidRPr="007A1AB6">
              <w:rPr>
                <w:rFonts w:eastAsiaTheme="minorEastAsia"/>
                <w:color w:themeColor="text1" w:val="000000"/>
                <w:sz w:val="24"/>
              </w:rPr>
              <w:t>137,599,499,896.52</w:t>
            </w:r>
          </w:p>
        </w:tc>
        <w:tc>
          <w:tcPr>
            <w:tcW w:type="dxa" w:w="1381"/>
            <w:vAlign w:val="center"/>
          </w:tcPr>
          <w:p w:rsidP="00712CA7" w:rsidR="00D86D97" w:rsidRDefault="00D86D97" w:rsidRPr="007320AD">
            <w:pPr>
              <w:jc w:val="center"/>
              <w:rPr>
                <w:rFonts w:eastAsiaTheme="minorEastAsia"/>
                <w:color w:themeColor="text1" w:val="000000"/>
                <w:sz w:val="24"/>
              </w:rPr>
            </w:pPr>
            <w:bookmarkStart w:id="1" w:name="_GoBack"/>
            <w:bookmarkEnd w:id="1"/>
            <w:r w:rsidRPr="007320AD">
              <w:rPr>
                <w:color w:themeColor="text1" w:val="000000"/>
                <w:kern w:val="0"/>
                <w:sz w:val="24"/>
              </w:rPr>
              <w:t>-</w:t>
            </w:r>
          </w:p>
        </w:tc>
      </w:tr>
    </w:tbl>
    <w:p>
      <w:pPr>
        <w:spacing w:line="360" w:lineRule="auto"/>
        <w:ind w:firstLine="480" w:firstLineChars="200"/>
        <w:rPr>
          <w:color w:val="000000"/>
          <w:sz w:val="24"/>
        </w:rPr>
      </w:pPr>
      <w:r>
        <w:rPr>
          <w:kern w:val="0"/>
          <w:sz w:val="24"/>
        </w:rPr>
        <w:t>注：1.“任职时间”为首次开始管理上表中本类产品的时间。</w:t>
      </w:r>
    </w:p>
    <w:p w:rsidP="00DF18FE" w:rsidR="00F016DD" w:rsidRDefault="00D86D97" w:rsidRPr="00EA6415">
      <w:pPr>
        <w:spacing w:line="360" w:lineRule="auto"/>
        <w:ind w:firstLine="480" w:firstLineChars="200"/>
        <w:rPr>
          <w:color w:val="000000"/>
          <w:sz w:val="24"/>
        </w:rPr>
      </w:pPr>
      <w:r w:rsidRPr="00C71BA1">
        <w:rPr>
          <w:kern w:val="0"/>
          <w:sz w:val="24"/>
        </w:rPr>
        <w:t/>
      </w:r>
      <w:proofErr w:type="gramStart"/>
      <w:r w:rsidRPr="00C71BA1">
        <w:rPr>
          <w:kern w:val="0"/>
          <w:sz w:val="24"/>
        </w:rPr>
        <w:t/>
      </w:r>
      <w:proofErr w:type="gramEnd"/>
      <w:r w:rsidRPr="00C71BA1">
        <w:rPr>
          <w:kern w:val="0"/>
          <w:sz w:val="24"/>
        </w:rPr>
        <w:t>2.纪玲云作为团队成员之一参与上述其他组合的管理。</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4.3 </w:t>
      </w:r>
      <w:r w:rsidRPr="0078105B">
        <w:rPr>
          <w:rFonts w:ascii="宋体" w:cs="Arial" w:hAnsi="宋体" w:hint="eastAsia"/>
          <w:b/>
          <w:color w:val="000000"/>
          <w:kern w:val="0"/>
          <w:sz w:val="24"/>
        </w:rPr>
        <w:t>公平交易专项说明</w:t>
      </w:r>
    </w:p>
    <w:p w:rsidP="00FC13C8" w:rsidR="00F016DD" w:rsidRDefault="00F016DD" w:rsidRPr="00FA472B">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P="00DF18FE" w:rsidR="00F016DD" w:rsidRDefault="00F016DD" w:rsidRPr="00EA6415">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FC13C8" w:rsidR="00F016DD" w:rsidRDefault="00F016DD" w:rsidRPr="00FA472B">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pPr>
        <w:spacing w:line="360" w:lineRule="auto"/>
        <w:ind w:firstLine="480" w:firstLineChars="200"/>
        <w:rPr>
          <w:rFonts w:ascii="宋体" w:cs="Arial"/>
          <w:b/>
          <w:color w:val="000000"/>
          <w:kern w:val="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1A4B71" w:rsidR="00F016DD" w:rsidRDefault="00F016DD" w:rsidRPr="0078105B">
      <w:pPr>
        <w:spacing w:line="360" w:lineRule="auto"/>
        <w:ind w:firstLine="480" w:firstLineChars="200"/>
        <w:rPr>
          <w:rFonts w:ascii="宋体" w:cs="Arial"/>
          <w:b/>
          <w:color w:val="000000"/>
          <w:kern w:val="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本报告期内，未发现本基金有可能导致不公平交易和利益输送的异常交易。</w:t>
      </w:r>
      <w:r w:rsidR="001A4B71" w:rsidRPr="0078105B">
        <w:rPr>
          <w:rFonts w:ascii="宋体" w:cs="Arial"/>
          <w:b/>
          <w:color w:val="000000"/>
          <w:kern w:val="0"/>
          <w:sz w:val="24"/>
        </w:rPr>
        <w:t xml:space="preserve"> </w:t>
      </w:r>
    </w:p>
    <w:p w:rsidP="001A4B71" w:rsidR="00F016DD" w:rsidRDefault="00F016DD" w:rsidRPr="001A4B71">
      <w:pPr>
        <w:autoSpaceDE w:val="0"/>
        <w:autoSpaceDN w:val="0"/>
        <w:adjustRightInd w:val="0"/>
        <w:spacing w:line="360" w:lineRule="auto"/>
        <w:jc w:val="left"/>
        <w:rPr>
          <w:rFonts w:ascii="宋体" w:cs="Arial" w:hAnsi="宋体"/>
          <w:b/>
          <w:color w:val="000000"/>
          <w:kern w:val="0"/>
          <w:sz w:val="24"/>
        </w:rPr>
      </w:pPr>
      <w:r w:rsidRPr="001A4B71">
        <w:rPr>
          <w:rFonts w:ascii="宋体" w:cs="Arial" w:hAnsi="宋体"/>
          <w:b/>
          <w:color w:val="000000"/>
          <w:kern w:val="0"/>
          <w:sz w:val="24"/>
        </w:rPr>
        <w:t>4.4</w:t>
      </w:r>
      <w:r w:rsidR="001A4B71">
        <w:rPr>
          <w:rFonts w:ascii="宋体" w:cs="Arial" w:hAnsi="宋体" w:hint="eastAsia"/>
          <w:b/>
          <w:color w:val="000000"/>
          <w:kern w:val="0"/>
          <w:sz w:val="24"/>
        </w:rPr>
        <w:t xml:space="preserve"> </w:t>
      </w:r>
      <w:r w:rsidRPr="001A4B71">
        <w:rPr>
          <w:rFonts w:ascii="宋体" w:cs="Arial" w:hAnsi="宋体" w:hint="eastAsia"/>
          <w:b/>
          <w:color w:val="000000"/>
          <w:kern w:val="0"/>
          <w:sz w:val="24"/>
        </w:rPr>
        <w:t>报告期内基金投资策略和运作分析</w:t>
      </w:r>
    </w:p>
    <w:p>
      <w:pPr>
        <w:spacing w:line="360" w:lineRule="auto"/>
        <w:ind w:firstLine="480" w:firstLineChars="200"/>
        <w:rPr>
          <w:color w:val="000000"/>
          <w:sz w:val="24"/>
        </w:rPr>
      </w:pPr>
      <w:r>
        <w:rPr>
          <w:color w:val="000000"/>
          <w:sz w:val="24"/>
        </w:rPr>
        <w:t>受益于良好的疫情控制效果，2020年三季度国内经济基本面维持平稳复苏的走势。工业增加值增速在5-6%附近，环比增速有所波动，但整体表现较为平稳。结构上看，房地产投资保持了较高的增速水平，且在新开工增速提升的情况下，7、8月份同比增速进一步提高到11.8%的较高水平；制造业投资在三季度持续回升，截至8月底已经基本接近去年11月份的水平，体现出经济主体自身的的活跃程度在增强；基建投资则持续有小幅回落，但增速水平仍然保持在去年11月份以来的趋势值之上。从需求端来看，房地产和汽车消费仍然维持较好水平，以餐饮为代表的终端需求的恢复在7月份开始有所加速。未来随着出行和场景消费行政限制的放松，需求端的恢复有望持续。进出口方面，由于海外经济重启，国内快速恢复的供给能力带动出口增速大幅回升，进口数据也有一定程度的恢复，但整体的贸易顺差数据维持高位。</w:t>
      </w:r>
    </w:p>
    <w:p>
      <w:pPr>
        <w:spacing w:line="360" w:lineRule="auto"/>
        <w:ind w:firstLine="480" w:firstLineChars="200"/>
        <w:rPr>
          <w:color w:val="000000"/>
          <w:sz w:val="24"/>
        </w:rPr>
      </w:pPr>
      <w:r>
        <w:rPr>
          <w:color w:val="000000"/>
          <w:sz w:val="24"/>
        </w:rPr>
        <w:t>货币政策三季度继续向中性方向回归。银行间银行间存款类金融机构以利率债为质押的7天回购利率（DR007）中枢水平自6月份快速上升至2.2%附近后，三季度基本在该水平保持平稳。信用扩张方面，央行基本保持了相对宽松的信贷环境，但是信用扩张速度有所放缓，体现出政策层面回归中性的意图。不过从社融数据的结构来看，非金融企业和居民部门的中长期贷款持续明显增多，反映经济主体的信心在逐渐恢复，这与制造业投资以及终端需求的恢复一致，说明经济的自身动能在持续增强。</w:t>
      </w:r>
    </w:p>
    <w:p>
      <w:pPr>
        <w:spacing w:line="360" w:lineRule="auto"/>
        <w:ind w:firstLine="480" w:firstLineChars="200"/>
        <w:rPr>
          <w:color w:val="000000"/>
          <w:sz w:val="24"/>
        </w:rPr>
      </w:pPr>
      <w:r>
        <w:rPr>
          <w:color w:val="000000"/>
          <w:sz w:val="24"/>
        </w:rPr>
        <w:t>债券市场收益率在三季度出现持续快速回升。政策性金融债收益率平坦化上行55-65BP，国债上行30-50BP。信用债表现相对较好，1年和5年端AAA品种利差分别压缩22BP和27BP，3年端AAA品种由于绝对利差水平不高，且二季度压缩较为明显，本季度变动不大。级别利差水平压缩显著，3年期限AA-与AAA的级别利差在三季度压缩30BP。</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操作上，组合在三季度保持了2年左右的偏短久期，以短端信用债券持仓为主，积极进行个券置换，并积极参与阶段性的波段操作。</w:t>
      </w:r>
    </w:p>
    <w:p w:rsidP="001A4B71" w:rsidR="00F016DD" w:rsidRDefault="00F016DD" w:rsidRPr="001A4B71">
      <w:pPr>
        <w:autoSpaceDE w:val="0"/>
        <w:autoSpaceDN w:val="0"/>
        <w:adjustRightInd w:val="0"/>
        <w:spacing w:line="360" w:lineRule="auto"/>
        <w:jc w:val="left"/>
        <w:rPr>
          <w:rFonts w:ascii="宋体" w:cs="Arial" w:hAnsi="宋体"/>
          <w:b/>
          <w:color w:val="000000"/>
          <w:kern w:val="0"/>
          <w:sz w:val="24"/>
        </w:rPr>
      </w:pPr>
      <w:r w:rsidRPr="001A4B71">
        <w:rPr>
          <w:rFonts w:ascii="宋体" w:cs="Arial" w:hAnsi="宋体"/>
          <w:b/>
          <w:color w:val="000000"/>
          <w:kern w:val="0"/>
          <w:sz w:val="24"/>
        </w:rPr>
        <w:t>4.</w:t>
      </w:r>
      <w:r w:rsidR="001A4B71">
        <w:rPr>
          <w:rFonts w:ascii="宋体" w:cs="Arial" w:hAnsi="宋体"/>
          <w:b/>
          <w:color w:val="000000"/>
          <w:kern w:val="0"/>
          <w:sz w:val="24"/>
        </w:rPr>
        <w:t>5</w:t>
      </w:r>
      <w:r w:rsidR="001A4B71">
        <w:rPr>
          <w:rFonts w:ascii="宋体" w:cs="Arial" w:hAnsi="宋体" w:hint="eastAsia"/>
          <w:b/>
          <w:color w:val="000000"/>
          <w:kern w:val="0"/>
          <w:sz w:val="24"/>
        </w:rPr>
        <w:t xml:space="preserve"> </w:t>
      </w:r>
      <w:r w:rsidRPr="001A4B71">
        <w:rPr>
          <w:rFonts w:ascii="宋体" w:cs="Arial" w:hAnsi="宋体" w:hint="eastAsia"/>
          <w:b/>
          <w:color w:val="000000"/>
          <w:kern w:val="0"/>
          <w:sz w:val="24"/>
        </w:rPr>
        <w:t>报告期内基金的业绩表现</w:t>
      </w:r>
    </w:p>
    <w:p w:rsidP="001A4B71"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截至报告期末，本基金A类基金份额净值为1.098元，本报告期份额净值增长率为0.00%，同期业绩比较基准收益率为-0.40%；C类基金份额净值为1.094元，本报告期份额净值增长率为-0.09%，同期业绩比较基准收益率为-0.40%。</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lastRenderedPageBreak/>
        <w:t>§</w:t>
      </w:r>
      <w:r w:rsidRPr="0078105B">
        <w:rPr>
          <w:rFonts w:ascii="宋体" w:cs="Arial" w:hAnsi="宋体"/>
          <w:color w:val="000000"/>
          <w:kern w:val="0"/>
          <w:sz w:val="24"/>
          <w:szCs w:val="24"/>
        </w:rPr>
        <w:t xml:space="preserve">5  </w:t>
      </w:r>
      <w:r w:rsidRPr="0078105B">
        <w:rPr>
          <w:rFonts w:ascii="宋体" w:cs="Arial" w:hAnsi="宋体" w:hint="eastAsia"/>
          <w:color w:val="000000"/>
          <w:kern w:val="0"/>
          <w:sz w:val="24"/>
          <w:szCs w:val="24"/>
        </w:rPr>
        <w:t>投资组合报告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5.1 </w:t>
      </w:r>
      <w:r w:rsidRPr="0078105B">
        <w:rPr>
          <w:rFonts w:ascii="宋体" w:cs="Arial" w:hAnsi="宋体" w:hint="eastAsia"/>
          <w:b/>
          <w:color w:val="000000"/>
          <w:kern w:val="0"/>
          <w:sz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序号</w:t>
            </w:r>
          </w:p>
        </w:tc>
        <w:tc>
          <w:tcPr>
            <w:tcW w:type="dxa" w:w="3357"/>
            <w:vAlign w:val="center"/>
          </w:tcPr>
          <w:p w:rsidP="00F4518C" w:rsidR="00F016DD" w:rsidRDefault="00F016DD" w:rsidRPr="00FA472B">
            <w:pPr>
              <w:spacing w:before="29" w:line="360" w:lineRule="auto"/>
              <w:ind w:left="17"/>
              <w:jc w:val="center"/>
              <w:rPr>
                <w:color w:val="000000"/>
                <w:sz w:val="24"/>
              </w:rPr>
            </w:pPr>
            <w:r w:rsidRPr="00FA472B">
              <w:rPr>
                <w:color w:val="000000"/>
                <w:sz w:val="24"/>
              </w:rPr>
              <w:t>项目</w:t>
            </w:r>
          </w:p>
        </w:tc>
        <w:tc>
          <w:tcPr>
            <w:tcW w:type="dxa" w:w="2977"/>
            <w:vAlign w:val="center"/>
          </w:tcPr>
          <w:p w:rsidP="00F4518C" w:rsidR="00F016DD" w:rsidRDefault="00F016DD" w:rsidRPr="00FA472B">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type="dxa" w:w="1843"/>
            <w:vAlign w:val="center"/>
          </w:tcPr>
          <w:p w:rsidP="00F4518C" w:rsidR="00F016DD" w:rsidRDefault="00F016DD" w:rsidRPr="00FA472B">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1</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权益投资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其中：股票</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2</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固定收益投资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6,551,609,195.50</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97.92</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其中：债券</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6,283,507,195.50</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93.92</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r w:rsidRPr="00FA472B">
              <w:rPr>
                <w:color w:val="000000"/>
                <w:sz w:val="24"/>
              </w:rPr>
              <w:lastRenderedPageBreak/>
              <w:t/>
            </w:r>
            <w:proofErr w:type="spellEnd"/>
            <w:r w:rsidRPr="00FA472B">
              <w:rPr>
                <w:color w:val="000000"/>
                <w:sz w:val="24"/>
              </w:rPr>
              <w:t>268,102,000.00</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lastRenderedPageBreak/>
              <w:t/>
            </w:r>
            <w:r w:rsidRPr="00FA472B">
              <w:rPr>
                <w:color w:val="000000"/>
                <w:sz w:val="24"/>
              </w:rPr>
              <w:lastRenderedPageBreak/>
              <w:t>4.01</w:t>
            </w:r>
          </w:p>
        </w:tc>
      </w:tr>
      <w:tr w:rsidR="00F016DD" w:rsidRPr="00264E55" w:rsidTr="00F4518C">
        <w:trPr>
          <w:jc w:val="center"/>
        </w:trPr>
        <w:tc>
          <w:tcPr>
            <w:tcW w:type="dxa" w:w="720"/>
          </w:tcPr>
          <w:p w:rsidP="00F4518C" w:rsidR="00F016DD" w:rsidRDefault="00F016DD" w:rsidRPr="00FA472B">
            <w:pPr>
              <w:spacing w:before="29" w:line="360" w:lineRule="auto"/>
              <w:ind w:left="17"/>
              <w:jc w:val="center"/>
              <w:rPr>
                <w:color w:val="000000"/>
                <w:sz w:val="24"/>
              </w:rPr>
            </w:pPr>
            <w:r w:rsidRPr="00FA472B">
              <w:rPr>
                <w:color w:val="000000"/>
                <w:sz w:val="24"/>
              </w:rPr>
              <w:lastRenderedPageBreak/>
              <w:t>3</w:t>
            </w:r>
          </w:p>
        </w:tc>
        <w:tc>
          <w:tcPr>
            <w:tcW w:type="dxa" w:w="3357"/>
          </w:tcPr>
          <w:p w:rsidP="00174038" w:rsidR="00F016DD" w:rsidRDefault="00F016DD" w:rsidRPr="00FA472B">
            <w:pPr>
              <w:spacing w:before="29" w:line="360" w:lineRule="auto"/>
              <w:ind w:left="105" w:leftChars="50"/>
              <w:rPr>
                <w:color w:val="000000"/>
                <w:sz w:val="24"/>
              </w:rPr>
            </w:pPr>
            <w:r w:rsidRPr="00FA472B">
              <w:rPr>
                <w:color w:val="000000"/>
                <w:sz w:val="24"/>
              </w:rPr>
              <w:t>贵金属投资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4</w:t>
            </w:r>
          </w:p>
        </w:tc>
        <w:tc>
          <w:tcPr>
            <w:tcW w:type="dxa" w:w="3357"/>
            <w:vAlign w:val="center"/>
          </w:tcPr>
          <w:p w:rsidP="00F4518C" w:rsidR="00F016DD" w:rsidRDefault="00F016DD" w:rsidRPr="00FA472B">
            <w:pPr>
              <w:spacing w:before="29" w:line="360" w:lineRule="auto"/>
              <w:ind w:left="17"/>
              <w:jc w:val="left"/>
              <w:rPr>
                <w:color w:val="000000"/>
                <w:sz w:val="24"/>
              </w:rPr>
            </w:pPr>
            <w:r w:rsidRPr="00FA472B">
              <w:rPr>
                <w:color w:val="000000"/>
                <w:sz w:val="24"/>
              </w:rPr>
              <w:t>金融衍生</w:t>
            </w:r>
            <w:proofErr w:type="gramStart"/>
            <w:r w:rsidRPr="00FA472B">
              <w:rPr>
                <w:color w:val="000000"/>
                <w:sz w:val="24"/>
              </w:rPr>
              <w:t>品投资</w:t>
            </w:r>
            <w:proofErr w:type="gramEnd"/>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5</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买入返售金融资产</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其中：买断式回购的买入返售金融资产</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lastRenderedPageBreak/>
              <w:t>6</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银行存款和结算备付金合计</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34,916,359.75</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0.52</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7</w:t>
            </w:r>
          </w:p>
        </w:tc>
        <w:tc>
          <w:tcPr>
            <w:tcW w:type="dxa" w:w="3357"/>
            <w:vAlign w:val="center"/>
          </w:tcPr>
          <w:p w:rsidP="00F4518C" w:rsidR="00F016DD" w:rsidRDefault="00F016DD" w:rsidRPr="00FA472B">
            <w:pPr>
              <w:jc w:val="left"/>
              <w:rPr>
                <w:sz w:val="24"/>
              </w:rPr>
            </w:pPr>
            <w:r w:rsidRPr="00FA472B">
              <w:rPr>
                <w:color w:val="000000"/>
                <w:sz w:val="24"/>
              </w:rPr>
              <w:t>其他资产</w:t>
            </w:r>
          </w:p>
        </w:tc>
        <w:tc>
          <w:tcPr>
            <w:tcW w:type="dxa" w:w="2977"/>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104,050,010.70</w:t>
            </w:r>
          </w:p>
        </w:tc>
        <w:tc>
          <w:tcPr>
            <w:tcW w:type="dxa" w:w="1843"/>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1.56</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8</w:t>
            </w:r>
          </w:p>
        </w:tc>
        <w:tc>
          <w:tcPr>
            <w:tcW w:type="dxa" w:w="3357"/>
            <w:vAlign w:val="center"/>
          </w:tcPr>
          <w:p w:rsidP="00F4518C" w:rsidR="00F016DD" w:rsidRDefault="00F016DD" w:rsidRPr="00FA472B">
            <w:pPr>
              <w:jc w:val="left"/>
              <w:rPr>
                <w:sz w:val="24"/>
              </w:rPr>
            </w:pPr>
            <w:r w:rsidRPr="00FA472B">
              <w:rPr>
                <w:color w:val="000000"/>
                <w:sz w:val="24"/>
              </w:rPr>
              <w:t>合计</w:t>
            </w:r>
          </w:p>
        </w:tc>
        <w:tc>
          <w:tcPr>
            <w:tcW w:type="dxa" w:w="2977"/>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6,690,575,565.95</w:t>
            </w:r>
          </w:p>
        </w:tc>
        <w:tc>
          <w:tcPr>
            <w:tcW w:type="dxa" w:w="1843"/>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100.00</w:t>
            </w:r>
          </w:p>
        </w:tc>
      </w:tr>
    </w:tbl>
    <w:p w:rsidP="00B54884" w:rsidR="00874AA3" w:rsidRDefault="00874AA3" w:rsidRPr="00C70969">
      <w:pPr>
        <w:autoSpaceDE w:val="0"/>
        <w:autoSpaceDN w:val="0"/>
        <w:adjustRightInd w:val="0"/>
        <w:spacing w:before="312" w:beforeLines="100" w:line="360" w:lineRule="auto"/>
        <w:jc w:val="left"/>
        <w:rPr>
          <w:rFonts w:eastAsiaTheme="minorEastAsia"/>
          <w:b/>
          <w:color w:themeColor="text1" w:val="000000"/>
          <w:kern w:val="0"/>
          <w:sz w:val="24"/>
        </w:rPr>
      </w:pPr>
      <w:r w:rsidRPr="00C70969">
        <w:rPr>
          <w:rFonts w:eastAsiaTheme="minorEastAsia"/>
          <w:b/>
          <w:color w:themeColor="text1" w:val="000000"/>
          <w:kern w:val="0"/>
          <w:sz w:val="24"/>
        </w:rPr>
        <w:t xml:space="preserve">5.2 </w:t>
      </w:r>
      <w:r w:rsidRPr="00C70969">
        <w:rPr>
          <w:rFonts w:eastAsiaTheme="minorEastAsia"/>
          <w:b/>
          <w:color w:themeColor="text1" w:val="000000"/>
          <w:kern w:val="0"/>
          <w:sz w:val="24"/>
        </w:rPr>
        <w:t>报告期末按行业分类的股票投资组合</w:t>
      </w:r>
    </w:p>
    <w:p w:rsidP="00874AA3" w:rsidR="00874AA3" w:rsidRDefault="00874AA3" w:rsidRPr="00C70969">
      <w:pPr>
        <w:rPr>
          <w:b/>
          <w:sz w:val="24"/>
        </w:rPr>
      </w:pPr>
      <w:r w:rsidRPr="00C70969">
        <w:rPr>
          <w:b/>
          <w:sz w:val="24"/>
        </w:rPr>
        <w:t xml:space="preserve"> </w:t>
      </w:r>
      <w:r w:rsidRPr="00C70969">
        <w:rPr>
          <w:b/>
          <w:color w:themeColor="text1" w:val="000000"/>
          <w:sz w:val="24"/>
        </w:rPr>
        <w:t/>
      </w:r>
      <w:proofErr w:type="spellStart"/>
      <w:r w:rsidRPr="00C70969">
        <w:rPr>
          <w:b/>
          <w:color w:themeColor="text1" w:val="000000"/>
          <w:sz w:val="24"/>
        </w:rPr>
        <w:t/>
      </w:r>
      <w:proofErr w:type="spellEnd"/>
      <w:r w:rsidRPr="00C70969">
        <w:rPr>
          <w:b/>
          <w:color w:themeColor="text1" w:val="000000"/>
          <w:sz w:val="24"/>
        </w:rPr>
        <w:t/>
      </w:r>
      <w:r w:rsidRPr="00C70969">
        <w:rPr>
          <w:rFonts w:eastAsiaTheme="minorEastAsia"/>
          <w:b/>
          <w:color w:themeColor="text1" w:val="000000"/>
          <w:kern w:val="0"/>
          <w:sz w:val="24"/>
        </w:rPr>
        <w:t>5.2.1</w:t>
      </w:r>
      <w:r w:rsidRPr="00C70969">
        <w:rPr>
          <w:rFonts w:eastAsiaTheme="minorEastAsia"/>
          <w:b/>
          <w:color w:themeColor="text1" w:val="000000"/>
          <w:kern w:val="0"/>
          <w:sz w:val="24"/>
        </w:rPr>
        <w:t>报告期末按行业分类的境内股票投资组合</w:t>
      </w:r>
    </w:p>
    <w:p w:rsidP="00EA6415" w:rsidR="00874AA3" w:rsidRDefault="00874AA3" w:rsidRPr="00EA6415">
      <w:pPr>
        <w:spacing w:line="360" w:lineRule="auto"/>
        <w:ind w:firstLine="480" w:firstLineChars="200"/>
        <w:rPr>
          <w:color w:val="000000"/>
          <w:sz w:val="24"/>
        </w:rPr>
      </w:pPr>
      <w:r w:rsidRPr="00EA6415">
        <w:rPr>
          <w:color w:val="000000"/>
          <w:sz w:val="24"/>
        </w:rPr>
        <w:lastRenderedPageBreak/>
        <w:t/>
      </w:r>
      <w:proofErr w:type="spellStart"/>
      <w:r w:rsidRPr="00EA6415">
        <w:rPr>
          <w:color w:val="000000"/>
          <w:sz w:val="24"/>
        </w:rPr>
        <w:t/>
      </w:r>
      <w:proofErr w:type="spellEnd"/>
      <w:r w:rsidRPr="00EA6415">
        <w:rPr>
          <w:color w:val="000000"/>
          <w:sz w:val="24"/>
        </w:rPr>
        <w:t/>
      </w:r>
      <w:proofErr w:type="spellStart"/>
      <w:proofErr w:type="gramStart"/>
      <w:r w:rsidRPr="00EA6415">
        <w:rPr>
          <w:color w:val="000000"/>
          <w:sz w:val="24"/>
        </w:rPr>
        <w:t/>
      </w:r>
      <w:proofErr w:type="spellEnd"/>
      <w:proofErr w:type="gramEnd"/>
      <w:r w:rsidRPr="00EA6415">
        <w:rPr>
          <w:color w:val="000000"/>
          <w:sz w:val="24"/>
        </w:rPr>
        <w:t>本基金本报告期末未持有境内股票。</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5.3 </w:t>
      </w:r>
      <w:r w:rsidRPr="0078105B">
        <w:rPr>
          <w:rFonts w:ascii="宋体" w:cs="Arial" w:hAnsi="宋体" w:hint="eastAsia"/>
          <w:b/>
          <w:color w:val="000000"/>
          <w:kern w:val="0"/>
          <w:sz w:val="24"/>
        </w:rPr>
        <w:t>报告期末按公允价值占基金资产净值比例大小排序的前十名股票投资明细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本基金本报告期末未持有股票。</w:t>
      </w:r>
    </w:p>
    <w:p w:rsidP="00B54884" w:rsidR="006A1153" w:rsidRDefault="00F016DD" w:rsidRPr="006A1153">
      <w:pPr>
        <w:autoSpaceDE w:val="0"/>
        <w:autoSpaceDN w:val="0"/>
        <w:adjustRightInd w:val="0"/>
        <w:spacing w:before="312" w:beforeLines="100" w:line="360" w:lineRule="auto"/>
        <w:jc w:val="left"/>
        <w:rPr>
          <w:rFonts w:eastAsiaTheme="minorEastAsia"/>
          <w:b/>
          <w:color w:themeColor="text1" w:val="000000"/>
          <w:kern w:val="0"/>
          <w:sz w:val="24"/>
        </w:rPr>
      </w:pPr>
      <w:r w:rsidRPr="0078105B">
        <w:rPr>
          <w:rFonts w:ascii="宋体" w:cs="Arial" w:hAnsi="宋体"/>
          <w:b/>
          <w:color w:val="000000"/>
          <w:kern w:val="0"/>
          <w:sz w:val="24"/>
        </w:rPr>
        <w:t xml:space="preserve">5.4 </w:t>
      </w:r>
      <w:r w:rsidRPr="0078105B">
        <w:rPr>
          <w:rFonts w:ascii="宋体" w:cs="Arial" w:hAnsi="宋体" w:hint="eastAsia"/>
          <w:b/>
          <w:color w:val="000000"/>
          <w:kern w:val="0"/>
          <w:sz w:val="24"/>
        </w:rPr>
        <w:t>报告期末按债券品种分类的债券投资组合</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序号</w:t>
            </w:r>
          </w:p>
        </w:tc>
        <w:tc>
          <w:tcPr>
            <w:tcW w:type="dxa" w:w="3260"/>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债券品种</w:t>
            </w: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
            </w:r>
          </w:p>
        </w:tc>
        <w:tc>
          <w:tcPr>
            <w:tcW w:type="dxa" w:w="2835"/>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公允价值</w:t>
            </w:r>
            <w:r w:rsidRPr="006A1153">
              <w:rPr>
                <w:rFonts w:eastAsiaTheme="minorEastAsia"/>
                <w:color w:themeColor="text1" w:val="000000"/>
                <w:sz w:val="24"/>
              </w:rPr>
              <w:t>(</w:t>
            </w:r>
            <w:r w:rsidRPr="006A1153">
              <w:rPr>
                <w:rFonts w:eastAsiaTheme="minorEastAsia"/>
                <w:color w:themeColor="text1" w:val="000000"/>
                <w:sz w:val="24"/>
              </w:rPr>
              <w:t>元</w:t>
            </w:r>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占基金资产</w:t>
            </w:r>
            <w:r w:rsidRPr="006A1153">
              <w:rPr>
                <w:rFonts w:eastAsiaTheme="minorEastAsia"/>
                <w:color w:themeColor="text1" w:val="000000"/>
                <w:sz w:val="24"/>
              </w:rPr>
              <w:lastRenderedPageBreak/>
              <w:t>净值比例</w:t>
            </w:r>
            <w:r w:rsidRPr="006A1153">
              <w:rPr>
                <w:rFonts w:eastAsiaTheme="minorEastAsia"/>
                <w:color w:themeColor="text1" w:val="000000"/>
                <w:sz w:val="24"/>
              </w:rPr>
              <w:t>(</w:t>
            </w:r>
            <w:r w:rsidRPr="006A1153">
              <w:rPr>
                <w:rFonts w:eastAsiaTheme="minorEastAsia"/>
                <w:color w:themeColor="text1" w:val="000000"/>
                <w:sz w:val="24"/>
              </w:rPr>
              <w:t>％</w:t>
            </w:r>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lastRenderedPageBreak/>
              <w:t>1</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国家债券</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2</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央行票据</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3</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金融债券</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638,228,000.00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12.01</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其中：政策性金融债</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638,228,000.00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12.01</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lastRenderedPageBreak/>
              <w:t>4</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企业债券</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2,192,916,195.50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41.26</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5</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企业短期融资</w:t>
            </w:r>
            <w:proofErr w:type="gramStart"/>
            <w:r w:rsidRPr="006A1153">
              <w:rPr>
                <w:rFonts w:eastAsiaTheme="minorEastAsia"/>
                <w:color w:themeColor="text1" w:val="000000"/>
                <w:sz w:val="24"/>
              </w:rPr>
              <w:t>券</w:t>
            </w:r>
            <w:proofErr w:type="gramEnd"/>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60,122,000.00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1.13</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6</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中期票据</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3,392,241,000.00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63.82</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7</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可转债</w:t>
            </w:r>
            <w:r w:rsidR="00524368" w:rsidRPr="00524368">
              <w:rPr>
                <w:rFonts w:eastAsiaTheme="minorEastAsia" w:hint="eastAsia"/>
                <w:color w:themeColor="text1" w:val="000000"/>
                <w:sz w:val="24"/>
              </w:rPr>
              <w:t>（可交换债）</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8</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同业存单</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r w:rsidRPr="006A1153">
              <w:rPr>
                <w:rFonts w:eastAsiaTheme="minorEastAsia"/>
                <w:color w:themeColor="text1" w:val="000000"/>
                <w:sz w:val="24"/>
              </w:rPr>
              <w:lastRenderedPageBreak/>
              <w:t/>
            </w:r>
            <w:proofErr w:type="spellEnd"/>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9</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其他</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10</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合计</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6,283,507,195.50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118.22</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5.5 </w:t>
      </w:r>
      <w:r w:rsidRPr="0078105B">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的前五名债券投资明细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02"/>
        <w:gridCol w:w="1559"/>
        <w:gridCol w:w="1985"/>
        <w:gridCol w:w="1559"/>
        <w:gridCol w:w="2126"/>
        <w:gridCol w:w="990"/>
      </w:tblGrid>
      <w:tr w:rsidR="00F016DD" w:rsidRPr="0078105B" w:rsidTr="00CA7FF7">
        <w:tc>
          <w:tcPr>
            <w:tcW w:type="dxa" w:w="802"/>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type="dxa" w:w="155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type="dxa" w:w="1985"/>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type="dxa" w:w="155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type="dxa" w:w="2126"/>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type="dxa" w:w="990"/>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200308</w:t>
            </w:r>
          </w:p>
        </w:tc>
        <w:tc>
          <w:tcPr>
            <w:vAlign w:val="center"/>
          </w:tcPr>
          <w:p>
            <w:pPr>
              <w:jc w:val="center"/>
            </w:pPr>
            <w:r>
              <w:rPr>
                <w:color w:val="000000"/>
                <w:sz w:val="24"/>
              </w:rPr>
              <w:t>20进出08</w:t>
            </w:r>
          </w:p>
        </w:tc>
        <w:tc>
          <w:tcPr>
            <w:vAlign w:val="center"/>
          </w:tcPr>
          <w:p>
            <w:pPr>
              <w:jc w:val="right"/>
            </w:pPr>
            <w:r>
              <w:rPr>
                <w:color w:val="000000"/>
                <w:sz w:val="24"/>
              </w:rPr>
              <w:t>5,000,000</w:t>
            </w:r>
          </w:p>
        </w:tc>
        <w:tc>
          <w:tcPr>
            <w:vAlign w:val="center"/>
          </w:tcPr>
          <w:p>
            <w:pPr>
              <w:jc w:val="right"/>
            </w:pPr>
            <w:r>
              <w:rPr>
                <w:color w:val="000000"/>
                <w:sz w:val="24"/>
              </w:rPr>
              <w:t>498,100,000.00</w:t>
            </w:r>
          </w:p>
        </w:tc>
        <w:tc>
          <w:tcPr>
            <w:vAlign w:val="center"/>
          </w:tcPr>
          <w:p>
            <w:pPr>
              <w:jc w:val="right"/>
            </w:pPr>
            <w:r>
              <w:rPr>
                <w:color w:val="000000"/>
                <w:sz w:val="24"/>
              </w:rPr>
              <w:t>9.37</w:t>
            </w:r>
          </w:p>
        </w:tc>
      </w:tr>
      <w:tr>
        <w:tc>
          <w:tcPr>
            <w:vAlign w:val="center"/>
          </w:tcPr>
          <w:p>
            <w:pPr>
              <w:jc w:val="center"/>
            </w:pPr>
            <w:r>
              <w:rPr>
                <w:color w:val="000000"/>
                <w:sz w:val="24"/>
              </w:rPr>
              <w:t>2</w:t>
            </w:r>
          </w:p>
        </w:tc>
        <w:tc>
          <w:tcPr>
            <w:vAlign w:val="center"/>
          </w:tcPr>
          <w:p>
            <w:pPr>
              <w:jc w:val="center"/>
            </w:pPr>
            <w:r>
              <w:rPr>
                <w:color w:val="000000"/>
                <w:sz w:val="24"/>
              </w:rPr>
              <w:t>101651031</w:t>
            </w:r>
          </w:p>
        </w:tc>
        <w:tc>
          <w:tcPr>
            <w:vAlign w:val="center"/>
          </w:tcPr>
          <w:p>
            <w:pPr>
              <w:jc w:val="center"/>
            </w:pPr>
            <w:r>
              <w:rPr>
                <w:color w:val="000000"/>
                <w:sz w:val="24"/>
              </w:rPr>
              <w:t>16贵州高速MTN001</w:t>
            </w:r>
          </w:p>
        </w:tc>
        <w:tc>
          <w:tcPr>
            <w:vAlign w:val="center"/>
          </w:tcPr>
          <w:p>
            <w:pPr>
              <w:jc w:val="right"/>
            </w:pPr>
            <w:r>
              <w:rPr>
                <w:color w:val="000000"/>
                <w:sz w:val="24"/>
              </w:rPr>
              <w:t>1,800,000</w:t>
            </w:r>
          </w:p>
        </w:tc>
        <w:tc>
          <w:tcPr>
            <w:vAlign w:val="center"/>
          </w:tcPr>
          <w:p>
            <w:pPr>
              <w:jc w:val="right"/>
            </w:pPr>
            <w:r>
              <w:rPr>
                <w:color w:val="000000"/>
                <w:sz w:val="24"/>
              </w:rPr>
              <w:t>181,998,000.00</w:t>
            </w:r>
          </w:p>
        </w:tc>
        <w:tc>
          <w:tcPr>
            <w:vAlign w:val="center"/>
          </w:tcPr>
          <w:p>
            <w:pPr>
              <w:jc w:val="right"/>
            </w:pPr>
            <w:r>
              <w:rPr>
                <w:color w:val="000000"/>
                <w:sz w:val="24"/>
              </w:rPr>
              <w:t>3.42</w:t>
            </w:r>
          </w:p>
        </w:tc>
      </w:tr>
      <w:tr>
        <w:tc>
          <w:tcPr>
            <w:vAlign w:val="center"/>
          </w:tcPr>
          <w:p>
            <w:pPr>
              <w:jc w:val="center"/>
            </w:pPr>
            <w:r>
              <w:rPr>
                <w:color w:val="000000"/>
                <w:sz w:val="24"/>
              </w:rPr>
              <w:t>3</w:t>
            </w:r>
          </w:p>
        </w:tc>
        <w:tc>
          <w:tcPr>
            <w:vAlign w:val="center"/>
          </w:tcPr>
          <w:p>
            <w:pPr>
              <w:jc w:val="center"/>
            </w:pPr>
            <w:r>
              <w:rPr>
                <w:color w:val="000000"/>
                <w:sz w:val="24"/>
              </w:rPr>
              <w:t>101801485</w:t>
            </w:r>
          </w:p>
        </w:tc>
        <w:tc>
          <w:tcPr>
            <w:vAlign w:val="center"/>
          </w:tcPr>
          <w:p>
            <w:pPr>
              <w:jc w:val="center"/>
            </w:pPr>
            <w:r>
              <w:rPr>
                <w:color w:val="000000"/>
                <w:sz w:val="24"/>
              </w:rPr>
              <w:t>18中铁股MTN002A</w:t>
            </w:r>
          </w:p>
        </w:tc>
        <w:tc>
          <w:tcPr>
            <w:vAlign w:val="center"/>
          </w:tcPr>
          <w:p>
            <w:pPr>
              <w:jc w:val="right"/>
            </w:pPr>
            <w:r>
              <w:rPr>
                <w:color w:val="000000"/>
                <w:sz w:val="24"/>
              </w:rPr>
              <w:t>1,000,000</w:t>
            </w:r>
          </w:p>
        </w:tc>
        <w:tc>
          <w:tcPr>
            <w:vAlign w:val="center"/>
          </w:tcPr>
          <w:p>
            <w:pPr>
              <w:jc w:val="right"/>
            </w:pPr>
            <w:r>
              <w:rPr>
                <w:color w:val="000000"/>
                <w:sz w:val="24"/>
              </w:rPr>
              <w:t>101,940,000.00</w:t>
            </w:r>
          </w:p>
        </w:tc>
        <w:tc>
          <w:tcPr>
            <w:vAlign w:val="center"/>
          </w:tcPr>
          <w:p>
            <w:pPr>
              <w:jc w:val="right"/>
            </w:pPr>
            <w:r>
              <w:rPr>
                <w:color w:val="000000"/>
                <w:sz w:val="24"/>
              </w:rPr>
              <w:t>1.92</w:t>
            </w:r>
          </w:p>
        </w:tc>
      </w:tr>
      <w:tr>
        <w:tc>
          <w:tcPr>
            <w:vAlign w:val="center"/>
          </w:tcPr>
          <w:p>
            <w:pPr>
              <w:jc w:val="center"/>
            </w:pPr>
            <w:r>
              <w:rPr>
                <w:color w:val="000000"/>
                <w:sz w:val="24"/>
              </w:rPr>
              <w:t>4</w:t>
            </w:r>
          </w:p>
        </w:tc>
        <w:tc>
          <w:tcPr>
            <w:vAlign w:val="center"/>
          </w:tcPr>
          <w:p>
            <w:pPr>
              <w:jc w:val="center"/>
            </w:pPr>
            <w:r>
              <w:rPr>
                <w:color w:val="000000"/>
                <w:sz w:val="24"/>
              </w:rPr>
              <w:t>102001771</w:t>
            </w:r>
          </w:p>
        </w:tc>
        <w:tc>
          <w:tcPr>
            <w:vAlign w:val="center"/>
          </w:tcPr>
          <w:p>
            <w:pPr>
              <w:jc w:val="center"/>
            </w:pPr>
            <w:r>
              <w:rPr>
                <w:color w:val="000000"/>
                <w:sz w:val="24"/>
              </w:rPr>
              <w:t>20大唐集MTN003</w:t>
            </w:r>
          </w:p>
        </w:tc>
        <w:tc>
          <w:tcPr>
            <w:vAlign w:val="center"/>
          </w:tcPr>
          <w:p>
            <w:pPr>
              <w:jc w:val="right"/>
            </w:pPr>
            <w:r>
              <w:rPr>
                <w:color w:val="000000"/>
                <w:sz w:val="24"/>
              </w:rPr>
              <w:t>1,000,000</w:t>
            </w:r>
          </w:p>
        </w:tc>
        <w:tc>
          <w:tcPr>
            <w:vAlign w:val="center"/>
          </w:tcPr>
          <w:p>
            <w:pPr>
              <w:jc w:val="right"/>
            </w:pPr>
            <w:r>
              <w:rPr>
                <w:color w:val="000000"/>
                <w:sz w:val="24"/>
              </w:rPr>
              <w:t>100,120,000.00</w:t>
            </w:r>
          </w:p>
        </w:tc>
        <w:tc>
          <w:tcPr>
            <w:vAlign w:val="center"/>
          </w:tcPr>
          <w:p>
            <w:pPr>
              <w:jc w:val="right"/>
            </w:pPr>
            <w:r>
              <w:rPr>
                <w:color w:val="000000"/>
                <w:sz w:val="24"/>
              </w:rPr>
              <w:t>1.88</w:t>
            </w:r>
          </w:p>
        </w:tc>
      </w:tr>
      <w:tr>
        <w:tc>
          <w:tcPr>
            <w:vAlign w:val="center"/>
          </w:tcPr>
          <w:p>
            <w:pPr>
              <w:jc w:val="center"/>
            </w:pPr>
            <w:r>
              <w:rPr>
                <w:color w:val="000000"/>
                <w:sz w:val="24"/>
              </w:rPr>
              <w:t>5</w:t>
            </w:r>
          </w:p>
        </w:tc>
        <w:tc>
          <w:tcPr>
            <w:vAlign w:val="center"/>
          </w:tcPr>
          <w:p>
            <w:pPr>
              <w:jc w:val="center"/>
            </w:pPr>
            <w:r>
              <w:rPr>
                <w:color w:val="000000"/>
                <w:sz w:val="24"/>
              </w:rPr>
              <w:t>155601</w:t>
            </w:r>
          </w:p>
        </w:tc>
        <w:tc>
          <w:tcPr>
            <w:vAlign w:val="center"/>
          </w:tcPr>
          <w:p>
            <w:pPr>
              <w:jc w:val="center"/>
            </w:pPr>
            <w:r>
              <w:rPr>
                <w:color w:val="000000"/>
                <w:sz w:val="24"/>
              </w:rPr>
              <w:t>19联发02</w:t>
            </w:r>
          </w:p>
        </w:tc>
        <w:tc>
          <w:tcPr>
            <w:vAlign w:val="center"/>
          </w:tcPr>
          <w:p>
            <w:pPr>
              <w:jc w:val="right"/>
            </w:pPr>
            <w:r>
              <w:rPr>
                <w:color w:val="000000"/>
                <w:sz w:val="24"/>
              </w:rPr>
              <w:t>1,000,000</w:t>
            </w:r>
          </w:p>
        </w:tc>
        <w:tc>
          <w:tcPr>
            <w:vAlign w:val="center"/>
          </w:tcPr>
          <w:p>
            <w:pPr>
              <w:jc w:val="right"/>
            </w:pPr>
            <w:r>
              <w:rPr>
                <w:color w:val="000000"/>
                <w:sz w:val="24"/>
              </w:rPr>
              <w:t>99,400,000.00</w:t>
            </w:r>
          </w:p>
        </w:tc>
        <w:tc>
          <w:tcPr>
            <w:vAlign w:val="center"/>
          </w:tcPr>
          <w:p>
            <w:pPr>
              <w:jc w:val="right"/>
            </w:pPr>
            <w:r>
              <w:rPr>
                <w:color w:val="000000"/>
                <w:sz w:val="24"/>
              </w:rPr>
              <w:t>1.87</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5.6</w:t>
      </w:r>
      <w:r w:rsidRPr="0078105B">
        <w:rPr>
          <w:rFonts w:ascii="宋体" w:cs="Arial" w:hAnsi="宋体" w:hint="eastAsia"/>
          <w:b/>
          <w:color w:val="000000"/>
          <w:kern w:val="0"/>
          <w:sz w:val="24"/>
        </w:rPr>
        <w:t xml:space="preserve">　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的前十名资产支持证券投资明细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21"/>
        <w:gridCol w:w="1316"/>
        <w:gridCol w:w="1272"/>
        <w:gridCol w:w="1732"/>
        <w:gridCol w:w="1652"/>
        <w:gridCol w:w="1828"/>
      </w:tblGrid>
      <w:tr w:rsidR="00F016DD" w:rsidRPr="0078105B" w:rsidTr="00174038">
        <w:tc>
          <w:tcPr>
            <w:tcW w:type="dxa" w:w="1187"/>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type="dxa" w:w="132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证券代码</w:t>
            </w:r>
          </w:p>
        </w:tc>
        <w:tc>
          <w:tcPr>
            <w:tcW w:type="dxa" w:w="1263"/>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证券名称</w:t>
            </w:r>
          </w:p>
        </w:tc>
        <w:tc>
          <w:tcPr>
            <w:tcW w:type="dxa" w:w="1815"/>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数量</w:t>
            </w:r>
            <w:r w:rsidRPr="00FA472B">
              <w:rPr>
                <w:color w:val="000000"/>
                <w:kern w:val="0"/>
                <w:sz w:val="24"/>
              </w:rPr>
              <w:t>(</w:t>
            </w:r>
            <w:r w:rsidRPr="00FA472B">
              <w:rPr>
                <w:color w:val="000000"/>
                <w:kern w:val="0"/>
                <w:sz w:val="24"/>
              </w:rPr>
              <w:t>份</w:t>
            </w:r>
            <w:r w:rsidRPr="00FA472B">
              <w:rPr>
                <w:color w:val="000000"/>
                <w:kern w:val="0"/>
                <w:sz w:val="24"/>
              </w:rPr>
              <w:t>)</w:t>
            </w:r>
          </w:p>
        </w:tc>
        <w:tc>
          <w:tcPr>
            <w:tcW w:type="dxa" w:w="1698"/>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type="dxa" w:w="172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r w:rsidRPr="00FA472B">
              <w:rPr>
                <w:color w:val="000000"/>
                <w:kern w:val="0"/>
                <w:sz w:val="24"/>
              </w:rPr>
              <w:t>%</w:t>
            </w:r>
            <w:r w:rsidRPr="00FA472B">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169183</w:t>
            </w:r>
          </w:p>
        </w:tc>
        <w:tc>
          <w:tcPr>
            <w:vAlign w:val="center"/>
          </w:tcPr>
          <w:p>
            <w:pPr>
              <w:jc w:val="center"/>
            </w:pPr>
            <w:r>
              <w:rPr>
                <w:color w:val="000000"/>
                <w:sz w:val="24"/>
              </w:rPr>
              <w:t>天信9A</w:t>
            </w:r>
          </w:p>
        </w:tc>
        <w:tc>
          <w:tcPr>
            <w:vAlign w:val="center"/>
          </w:tcPr>
          <w:p>
            <w:pPr>
              <w:jc w:val="right"/>
            </w:pPr>
            <w:r>
              <w:rPr>
                <w:color w:val="000000"/>
                <w:sz w:val="24"/>
              </w:rPr>
              <w:t>900,000</w:t>
            </w:r>
          </w:p>
        </w:tc>
        <w:tc>
          <w:tcPr>
            <w:vAlign w:val="center"/>
          </w:tcPr>
          <w:p>
            <w:pPr>
              <w:jc w:val="right"/>
            </w:pPr>
            <w:r>
              <w:rPr>
                <w:color w:val="000000"/>
                <w:sz w:val="24"/>
              </w:rPr>
              <w:t>90,000,000.00</w:t>
            </w:r>
          </w:p>
        </w:tc>
        <w:tc>
          <w:tcPr>
            <w:vAlign w:val="center"/>
          </w:tcPr>
          <w:p>
            <w:pPr>
              <w:jc w:val="right"/>
            </w:pPr>
            <w:r>
              <w:rPr>
                <w:color w:val="000000"/>
                <w:sz w:val="24"/>
              </w:rPr>
              <w:t>1.69</w:t>
            </w:r>
          </w:p>
        </w:tc>
      </w:tr>
      <w:tr>
        <w:tc>
          <w:tcPr>
            <w:vAlign w:val="center"/>
          </w:tcPr>
          <w:p>
            <w:pPr>
              <w:jc w:val="center"/>
            </w:pPr>
            <w:r>
              <w:rPr>
                <w:color w:val="000000"/>
                <w:sz w:val="24"/>
              </w:rPr>
              <w:t>2</w:t>
            </w:r>
          </w:p>
        </w:tc>
        <w:tc>
          <w:tcPr>
            <w:vAlign w:val="center"/>
          </w:tcPr>
          <w:p>
            <w:pPr>
              <w:jc w:val="center"/>
            </w:pPr>
            <w:r>
              <w:rPr>
                <w:color w:val="000000"/>
                <w:sz w:val="24"/>
              </w:rPr>
              <w:t>138393</w:t>
            </w:r>
          </w:p>
        </w:tc>
        <w:tc>
          <w:tcPr>
            <w:vAlign w:val="center"/>
          </w:tcPr>
          <w:p>
            <w:pPr>
              <w:jc w:val="center"/>
            </w:pPr>
            <w:r>
              <w:rPr>
                <w:color w:val="000000"/>
                <w:sz w:val="24"/>
              </w:rPr>
              <w:t>云庐2A1</w:t>
            </w:r>
          </w:p>
        </w:tc>
        <w:tc>
          <w:tcPr>
            <w:vAlign w:val="center"/>
          </w:tcPr>
          <w:p>
            <w:pPr>
              <w:jc w:val="right"/>
            </w:pPr>
            <w:r>
              <w:rPr>
                <w:color w:val="000000"/>
                <w:sz w:val="24"/>
              </w:rPr>
              <w:t>300,000</w:t>
            </w:r>
          </w:p>
        </w:tc>
        <w:tc>
          <w:tcPr>
            <w:vAlign w:val="center"/>
          </w:tcPr>
          <w:p>
            <w:pPr>
              <w:jc w:val="right"/>
            </w:pPr>
            <w:r>
              <w:rPr>
                <w:color w:val="000000"/>
                <w:sz w:val="24"/>
              </w:rPr>
              <w:t>30,141,000.00</w:t>
            </w:r>
          </w:p>
        </w:tc>
        <w:tc>
          <w:tcPr>
            <w:vAlign w:val="center"/>
          </w:tcPr>
          <w:p>
            <w:pPr>
              <w:jc w:val="right"/>
            </w:pPr>
            <w:r>
              <w:rPr>
                <w:color w:val="000000"/>
                <w:sz w:val="24"/>
              </w:rPr>
              <w:t>0.57</w:t>
            </w:r>
          </w:p>
        </w:tc>
      </w:tr>
      <w:tr>
        <w:tc>
          <w:tcPr>
            <w:vAlign w:val="center"/>
          </w:tcPr>
          <w:p>
            <w:pPr>
              <w:jc w:val="center"/>
            </w:pPr>
            <w:r>
              <w:rPr>
                <w:color w:val="000000"/>
                <w:sz w:val="24"/>
              </w:rPr>
              <w:t>3</w:t>
            </w:r>
          </w:p>
        </w:tc>
        <w:tc>
          <w:tcPr>
            <w:vAlign w:val="center"/>
          </w:tcPr>
          <w:p>
            <w:pPr>
              <w:jc w:val="center"/>
            </w:pPr>
            <w:r>
              <w:rPr>
                <w:color w:val="000000"/>
                <w:sz w:val="24"/>
              </w:rPr>
              <w:t>165814</w:t>
            </w:r>
          </w:p>
        </w:tc>
        <w:tc>
          <w:tcPr>
            <w:vAlign w:val="center"/>
          </w:tcPr>
          <w:p>
            <w:pPr>
              <w:jc w:val="center"/>
            </w:pPr>
            <w:r>
              <w:rPr>
                <w:color w:val="000000"/>
                <w:sz w:val="24"/>
              </w:rPr>
              <w:t>PR安吉5A</w:t>
            </w:r>
          </w:p>
        </w:tc>
        <w:tc>
          <w:tcPr>
            <w:vAlign w:val="center"/>
          </w:tcPr>
          <w:p>
            <w:pPr>
              <w:jc w:val="right"/>
            </w:pPr>
            <w:r>
              <w:rPr>
                <w:color w:val="000000"/>
                <w:sz w:val="24"/>
              </w:rPr>
              <w:t>300,000</w:t>
            </w:r>
          </w:p>
        </w:tc>
        <w:tc>
          <w:tcPr>
            <w:vAlign w:val="center"/>
          </w:tcPr>
          <w:p>
            <w:pPr>
              <w:jc w:val="right"/>
            </w:pPr>
            <w:r>
              <w:rPr>
                <w:color w:val="000000"/>
                <w:sz w:val="24"/>
              </w:rPr>
              <w:t>17,586,000.00</w:t>
            </w:r>
          </w:p>
        </w:tc>
        <w:tc>
          <w:tcPr>
            <w:vAlign w:val="center"/>
          </w:tcPr>
          <w:p>
            <w:pPr>
              <w:jc w:val="right"/>
            </w:pPr>
            <w:r>
              <w:rPr>
                <w:color w:val="000000"/>
                <w:sz w:val="24"/>
              </w:rPr>
              <w:t>0.33</w:t>
            </w:r>
          </w:p>
        </w:tc>
      </w:tr>
      <w:tr>
        <w:tc>
          <w:tcPr>
            <w:vAlign w:val="center"/>
          </w:tcPr>
          <w:p>
            <w:pPr>
              <w:jc w:val="center"/>
            </w:pPr>
            <w:r>
              <w:rPr>
                <w:color w:val="000000"/>
                <w:sz w:val="24"/>
              </w:rPr>
              <w:t>4</w:t>
            </w:r>
          </w:p>
        </w:tc>
        <w:tc>
          <w:tcPr>
            <w:vAlign w:val="center"/>
          </w:tcPr>
          <w:p>
            <w:pPr>
              <w:jc w:val="center"/>
            </w:pPr>
            <w:r>
              <w:rPr>
                <w:color w:val="000000"/>
                <w:sz w:val="24"/>
              </w:rPr>
              <w:t>138332</w:t>
            </w:r>
          </w:p>
        </w:tc>
        <w:tc>
          <w:tcPr>
            <w:vAlign w:val="center"/>
          </w:tcPr>
          <w:p>
            <w:pPr>
              <w:jc w:val="center"/>
            </w:pPr>
            <w:r>
              <w:rPr>
                <w:color w:val="000000"/>
                <w:sz w:val="24"/>
              </w:rPr>
              <w:t>19桃源2A</w:t>
            </w:r>
          </w:p>
        </w:tc>
        <w:tc>
          <w:tcPr>
            <w:vAlign w:val="center"/>
          </w:tcPr>
          <w:p>
            <w:pPr>
              <w:jc w:val="right"/>
            </w:pPr>
            <w:r>
              <w:rPr>
                <w:color w:val="000000"/>
                <w:sz w:val="24"/>
              </w:rPr>
              <w:t>100,000</w:t>
            </w:r>
          </w:p>
        </w:tc>
        <w:tc>
          <w:tcPr>
            <w:vAlign w:val="center"/>
          </w:tcPr>
          <w:p>
            <w:pPr>
              <w:jc w:val="right"/>
            </w:pPr>
            <w:r>
              <w:rPr>
                <w:color w:val="000000"/>
                <w:sz w:val="24"/>
              </w:rPr>
              <w:t>10,057,000.00</w:t>
            </w:r>
          </w:p>
        </w:tc>
        <w:tc>
          <w:tcPr>
            <w:vAlign w:val="center"/>
          </w:tcPr>
          <w:p>
            <w:pPr>
              <w:jc w:val="right"/>
            </w:pPr>
            <w:r>
              <w:rPr>
                <w:color w:val="000000"/>
                <w:sz w:val="24"/>
              </w:rPr>
              <w:t>0.19</w:t>
            </w:r>
          </w:p>
        </w:tc>
      </w:tr>
      <w:tr>
        <w:tc>
          <w:tcPr>
            <w:vAlign w:val="center"/>
          </w:tcPr>
          <w:p>
            <w:pPr>
              <w:jc w:val="center"/>
            </w:pPr>
            <w:r>
              <w:rPr>
                <w:color w:val="000000"/>
                <w:sz w:val="24"/>
              </w:rPr>
              <w:t>5</w:t>
            </w:r>
          </w:p>
        </w:tc>
        <w:tc>
          <w:tcPr>
            <w:vAlign w:val="center"/>
          </w:tcPr>
          <w:p>
            <w:pPr>
              <w:jc w:val="center"/>
            </w:pPr>
            <w:r>
              <w:rPr>
                <w:color w:val="000000"/>
                <w:sz w:val="24"/>
              </w:rPr>
              <w:t>138379</w:t>
            </w:r>
          </w:p>
        </w:tc>
        <w:tc>
          <w:tcPr>
            <w:vAlign w:val="center"/>
          </w:tcPr>
          <w:p>
            <w:pPr>
              <w:jc w:val="center"/>
            </w:pPr>
            <w:r>
              <w:rPr>
                <w:color w:val="000000"/>
                <w:sz w:val="24"/>
              </w:rPr>
              <w:t>永熙优22</w:t>
            </w:r>
          </w:p>
        </w:tc>
        <w:tc>
          <w:tcPr>
            <w:vAlign w:val="center"/>
          </w:tcPr>
          <w:p>
            <w:pPr>
              <w:jc w:val="right"/>
            </w:pPr>
            <w:r>
              <w:rPr>
                <w:color w:val="000000"/>
                <w:sz w:val="24"/>
              </w:rPr>
              <w:t>100,000</w:t>
            </w:r>
          </w:p>
        </w:tc>
        <w:tc>
          <w:tcPr>
            <w:vAlign w:val="center"/>
          </w:tcPr>
          <w:p>
            <w:pPr>
              <w:jc w:val="right"/>
            </w:pPr>
            <w:r>
              <w:rPr>
                <w:color w:val="000000"/>
                <w:sz w:val="24"/>
              </w:rPr>
              <w:t>10,049,000.00</w:t>
            </w:r>
          </w:p>
        </w:tc>
        <w:tc>
          <w:tcPr>
            <w:vAlign w:val="center"/>
          </w:tcPr>
          <w:p>
            <w:pPr>
              <w:jc w:val="right"/>
            </w:pPr>
            <w:r>
              <w:rPr>
                <w:color w:val="000000"/>
                <w:sz w:val="24"/>
              </w:rPr>
              <w:t>0.19</w:t>
            </w:r>
          </w:p>
        </w:tc>
      </w:tr>
      <w:tr>
        <w:tc>
          <w:tcPr>
            <w:vAlign w:val="center"/>
          </w:tcPr>
          <w:p>
            <w:pPr>
              <w:jc w:val="center"/>
            </w:pPr>
            <w:r>
              <w:rPr>
                <w:color w:val="000000"/>
                <w:sz w:val="24"/>
              </w:rPr>
              <w:t>5</w:t>
            </w:r>
          </w:p>
        </w:tc>
        <w:tc>
          <w:tcPr>
            <w:vAlign w:val="center"/>
          </w:tcPr>
          <w:p>
            <w:pPr>
              <w:jc w:val="center"/>
            </w:pPr>
            <w:r>
              <w:rPr>
                <w:color w:val="000000"/>
                <w:sz w:val="24"/>
              </w:rPr>
              <w:t>138380</w:t>
            </w:r>
          </w:p>
        </w:tc>
        <w:tc>
          <w:tcPr>
            <w:vAlign w:val="center"/>
          </w:tcPr>
          <w:p>
            <w:pPr>
              <w:jc w:val="center"/>
            </w:pPr>
            <w:r>
              <w:rPr>
                <w:color w:val="000000"/>
                <w:sz w:val="24"/>
              </w:rPr>
              <w:t>永熙优23</w:t>
            </w:r>
          </w:p>
        </w:tc>
        <w:tc>
          <w:tcPr>
            <w:vAlign w:val="center"/>
          </w:tcPr>
          <w:p>
            <w:pPr>
              <w:jc w:val="right"/>
            </w:pPr>
            <w:r>
              <w:rPr>
                <w:color w:val="000000"/>
                <w:sz w:val="24"/>
              </w:rPr>
              <w:t>100,000</w:t>
            </w:r>
          </w:p>
        </w:tc>
        <w:tc>
          <w:tcPr>
            <w:vAlign w:val="center"/>
          </w:tcPr>
          <w:p>
            <w:pPr>
              <w:jc w:val="right"/>
            </w:pPr>
            <w:r>
              <w:rPr>
                <w:color w:val="000000"/>
                <w:sz w:val="24"/>
              </w:rPr>
              <w:t>10,049,000.00</w:t>
            </w:r>
          </w:p>
        </w:tc>
        <w:tc>
          <w:tcPr>
            <w:vAlign w:val="center"/>
          </w:tcPr>
          <w:p>
            <w:pPr>
              <w:jc w:val="right"/>
            </w:pPr>
            <w:r>
              <w:rPr>
                <w:color w:val="000000"/>
                <w:sz w:val="24"/>
              </w:rPr>
              <w:t>0.19</w:t>
            </w:r>
          </w:p>
        </w:tc>
      </w:tr>
      <w:tr>
        <w:tc>
          <w:tcPr>
            <w:vAlign w:val="center"/>
          </w:tcPr>
          <w:p>
            <w:pPr>
              <w:jc w:val="center"/>
            </w:pPr>
            <w:r>
              <w:rPr>
                <w:color w:val="000000"/>
                <w:sz w:val="24"/>
              </w:rPr>
              <w:t>5</w:t>
            </w:r>
          </w:p>
        </w:tc>
        <w:tc>
          <w:tcPr>
            <w:vAlign w:val="center"/>
          </w:tcPr>
          <w:p>
            <w:pPr>
              <w:jc w:val="center"/>
            </w:pPr>
            <w:r>
              <w:rPr>
                <w:color w:val="000000"/>
                <w:sz w:val="24"/>
              </w:rPr>
              <w:t>138381</w:t>
            </w:r>
          </w:p>
        </w:tc>
        <w:tc>
          <w:tcPr>
            <w:vAlign w:val="center"/>
          </w:tcPr>
          <w:p>
            <w:pPr>
              <w:jc w:val="center"/>
            </w:pPr>
            <w:r>
              <w:rPr>
                <w:color w:val="000000"/>
                <w:sz w:val="24"/>
              </w:rPr>
              <w:t>云庐1A1</w:t>
            </w:r>
          </w:p>
        </w:tc>
        <w:tc>
          <w:tcPr>
            <w:vAlign w:val="center"/>
          </w:tcPr>
          <w:p>
            <w:pPr>
              <w:jc w:val="right"/>
            </w:pPr>
            <w:r>
              <w:rPr>
                <w:color w:val="000000"/>
                <w:sz w:val="24"/>
              </w:rPr>
              <w:t>100,000</w:t>
            </w:r>
          </w:p>
        </w:tc>
        <w:tc>
          <w:tcPr>
            <w:vAlign w:val="center"/>
          </w:tcPr>
          <w:p>
            <w:pPr>
              <w:jc w:val="right"/>
            </w:pPr>
            <w:r>
              <w:rPr>
                <w:color w:val="000000"/>
                <w:sz w:val="24"/>
              </w:rPr>
              <w:t>10,049,000.00</w:t>
            </w:r>
          </w:p>
        </w:tc>
        <w:tc>
          <w:tcPr>
            <w:vAlign w:val="center"/>
          </w:tcPr>
          <w:p>
            <w:pPr>
              <w:jc w:val="right"/>
            </w:pPr>
            <w:r>
              <w:rPr>
                <w:color w:val="000000"/>
                <w:sz w:val="24"/>
              </w:rPr>
              <w:t>0.19</w:t>
            </w:r>
          </w:p>
        </w:tc>
      </w:tr>
      <w:tr>
        <w:tc>
          <w:tcPr>
            <w:vAlign w:val="center"/>
          </w:tcPr>
          <w:p>
            <w:pPr>
              <w:jc w:val="center"/>
            </w:pPr>
            <w:r>
              <w:rPr>
                <w:color w:val="000000"/>
                <w:sz w:val="24"/>
              </w:rPr>
              <w:t>8</w:t>
            </w:r>
          </w:p>
        </w:tc>
        <w:tc>
          <w:tcPr>
            <w:vAlign w:val="center"/>
          </w:tcPr>
          <w:p>
            <w:pPr>
              <w:jc w:val="center"/>
            </w:pPr>
            <w:r>
              <w:rPr>
                <w:color w:val="000000"/>
                <w:sz w:val="24"/>
              </w:rPr>
              <w:t>138407</w:t>
            </w:r>
          </w:p>
        </w:tc>
        <w:tc>
          <w:tcPr>
            <w:vAlign w:val="center"/>
          </w:tcPr>
          <w:p>
            <w:pPr>
              <w:jc w:val="center"/>
            </w:pPr>
            <w:r>
              <w:rPr>
                <w:color w:val="000000"/>
                <w:sz w:val="24"/>
              </w:rPr>
              <w:t>联易融18</w:t>
            </w:r>
          </w:p>
        </w:tc>
        <w:tc>
          <w:tcPr>
            <w:vAlign w:val="center"/>
          </w:tcPr>
          <w:p>
            <w:pPr>
              <w:jc w:val="right"/>
            </w:pPr>
            <w:r>
              <w:rPr>
                <w:color w:val="000000"/>
                <w:sz w:val="24"/>
              </w:rPr>
              <w:t>100,000</w:t>
            </w:r>
          </w:p>
        </w:tc>
        <w:tc>
          <w:tcPr>
            <w:vAlign w:val="center"/>
          </w:tcPr>
          <w:p>
            <w:pPr>
              <w:jc w:val="right"/>
            </w:pPr>
            <w:r>
              <w:rPr>
                <w:color w:val="000000"/>
                <w:sz w:val="24"/>
              </w:rPr>
              <w:t>10,047,000.00</w:t>
            </w:r>
          </w:p>
        </w:tc>
        <w:tc>
          <w:tcPr>
            <w:vAlign w:val="center"/>
          </w:tcPr>
          <w:p>
            <w:pPr>
              <w:jc w:val="right"/>
            </w:pPr>
            <w:r>
              <w:rPr>
                <w:color w:val="000000"/>
                <w:sz w:val="24"/>
              </w:rPr>
              <w:t>0.19</w:t>
            </w:r>
          </w:p>
        </w:tc>
      </w:tr>
      <w:tr>
        <w:tc>
          <w:tcPr>
            <w:vAlign w:val="center"/>
          </w:tcPr>
          <w:p>
            <w:pPr>
              <w:jc w:val="center"/>
            </w:pPr>
            <w:r>
              <w:rPr>
                <w:color w:val="000000"/>
                <w:sz w:val="24"/>
              </w:rPr>
              <w:t>9</w:t>
            </w:r>
          </w:p>
        </w:tc>
        <w:tc>
          <w:tcPr>
            <w:vAlign w:val="center"/>
          </w:tcPr>
          <w:p>
            <w:pPr>
              <w:jc w:val="center"/>
            </w:pPr>
            <w:r>
              <w:rPr>
                <w:color w:val="000000"/>
                <w:sz w:val="24"/>
              </w:rPr>
              <w:t>138427</w:t>
            </w:r>
          </w:p>
        </w:tc>
        <w:tc>
          <w:tcPr>
            <w:vAlign w:val="center"/>
          </w:tcPr>
          <w:p>
            <w:pPr>
              <w:jc w:val="center"/>
            </w:pPr>
            <w:r>
              <w:rPr>
                <w:color w:val="000000"/>
                <w:sz w:val="24"/>
              </w:rPr>
              <w:t>桂语1A1</w:t>
            </w:r>
          </w:p>
        </w:tc>
        <w:tc>
          <w:tcPr>
            <w:vAlign w:val="center"/>
          </w:tcPr>
          <w:p>
            <w:pPr>
              <w:jc w:val="right"/>
            </w:pPr>
            <w:r>
              <w:rPr>
                <w:color w:val="000000"/>
                <w:sz w:val="24"/>
              </w:rPr>
              <w:t>100,000</w:t>
            </w:r>
          </w:p>
        </w:tc>
        <w:tc>
          <w:tcPr>
            <w:vAlign w:val="center"/>
          </w:tcPr>
          <w:p>
            <w:pPr>
              <w:jc w:val="right"/>
            </w:pPr>
            <w:r>
              <w:rPr>
                <w:color w:val="000000"/>
                <w:sz w:val="24"/>
              </w:rPr>
              <w:t>10,046,000.00</w:t>
            </w:r>
          </w:p>
        </w:tc>
        <w:tc>
          <w:tcPr>
            <w:vAlign w:val="center"/>
          </w:tcPr>
          <w:p>
            <w:pPr>
              <w:jc w:val="right"/>
            </w:pPr>
            <w:r>
              <w:rPr>
                <w:color w:val="000000"/>
                <w:sz w:val="24"/>
              </w:rPr>
              <w:t>0.19</w:t>
            </w:r>
          </w:p>
        </w:tc>
      </w:tr>
      <w:tr>
        <w:tc>
          <w:tcPr>
            <w:vAlign w:val="center"/>
          </w:tcPr>
          <w:p>
            <w:pPr>
              <w:jc w:val="center"/>
            </w:pPr>
            <w:r>
              <w:rPr>
                <w:color w:val="000000"/>
                <w:sz w:val="24"/>
              </w:rPr>
              <w:t>10</w:t>
            </w:r>
          </w:p>
        </w:tc>
        <w:tc>
          <w:tcPr>
            <w:vAlign w:val="center"/>
          </w:tcPr>
          <w:p>
            <w:pPr>
              <w:jc w:val="center"/>
            </w:pPr>
            <w:r>
              <w:rPr>
                <w:color w:val="000000"/>
                <w:sz w:val="24"/>
              </w:rPr>
              <w:t>138452</w:t>
            </w:r>
          </w:p>
        </w:tc>
        <w:tc>
          <w:tcPr>
            <w:vAlign w:val="center"/>
          </w:tcPr>
          <w:p>
            <w:pPr>
              <w:jc w:val="center"/>
            </w:pPr>
            <w:r>
              <w:rPr>
                <w:color w:val="000000"/>
                <w:sz w:val="24"/>
              </w:rPr>
              <w:t>瑞新14A1</w:t>
            </w:r>
          </w:p>
        </w:tc>
        <w:tc>
          <w:tcPr>
            <w:vAlign w:val="center"/>
          </w:tcPr>
          <w:p>
            <w:pPr>
              <w:jc w:val="right"/>
            </w:pPr>
            <w:r>
              <w:rPr>
                <w:color w:val="000000"/>
                <w:sz w:val="24"/>
              </w:rPr>
              <w:t>100,000</w:t>
            </w:r>
          </w:p>
        </w:tc>
        <w:tc>
          <w:tcPr>
            <w:vAlign w:val="center"/>
          </w:tcPr>
          <w:p>
            <w:pPr>
              <w:jc w:val="right"/>
            </w:pPr>
            <w:r>
              <w:rPr>
                <w:color w:val="000000"/>
                <w:sz w:val="24"/>
              </w:rPr>
              <w:t>10,033,000.00</w:t>
            </w:r>
          </w:p>
        </w:tc>
        <w:tc>
          <w:tcPr>
            <w:vAlign w:val="center"/>
          </w:tcPr>
          <w:p>
            <w:pPr>
              <w:jc w:val="right"/>
            </w:pPr>
            <w:r>
              <w:rPr>
                <w:color w:val="000000"/>
                <w:sz w:val="24"/>
              </w:rPr>
              <w:t>0.19</w:t>
            </w:r>
          </w:p>
        </w:tc>
      </w:tr>
      <w:tr>
        <w:tc>
          <w:tcPr>
            <w:vAlign w:val="center"/>
          </w:tcPr>
          <w:p>
            <w:pPr>
              <w:jc w:val="center"/>
            </w:pPr>
            <w:r>
              <w:rPr>
                <w:color w:val="000000"/>
                <w:sz w:val="24"/>
              </w:rPr>
              <w:t>10</w:t>
            </w:r>
          </w:p>
        </w:tc>
        <w:tc>
          <w:tcPr>
            <w:vAlign w:val="center"/>
          </w:tcPr>
          <w:p>
            <w:pPr>
              <w:jc w:val="center"/>
            </w:pPr>
            <w:r>
              <w:rPr>
                <w:color w:val="000000"/>
                <w:sz w:val="24"/>
              </w:rPr>
              <w:t>138456</w:t>
            </w:r>
          </w:p>
        </w:tc>
        <w:tc>
          <w:tcPr>
            <w:vAlign w:val="center"/>
          </w:tcPr>
          <w:p>
            <w:pPr>
              <w:jc w:val="center"/>
            </w:pPr>
            <w:r>
              <w:rPr>
                <w:color w:val="000000"/>
                <w:sz w:val="24"/>
              </w:rPr>
              <w:t>链融22A1</w:t>
            </w:r>
          </w:p>
        </w:tc>
        <w:tc>
          <w:tcPr>
            <w:vAlign w:val="center"/>
          </w:tcPr>
          <w:p>
            <w:pPr>
              <w:jc w:val="right"/>
            </w:pPr>
            <w:r>
              <w:rPr>
                <w:color w:val="000000"/>
                <w:sz w:val="24"/>
              </w:rPr>
              <w:t>100,000</w:t>
            </w:r>
          </w:p>
        </w:tc>
        <w:tc>
          <w:tcPr>
            <w:vAlign w:val="center"/>
          </w:tcPr>
          <w:p>
            <w:pPr>
              <w:jc w:val="right"/>
            </w:pPr>
            <w:r>
              <w:rPr>
                <w:color w:val="000000"/>
                <w:sz w:val="24"/>
              </w:rPr>
              <w:t>10,033,000.00</w:t>
            </w:r>
          </w:p>
        </w:tc>
        <w:tc>
          <w:tcPr>
            <w:vAlign w:val="center"/>
          </w:tcPr>
          <w:p>
            <w:pPr>
              <w:jc w:val="right"/>
            </w:pPr>
            <w:r>
              <w:rPr>
                <w:color w:val="000000"/>
                <w:sz w:val="24"/>
              </w:rPr>
              <w:t>0.19</w:t>
            </w:r>
          </w:p>
        </w:tc>
      </w:tr>
    </w:tbl>
    <w:p w:rsidP="006D462B" w:rsidR="00F016DD" w:rsidRDefault="00F016DD" w:rsidRPr="001D63BB">
      <w:pPr>
        <w:autoSpaceDE w:val="0"/>
        <w:autoSpaceDN w:val="0"/>
        <w:adjustRightInd w:val="0"/>
        <w:spacing w:line="360" w:lineRule="auto"/>
        <w:jc w:val="left"/>
        <w:rPr>
          <w:rFonts w:ascii="宋体"/>
          <w:b/>
          <w:bCs/>
          <w:color w:val="000000"/>
          <w:kern w:val="0"/>
          <w:sz w:val="24"/>
        </w:rPr>
      </w:pPr>
      <w:r w:rsidRPr="001B0A62">
        <w:rPr>
          <w:rFonts w:ascii="宋体"/>
          <w:b/>
          <w:bCs/>
          <w:color w:val="000000"/>
          <w:kern w:val="0"/>
          <w:sz w:val="24"/>
        </w:rPr>
        <w:t/>
      </w:r>
      <w:r w:rsidRPr="001B0A62">
        <w:rPr>
          <w:rFonts w:ascii="宋体" w:hAnsi="宋体"/>
          <w:b/>
          <w:bCs/>
          <w:color w:val="000000"/>
          <w:kern w:val="0"/>
          <w:sz w:val="24"/>
        </w:rPr>
        <w:t>5</w:t>
      </w:r>
      <w:proofErr w:type="gramStart"/>
      <w:r w:rsidRPr="001B0A62">
        <w:rPr>
          <w:rFonts w:ascii="宋体" w:hAnsi="宋体"/>
          <w:b/>
          <w:bCs/>
          <w:color w:val="000000"/>
          <w:kern w:val="0"/>
          <w:sz w:val="24"/>
        </w:rPr>
        <w:t>.</w:t>
      </w:r>
      <w:proofErr w:type="gramEnd"/>
      <w:r w:rsidRPr="001B0A62">
        <w:rPr>
          <w:rFonts w:ascii="宋体" w:hAnsi="宋体"/>
          <w:b/>
          <w:bCs/>
          <w:color w:val="000000"/>
          <w:kern w:val="0"/>
          <w:sz w:val="24"/>
        </w:rPr>
        <w:t/>
      </w:r>
      <w:r>
        <w:rPr>
          <w:rFonts w:ascii="宋体" w:hAnsi="宋体"/>
          <w:b/>
          <w:bCs/>
          <w:color w:val="000000"/>
          <w:kern w:val="0"/>
          <w:sz w:val="24"/>
        </w:rPr>
        <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lastRenderedPageBreak/>
        <w:t>本基金本报告期末未持有贵金属。</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Pr>
          <w:rFonts w:ascii="宋体" w:cs="Arial"/>
          <w:b/>
          <w:color w:val="000000"/>
          <w:kern w:val="0"/>
          <w:sz w:val="24"/>
        </w:rPr>
        <w:t/>
      </w:r>
      <w:proofErr w:type="gramStart"/>
      <w:r>
        <w:rPr>
          <w:rFonts w:ascii="宋体" w:cs="Arial" w:hAnsi="宋体"/>
          <w:b/>
          <w:color w:val="000000"/>
          <w:kern w:val="0"/>
          <w:sz w:val="24"/>
        </w:rPr>
        <w:t/>
      </w:r>
      <w:proofErr w:type="gramEnd"/>
      <w:r>
        <w:rPr>
          <w:rFonts w:ascii="宋体" w:cs="Arial" w:hAnsi="宋体"/>
          <w:b/>
          <w:color w:val="000000"/>
          <w:kern w:val="0"/>
          <w:sz w:val="24"/>
        </w:rPr>
        <w:t>5</w:t>
      </w:r>
      <w:r w:rsidRPr="0078105B">
        <w:rPr>
          <w:rFonts w:ascii="宋体" w:cs="Arial"/>
          <w:b/>
          <w:color w:val="000000"/>
          <w:kern w:val="0"/>
          <w:sz w:val="24"/>
        </w:rPr>
        <w:t>.</w:t>
      </w:r>
      <w:r>
        <w:rPr>
          <w:rFonts w:ascii="宋体" w:cs="Arial"/>
          <w:b/>
          <w:color w:val="000000"/>
          <w:kern w:val="0"/>
          <w:sz w:val="24"/>
        </w:rPr>
        <w:t/>
      </w:r>
      <w:r>
        <w:rPr>
          <w:rFonts w:ascii="宋体" w:cs="Arial" w:hAnsi="宋体"/>
          <w:b/>
          <w:color w:val="000000"/>
          <w:kern w:val="0"/>
          <w:sz w:val="24"/>
        </w:rPr>
        <w:t>8</w:t>
      </w:r>
      <w:r w:rsidRPr="0078105B">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的前五名权证投资明细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本基金本报告期末未持有权证。</w:t>
      </w:r>
    </w:p>
    <w:p w:rsidP="001D5CD0" w:rsidR="00F016DD" w:rsidRDefault="00F016DD"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Pr>
          <w:rFonts w:ascii="宋体"/>
          <w:b/>
          <w:sz w:val="24"/>
        </w:rPr>
        <w:t/>
      </w:r>
      <w:proofErr w:type="gramStart"/>
      <w:r>
        <w:rPr>
          <w:rFonts w:ascii="宋体" w:hAnsi="宋体"/>
          <w:b/>
          <w:sz w:val="24"/>
        </w:rPr>
        <w:t/>
      </w:r>
      <w:proofErr w:type="gramEnd"/>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P="001F60E9" w:rsidR="001F60E9" w:rsidRDefault="001F60E9">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proofErr w:type="gramStart"/>
      <w:r>
        <w:rPr>
          <w:color w:val="000000"/>
          <w:sz w:val="24"/>
        </w:rPr>
        <w:t/>
      </w:r>
      <w:r>
        <w:rPr>
          <w:rFonts w:eastAsiaTheme="minorEastAsia"/>
          <w:color w:themeColor="text1" w:val="000000"/>
          <w:sz w:val="24"/>
        </w:rPr>
        <w:t/>
      </w:r>
      <w:proofErr w:type="spellEnd"/>
      <w:proofErr w:type="gramEnd"/>
      <w:r>
        <w:rPr>
          <w:rFonts w:eastAsiaTheme="minorEastAsia"/>
          <w:color w:themeColor="text1" w:val="000000"/>
          <w:sz w:val="24"/>
        </w:rPr>
        <w:t>本基金本报告期末未投资股指期货。</w:t>
      </w:r>
    </w:p>
    <w:p w:rsidP="001D5CD0" w:rsidR="00F016DD" w:rsidRDefault="00F016DD"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sidRPr="00E85E29">
        <w:rPr>
          <w:rFonts w:ascii="宋体" w:hAnsi="宋体"/>
          <w:b/>
          <w:sz w:val="24"/>
        </w:rPr>
        <w:t/>
      </w:r>
      <w:proofErr w:type="gramStart"/>
      <w:r w:rsidRPr="00E85E29">
        <w:rPr>
          <w:rFonts w:ascii="宋体" w:hAnsi="宋体"/>
          <w:b/>
          <w:sz w:val="24"/>
        </w:rPr>
        <w:t/>
      </w:r>
      <w:proofErr w:type="gramEnd"/>
      <w:r w:rsidRPr="00E85E29">
        <w:rPr>
          <w:rFonts w:ascii="宋体" w:hAnsi="宋体"/>
          <w:b/>
          <w:sz w:val="24"/>
        </w:rPr>
        <w:t>5.10</w:t>
      </w:r>
      <w:r w:rsidRPr="00E85E29">
        <w:rPr>
          <w:rFonts w:ascii="宋体" w:hAnsi="宋体" w:hint="eastAsia"/>
          <w:b/>
          <w:sz w:val="24"/>
        </w:rPr>
        <w:t>报告期末本基金投资的国债期货交易情况说明</w:t>
      </w:r>
    </w:p>
    <w:p w:rsidP="00B249C0" w:rsidR="00B249C0" w:rsidRDefault="00B249C0">
      <w:pPr>
        <w:spacing w:line="360" w:lineRule="auto"/>
        <w:ind w:firstLine="480" w:firstLineChars="200"/>
      </w:pPr>
      <w:r>
        <w:rPr>
          <w:color w:val="000000"/>
          <w:sz w:val="24"/>
        </w:rPr>
        <w:lastRenderedPageBreak/>
        <w:t/>
      </w:r>
      <w:proofErr w:type="spellStart"/>
      <w:r>
        <w:rPr>
          <w:color w:val="000000"/>
          <w:sz w:val="24"/>
        </w:rPr>
        <w:t/>
      </w:r>
      <w:proofErr w:type="spellEnd"/>
      <w:r>
        <w:rPr>
          <w:color w:val="000000"/>
          <w:sz w:val="24"/>
        </w:rPr>
        <w:t/>
      </w:r>
      <w:proofErr w:type="spellStart"/>
      <w:proofErr w:type="gramStart"/>
      <w:r>
        <w:rPr>
          <w:color w:val="000000"/>
          <w:sz w:val="24"/>
        </w:rPr>
        <w:t/>
      </w:r>
      <w:proofErr w:type="spellEnd"/>
      <w:proofErr w:type="gramEnd"/>
      <w:r>
        <w:rPr>
          <w:color w:val="000000"/>
          <w:sz w:val="24"/>
        </w:rPr>
        <w:t>本基金本报告期末未投资国债期货。</w:t>
      </w:r>
    </w:p>
    <w:p w:rsidP="001D5CD0" w:rsidR="00F016DD" w:rsidRDefault="00F016DD" w:rsidRPr="00E85E29">
      <w:pPr>
        <w:autoSpaceDE w:val="0"/>
        <w:autoSpaceDN w:val="0"/>
        <w:adjustRightInd w:val="0"/>
        <w:spacing w:line="360" w:lineRule="auto"/>
        <w:jc w:val="left"/>
        <w:rPr>
          <w:rFonts w:ascii="宋体" w:cs="Arial"/>
          <w:b/>
          <w:kern w:val="0"/>
          <w:sz w:val="24"/>
        </w:rPr>
      </w:pPr>
      <w:r w:rsidRPr="00E85E29">
        <w:rPr>
          <w:rFonts w:ascii="宋体" w:cs="Arial"/>
          <w:b/>
          <w:kern w:val="0"/>
          <w:sz w:val="24"/>
        </w:rPr>
        <w:t/>
      </w:r>
      <w:proofErr w:type="gramStart"/>
      <w:r w:rsidRPr="00E85E29">
        <w:rPr>
          <w:rFonts w:ascii="宋体" w:cs="Arial" w:hAnsi="宋体"/>
          <w:b/>
          <w:kern w:val="0"/>
          <w:sz w:val="24"/>
        </w:rPr>
        <w:t/>
      </w:r>
      <w:proofErr w:type="gramEnd"/>
      <w:r w:rsidRPr="00E85E29">
        <w:rPr>
          <w:rFonts w:ascii="宋体" w:cs="Arial" w:hAnsi="宋体"/>
          <w:b/>
          <w:kern w:val="0"/>
          <w:sz w:val="24"/>
        </w:rPr>
        <w:t>5.11</w:t>
      </w:r>
      <w:r w:rsidRPr="00E85E29">
        <w:rPr>
          <w:rFonts w:ascii="宋体" w:cs="Arial" w:hAnsi="宋体" w:hint="eastAsia"/>
          <w:b/>
          <w:kern w:val="0"/>
          <w:sz w:val="24"/>
        </w:rPr>
        <w:t>投资组合报告附注</w:t>
      </w:r>
    </w:p>
    <w:p w:rsidP="006456D3" w:rsidR="00F016DD" w:rsidRDefault="00B63F2B" w:rsidRPr="00414367">
      <w:pPr>
        <w:widowControl/>
        <w:spacing w:line="360" w:lineRule="auto"/>
        <w:rPr>
          <w:color w:val="000000"/>
          <w:sz w:val="24"/>
        </w:rPr>
      </w:pPr>
      <w:r>
        <w:rPr>
          <w:rFonts w:hint="eastAsia"/>
          <w:color w:val="000000"/>
          <w:sz w:val="24"/>
        </w:rPr>
        <w:t/>
      </w:r>
      <w:proofErr w:type="spellStart"/>
      <w:r>
        <w:rPr>
          <w:rFonts w:hint="eastAsia"/>
          <w:color w:val="000000"/>
          <w:sz w:val="24"/>
        </w:rPr>
        <w:t/>
      </w:r>
      <w:proofErr w:type="spellEnd"/>
      <w:r>
        <w:rPr>
          <w:rFonts w:hint="eastAsia"/>
          <w:color w:val="000000"/>
          <w:sz w:val="24"/>
        </w:rPr>
        <w:t/>
      </w:r>
      <w:r w:rsidR="00F016DD" w:rsidRPr="00414367">
        <w:rPr>
          <w:color w:val="000000"/>
          <w:sz w:val="24"/>
        </w:rPr>
        <w:t/>
      </w:r>
      <w:proofErr w:type="gramStart"/>
      <w:r w:rsidR="00F016DD" w:rsidRPr="00414367">
        <w:rPr>
          <w:color w:val="000000"/>
          <w:sz w:val="24"/>
        </w:rPr>
        <w:t/>
      </w:r>
      <w:proofErr w:type="gramEnd"/>
      <w:r w:rsidR="00F016DD" w:rsidRPr="00414367">
        <w:rPr>
          <w:color w:val="000000"/>
          <w:sz w:val="24"/>
        </w:rPr>
        <w:t>5.11.1</w:t>
      </w:r>
      <w:r w:rsidR="00293065">
        <w:rPr>
          <w:rFonts w:hint="eastAsia"/>
          <w:color w:val="000000"/>
          <w:sz w:val="24"/>
        </w:rPr>
        <w:t xml:space="preserve"> </w:t>
      </w:r>
      <w:r w:rsidR="00F016DD" w:rsidRPr="00414367">
        <w:rPr>
          <w:color w:val="000000"/>
          <w:sz w:val="24"/>
        </w:rPr>
        <w:t>2020年1月6日，深圳市交通运输局依据《建设工程安全生产管理条例》第六十二条第（三）项、《中华人民共和国安全生产法》第九十六条第（一）项，对中国中铁股份有限公司“未在施工现场的危险部位设置明显的安全警示标志，或者未按照国家有关规定在施工现场设置消防通道、消防水源、配备消防设施和灭火器材”、“未在有较大危险因素的生产经营场所和有关设施、设备上设置明显的安全警示标志”的行为罚款10000元。</w:t>
      </w:r>
    </w:p>
    <w:p>
      <w:pPr>
        <w:widowControl/>
        <w:spacing w:line="360" w:lineRule="auto"/>
        <w:rPr>
          <w:color w:val="000000"/>
          <w:sz w:val="24"/>
        </w:rPr>
      </w:pPr>
      <w:r>
        <w:rPr>
          <w:color w:val="000000"/>
          <w:sz w:val="24"/>
        </w:rPr>
        <w:t>本基金投资18中铁股MTN002A的投资决策程序符合公司投资制度的规定。</w:t>
      </w:r>
    </w:p>
    <w:p>
      <w:pPr>
        <w:widowControl/>
        <w:spacing w:line="360" w:lineRule="auto"/>
        <w:rPr>
          <w:color w:val="000000"/>
          <w:sz w:val="24"/>
        </w:rPr>
      </w:pPr>
      <w:r>
        <w:rPr>
          <w:color w:val="000000"/>
          <w:sz w:val="24"/>
        </w:rPr>
        <w:t>除18中铁股MTN002A外，本基金投资的前十名证券的发行主体本期没有出现被监管部门立案调查，或在报告编制日前一年内受到公开谴责、处罚的情形。</w:t>
      </w:r>
    </w:p>
    <w:p w:rsidP="006456D3" w:rsidR="00F016DD" w:rsidRDefault="00B63F2B" w:rsidRPr="00414367">
      <w:pPr>
        <w:widowControl/>
        <w:spacing w:line="360" w:lineRule="auto"/>
        <w:rPr>
          <w:color w:val="000000"/>
          <w:sz w:val="24"/>
        </w:rPr>
      </w:pPr>
      <w:r>
        <w:rPr>
          <w:rFonts w:hint="eastAsia"/>
          <w:color w:val="000000"/>
          <w:sz w:val="24"/>
        </w:rPr>
        <w:t/>
      </w:r>
      <w:r w:rsidR="00F016DD" w:rsidRPr="00414367">
        <w:rPr>
          <w:color w:val="000000"/>
          <w:sz w:val="24"/>
        </w:rPr>
        <w:t/>
      </w:r>
      <w:proofErr w:type="gramStart"/>
      <w:r w:rsidR="00F016DD" w:rsidRPr="00414367">
        <w:rPr>
          <w:color w:val="000000"/>
          <w:sz w:val="24"/>
        </w:rPr>
        <w:t/>
      </w:r>
      <w:proofErr w:type="gramEnd"/>
      <w:r w:rsidR="00F016DD" w:rsidRPr="00414367">
        <w:rPr>
          <w:color w:val="000000"/>
          <w:sz w:val="24"/>
        </w:rPr>
        <w:t>5.11.2</w:t>
      </w:r>
      <w:r w:rsidR="00293065">
        <w:rPr>
          <w:rFonts w:hint="eastAsia"/>
          <w:color w:val="000000"/>
          <w:sz w:val="24"/>
        </w:rPr>
        <w:t xml:space="preserve"> </w:t>
      </w:r>
      <w:r w:rsidR="00F016DD" w:rsidRPr="00414367">
        <w:rPr>
          <w:color w:val="000000"/>
          <w:sz w:val="24"/>
        </w:rPr>
        <w:t>本基金本报告期没有投资股票，因此不存在投资的前十名股票超出基金合同规定的备选股票库情况。</w:t>
      </w:r>
    </w:p>
    <w:p w:rsidP="001D5CD0" w:rsidR="00F016DD" w:rsidRDefault="00F016DD" w:rsidRPr="00414367">
      <w:pPr>
        <w:autoSpaceDE w:val="0"/>
        <w:autoSpaceDN w:val="0"/>
        <w:adjustRightInd w:val="0"/>
        <w:spacing w:line="360" w:lineRule="auto"/>
        <w:rPr>
          <w:kern w:val="0"/>
          <w:sz w:val="24"/>
        </w:rPr>
      </w:pPr>
      <w:r w:rsidRPr="00414367">
        <w:rPr>
          <w:kern w:val="0"/>
          <w:sz w:val="24"/>
        </w:rPr>
        <w:lastRenderedPageBreak/>
        <w:t/>
      </w:r>
      <w:proofErr w:type="gramStart"/>
      <w:r w:rsidRPr="00414367">
        <w:rPr>
          <w:kern w:val="0"/>
          <w:sz w:val="24"/>
        </w:rPr>
        <w:t/>
      </w:r>
      <w:proofErr w:type="gramEnd"/>
      <w:r w:rsidRPr="00414367">
        <w:rPr>
          <w:kern w:val="0"/>
          <w:sz w:val="24"/>
        </w:rPr>
        <w:t>5.11.3</w:t>
      </w:r>
      <w:r w:rsidRPr="00414367">
        <w:rPr>
          <w:kern w:val="0"/>
          <w:sz w:val="24"/>
        </w:rPr>
        <w:t>其他资产构成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761"/>
        <w:gridCol w:w="4808"/>
      </w:tblGrid>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type="dxa" w:w="2761"/>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type="dxa" w:w="4808"/>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51,063.30</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2</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4,930,169.85</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3</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4</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96,882,627.07</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5</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2,186,150.48</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6</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7</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8</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9</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104,050,010.70</w:t>
            </w:r>
          </w:p>
        </w:tc>
      </w:tr>
    </w:tbl>
    <w:p w:rsidP="001D5CD0" w:rsidR="00F016DD" w:rsidRDefault="00F016DD" w:rsidRPr="00E7356F">
      <w:pPr>
        <w:autoSpaceDE w:val="0"/>
        <w:autoSpaceDN w:val="0"/>
        <w:adjustRightInd w:val="0"/>
        <w:spacing w:line="360" w:lineRule="auto"/>
        <w:jc w:val="left"/>
        <w:rPr>
          <w:rFonts w:ascii="宋体" w:cs="Arial"/>
          <w:kern w:val="0"/>
          <w:sz w:val="24"/>
        </w:rPr>
      </w:pPr>
      <w:r w:rsidRPr="00E7356F">
        <w:rPr>
          <w:rFonts w:ascii="宋体" w:cs="Arial"/>
          <w:kern w:val="0"/>
          <w:sz w:val="24"/>
        </w:rPr>
        <w:t/>
      </w:r>
      <w:proofErr w:type="gramStart"/>
      <w:r w:rsidRPr="00E7356F">
        <w:rPr>
          <w:rFonts w:ascii="宋体" w:cs="Arial" w:hAnsi="宋体"/>
          <w:kern w:val="0"/>
          <w:sz w:val="24"/>
        </w:rPr>
        <w:t/>
      </w:r>
      <w:proofErr w:type="gramEnd"/>
      <w:r w:rsidRPr="00E7356F">
        <w:rPr>
          <w:rFonts w:ascii="宋体" w:cs="Arial" w:hAnsi="宋体"/>
          <w:kern w:val="0"/>
          <w:sz w:val="24"/>
        </w:rPr>
        <w:t>5.11.4</w:t>
      </w:r>
      <w:r w:rsidRPr="00E7356F">
        <w:rPr>
          <w:rFonts w:ascii="宋体" w:cs="Arial" w:hAnsi="宋体" w:hint="eastAsia"/>
          <w:kern w:val="0"/>
          <w:sz w:val="24"/>
        </w:rPr>
        <w:t>报告期末持有的处于转股期的可转换债券明细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本基金本报告期末未持有处于转股期的可转换债券。</w:t>
      </w:r>
    </w:p>
    <w:p w:rsidP="001D5CD0" w:rsidR="00F016DD" w:rsidRDefault="00F016DD" w:rsidRPr="00E7356F">
      <w:pPr>
        <w:autoSpaceDE w:val="0"/>
        <w:autoSpaceDN w:val="0"/>
        <w:adjustRightInd w:val="0"/>
        <w:spacing w:line="360" w:lineRule="auto"/>
        <w:jc w:val="left"/>
        <w:rPr>
          <w:rFonts w:ascii="宋体"/>
          <w:bCs/>
          <w:sz w:val="24"/>
        </w:rPr>
      </w:pPr>
      <w:r w:rsidRPr="00E7356F">
        <w:rPr>
          <w:rFonts w:ascii="宋体" w:cs="Arial"/>
          <w:kern w:val="0"/>
          <w:sz w:val="24"/>
        </w:rPr>
        <w:t/>
      </w:r>
      <w:proofErr w:type="gramStart"/>
      <w:r w:rsidRPr="00E7356F">
        <w:rPr>
          <w:rFonts w:ascii="宋体" w:cs="Arial" w:hAnsi="宋体"/>
          <w:kern w:val="0"/>
          <w:sz w:val="24"/>
        </w:rPr>
        <w:t/>
      </w:r>
      <w:proofErr w:type="gramEnd"/>
      <w:r w:rsidRPr="00E7356F">
        <w:rPr>
          <w:rFonts w:ascii="宋体" w:cs="Arial" w:hAnsi="宋体"/>
          <w:kern w:val="0"/>
          <w:sz w:val="24"/>
        </w:rPr>
        <w:t>5.11.5</w:t>
      </w:r>
      <w:r w:rsidRPr="00E7356F">
        <w:rPr>
          <w:rFonts w:ascii="宋体" w:hAnsi="宋体" w:hint="eastAsia"/>
          <w:bCs/>
          <w:sz w:val="24"/>
        </w:rPr>
        <w:t>报告期末前十名股票中存在流通受限情况的说明</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gramStart"/>
      <w:r w:rsidRPr="00DF18FE">
        <w:rPr>
          <w:color w:val="000000"/>
          <w:sz w:val="24"/>
        </w:rPr>
        <w:t/>
      </w:r>
      <w:proofErr w:type="gramEnd"/>
      <w:r w:rsidRPr="00DF18FE">
        <w:rPr>
          <w:color w:val="000000"/>
          <w:sz w:val="24"/>
        </w:rPr>
        <w:t>本基金本报告期末未持有股票。</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6  </w:t>
      </w:r>
      <w:r w:rsidRPr="0078105B">
        <w:rPr>
          <w:rFonts w:ascii="宋体" w:cs="Arial" w:hAnsi="宋体" w:hint="eastAsia"/>
          <w:color w:val="000000"/>
          <w:kern w:val="0"/>
          <w:sz w:val="24"/>
          <w:szCs w:val="24"/>
        </w:rPr>
        <w:t>开放式基金份额变动</w:t>
      </w:r>
    </w:p>
    <w:p w:rsidP="00302187" w:rsidR="00F016DD" w:rsidRDefault="00F016DD" w:rsidRPr="00FA472B">
      <w:pPr>
        <w:autoSpaceDE w:val="0"/>
        <w:autoSpaceDN w:val="0"/>
        <w:adjustRightInd w:val="0"/>
        <w:spacing w:before="29" w:line="288" w:lineRule="auto"/>
        <w:ind w:left="15" w:right="480"/>
        <w:jc w:val="right"/>
        <w:rPr>
          <w:rFonts w:ascii="宋体" w:cs="Arial" w:hAnsi="宋体"/>
          <w:color w:val="000000"/>
          <w:kern w:val="0"/>
          <w:sz w:val="24"/>
        </w:rPr>
      </w:pPr>
      <w:r w:rsidRPr="00FA472B">
        <w:rPr>
          <w:rFonts w:ascii="宋体" w:cs="Arial" w:hAnsi="宋体" w:hint="eastAsia"/>
          <w:color w:val="000000"/>
          <w:kern w:val="0"/>
          <w:sz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3900"/>
        <w:gridCol w:w="2367"/>
        <w:gridCol w:w="2367"/>
      </w:tblGrid>
      <w:tr w:rsidR="00F016DD" w:rsidRPr="0078105B" w:rsidTr="0001612A">
        <w:tc>
          <w:tcPr>
            <w:tcW w:type="dxa" w:w="3900"/>
            <w:vAlign w:val="center"/>
          </w:tcPr>
          <w:p w:rsidP="00B84643"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项目</w:t>
            </w:r>
            <w:r w:rsidRPr="00FA472B">
              <w:rPr>
                <w:color w:val="000000"/>
                <w:kern w:val="0"/>
              </w:rPr>
              <w:t/>
            </w:r>
            <w:proofErr w:type="spellStart"/>
            <w:r w:rsidRPr="00FA472B">
              <w:rPr>
                <w:color w:val="000000"/>
                <w:kern w:val="0"/>
              </w:rPr>
              <w:t/>
            </w:r>
            <w:proofErr w:type="spellEnd"/>
            <w:r w:rsidRPr="00FA472B">
              <w:rPr>
                <w:color w:val="000000"/>
                <w:kern w:val="0"/>
              </w:rPr>
              <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kern w:val="0"/>
                <w:sz w:val="24"/>
              </w:rPr>
              <w:t/>
            </w:r>
            <w:proofErr w:type="spellStart"/>
            <w:r w:rsidRPr="00FA472B">
              <w:rPr>
                <w:sz w:val="24"/>
              </w:rPr>
              <w:t/>
            </w:r>
            <w:proofErr w:type="spellEnd"/>
            <w:r w:rsidRPr="00FA472B">
              <w:rPr>
                <w:sz w:val="24"/>
              </w:rPr>
              <w:t>易方达信用债债券A</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kern w:val="0"/>
                <w:sz w:val="24"/>
              </w:rPr>
              <w:t/>
            </w:r>
            <w:r w:rsidRPr="00FA472B">
              <w:rPr>
                <w:sz w:val="24"/>
              </w:rPr>
              <w:t>易方达信用债债券C</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报告期期</w:t>
            </w:r>
            <w:proofErr w:type="gramStart"/>
            <w:r w:rsidRPr="00FA472B">
              <w:rPr>
                <w:color w:val="000000"/>
                <w:kern w:val="0"/>
                <w:sz w:val="24"/>
              </w:rPr>
              <w:t>初基金</w:t>
            </w:r>
            <w:proofErr w:type="gramEnd"/>
            <w:r w:rsidRPr="00FA472B">
              <w:rPr>
                <w:color w:val="000000"/>
                <w:kern w:val="0"/>
                <w:sz w:val="24"/>
              </w:rPr>
              <w:t>份额总额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4,977,222,018.89</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982,230,756.78</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报告期</w:t>
            </w:r>
            <w:r w:rsidRPr="00FA472B">
              <w:rPr>
                <w:color w:val="000000"/>
                <w:kern w:val="0"/>
                <w:sz w:val="24"/>
              </w:rPr>
              <w:t>基金总申购份额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716,923,490.59</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306,084,042.62</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减：</w:t>
            </w:r>
            <w:r w:rsidRPr="00FA472B">
              <w:rPr>
                <w:color w:val="000000"/>
                <w:kern w:val="0"/>
                <w:sz w:val="24"/>
              </w:rPr>
              <w:t/>
            </w:r>
            <w:proofErr w:type="spellStart"/>
            <w:r w:rsidRPr="00FA472B">
              <w:rPr>
                <w:color w:val="000000"/>
                <w:kern w:val="0"/>
                <w:sz w:val="24"/>
              </w:rPr>
              <w:t/>
            </w:r>
            <w:r w:rsidRPr="00FA472B">
              <w:rPr>
                <w:color w:val="000000"/>
                <w:kern w:val="0"/>
                <w:sz w:val="24"/>
              </w:rPr>
              <w:lastRenderedPageBreak/>
              <w:t/>
            </w:r>
            <w:proofErr w:type="spellEnd"/>
            <w:r w:rsidRPr="00FA472B">
              <w:rPr>
                <w:color w:val="000000"/>
                <w:kern w:val="0"/>
                <w:sz w:val="24"/>
              </w:rPr>
              <w:t>报告期</w:t>
            </w:r>
            <w:r w:rsidRPr="00FA472B">
              <w:rPr>
                <w:color w:val="000000"/>
                <w:kern w:val="0"/>
                <w:sz w:val="24"/>
              </w:rPr>
              <w:t>基金总赎回份额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lastRenderedPageBreak/>
              <w:t/>
            </w:r>
            <w:proofErr w:type="spellStart"/>
            <w:r w:rsidRPr="00FA472B">
              <w:rPr>
                <w:color w:val="000000"/>
                <w:sz w:val="24"/>
              </w:rPr>
              <w:t/>
            </w:r>
            <w:r w:rsidRPr="00FA472B">
              <w:rPr>
                <w:color w:val="000000"/>
                <w:sz w:val="24"/>
              </w:rPr>
              <w:lastRenderedPageBreak/>
              <w:t/>
            </w:r>
            <w:proofErr w:type="spellEnd"/>
            <w:r w:rsidRPr="00FA472B">
              <w:rPr>
                <w:color w:val="000000"/>
                <w:sz w:val="24"/>
              </w:rPr>
              <w:t>1,623,814,008.74</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lastRenderedPageBreak/>
              <w:t/>
            </w:r>
            <w:r w:rsidRPr="00FA472B">
              <w:rPr>
                <w:color w:val="000000"/>
                <w:sz w:val="24"/>
              </w:rPr>
              <w:lastRenderedPageBreak/>
              <w:t>513,772,652.45</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lastRenderedPageBreak/>
              <w:t/>
            </w:r>
            <w:proofErr w:type="spellStart"/>
            <w:r w:rsidRPr="00FA472B">
              <w:rPr>
                <w:color w:val="000000"/>
                <w:kern w:val="0"/>
                <w:sz w:val="24"/>
              </w:rPr>
              <w:t/>
            </w:r>
            <w:proofErr w:type="spellEnd"/>
            <w:r w:rsidRPr="00FA472B">
              <w:rPr>
                <w:color w:val="000000"/>
                <w:kern w:val="0"/>
                <w:sz w:val="24"/>
              </w:rPr>
              <w:t>报告期</w:t>
            </w:r>
            <w:r w:rsidRPr="00FA472B">
              <w:rPr>
                <w:color w:val="000000"/>
                <w:kern w:val="0"/>
                <w:sz w:val="24"/>
              </w:rPr>
              <w:t>基金拆分变动份额</w:t>
            </w:r>
            <w:r w:rsidR="009533AD" w:rsidRPr="009533AD">
              <w:rPr>
                <w:rFonts w:hint="eastAsia"/>
                <w:color w:val="000000"/>
                <w:kern w:val="0"/>
                <w:sz w:val="24"/>
              </w:rPr>
              <w:t>（份额减少以“</w:t>
            </w:r>
            <w:r w:rsidR="009533AD" w:rsidRPr="009533AD">
              <w:rPr>
                <w:rFonts w:hint="eastAsia"/>
                <w:color w:val="000000"/>
                <w:kern w:val="0"/>
                <w:sz w:val="24"/>
              </w:rPr>
              <w:t>-</w:t>
            </w:r>
            <w:r w:rsidR="009533AD" w:rsidRPr="009533AD">
              <w:rPr>
                <w:rFonts w:hint="eastAsia"/>
                <w:color w:val="000000"/>
                <w:kern w:val="0"/>
                <w:sz w:val="24"/>
              </w:rPr>
              <w:t>”填列）</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type="dxa" w:w="2367"/>
            <w:vAlign w:val="center"/>
          </w:tcPr>
          <w:p w:rsidP="00B57BCF"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4,070,331,500.74</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774,542,146.95</w:t>
            </w:r>
          </w:p>
        </w:tc>
      </w:tr>
    </w:tbl>
    <w:p w:rsidP="00B54884" w:rsidR="00F016DD" w:rsidRDefault="00F016DD">
      <w:pPr>
        <w:pStyle w:val="1"/>
        <w:tabs>
          <w:tab w:pos="4156" w:val="center"/>
          <w:tab w:pos="8312" w:val="right"/>
        </w:tabs>
        <w:spacing w:after="312" w:afterLines="100" w:before="312" w:beforeLines="100" w:line="360" w:lineRule="auto"/>
        <w:jc w:val="center"/>
        <w:rPr>
          <w:rFonts w:ascii="方正仿宋简体"/>
          <w:sz w:val="24"/>
          <w:szCs w:val="24"/>
        </w:rPr>
      </w:pPr>
      <w:r w:rsidRPr="00AB67DE">
        <w:rPr>
          <w:rFonts w:ascii="宋体"/>
          <w:color w:val="000000"/>
          <w:kern w:val="0"/>
          <w:sz w:val="24"/>
          <w:szCs w:val="24"/>
        </w:rPr>
        <w:t/>
      </w:r>
      <w:proofErr w:type="spellStart"/>
      <w:r w:rsidRPr="00AB67DE">
        <w:rPr>
          <w:rFonts w:ascii="宋体" w:hAnsi="宋体"/>
          <w:color w:val="000000"/>
          <w:kern w:val="0"/>
          <w:sz w:val="24"/>
          <w:szCs w:val="24"/>
        </w:rPr>
        <w:t/>
      </w:r>
      <w:proofErr w:type="spellEnd"/>
      <w:r w:rsidRPr="00AB67DE">
        <w:rPr>
          <w:rFonts w:ascii="宋体" w:hAnsi="宋体"/>
          <w:color w:val="000000"/>
          <w:kern w:val="0"/>
          <w:sz w:val="24"/>
          <w:szCs w:val="24"/>
        </w:rPr>
        <w:t/>
      </w:r>
      <w:r w:rsidRPr="00AB67DE">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w:r>
      <w:r w:rsidRPr="00AB67DE">
        <w:rPr>
          <w:rFonts w:ascii="宋体" w:cs="Arial"/>
          <w:color w:val="000000"/>
          <w:kern w:val="0"/>
          <w:sz w:val="24"/>
          <w:szCs w:val="24"/>
        </w:rPr>
        <w:t>7</w:t>
      </w:r>
      <w:r w:rsidR="0066098B" w:rsidRPr="0078105B">
        <w:rPr>
          <w:rFonts w:ascii="宋体" w:cs="Arial" w:hAnsi="宋体"/>
          <w:color w:val="000000"/>
          <w:kern w:val="0"/>
          <w:sz w:val="24"/>
          <w:szCs w:val="24"/>
        </w:rPr>
        <w:t xml:space="preserve">  </w:t>
      </w:r>
      <w:r w:rsidRPr="0016464C">
        <w:rPr>
          <w:rFonts w:ascii="方正仿宋简体" w:hint="eastAsia"/>
          <w:sz w:val="24"/>
          <w:szCs w:val="24"/>
        </w:rPr>
        <w:t>基金管理人运用</w:t>
      </w:r>
      <w:proofErr w:type="gramStart"/>
      <w:r w:rsidRPr="0016464C">
        <w:rPr>
          <w:rFonts w:ascii="方正仿宋简体" w:hint="eastAsia"/>
          <w:sz w:val="24"/>
          <w:szCs w:val="24"/>
        </w:rPr>
        <w:t>固有资金</w:t>
      </w:r>
      <w:proofErr w:type="gramEnd"/>
      <w:r w:rsidRPr="0016464C">
        <w:rPr>
          <w:rFonts w:ascii="方正仿宋简体" w:hint="eastAsia"/>
          <w:sz w:val="24"/>
          <w:szCs w:val="24"/>
        </w:rPr>
        <w:t>投资本基金情况</w:t>
      </w:r>
    </w:p>
    <w:p w:rsidP="00935FB1" w:rsidR="00F016DD" w:rsidRDefault="00F016DD" w:rsidRPr="00B76BBB">
      <w:pPr>
        <w:spacing w:line="360" w:lineRule="auto"/>
        <w:jc w:val="left"/>
        <w:rPr>
          <w:sz w:val="24"/>
        </w:rPr>
      </w:pPr>
      <w:r w:rsidRPr="00297260">
        <w:rPr>
          <w:b/>
          <w:sz w:val="24"/>
        </w:rPr>
        <w:t/>
      </w:r>
      <w:proofErr w:type="spellStart"/>
      <w:r w:rsidRPr="00297260">
        <w:rPr>
          <w:b/>
          <w:sz w:val="24"/>
        </w:rPr>
        <w:t/>
      </w:r>
      <w:proofErr w:type="spellEnd"/>
      <w:r w:rsidRPr="00297260">
        <w:rPr>
          <w:b/>
          <w:sz w:val="24"/>
        </w:rPr>
        <w:t/>
      </w:r>
      <w:r>
        <w:rPr>
          <w:b/>
          <w:sz w:val="24"/>
        </w:rPr>
        <w:t/>
      </w:r>
      <w:proofErr w:type="gramStart"/>
      <w:r>
        <w:rPr>
          <w:b/>
          <w:sz w:val="24"/>
        </w:rPr>
        <w:t/>
      </w:r>
      <w:proofErr w:type="gramEnd"/>
      <w:r>
        <w:rPr>
          <w:b/>
          <w:sz w:val="24"/>
        </w:rPr>
        <w:t xml:space="preserve">7.1 </w:t>
      </w:r>
      <w:r>
        <w:rPr>
          <w:rFonts w:hint="eastAsia"/>
          <w:b/>
          <w:sz w:val="24"/>
        </w:rPr>
        <w:t>基</w:t>
      </w:r>
      <w:r w:rsidRPr="00B404F1">
        <w:rPr>
          <w:rFonts w:hint="eastAsia"/>
          <w:b/>
          <w:sz w:val="24"/>
        </w:rPr>
        <w:t>金管理人持有本基金份额变动情况</w:t>
      </w:r>
    </w:p>
    <w:p w:rsidP="00DF18FE" w:rsidR="00F016DD" w:rsidRDefault="00CC78C7" w:rsidRPr="00DF18FE">
      <w:pPr>
        <w:spacing w:line="360" w:lineRule="auto"/>
        <w:ind w:firstLine="480" w:firstLineChars="200"/>
        <w:rPr>
          <w:color w:val="000000"/>
          <w:sz w:val="24"/>
        </w:rPr>
      </w:pPr>
      <w:r w:rsidRPr="00DF18FE">
        <w:rPr>
          <w:color w:val="000000"/>
          <w:sz w:val="24"/>
        </w:rPr>
        <w:t/>
      </w:r>
      <w:r w:rsidRPr="00EA6415">
        <w:rPr>
          <w:color w:val="000000"/>
          <w:sz w:val="24"/>
        </w:rPr>
        <w:t/>
      </w: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本报告期内基金管理人未持有本基金份额。</w:t>
      </w:r>
    </w:p>
    <w:p w:rsidP="00935FB1" w:rsidR="00F016DD" w:rsidRDefault="00F016DD" w:rsidRPr="00B76BBB">
      <w:pPr>
        <w:spacing w:line="360" w:lineRule="auto"/>
        <w:jc w:val="left"/>
        <w:rPr>
          <w:sz w:val="24"/>
        </w:rPr>
      </w:pPr>
      <w:r w:rsidRPr="00297260">
        <w:rPr>
          <w:b/>
          <w:sz w:val="24"/>
        </w:rPr>
        <w:t/>
      </w:r>
      <w:proofErr w:type="spellStart"/>
      <w:r w:rsidRPr="00297260">
        <w:rPr>
          <w:b/>
          <w:sz w:val="24"/>
        </w:rPr>
        <w:t/>
      </w:r>
      <w:proofErr w:type="spellEnd"/>
      <w:r w:rsidRPr="00297260">
        <w:rPr>
          <w:b/>
          <w:sz w:val="24"/>
        </w:rPr>
        <w:t/>
      </w:r>
      <w:r>
        <w:rPr>
          <w:b/>
          <w:sz w:val="24"/>
        </w:rPr>
        <w:t/>
      </w:r>
      <w:proofErr w:type="gramStart"/>
      <w:r>
        <w:rPr>
          <w:b/>
          <w:sz w:val="24"/>
        </w:rPr>
        <w:t/>
      </w:r>
      <w:proofErr w:type="gramEnd"/>
      <w:r>
        <w:rPr>
          <w:b/>
          <w:sz w:val="24"/>
        </w:rPr>
        <w:t xml:space="preserve">7.2 </w:t>
      </w:r>
      <w:r>
        <w:rPr>
          <w:rFonts w:hint="eastAsia"/>
          <w:b/>
          <w:sz w:val="24"/>
        </w:rPr>
        <w:t>基</w:t>
      </w:r>
      <w:r w:rsidRPr="00B404F1">
        <w:rPr>
          <w:rFonts w:hint="eastAsia"/>
          <w:b/>
          <w:sz w:val="24"/>
        </w:rPr>
        <w:t>金管理人运用固有资金投资本基金交易明细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本报告期内基金管理人未运用固有资金申购、赎回、买卖本基金份额。</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color w:val="000000"/>
          <w:kern w:val="0"/>
          <w:sz w:val="24"/>
          <w:szCs w:val="24"/>
        </w:rPr>
        <w:t/>
      </w:r>
      <w:r w:rsidRPr="0078105B">
        <w:rPr>
          <w:rFonts w:ascii="宋体" w:cs="Arial" w:hAnsi="宋体"/>
          <w:color w:val="000000"/>
          <w:kern w:val="0"/>
          <w:sz w:val="24"/>
          <w:szCs w:val="24"/>
        </w:rPr>
        <w:t>8</w:t>
      </w:r>
      <w:r w:rsidR="0066098B" w:rsidRPr="0078105B">
        <w:rPr>
          <w:rFonts w:ascii="宋体" w:cs="Arial" w:hAnsi="宋体"/>
          <w:color w:val="000000"/>
          <w:kern w:val="0"/>
          <w:sz w:val="24"/>
          <w:szCs w:val="24"/>
        </w:rPr>
        <w:t xml:space="preserve">  </w:t>
      </w:r>
      <w:r w:rsidRPr="0078105B">
        <w:rPr>
          <w:rFonts w:ascii="宋体" w:cs="Arial" w:hAnsi="宋体" w:hint="eastAsia"/>
          <w:color w:val="000000"/>
          <w:kern w:val="0"/>
          <w:sz w:val="24"/>
          <w:szCs w:val="24"/>
        </w:rPr>
        <w:t>备查文件目录</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8.1</w:t>
      </w:r>
      <w:r w:rsidRPr="00E8153C">
        <w:rPr>
          <w:color w:val="000000"/>
          <w:kern w:val="0"/>
          <w:sz w:val="24"/>
        </w:rPr>
        <w:t>备查文件目录</w:t>
      </w:r>
    </w:p>
    <w:p>
      <w:pPr>
        <w:spacing w:line="360" w:lineRule="auto"/>
        <w:ind w:firstLine="480" w:firstLineChars="200"/>
        <w:rPr>
          <w:color w:val="000000"/>
          <w:sz w:val="24"/>
        </w:rPr>
      </w:pPr>
      <w:r>
        <w:rPr>
          <w:color w:val="000000"/>
          <w:sz w:val="24"/>
        </w:rPr>
        <w:t>1.中国证监会核准易方达信用债债券型证券投资基金募集的文件；</w:t>
      </w:r>
    </w:p>
    <w:p>
      <w:pPr>
        <w:spacing w:line="360" w:lineRule="auto"/>
        <w:ind w:firstLine="480" w:firstLineChars="200"/>
        <w:rPr>
          <w:color w:val="000000"/>
          <w:sz w:val="24"/>
        </w:rPr>
      </w:pPr>
      <w:r>
        <w:rPr>
          <w:color w:val="000000"/>
          <w:sz w:val="24"/>
        </w:rPr>
        <w:t>2.《易方达信用债债券型证券投资基金基金合同》；</w:t>
      </w:r>
    </w:p>
    <w:p>
      <w:pPr>
        <w:spacing w:line="360" w:lineRule="auto"/>
        <w:ind w:firstLine="480" w:firstLineChars="200"/>
        <w:rPr>
          <w:color w:val="000000"/>
          <w:sz w:val="24"/>
        </w:rPr>
      </w:pPr>
      <w:r>
        <w:rPr>
          <w:color w:val="000000"/>
          <w:sz w:val="24"/>
        </w:rPr>
        <w:t>3.《易方达信用债债券型证券投资基金托管协议》；</w:t>
      </w:r>
    </w:p>
    <w:p>
      <w:pPr>
        <w:spacing w:line="360" w:lineRule="auto"/>
        <w:ind w:firstLine="480" w:firstLineChars="200"/>
        <w:rPr>
          <w:color w:val="000000"/>
          <w:sz w:val="24"/>
        </w:rPr>
      </w:pPr>
      <w:r>
        <w:rPr>
          <w:color w:val="000000"/>
          <w:sz w:val="24"/>
        </w:rPr>
        <w:t>4.《易方达基金管理有限公司开放式基金业务规则》；</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5.基金管理人业务资格批件、营业执照。</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8.2</w:t>
      </w:r>
      <w:r w:rsidRPr="00E8153C">
        <w:rPr>
          <w:color w:val="000000"/>
          <w:kern w:val="0"/>
          <w:sz w:val="24"/>
        </w:rPr>
        <w:t>存放地点</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广州市天河区珠江新城珠江东路30号广州银行大厦40-43楼。</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8.3</w:t>
      </w:r>
      <w:r w:rsidRPr="00E8153C">
        <w:rPr>
          <w:color w:val="000000"/>
          <w:kern w:val="0"/>
          <w:sz w:val="24"/>
        </w:rPr>
        <w:t>查阅方式</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投资者可在营业时间免费查阅，也可按工本费购买复印件。</w:t>
      </w:r>
    </w:p>
    <w:p w:rsidP="00FB3C94" w:rsidR="00F016DD" w:rsidRDefault="00F016DD" w:rsidRPr="0078105B">
      <w:pPr>
        <w:spacing w:line="360" w:lineRule="auto"/>
        <w:ind w:left="840"/>
        <w:jc w:val="right"/>
        <w:rPr>
          <w:rFonts w:ascii="宋体"/>
          <w:color w:val="000000"/>
          <w:sz w:val="24"/>
        </w:rPr>
      </w:pPr>
    </w:p>
    <w:p w:rsidP="00053FFD" w:rsidR="00F016DD" w:rsidRDefault="00F016DD" w:rsidRPr="0078105B">
      <w:pPr>
        <w:spacing w:line="360" w:lineRule="auto"/>
        <w:ind w:left="840"/>
        <w:jc w:val="center"/>
        <w:rPr>
          <w:rFonts w:ascii="宋体"/>
          <w:b/>
          <w:color w:val="000000"/>
          <w:sz w:val="24"/>
        </w:rPr>
      </w:pPr>
    </w:p>
    <w:p w:rsidP="00B1493B" w:rsidR="00F016DD" w:rsidRDefault="00F016DD" w:rsidRPr="0078105B">
      <w:pPr>
        <w:spacing w:line="360" w:lineRule="auto"/>
        <w:jc w:val="right"/>
        <w:rPr>
          <w:rFonts w:ascii="宋体" w:hAnsi="宋体"/>
          <w:b/>
          <w:bCs/>
          <w:sz w:val="24"/>
        </w:rPr>
      </w:pPr>
      <w:r w:rsidRPr="0078105B">
        <w:rPr>
          <w:rFonts w:ascii="宋体"/>
          <w:b/>
          <w:bCs/>
          <w:sz w:val="24"/>
        </w:rPr>
        <w:t/>
      </w:r>
      <w:proofErr w:type="spellStart"/>
      <w:proofErr w:type="gramStart"/>
      <w:r w:rsidRPr="0078105B">
        <w:rPr>
          <w:rFonts w:ascii="宋体" w:hAnsi="宋体"/>
          <w:b/>
          <w:bCs/>
          <w:sz w:val="24"/>
        </w:rPr>
        <w:t/>
      </w:r>
      <w:proofErr w:type="spellEnd"/>
      <w:proofErr w:type="gramEnd"/>
      <w:r w:rsidRPr="0078105B">
        <w:rPr>
          <w:rFonts w:ascii="宋体" w:hAnsi="宋体"/>
          <w:b/>
          <w:bCs/>
          <w:sz w:val="24"/>
        </w:rPr>
        <w:t>易方达基金管理有限公司</w:t>
      </w:r>
    </w:p>
    <w:p w:rsidP="00B1493B" w:rsidR="00F016DD" w:rsidRDefault="00F016DD" w:rsidRPr="0078105B">
      <w:pPr>
        <w:spacing w:line="360" w:lineRule="auto"/>
        <w:jc w:val="right"/>
        <w:rPr>
          <w:rFonts w:ascii="宋体" w:hAnsi="宋体"/>
          <w:b/>
          <w:bCs/>
          <w:sz w:val="24"/>
        </w:rPr>
      </w:pPr>
      <w:r w:rsidRPr="0078105B">
        <w:rPr>
          <w:rFonts w:ascii="宋体" w:hAnsi="宋体"/>
          <w:b/>
          <w:bCs/>
          <w:sz w:val="24"/>
        </w:rPr>
        <w:t/>
      </w:r>
      <w:proofErr w:type="spellStart"/>
      <w:proofErr w:type="gramStart"/>
      <w:r w:rsidRPr="0078105B">
        <w:rPr>
          <w:rFonts w:ascii="宋体" w:hAnsi="宋体"/>
          <w:b/>
          <w:bCs/>
          <w:sz w:val="24"/>
        </w:rPr>
        <w:t/>
      </w:r>
      <w:proofErr w:type="spellEnd"/>
      <w:proofErr w:type="gramEnd"/>
      <w:r w:rsidRPr="0078105B">
        <w:rPr>
          <w:rFonts w:ascii="宋体" w:hAnsi="宋体"/>
          <w:b/>
          <w:bCs/>
          <w:sz w:val="24"/>
        </w:rPr>
        <w:t>二〇二〇年十月二十八日</w:t>
      </w:r>
    </w:p>
    <w:sectPr w:rsidR="00F016DD" w:rsidRPr="0078105B" w:rsidSect="00A8324F">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ED" w:rsidRDefault="00C74CED">
      <w:r>
        <w:separator/>
      </w:r>
    </w:p>
  </w:endnote>
  <w:endnote w:type="continuationSeparator" w:id="0">
    <w:p w:rsidR="00C74CED" w:rsidRDefault="00C7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F7094A" w:rsidR="00611CB2" w:rsidRDefault="00611CB2" w:rsidRPr="001D0DB0">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3177CA">
      <w:rPr>
        <w:noProof/>
        <w:szCs w:val="21"/>
      </w:rPr>
      <w:t>1</w:t>
    </w:r>
    <w:r w:rsidR="00F85FCB">
      <w:rPr>
        <w:szCs w:val="21"/>
      </w:rPr>
      <w:fldChar w:fldCharType="end"/>
    </w:r>
    <w:proofErr w:type="gramStart"/>
    <w:r>
      <w:rPr>
        <w:rFonts w:hint="eastAsia"/>
        <w:szCs w:val="21"/>
      </w:rPr>
      <w:t>页共</w:t>
    </w:r>
    <w:proofErr w:type="gramEnd"/>
    <w:r w:rsidR="00F85FCB">
      <w:rPr>
        <w:szCs w:val="21"/>
      </w:rPr>
      <w:fldChar w:fldCharType="begin"/>
    </w:r>
    <w:r>
      <w:rPr>
        <w:szCs w:val="21"/>
      </w:rPr>
      <w:instrText xml:space="preserve"> NUMPAGES </w:instrText>
    </w:r>
    <w:r w:rsidR="00F85FCB">
      <w:rPr>
        <w:szCs w:val="21"/>
      </w:rPr>
      <w:fldChar w:fldCharType="separate"/>
    </w:r>
    <w:r w:rsidR="003177CA">
      <w:rPr>
        <w:noProof/>
        <w:szCs w:val="21"/>
      </w:rPr>
      <w:t>30</w:t>
    </w:r>
    <w:r w:rsidR="00F85FCB">
      <w:rPr>
        <w:szCs w:val="21"/>
      </w:rPr>
      <w:fldChar w:fldCharType="end"/>
    </w:r>
    <w:r>
      <w:rPr>
        <w:rFonts w:hint="eastAsia"/>
        <w:szCs w:val="21"/>
      </w:rPr>
      <w:t>页</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611CB2" w:rsidRDefault="00F85FCB">
    <w:pPr>
      <w:pStyle w:val="a6"/>
      <w:framePr w:hAnchor="margin" w:vAnchor="text" w:wrap="around"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611CB2" w:rsidRDefault="00F85FCB">
    <w:pPr>
      <w:pStyle w:val="a6"/>
      <w:framePr w:hAnchor="margin" w:vAnchor="text" w:wrap="around" w:xAlign="center" w:y="1"/>
      <w:rPr>
        <w:rStyle w:val="a7"/>
      </w:rPr>
    </w:pPr>
    <w:r>
      <w:rPr>
        <w:rStyle w:val="a7"/>
      </w:rPr>
      <w:fldChar w:fldCharType="begin"/>
    </w:r>
    <w:r w:rsidR="00611CB2">
      <w:rPr>
        <w:rStyle w:val="a7"/>
      </w:rPr>
      <w:instrText xml:space="preserve">PAGE  </w:instrText>
    </w:r>
    <w:r>
      <w:rPr>
        <w:rStyle w:val="a7"/>
      </w:rPr>
      <w:fldChar w:fldCharType="separate"/>
    </w:r>
    <w:r w:rsidR="007320AD">
      <w:rPr>
        <w:rStyle w:val="a7"/>
        <w:noProof/>
      </w:rPr>
      <w:t>8</w:t>
    </w:r>
    <w:r>
      <w:rPr>
        <w:rStyle w:val="a7"/>
      </w:rPr>
      <w:fldChar w:fldCharType="end"/>
    </w:r>
  </w:p>
  <w:p w:rsidR="00611CB2" w:rsidRDefault="00611CB2">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C74CED" w:rsidRDefault="00C74CED">
      <w:r>
        <w:separator/>
      </w:r>
    </w:p>
  </w:footnote>
  <w:footnote w:id="0" w:type="continuationSeparator">
    <w:p w:rsidR="00C74CED" w:rsidRDefault="00C74CED">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207F2" w:rsidR="00611CB2" w:rsidRDefault="00611CB2" w:rsidRPr="00DA451D">
    <w:pPr>
      <w:pStyle w:val="a9"/>
      <w:pBdr>
        <w:bottom w:color="auto" w:space="0" w:sz="6" w:val="single"/>
      </w:pBdr>
      <w:jc w:val="right"/>
    </w:pPr>
    <w:r w:rsidRPr="00DA451D">
      <w:t/>
    </w:r>
    <w:proofErr w:type="spellStart"/>
    <w:proofErr w:type="gramStart"/>
    <w:r w:rsidRPr="00DA451D">
      <w:t/>
    </w:r>
    <w:proofErr w:type="spellEnd"/>
    <w:proofErr w:type="gramEnd"/>
    <w:r w:rsidRPr="00DA451D">
      <w:t>易方达信用债债券型证券投资基金</w:t>
    </w:r>
    <w:proofErr w:type="spellStart"/>
    <w:r w:rsidRPr="00DA451D">
      <w:t/>
    </w:r>
    <w:proofErr w:type="spellEnd"/>
    <w:r w:rsidRPr="00DA451D">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cs="Times New Roman" w:hAnsi="宋体" w:hint="default"/>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lvlOverride w:ilvl="2">
      <w:lvl w:ilvl="2">
        <w:start w:val="1"/>
        <w:numFmt w:val="decimal"/>
        <w:lvlText w:val="%1.%2.%3"/>
        <w:lvlJc w:val="left"/>
        <w:pPr>
          <w:tabs>
            <w:tab w:pos="1418" w:val="num"/>
          </w:tabs>
          <w:ind w:hanging="567" w:left="1418"/>
        </w:pPr>
        <w:rPr>
          <w:rFonts w:cs="Times New Roman"/>
        </w:r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12A"/>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626C"/>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58E0"/>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4B71"/>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3065"/>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177CA"/>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816"/>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0AD"/>
    <w:rsid w:val="00732D1D"/>
    <w:rsid w:val="00734119"/>
    <w:rsid w:val="007350D4"/>
    <w:rsid w:val="00736034"/>
    <w:rsid w:val="00736D15"/>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1AB6"/>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514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41"/>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33AD"/>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4CE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287"/>
    <w:rsid w:val="00D857AE"/>
    <w:rsid w:val="00D8623D"/>
    <w:rsid w:val="00D867FB"/>
    <w:rsid w:val="00D86D97"/>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630"/>
    <w:rsid w:val="00E508EB"/>
    <w:rsid w:val="00E521E3"/>
    <w:rsid w:val="00E53B7A"/>
    <w:rsid w:val="00E550C9"/>
    <w:rsid w:val="00E55405"/>
    <w:rsid w:val="00E5645D"/>
    <w:rsid w:val="00E627A4"/>
    <w:rsid w:val="00E6280E"/>
    <w:rsid w:val="00E62C9C"/>
    <w:rsid w:val="00E630EE"/>
    <w:rsid w:val="00E64D70"/>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C9B"/>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A1C"/>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Normal Indent" w:semiHidden="0" w:uiPriority="0" w:unhideWhenUsed="0"/>
    <w:lsdException w:name="annotation text" w:uiPriority="0"/>
    <w:lsdException w:locked="1" w:name="header" w:semiHidden="0" w:uiPriority="0" w:unhideWhenUsed="0"/>
    <w:lsdException w:locked="1" w:name="caption" w:qFormat="1" w:uiPriority="0"/>
    <w:lsdException w:name="annotation reference"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6A4828"/>
    <w:pPr>
      <w:keepNext/>
      <w:keepLines/>
      <w:spacing w:after="260" w:before="260" w:line="360" w:lineRule="auto"/>
      <w:outlineLvl w:val="1"/>
    </w:pPr>
    <w:rPr>
      <w:rFonts w:ascii="Cambria" w:hAnsi="Cambria"/>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180952"/>
    <w:rPr>
      <w:b/>
      <w:kern w:val="44"/>
      <w:sz w:val="44"/>
    </w:rPr>
  </w:style>
  <w:style w:customStyle="1" w:styleId="2Char" w:type="character">
    <w:name w:val="标题 2 Char"/>
    <w:link w:val="2"/>
    <w:uiPriority w:val="99"/>
    <w:semiHidden/>
    <w:locked/>
    <w:rsid w:val="00AB1112"/>
    <w:rPr>
      <w:rFonts w:ascii="Cambria" w:eastAsia="宋体" w:hAnsi="Cambria"/>
      <w:b/>
      <w:sz w:val="32"/>
    </w:rPr>
  </w:style>
  <w:style w:styleId="a0" w:type="paragraph">
    <w:name w:val="Normal Indent"/>
    <w:basedOn w:val="a"/>
    <w:uiPriority w:val="99"/>
    <w:rsid w:val="006A4828"/>
    <w:pPr>
      <w:ind w:firstLine="420" w:firstLineChars="200"/>
    </w:pPr>
  </w:style>
  <w:style w:styleId="a4" w:type="paragraph">
    <w:name w:val="Body Text Indent"/>
    <w:basedOn w:val="a"/>
    <w:link w:val="Char"/>
    <w:uiPriority w:val="99"/>
    <w:rsid w:val="006A4828"/>
    <w:pPr>
      <w:widowControl/>
      <w:spacing w:after="100" w:afterAutospacing="1" w:before="100" w:beforeAutospacing="1"/>
      <w:jc w:val="left"/>
    </w:pPr>
    <w:rPr>
      <w:kern w:val="0"/>
      <w:sz w:val="24"/>
    </w:rPr>
  </w:style>
  <w:style w:customStyle="1" w:styleId="Char" w:type="character">
    <w:name w:val="正文文本缩进 Char"/>
    <w:link w:val="a4"/>
    <w:uiPriority w:val="99"/>
    <w:semiHidden/>
    <w:locked/>
    <w:rsid w:val="00AB1112"/>
    <w:rPr>
      <w:sz w:val="24"/>
    </w:rPr>
  </w:style>
  <w:style w:styleId="a5" w:type="paragraph">
    <w:name w:val="Plain Text"/>
    <w:basedOn w:val="a"/>
    <w:link w:val="Char0"/>
    <w:uiPriority w:val="99"/>
    <w:rsid w:val="006A4828"/>
    <w:rPr>
      <w:rFonts w:ascii="宋体" w:hAnsi="Courier New"/>
      <w:szCs w:val="21"/>
    </w:rPr>
  </w:style>
  <w:style w:customStyle="1" w:styleId="Char0" w:type="character">
    <w:name w:val="纯文本 Char"/>
    <w:link w:val="a5"/>
    <w:uiPriority w:val="99"/>
    <w:locked/>
    <w:rsid w:val="009A045B"/>
    <w:rPr>
      <w:rFonts w:ascii="宋体" w:hAnsi="Courier New"/>
      <w:kern w:val="2"/>
      <w:sz w:val="21"/>
    </w:rPr>
  </w:style>
  <w:style w:styleId="20" w:type="paragraph">
    <w:name w:val="Body Text Indent 2"/>
    <w:basedOn w:val="a"/>
    <w:link w:val="2Char0"/>
    <w:uiPriority w:val="99"/>
    <w:rsid w:val="006A4828"/>
    <w:pPr>
      <w:spacing w:line="560" w:lineRule="exact"/>
      <w:ind w:firstLine="480" w:firstLineChars="200"/>
    </w:pPr>
    <w:rPr>
      <w:kern w:val="0"/>
      <w:sz w:val="24"/>
    </w:rPr>
  </w:style>
  <w:style w:customStyle="1" w:styleId="2Char0" w:type="character">
    <w:name w:val="正文文本缩进 2 Char"/>
    <w:link w:val="20"/>
    <w:uiPriority w:val="99"/>
    <w:semiHidden/>
    <w:locked/>
    <w:rsid w:val="00AB1112"/>
    <w:rPr>
      <w:sz w:val="24"/>
    </w:rPr>
  </w:style>
  <w:style w:styleId="a6" w:type="paragraph">
    <w:name w:val="footer"/>
    <w:basedOn w:val="a"/>
    <w:link w:val="Char1"/>
    <w:uiPriority w:val="99"/>
    <w:rsid w:val="006A4828"/>
    <w:pPr>
      <w:tabs>
        <w:tab w:pos="4153" w:val="center"/>
        <w:tab w:pos="8306" w:val="right"/>
      </w:tabs>
      <w:snapToGrid w:val="0"/>
      <w:jc w:val="left"/>
    </w:pPr>
    <w:rPr>
      <w:kern w:val="0"/>
      <w:sz w:val="18"/>
      <w:szCs w:val="18"/>
    </w:rPr>
  </w:style>
  <w:style w:customStyle="1" w:styleId="Char1" w:type="character">
    <w:name w:val="页脚 Char"/>
    <w:link w:val="a6"/>
    <w:uiPriority w:val="99"/>
    <w:semiHidden/>
    <w:locked/>
    <w:rsid w:val="00AB1112"/>
    <w:rPr>
      <w:sz w:val="18"/>
    </w:rPr>
  </w:style>
  <w:style w:styleId="a7" w:type="character">
    <w:name w:val="page number"/>
    <w:uiPriority w:val="99"/>
    <w:rsid w:val="006A4828"/>
    <w:rPr>
      <w:rFonts w:cs="Times New Roman"/>
    </w:rPr>
  </w:style>
  <w:style w:styleId="a8" w:type="character">
    <w:name w:val="Hyperlink"/>
    <w:uiPriority w:val="99"/>
    <w:rsid w:val="006A4828"/>
    <w:rPr>
      <w:rFonts w:cs="Times New Roman"/>
      <w:color w:val="0000FF"/>
      <w:u w:val="single"/>
    </w:rPr>
  </w:style>
  <w:style w:styleId="3" w:type="paragraph">
    <w:name w:val="Body Text Indent 3"/>
    <w:basedOn w:val="a"/>
    <w:link w:val="3Char"/>
    <w:uiPriority w:val="99"/>
    <w:rsid w:val="006A4828"/>
    <w:pPr>
      <w:spacing w:line="560" w:lineRule="exact"/>
      <w:ind w:firstLine="420" w:firstLineChars="200"/>
    </w:pPr>
    <w:rPr>
      <w:kern w:val="0"/>
      <w:sz w:val="16"/>
      <w:szCs w:val="16"/>
    </w:rPr>
  </w:style>
  <w:style w:customStyle="1" w:styleId="3Char" w:type="character">
    <w:name w:val="正文文本缩进 3 Char"/>
    <w:link w:val="3"/>
    <w:uiPriority w:val="99"/>
    <w:semiHidden/>
    <w:locked/>
    <w:rsid w:val="00AB1112"/>
    <w:rPr>
      <w:sz w:val="16"/>
    </w:rPr>
  </w:style>
  <w:style w:styleId="a9" w:type="paragraph">
    <w:name w:val="header"/>
    <w:basedOn w:val="a"/>
    <w:link w:val="Char2"/>
    <w:uiPriority w:val="99"/>
    <w:rsid w:val="006A4828"/>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1207F2"/>
    <w:rPr>
      <w:kern w:val="2"/>
      <w:sz w:val="18"/>
    </w:rPr>
  </w:style>
  <w:style w:customStyle="1" w:styleId="10" w:type="character">
    <w:name w:val="已访问的超链接1"/>
    <w:uiPriority w:val="99"/>
    <w:rsid w:val="006A4828"/>
    <w:rPr>
      <w:color w:val="800080"/>
      <w:u w:val="single"/>
    </w:rPr>
  </w:style>
  <w:style w:styleId="aa" w:type="paragraph">
    <w:name w:val="List"/>
    <w:basedOn w:val="ab"/>
    <w:uiPriority w:val="99"/>
    <w:rsid w:val="006A4828"/>
    <w:pPr>
      <w:spacing w:after="220" w:line="220" w:lineRule="atLeast"/>
      <w:ind w:hanging="360" w:left="1440"/>
    </w:pPr>
    <w:rPr>
      <w:szCs w:val="20"/>
    </w:rPr>
  </w:style>
  <w:style w:styleId="ab" w:type="paragraph">
    <w:name w:val="Body Text"/>
    <w:basedOn w:val="a"/>
    <w:link w:val="Char3"/>
    <w:uiPriority w:val="99"/>
    <w:rsid w:val="006A4828"/>
    <w:pPr>
      <w:spacing w:after="120"/>
    </w:pPr>
    <w:rPr>
      <w:kern w:val="0"/>
      <w:sz w:val="24"/>
    </w:rPr>
  </w:style>
  <w:style w:customStyle="1" w:styleId="Char3" w:type="character">
    <w:name w:val="正文文本 Char"/>
    <w:link w:val="ab"/>
    <w:uiPriority w:val="99"/>
    <w:semiHidden/>
    <w:locked/>
    <w:rsid w:val="00AB1112"/>
    <w:rPr>
      <w:sz w:val="24"/>
    </w:rPr>
  </w:style>
  <w:style w:styleId="ac" w:type="paragraph">
    <w:name w:val="Date"/>
    <w:basedOn w:val="a"/>
    <w:next w:val="a"/>
    <w:link w:val="Char4"/>
    <w:uiPriority w:val="99"/>
    <w:rsid w:val="006A4828"/>
    <w:rPr>
      <w:sz w:val="24"/>
      <w:szCs w:val="20"/>
    </w:rPr>
  </w:style>
  <w:style w:customStyle="1" w:styleId="Char4" w:type="character">
    <w:name w:val="日期 Char"/>
    <w:link w:val="ac"/>
    <w:uiPriority w:val="99"/>
    <w:locked/>
    <w:rsid w:val="00D66685"/>
    <w:rPr>
      <w:kern w:val="2"/>
      <w:sz w:val="24"/>
    </w:rPr>
  </w:style>
  <w:style w:customStyle="1" w:styleId="c1" w:type="character">
    <w:name w:val="c1"/>
    <w:uiPriority w:val="99"/>
    <w:rsid w:val="006A4828"/>
    <w:rPr>
      <w:color w:val="000000"/>
      <w:sz w:val="18"/>
    </w:rPr>
  </w:style>
  <w:style w:styleId="11" w:type="paragraph">
    <w:name w:val="index 1"/>
    <w:basedOn w:val="a"/>
    <w:next w:val="a"/>
    <w:autoRedefine/>
    <w:uiPriority w:val="99"/>
    <w:semiHidden/>
    <w:rsid w:val="006A4828"/>
    <w:pPr>
      <w:jc w:val="right"/>
    </w:pPr>
    <w:rPr>
      <w:color w:val="008000"/>
    </w:rPr>
  </w:style>
  <w:style w:customStyle="1" w:styleId="font5" w:type="paragraph">
    <w:name w:val="font5"/>
    <w:basedOn w:val="a"/>
    <w:uiPriority w:val="99"/>
    <w:rsid w:val="006A4828"/>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link w:val="Char5"/>
    <w:uiPriority w:val="99"/>
    <w:semiHidden/>
    <w:rsid w:val="006A4828"/>
    <w:rPr>
      <w:kern w:val="0"/>
      <w:sz w:val="2"/>
      <w:szCs w:val="20"/>
    </w:rPr>
  </w:style>
  <w:style w:customStyle="1" w:styleId="Char5" w:type="character">
    <w:name w:val="批注框文本 Char"/>
    <w:link w:val="ad"/>
    <w:uiPriority w:val="99"/>
    <w:semiHidden/>
    <w:locked/>
    <w:rsid w:val="00AB1112"/>
    <w:rPr>
      <w:sz w:val="2"/>
    </w:rPr>
  </w:style>
  <w:style w:styleId="ae" w:type="character">
    <w:name w:val="annotation reference"/>
    <w:semiHidden/>
    <w:rsid w:val="006A4828"/>
    <w:rPr>
      <w:rFonts w:cs="Times New Roman"/>
      <w:sz w:val="21"/>
    </w:rPr>
  </w:style>
  <w:style w:styleId="af" w:type="paragraph">
    <w:name w:val="annotation text"/>
    <w:basedOn w:val="a"/>
    <w:link w:val="Char6"/>
    <w:semiHidden/>
    <w:rsid w:val="006A4828"/>
    <w:pPr>
      <w:jc w:val="left"/>
    </w:pPr>
    <w:rPr>
      <w:kern w:val="0"/>
      <w:sz w:val="24"/>
    </w:rPr>
  </w:style>
  <w:style w:customStyle="1" w:styleId="Char6" w:type="character">
    <w:name w:val="批注文字 Char"/>
    <w:link w:val="af"/>
    <w:uiPriority w:val="99"/>
    <w:semiHidden/>
    <w:locked/>
    <w:rsid w:val="00AB1112"/>
    <w:rPr>
      <w:sz w:val="24"/>
    </w:rPr>
  </w:style>
  <w:style w:styleId="af0" w:type="paragraph">
    <w:name w:val="annotation subject"/>
    <w:basedOn w:val="af"/>
    <w:next w:val="af"/>
    <w:link w:val="Char7"/>
    <w:uiPriority w:val="99"/>
    <w:semiHidden/>
    <w:rsid w:val="006A4828"/>
    <w:rPr>
      <w:b/>
      <w:bCs/>
    </w:rPr>
  </w:style>
  <w:style w:customStyle="1" w:styleId="Char7" w:type="character">
    <w:name w:val="批注主题 Char"/>
    <w:link w:val="af0"/>
    <w:uiPriority w:val="99"/>
    <w:semiHidden/>
    <w:locked/>
    <w:rsid w:val="00AB1112"/>
    <w:rPr>
      <w:b/>
      <w:sz w:val="24"/>
    </w:rPr>
  </w:style>
  <w:style w:customStyle="1" w:styleId="Char8" w:type="paragraph">
    <w:name w:val="Char"/>
    <w:basedOn w:val="a"/>
    <w:uiPriority w:val="99"/>
    <w:rsid w:val="006A4828"/>
  </w:style>
  <w:style w:styleId="af1" w:type="paragraph">
    <w:name w:val="Document Map"/>
    <w:basedOn w:val="a"/>
    <w:link w:val="Char9"/>
    <w:uiPriority w:val="99"/>
    <w:semiHidden/>
    <w:rsid w:val="000A549A"/>
    <w:pPr>
      <w:shd w:color="auto" w:fill="000080" w:val="clear"/>
    </w:pPr>
    <w:rPr>
      <w:kern w:val="0"/>
      <w:sz w:val="2"/>
      <w:szCs w:val="20"/>
    </w:rPr>
  </w:style>
  <w:style w:customStyle="1" w:styleId="Char9" w:type="character">
    <w:name w:val="文档结构图 Char"/>
    <w:link w:val="af1"/>
    <w:uiPriority w:val="99"/>
    <w:semiHidden/>
    <w:locked/>
    <w:rsid w:val="00AB1112"/>
    <w:rPr>
      <w:sz w:val="2"/>
    </w:r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a"/>
    <w:uiPriority w:val="99"/>
    <w:rsid w:val="000B251E"/>
    <w:pPr>
      <w:snapToGrid w:val="0"/>
      <w:jc w:val="left"/>
    </w:pPr>
    <w:rPr>
      <w:sz w:val="18"/>
      <w:szCs w:val="18"/>
    </w:rPr>
  </w:style>
  <w:style w:customStyle="1" w:styleId="Chara" w:type="character">
    <w:name w:val="脚注文本 Char"/>
    <w:link w:val="af3"/>
    <w:uiPriority w:val="99"/>
    <w:locked/>
    <w:rsid w:val="00CB481C"/>
    <w:rPr>
      <w:kern w:val="2"/>
      <w:sz w:val="18"/>
    </w:rPr>
  </w:style>
  <w:style w:styleId="af4" w:type="character">
    <w:name w:val="footnote reference"/>
    <w:uiPriority w:val="99"/>
    <w:rsid w:val="000B251E"/>
    <w:rPr>
      <w:rFonts w:cs="Times New Roman"/>
      <w:vertAlign w:val="superscript"/>
    </w:rPr>
  </w:style>
  <w:style w:styleId="af5" w:type="paragraph">
    <w:name w:val="Normal (Web)"/>
    <w:basedOn w:val="a"/>
    <w:uiPriority w:val="99"/>
    <w:rsid w:val="00B25807"/>
    <w:pPr>
      <w:widowControl/>
      <w:spacing w:after="100" w:afterAutospacing="1" w:before="100" w:beforeAutospacing="1"/>
      <w:jc w:val="left"/>
    </w:pPr>
    <w:rPr>
      <w:rFonts w:ascii="宋体" w:hAnsi="宋体"/>
      <w:kern w:val="0"/>
      <w:sz w:val="24"/>
    </w:rPr>
  </w:style>
  <w:style w:customStyle="1" w:styleId="Char10" w:type="paragraph">
    <w:name w:val="Char1"/>
    <w:basedOn w:val="a"/>
    <w:uiPriority w:val="99"/>
    <w:rsid w:val="00D97213"/>
  </w:style>
  <w:style w:customStyle="1" w:styleId="t1" w:type="character">
    <w:name w:val="t1"/>
    <w:uiPriority w:val="99"/>
    <w:rsid w:val="002D2A00"/>
    <w:rPr>
      <w:color w:val="990000"/>
    </w:rPr>
  </w:style>
  <w:style w:customStyle="1" w:styleId="Default" w:type="paragraph">
    <w:name w:val="Default"/>
    <w:uiPriority w:val="99"/>
    <w:rsid w:val="00CB481C"/>
    <w:pPr>
      <w:widowControl w:val="0"/>
      <w:autoSpaceDE w:val="0"/>
      <w:autoSpaceDN w:val="0"/>
      <w:adjustRightInd w:val="0"/>
    </w:pPr>
    <w:rPr>
      <w:rFonts w:ascii="FangSong" w:cs="FangSong" w:hAnsi="FangSong"/>
      <w:color w:val="000000"/>
      <w:sz w:val="24"/>
      <w:szCs w:val="24"/>
    </w:rPr>
  </w:style>
  <w:style w:customStyle="1" w:styleId="5" w:type="numbering">
    <w:name w:val="样式5"/>
    <w:rsid w:val="00C00FED"/>
    <w:pPr>
      <w:numPr>
        <w:numId w:val="8"/>
      </w:numPr>
    </w:pPr>
  </w:style>
  <w:style w:styleId="af6" w:type="character">
    <w:name w:val="Strong"/>
    <w:uiPriority w:val="22"/>
    <w:qFormat/>
    <w:locked/>
    <w:rsid w:val="00AE24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Char">
    <w:name w:val="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abc季报.dot</Template>
  <TotalTime>413</TotalTime>
  <Pages>30</Pages>
  <Words>4559</Words>
  <Characters>25992</Characters>
  <Application>Microsoft Office Word</Application>
  <DocSecurity>0</DocSecurity>
  <Lines>216</Lines>
  <Paragraphs>60</Paragraphs>
  <ScaleCrop>false</ScaleCrop>
  <Company>TRT. Ltd. Co.</Company>
  <LinksUpToDate>false</LinksUpToDate>
  <CharactersWithSpaces>30491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sirong han</cp:lastModifiedBy>
  <cp:lastPrinted>2007-07-19T00:46:00Z</cp:lastPrinted>
  <dcterms:modified xsi:type="dcterms:W3CDTF">2020-10-20T06:24:00Z</dcterms:modified>
  <cp:revision>181</cp:revision>
</cp:coreProperties>
</file>