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rStyle w:val="af8"/>
          <w:szCs w:val="21"/>
        </w:rPr>
      </w:pPr>
    </w:p>
    <w:p w:rsidR="00711C4C" w:rsidRPr="00D749D4" w:rsidRDefault="00711C4C" w:rsidP="00F07EDE">
      <w:pPr>
        <w:spacing w:line="360" w:lineRule="auto"/>
        <w:jc w:val="center"/>
        <w:rPr>
          <w:b/>
          <w:sz w:val="44"/>
          <w:szCs w:val="44"/>
        </w:rPr>
      </w:pPr>
      <w:bookmarkStart w:id="0" w:name="_Toc352254876"/>
      <w:bookmarkStart w:id="1" w:name="_Toc352255956"/>
      <w:bookmarkStart w:id="2" w:name="_Toc352256024"/>
      <w:bookmarkStart w:id="3" w:name="_Toc352256201"/>
      <w:bookmarkStart w:id="4" w:name="_Toc352331202"/>
      <w:r w:rsidRPr="00D749D4">
        <w:rPr>
          <w:b/>
          <w:sz w:val="44"/>
          <w:szCs w:val="44"/>
        </w:rPr>
        <w:t>易方达纳斯达克</w:t>
      </w:r>
      <w:r w:rsidRPr="00D749D4">
        <w:rPr>
          <w:b/>
          <w:sz w:val="44"/>
          <w:szCs w:val="44"/>
        </w:rPr>
        <w:t>100</w:t>
      </w:r>
      <w:r w:rsidRPr="00D749D4">
        <w:rPr>
          <w:b/>
          <w:sz w:val="44"/>
          <w:szCs w:val="44"/>
        </w:rPr>
        <w:t>指数证券投资基金（</w:t>
      </w:r>
      <w:r w:rsidRPr="00D749D4">
        <w:rPr>
          <w:b/>
          <w:sz w:val="44"/>
          <w:szCs w:val="44"/>
        </w:rPr>
        <w:t>LOF</w:t>
      </w:r>
      <w:r w:rsidRPr="00D749D4">
        <w:rPr>
          <w:b/>
          <w:sz w:val="44"/>
          <w:szCs w:val="44"/>
        </w:rPr>
        <w:t>）</w:t>
      </w:r>
      <w:bookmarkEnd w:id="0"/>
      <w:bookmarkEnd w:id="1"/>
      <w:bookmarkEnd w:id="2"/>
      <w:bookmarkEnd w:id="3"/>
      <w:bookmarkEnd w:id="4"/>
    </w:p>
    <w:p w:rsidR="00711C4C" w:rsidRPr="00D749D4" w:rsidRDefault="00711C4C" w:rsidP="00F07EDE">
      <w:pPr>
        <w:spacing w:line="360" w:lineRule="auto"/>
        <w:jc w:val="center"/>
        <w:rPr>
          <w:b/>
          <w:sz w:val="44"/>
          <w:szCs w:val="44"/>
        </w:rPr>
      </w:pPr>
      <w:bookmarkStart w:id="5" w:name="_Toc352254877"/>
      <w:bookmarkStart w:id="6" w:name="_Toc352255957"/>
      <w:bookmarkStart w:id="7" w:name="_Toc352256025"/>
      <w:bookmarkStart w:id="8" w:name="_Toc352256202"/>
      <w:bookmarkStart w:id="9" w:name="_Toc352331203"/>
      <w:r w:rsidRPr="00D749D4">
        <w:rPr>
          <w:b/>
          <w:sz w:val="44"/>
          <w:szCs w:val="44"/>
        </w:rPr>
        <w:t>2020</w:t>
      </w:r>
      <w:r w:rsidRPr="00D749D4">
        <w:rPr>
          <w:b/>
          <w:sz w:val="44"/>
          <w:szCs w:val="44"/>
        </w:rPr>
        <w:t>年中期报告</w:t>
      </w:r>
      <w:bookmarkEnd w:id="5"/>
      <w:bookmarkEnd w:id="6"/>
      <w:bookmarkEnd w:id="7"/>
      <w:bookmarkEnd w:id="8"/>
      <w:bookmarkEnd w:id="9"/>
    </w:p>
    <w:p w:rsidR="00711C4C" w:rsidRPr="00D749D4" w:rsidRDefault="00711C4C" w:rsidP="00F07EDE">
      <w:pPr>
        <w:spacing w:line="360" w:lineRule="auto"/>
        <w:jc w:val="center"/>
        <w:rPr>
          <w:b/>
          <w:sz w:val="44"/>
          <w:szCs w:val="44"/>
        </w:rPr>
      </w:pPr>
      <w:r w:rsidRPr="00D749D4">
        <w:rPr>
          <w:b/>
          <w:sz w:val="44"/>
          <w:szCs w:val="44"/>
        </w:rPr>
        <w:t>2020</w:t>
      </w:r>
      <w:r w:rsidRPr="00D749D4">
        <w:rPr>
          <w:b/>
          <w:sz w:val="44"/>
          <w:szCs w:val="44"/>
        </w:rPr>
        <w:t>年</w:t>
      </w:r>
      <w:r w:rsidRPr="00D749D4">
        <w:rPr>
          <w:b/>
          <w:sz w:val="44"/>
          <w:szCs w:val="44"/>
        </w:rPr>
        <w:t>6</w:t>
      </w:r>
      <w:r w:rsidRPr="00D749D4">
        <w:rPr>
          <w:b/>
          <w:sz w:val="44"/>
          <w:szCs w:val="44"/>
        </w:rPr>
        <w:t>月</w:t>
      </w:r>
      <w:r w:rsidRPr="00D749D4">
        <w:rPr>
          <w:b/>
          <w:sz w:val="44"/>
          <w:szCs w:val="44"/>
        </w:rPr>
        <w:t>30</w:t>
      </w:r>
      <w:r w:rsidRPr="00D749D4">
        <w:rPr>
          <w:b/>
          <w:sz w:val="44"/>
          <w:szCs w:val="44"/>
        </w:rPr>
        <w:t>日</w:t>
      </w:r>
    </w:p>
    <w:p w:rsidR="00711C4C" w:rsidRPr="00D749D4" w:rsidRDefault="00711C4C" w:rsidP="006D141C">
      <w:pPr>
        <w:spacing w:line="360" w:lineRule="auto"/>
        <w:jc w:val="center"/>
        <w:rPr>
          <w:bCs/>
          <w:color w:val="000000"/>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rPr>
          <w:b/>
          <w:color w:val="000000"/>
          <w:szCs w:val="21"/>
        </w:rPr>
      </w:pP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基金管理人：</w:t>
      </w:r>
      <w:r w:rsidRPr="00D749D4">
        <w:rPr>
          <w:color w:val="000000"/>
          <w:sz w:val="24"/>
        </w:rPr>
        <w:t>易方达基金管理有限公司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基金托管人：</w:t>
      </w:r>
      <w:r w:rsidRPr="00D749D4">
        <w:rPr>
          <w:color w:val="000000"/>
          <w:sz w:val="24"/>
        </w:rPr>
        <w:t>中国建设银行股份有限公司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送出日期：</w:t>
      </w:r>
      <w:r w:rsidRPr="00D749D4">
        <w:rPr>
          <w:color w:val="000000"/>
          <w:sz w:val="24"/>
        </w:rPr>
        <w:t>二〇二〇年八月二十八日</w:t>
      </w:r>
    </w:p>
    <w:p w:rsidR="00711C4C" w:rsidRPr="00D749D4" w:rsidRDefault="00711C4C" w:rsidP="00DB1E0B">
      <w:pPr>
        <w:spacing w:line="288" w:lineRule="auto"/>
        <w:ind w:firstLineChars="900" w:firstLine="1897"/>
        <w:rPr>
          <w:b/>
          <w:color w:val="000000"/>
          <w:szCs w:val="21"/>
        </w:rPr>
        <w:sectPr w:rsidR="00711C4C" w:rsidRPr="00D749D4">
          <w:headerReference w:type="default" r:id="rId7"/>
          <w:pgSz w:w="11926" w:h="15840"/>
          <w:pgMar w:top="1418" w:right="1418" w:bottom="851" w:left="1418" w:header="851" w:footer="992" w:gutter="0"/>
          <w:cols w:space="720"/>
        </w:sectPr>
      </w:pP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0" w:name="_Toc225498243"/>
      <w:bookmarkStart w:id="11" w:name="_Toc352255958"/>
      <w:bookmarkStart w:id="12" w:name="_Toc352256026"/>
      <w:bookmarkStart w:id="13" w:name="_Toc352331204"/>
      <w:bookmarkStart w:id="14" w:name="_Toc374611636"/>
      <w:bookmarkStart w:id="15" w:name="_Toc48664205"/>
      <w:r w:rsidRPr="00964699">
        <w:rPr>
          <w:rFonts w:ascii="宋体" w:hAnsi="宋体" w:cs="Arial"/>
          <w:color w:val="000000"/>
          <w:sz w:val="21"/>
          <w:szCs w:val="21"/>
        </w:rPr>
        <w:lastRenderedPageBreak/>
        <w:t>1</w:t>
      </w:r>
      <w:r w:rsidR="006B4E2C" w:rsidRPr="006B4E2C">
        <w:rPr>
          <w:rFonts w:ascii="宋体" w:hAnsi="宋体" w:cs="Arial"/>
          <w:color w:val="000000"/>
          <w:sz w:val="21"/>
          <w:szCs w:val="21"/>
        </w:rPr>
        <w:tab/>
      </w:r>
      <w:r w:rsidRPr="00964699">
        <w:rPr>
          <w:rFonts w:ascii="宋体" w:hAnsi="宋体" w:cs="Arial" w:hint="eastAsia"/>
          <w:color w:val="000000"/>
          <w:sz w:val="21"/>
          <w:szCs w:val="21"/>
        </w:rPr>
        <w:t>重要提示及目录</w:t>
      </w:r>
      <w:bookmarkEnd w:id="10"/>
      <w:bookmarkEnd w:id="11"/>
      <w:bookmarkEnd w:id="12"/>
      <w:bookmarkEnd w:id="13"/>
      <w:bookmarkEnd w:id="14"/>
      <w:bookmarkEnd w:id="1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 w:name="_Toc352255959"/>
      <w:bookmarkStart w:id="17" w:name="_Toc352256027"/>
      <w:bookmarkStart w:id="18" w:name="_Toc352331205"/>
      <w:bookmarkStart w:id="19" w:name="_Toc374611637"/>
      <w:bookmarkStart w:id="20" w:name="_Toc48664206"/>
      <w:r w:rsidRPr="0087410D">
        <w:rPr>
          <w:rFonts w:ascii="宋体" w:hAnsi="宋体"/>
          <w:kern w:val="0"/>
          <w:sz w:val="21"/>
          <w:szCs w:val="21"/>
        </w:rPr>
        <w:t>1.1</w:t>
      </w:r>
      <w:r w:rsidR="00BE2F8C" w:rsidRPr="006B4E2C">
        <w:rPr>
          <w:rFonts w:ascii="宋体" w:hAnsi="宋体"/>
          <w:kern w:val="0"/>
          <w:sz w:val="21"/>
          <w:szCs w:val="21"/>
        </w:rPr>
        <w:tab/>
      </w:r>
      <w:r w:rsidRPr="0087410D">
        <w:rPr>
          <w:rFonts w:ascii="宋体" w:hAnsi="宋体" w:hint="eastAsia"/>
          <w:kern w:val="0"/>
          <w:sz w:val="21"/>
          <w:szCs w:val="21"/>
        </w:rPr>
        <w:t>重要提示</w:t>
      </w:r>
      <w:bookmarkEnd w:id="16"/>
      <w:bookmarkEnd w:id="17"/>
      <w:bookmarkEnd w:id="18"/>
      <w:bookmarkEnd w:id="19"/>
      <w:bookmarkEnd w:id="20"/>
    </w:p>
    <w:p w:rsidR="00CF426B" w:rsidRDefault="005F6DDD">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CF426B" w:rsidRDefault="005F6DDD">
      <w:pPr>
        <w:spacing w:line="360" w:lineRule="auto"/>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CF426B" w:rsidRDefault="005F6DDD">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CF426B" w:rsidRDefault="005F6DDD">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CF426B" w:rsidRDefault="005F6DDD">
      <w:pPr>
        <w:spacing w:line="360" w:lineRule="auto"/>
        <w:ind w:firstLineChars="200" w:firstLine="420"/>
        <w:rPr>
          <w:szCs w:val="21"/>
        </w:rPr>
      </w:pPr>
      <w:r>
        <w:rPr>
          <w:color w:val="000000"/>
          <w:szCs w:val="21"/>
        </w:rPr>
        <w:t>本报告中财务资料未经审计。</w:t>
      </w:r>
      <w:r>
        <w:rPr>
          <w:color w:val="000000"/>
          <w:szCs w:val="21"/>
        </w:rPr>
        <w:t xml:space="preserve"> </w:t>
      </w:r>
    </w:p>
    <w:p w:rsidR="00711C4C" w:rsidRPr="00224952" w:rsidRDefault="00711C4C" w:rsidP="00AB0FF3">
      <w:pPr>
        <w:spacing w:line="360" w:lineRule="auto"/>
        <w:ind w:firstLineChars="200" w:firstLine="420"/>
        <w:rPr>
          <w:szCs w:val="21"/>
        </w:rPr>
      </w:pPr>
      <w:r w:rsidRPr="00D749D4">
        <w:rPr>
          <w:color w:val="000000"/>
          <w:szCs w:val="21"/>
        </w:rPr>
        <w:t>本报告期自</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日起至</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日止。</w:t>
      </w:r>
    </w:p>
    <w:p w:rsidR="00711C4C" w:rsidRPr="0087410D" w:rsidRDefault="00711C4C" w:rsidP="003427BF">
      <w:pPr>
        <w:pStyle w:val="20"/>
        <w:spacing w:beforeLines="100" w:before="312" w:afterLines="100" w:after="312"/>
        <w:ind w:firstLineChars="200" w:firstLine="562"/>
        <w:rPr>
          <w:rFonts w:ascii="宋体"/>
          <w:kern w:val="0"/>
          <w:szCs w:val="21"/>
        </w:rPr>
      </w:pPr>
      <w:r w:rsidRPr="00224952">
        <w:rPr>
          <w:szCs w:val="21"/>
        </w:rPr>
        <w:br w:type="page"/>
      </w:r>
      <w:bookmarkStart w:id="21" w:name="_Toc48664207"/>
      <w:r w:rsidRPr="006B4E2C">
        <w:rPr>
          <w:rFonts w:ascii="宋体" w:hAnsi="宋体"/>
          <w:kern w:val="0"/>
          <w:sz w:val="21"/>
          <w:szCs w:val="21"/>
        </w:rPr>
        <w:lastRenderedPageBreak/>
        <w:t>1.2</w:t>
      </w:r>
      <w:r w:rsidR="006B4E2C" w:rsidRPr="006B4E2C">
        <w:rPr>
          <w:rFonts w:ascii="宋体" w:hAnsi="宋体"/>
          <w:kern w:val="0"/>
          <w:sz w:val="21"/>
          <w:szCs w:val="21"/>
        </w:rPr>
        <w:tab/>
      </w:r>
      <w:r w:rsidRPr="006B4E2C">
        <w:rPr>
          <w:rFonts w:ascii="宋体" w:hAnsi="宋体" w:hint="eastAsia"/>
          <w:kern w:val="0"/>
          <w:sz w:val="21"/>
          <w:szCs w:val="21"/>
        </w:rPr>
        <w:t>目录</w:t>
      </w:r>
      <w:bookmarkEnd w:id="21"/>
    </w:p>
    <w:p w:rsidR="00B249E9" w:rsidRPr="00161E65" w:rsidRDefault="00251072">
      <w:pPr>
        <w:pStyle w:val="22"/>
        <w:rPr>
          <w:rFonts w:asciiTheme="minorHAnsi" w:eastAsiaTheme="minorEastAsia" w:hAnsiTheme="minorHAnsi" w:cstheme="minorBidi"/>
          <w:sz w:val="21"/>
          <w:szCs w:val="21"/>
        </w:rPr>
      </w:pPr>
      <w:r w:rsidRPr="00DE71B3">
        <w:rPr>
          <w:rFonts w:hAnsi="宋体"/>
          <w:sz w:val="21"/>
          <w:szCs w:val="21"/>
        </w:rPr>
        <w:fldChar w:fldCharType="begin"/>
      </w:r>
      <w:r w:rsidR="00711C4C" w:rsidRPr="00DE71B3">
        <w:rPr>
          <w:sz w:val="21"/>
          <w:szCs w:val="21"/>
        </w:rPr>
        <w:instrText xml:space="preserve"> TOC \o "1-3" \h \z \u </w:instrText>
      </w:r>
      <w:r w:rsidRPr="00DE71B3">
        <w:rPr>
          <w:rFonts w:hAnsi="宋体"/>
          <w:sz w:val="21"/>
          <w:szCs w:val="21"/>
        </w:rPr>
        <w:fldChar w:fldCharType="separate"/>
      </w:r>
      <w:bookmarkStart w:id="22" w:name="_GoBack"/>
      <w:r w:rsidR="00161E65" w:rsidRPr="00161E65">
        <w:rPr>
          <w:sz w:val="21"/>
          <w:szCs w:val="21"/>
        </w:rPr>
        <w:fldChar w:fldCharType="begin"/>
      </w:r>
      <w:r w:rsidR="00161E65" w:rsidRPr="00161E65">
        <w:rPr>
          <w:sz w:val="21"/>
          <w:szCs w:val="21"/>
        </w:rPr>
        <w:instrText xml:space="preserve"> HYPERLINK \l "_Toc48664205" </w:instrText>
      </w:r>
      <w:r w:rsidR="00161E65" w:rsidRPr="00161E65">
        <w:rPr>
          <w:sz w:val="21"/>
          <w:szCs w:val="21"/>
        </w:rPr>
        <w:fldChar w:fldCharType="separate"/>
      </w:r>
      <w:r w:rsidR="00B249E9" w:rsidRPr="00161E65">
        <w:rPr>
          <w:rStyle w:val="a9"/>
          <w:rFonts w:hAnsi="宋体" w:cs="Arial"/>
          <w:sz w:val="21"/>
          <w:szCs w:val="21"/>
        </w:rPr>
        <w:t>1</w:t>
      </w:r>
      <w:r w:rsidR="00B249E9" w:rsidRPr="00161E65">
        <w:rPr>
          <w:rFonts w:asciiTheme="minorHAnsi" w:eastAsiaTheme="minorEastAsia" w:hAnsiTheme="minorHAnsi" w:cstheme="minorBidi"/>
          <w:sz w:val="21"/>
          <w:szCs w:val="21"/>
        </w:rPr>
        <w:tab/>
      </w:r>
      <w:r w:rsidR="00B249E9" w:rsidRPr="00161E65">
        <w:rPr>
          <w:rStyle w:val="a9"/>
          <w:rFonts w:hAnsi="宋体" w:cs="Arial" w:hint="eastAsia"/>
          <w:sz w:val="21"/>
          <w:szCs w:val="21"/>
        </w:rPr>
        <w:t>重要提示及目录</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_Toc48664205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2</w:t>
      </w:r>
      <w:r w:rsidR="00B249E9" w:rsidRPr="00161E65">
        <w:rPr>
          <w:webHidden/>
          <w:sz w:val="21"/>
          <w:szCs w:val="21"/>
        </w:rPr>
        <w:fldChar w:fldCharType="end"/>
      </w:r>
      <w:r w:rsidR="00161E65" w:rsidRPr="00161E65">
        <w:rPr>
          <w:sz w:val="21"/>
          <w:szCs w:val="21"/>
        </w:rPr>
        <w:fldChar w:fldCharType="end"/>
      </w:r>
    </w:p>
    <w:p w:rsidR="00B249E9" w:rsidRPr="00161E65" w:rsidRDefault="00161E65">
      <w:pPr>
        <w:pStyle w:val="22"/>
        <w:rPr>
          <w:rFonts w:asciiTheme="minorHAnsi" w:eastAsiaTheme="minorEastAsia" w:hAnsiTheme="minorHAnsi" w:cstheme="minorBidi"/>
          <w:sz w:val="21"/>
          <w:szCs w:val="21"/>
        </w:rPr>
      </w:pPr>
      <w:hyperlink w:anchor="_Toc48664206" w:history="1">
        <w:r w:rsidR="00B249E9" w:rsidRPr="00161E65">
          <w:rPr>
            <w:rStyle w:val="a9"/>
            <w:rFonts w:hAnsi="宋体"/>
            <w:kern w:val="0"/>
            <w:sz w:val="21"/>
            <w:szCs w:val="21"/>
          </w:rPr>
          <w:t>1.1</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重要提示</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_Toc48664206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2</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07" w:history="1">
        <w:r w:rsidR="00B249E9" w:rsidRPr="00161E65">
          <w:rPr>
            <w:rStyle w:val="a9"/>
            <w:rFonts w:hAnsi="宋体"/>
            <w:kern w:val="0"/>
            <w:sz w:val="21"/>
            <w:szCs w:val="21"/>
          </w:rPr>
          <w:t>1.2</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目录</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_Toc48664207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3</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08" w:history="1">
        <w:r w:rsidR="00B249E9" w:rsidRPr="00161E65">
          <w:rPr>
            <w:rStyle w:val="a9"/>
            <w:rFonts w:hAnsi="宋体" w:cs="Arial"/>
            <w:sz w:val="21"/>
            <w:szCs w:val="21"/>
          </w:rPr>
          <w:t>2</w:t>
        </w:r>
        <w:r w:rsidR="00B249E9" w:rsidRPr="00161E65">
          <w:rPr>
            <w:rFonts w:asciiTheme="minorHAnsi" w:eastAsiaTheme="minorEastAsia" w:hAnsiTheme="minorHAnsi" w:cstheme="minorBidi"/>
            <w:sz w:val="21"/>
            <w:szCs w:val="21"/>
          </w:rPr>
          <w:tab/>
        </w:r>
        <w:r w:rsidR="00B249E9" w:rsidRPr="00161E65">
          <w:rPr>
            <w:rStyle w:val="a9"/>
            <w:rFonts w:hAnsi="宋体" w:cs="Arial" w:hint="eastAsia"/>
            <w:sz w:val="21"/>
            <w:szCs w:val="21"/>
          </w:rPr>
          <w:t>基金简介</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_Toc48664208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09" w:history="1">
        <w:r w:rsidR="00B249E9" w:rsidRPr="00161E65">
          <w:rPr>
            <w:rStyle w:val="a9"/>
            <w:rFonts w:hAnsi="宋体"/>
            <w:kern w:val="0"/>
            <w:sz w:val="21"/>
            <w:szCs w:val="21"/>
          </w:rPr>
          <w:t>2.1</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基金基本情况</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_Toc48664209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10" w:history="1">
        <w:r w:rsidR="00B249E9" w:rsidRPr="00161E65">
          <w:rPr>
            <w:rStyle w:val="a9"/>
            <w:rFonts w:hAnsi="宋体"/>
            <w:kern w:val="0"/>
            <w:sz w:val="21"/>
            <w:szCs w:val="21"/>
          </w:rPr>
          <w:t>2.2</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基金产品说明</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_Toc48664210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11" w:history="1">
        <w:r w:rsidR="00B249E9" w:rsidRPr="00161E65">
          <w:rPr>
            <w:rStyle w:val="a9"/>
            <w:rFonts w:hAnsi="宋体"/>
            <w:kern w:val="0"/>
            <w:sz w:val="21"/>
            <w:szCs w:val="21"/>
          </w:rPr>
          <w:t>2.3</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基金管理人和基金托管人</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_Toc48664211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12" w:history="1">
        <w:r w:rsidR="00B249E9" w:rsidRPr="00161E65">
          <w:rPr>
            <w:rStyle w:val="a9"/>
            <w:rFonts w:hAnsi="宋体"/>
            <w:kern w:val="0"/>
            <w:sz w:val="21"/>
            <w:szCs w:val="21"/>
          </w:rPr>
          <w:t>2.4</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境外投资顾问和境外资产托管人</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_Toc48664212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6</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13" w:history="1">
        <w:r w:rsidR="00B249E9" w:rsidRPr="00161E65">
          <w:rPr>
            <w:rStyle w:val="a9"/>
            <w:rFonts w:hAnsi="宋体"/>
            <w:kern w:val="0"/>
            <w:sz w:val="21"/>
            <w:szCs w:val="21"/>
          </w:rPr>
          <w:t>2.5</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信息披露方式</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_Toc48664213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6</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14" w:history="1">
        <w:r w:rsidR="00B249E9" w:rsidRPr="00161E65">
          <w:rPr>
            <w:rStyle w:val="a9"/>
            <w:rFonts w:hAnsi="宋体"/>
            <w:kern w:val="0"/>
            <w:sz w:val="21"/>
            <w:szCs w:val="21"/>
          </w:rPr>
          <w:t>2.6</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其他相关资料</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_Toc48664214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6</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15" w:history="1">
        <w:r w:rsidR="00B249E9" w:rsidRPr="00161E65">
          <w:rPr>
            <w:rStyle w:val="a9"/>
            <w:rFonts w:hAnsi="宋体" w:cs="Arial"/>
            <w:sz w:val="21"/>
            <w:szCs w:val="21"/>
          </w:rPr>
          <w:t>3</w:t>
        </w:r>
        <w:r w:rsidR="00B249E9" w:rsidRPr="00161E65">
          <w:rPr>
            <w:rFonts w:asciiTheme="minorHAnsi" w:eastAsiaTheme="minorEastAsia" w:hAnsiTheme="minorHAnsi" w:cstheme="minorBidi"/>
            <w:sz w:val="21"/>
            <w:szCs w:val="21"/>
          </w:rPr>
          <w:tab/>
        </w:r>
        <w:r w:rsidR="00B249E9" w:rsidRPr="00161E65">
          <w:rPr>
            <w:rStyle w:val="a9"/>
            <w:rFonts w:hAnsi="宋体" w:cs="Arial" w:hint="eastAsia"/>
            <w:sz w:val="21"/>
            <w:szCs w:val="21"/>
          </w:rPr>
          <w:t>主要财务指标和基金净值表现</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_Toc48664215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7</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16" w:history="1">
        <w:r w:rsidR="00B249E9" w:rsidRPr="00161E65">
          <w:rPr>
            <w:rStyle w:val="a9"/>
            <w:rFonts w:hAnsi="宋体"/>
            <w:kern w:val="0"/>
            <w:sz w:val="21"/>
            <w:szCs w:val="21"/>
          </w:rPr>
          <w:t>3.1</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主要会计数据和财务指标</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_Toc48664216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7</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17" w:history="1">
        <w:r w:rsidR="00B249E9" w:rsidRPr="00161E65">
          <w:rPr>
            <w:rStyle w:val="a9"/>
            <w:rFonts w:hAnsi="宋体"/>
            <w:kern w:val="0"/>
            <w:sz w:val="21"/>
            <w:szCs w:val="21"/>
          </w:rPr>
          <w:t>3.2</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基金净值表现</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_Toc48664217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7</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18" w:history="1">
        <w:r w:rsidR="00B249E9" w:rsidRPr="00161E65">
          <w:rPr>
            <w:rStyle w:val="a9"/>
            <w:rFonts w:hAnsi="宋体" w:cs="Arial"/>
            <w:sz w:val="21"/>
            <w:szCs w:val="21"/>
          </w:rPr>
          <w:t>4</w:t>
        </w:r>
        <w:r w:rsidR="00B249E9" w:rsidRPr="00161E65">
          <w:rPr>
            <w:rFonts w:asciiTheme="minorHAnsi" w:eastAsiaTheme="minorEastAsia" w:hAnsiTheme="minorHAnsi" w:cstheme="minorBidi"/>
            <w:sz w:val="21"/>
            <w:szCs w:val="21"/>
          </w:rPr>
          <w:tab/>
        </w:r>
        <w:r w:rsidR="00B249E9" w:rsidRPr="00161E65">
          <w:rPr>
            <w:rStyle w:val="a9"/>
            <w:rFonts w:hAnsi="宋体" w:cs="Arial" w:hint="eastAsia"/>
            <w:sz w:val="21"/>
            <w:szCs w:val="21"/>
          </w:rPr>
          <w:t>管理人报告</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_Toc48664218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8</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19" w:history="1">
        <w:r w:rsidR="00B249E9" w:rsidRPr="00161E65">
          <w:rPr>
            <w:rStyle w:val="a9"/>
            <w:rFonts w:hAnsi="宋体"/>
            <w:kern w:val="0"/>
            <w:sz w:val="21"/>
            <w:szCs w:val="21"/>
          </w:rPr>
          <w:t>4.1</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基金管理人及基金经理情况</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_Toc48664219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8</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20" w:history="1">
        <w:r w:rsidR="00B249E9" w:rsidRPr="00161E65">
          <w:rPr>
            <w:rStyle w:val="a9"/>
            <w:rFonts w:hAnsi="宋体"/>
            <w:kern w:val="0"/>
            <w:sz w:val="21"/>
            <w:szCs w:val="21"/>
          </w:rPr>
          <w:t>4.2</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境外投资顾问为本基金提供投资建议的主要成员简介</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_Toc48664220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11</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21" w:history="1">
        <w:r w:rsidR="00B249E9" w:rsidRPr="00161E65">
          <w:rPr>
            <w:rStyle w:val="a9"/>
            <w:rFonts w:hAnsi="宋体"/>
            <w:kern w:val="0"/>
            <w:sz w:val="21"/>
            <w:szCs w:val="21"/>
          </w:rPr>
          <w:t>4.3</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管理人对报告期内本基金运作遵规守信情况的说明</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_Toc48664221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11</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22" w:history="1">
        <w:r w:rsidR="00B249E9" w:rsidRPr="00161E65">
          <w:rPr>
            <w:rStyle w:val="a9"/>
            <w:rFonts w:hAnsi="宋体"/>
            <w:kern w:val="0"/>
            <w:sz w:val="21"/>
            <w:szCs w:val="21"/>
          </w:rPr>
          <w:t>4.4</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管理人对报告期内公平交易情况的专项说明</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_Toc48664222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11</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23" w:history="1">
        <w:r w:rsidR="00B249E9" w:rsidRPr="00161E65">
          <w:rPr>
            <w:rStyle w:val="a9"/>
            <w:rFonts w:hAnsi="宋体"/>
            <w:kern w:val="0"/>
            <w:sz w:val="21"/>
            <w:szCs w:val="21"/>
          </w:rPr>
          <w:t>4.5</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管理人对报告期内基金的投资策略和业绩表现的说明</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_Toc48664223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11</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24" w:history="1">
        <w:r w:rsidR="00B249E9" w:rsidRPr="00161E65">
          <w:rPr>
            <w:rStyle w:val="a9"/>
            <w:rFonts w:hAnsi="宋体"/>
            <w:kern w:val="0"/>
            <w:sz w:val="21"/>
            <w:szCs w:val="21"/>
          </w:rPr>
          <w:t>4.6</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管理人对宏观经济、证券市场及行业走势的简要展望</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_Toc48664224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12</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25" w:history="1">
        <w:r w:rsidR="00B249E9" w:rsidRPr="00161E65">
          <w:rPr>
            <w:rStyle w:val="a9"/>
            <w:rFonts w:hAnsi="宋体"/>
            <w:kern w:val="0"/>
            <w:sz w:val="21"/>
            <w:szCs w:val="21"/>
          </w:rPr>
          <w:t>4.7</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管理人对报告期内基金估值程序等事项的说明</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_Toc48664225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12</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26" w:history="1">
        <w:r w:rsidR="00B249E9" w:rsidRPr="00161E65">
          <w:rPr>
            <w:rStyle w:val="a9"/>
            <w:rFonts w:hAnsi="宋体"/>
            <w:kern w:val="0"/>
            <w:sz w:val="21"/>
            <w:szCs w:val="21"/>
          </w:rPr>
          <w:t>4.8</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管理人对报告期内基金利润分配情况的说明</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_Toc48664226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13</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27" w:history="1">
        <w:r w:rsidR="00B249E9" w:rsidRPr="00161E65">
          <w:rPr>
            <w:rStyle w:val="a9"/>
            <w:rFonts w:hAnsi="宋体" w:cs="Arial"/>
            <w:sz w:val="21"/>
            <w:szCs w:val="21"/>
          </w:rPr>
          <w:t>5</w:t>
        </w:r>
        <w:r w:rsidR="00B249E9" w:rsidRPr="00161E65">
          <w:rPr>
            <w:rFonts w:asciiTheme="minorHAnsi" w:eastAsiaTheme="minorEastAsia" w:hAnsiTheme="minorHAnsi" w:cstheme="minorBidi"/>
            <w:sz w:val="21"/>
            <w:szCs w:val="21"/>
          </w:rPr>
          <w:tab/>
        </w:r>
        <w:r w:rsidR="00B249E9" w:rsidRPr="00161E65">
          <w:rPr>
            <w:rStyle w:val="a9"/>
            <w:rFonts w:hAnsi="宋体" w:cs="Arial" w:hint="eastAsia"/>
            <w:sz w:val="21"/>
            <w:szCs w:val="21"/>
          </w:rPr>
          <w:t>托管人报告</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_Toc48664227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13</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28" w:history="1">
        <w:r w:rsidR="00B249E9" w:rsidRPr="00161E65">
          <w:rPr>
            <w:rStyle w:val="a9"/>
            <w:rFonts w:hAnsi="宋体"/>
            <w:kern w:val="0"/>
            <w:sz w:val="21"/>
            <w:szCs w:val="21"/>
          </w:rPr>
          <w:t>5.1</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报告期内本基金托管人遵规守信情况声明</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_Toc48664228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13</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29" w:history="1">
        <w:r w:rsidR="00B249E9" w:rsidRPr="00161E65">
          <w:rPr>
            <w:rStyle w:val="a9"/>
            <w:rFonts w:hAnsi="宋体"/>
            <w:kern w:val="0"/>
            <w:sz w:val="21"/>
            <w:szCs w:val="21"/>
          </w:rPr>
          <w:t>5.2</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托管人对报告期内本基金投资运作遵规守信、净值计算、利润分配等情况的说明</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_Toc48664229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13</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30" w:history="1">
        <w:r w:rsidR="00B249E9" w:rsidRPr="00161E65">
          <w:rPr>
            <w:rStyle w:val="a9"/>
            <w:rFonts w:hAnsi="宋体"/>
            <w:kern w:val="0"/>
            <w:sz w:val="21"/>
            <w:szCs w:val="21"/>
          </w:rPr>
          <w:t>5.3</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托管人对本中期报告中财务信息等内容的真实、准确和完整发表意见</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_Toc48664230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13</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31" w:history="1">
        <w:r w:rsidR="00B249E9" w:rsidRPr="00161E65">
          <w:rPr>
            <w:rStyle w:val="a9"/>
            <w:rFonts w:hAnsi="宋体" w:cs="Arial"/>
            <w:sz w:val="21"/>
            <w:szCs w:val="21"/>
          </w:rPr>
          <w:t>6</w:t>
        </w:r>
        <w:r w:rsidR="00B249E9" w:rsidRPr="00161E65">
          <w:rPr>
            <w:rFonts w:asciiTheme="minorHAnsi" w:eastAsiaTheme="minorEastAsia" w:hAnsiTheme="minorHAnsi" w:cstheme="minorBidi"/>
            <w:sz w:val="21"/>
            <w:szCs w:val="21"/>
          </w:rPr>
          <w:tab/>
        </w:r>
        <w:r w:rsidR="00B249E9" w:rsidRPr="00161E65">
          <w:rPr>
            <w:rStyle w:val="a9"/>
            <w:rFonts w:hAnsi="宋体" w:cs="Arial" w:hint="eastAsia"/>
            <w:sz w:val="21"/>
            <w:szCs w:val="21"/>
          </w:rPr>
          <w:t>半年度财务会计报告（未经审计）</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_Toc48664231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13</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32" w:history="1">
        <w:r w:rsidR="00B249E9" w:rsidRPr="00161E65">
          <w:rPr>
            <w:rStyle w:val="a9"/>
            <w:rFonts w:hAnsi="宋体"/>
            <w:kern w:val="0"/>
            <w:sz w:val="21"/>
            <w:szCs w:val="21"/>
          </w:rPr>
          <w:t>6.1</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资产负债表</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_Toc48664232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13</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33" w:history="1">
        <w:r w:rsidR="00B249E9" w:rsidRPr="00161E65">
          <w:rPr>
            <w:rStyle w:val="a9"/>
            <w:rFonts w:ascii="Times New Roman"/>
            <w:kern w:val="0"/>
            <w:sz w:val="21"/>
            <w:szCs w:val="21"/>
          </w:rPr>
          <w:t>6.2</w:t>
        </w:r>
        <w:r w:rsidR="00B249E9" w:rsidRPr="00161E65">
          <w:rPr>
            <w:rFonts w:asciiTheme="minorHAnsi" w:eastAsiaTheme="minorEastAsia" w:hAnsiTheme="minorHAnsi" w:cstheme="minorBidi"/>
            <w:sz w:val="21"/>
            <w:szCs w:val="21"/>
          </w:rPr>
          <w:tab/>
        </w:r>
        <w:r w:rsidR="00B249E9" w:rsidRPr="00161E65">
          <w:rPr>
            <w:rStyle w:val="a9"/>
            <w:rFonts w:ascii="Times New Roman" w:hint="eastAsia"/>
            <w:kern w:val="0"/>
            <w:sz w:val="21"/>
            <w:szCs w:val="21"/>
          </w:rPr>
          <w:t>利润表</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_Toc48664233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15</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34" w:history="1">
        <w:r w:rsidR="00B249E9" w:rsidRPr="00161E65">
          <w:rPr>
            <w:rStyle w:val="a9"/>
            <w:rFonts w:ascii="Times New Roman"/>
            <w:sz w:val="21"/>
            <w:szCs w:val="21"/>
          </w:rPr>
          <w:t>6.3</w:t>
        </w:r>
        <w:r w:rsidR="00B249E9" w:rsidRPr="00161E65">
          <w:rPr>
            <w:rFonts w:asciiTheme="minorHAnsi" w:eastAsiaTheme="minorEastAsia" w:hAnsiTheme="minorHAnsi" w:cstheme="minorBidi"/>
            <w:sz w:val="21"/>
            <w:szCs w:val="21"/>
          </w:rPr>
          <w:tab/>
        </w:r>
        <w:r w:rsidR="00B249E9" w:rsidRPr="00161E65">
          <w:rPr>
            <w:rStyle w:val="a9"/>
            <w:rFonts w:ascii="Times New Roman" w:hint="eastAsia"/>
            <w:sz w:val="21"/>
            <w:szCs w:val="21"/>
          </w:rPr>
          <w:t>所有者权益（基金净值）变动表</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_Toc48664234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16</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35" w:history="1">
        <w:r w:rsidR="00B249E9" w:rsidRPr="00161E65">
          <w:rPr>
            <w:rStyle w:val="a9"/>
            <w:rFonts w:ascii="Times New Roman"/>
            <w:sz w:val="21"/>
            <w:szCs w:val="21"/>
          </w:rPr>
          <w:t>6.4</w:t>
        </w:r>
        <w:r w:rsidR="00B249E9" w:rsidRPr="00161E65">
          <w:rPr>
            <w:rFonts w:asciiTheme="minorHAnsi" w:eastAsiaTheme="minorEastAsia" w:hAnsiTheme="minorHAnsi" w:cstheme="minorBidi"/>
            <w:sz w:val="21"/>
            <w:szCs w:val="21"/>
          </w:rPr>
          <w:tab/>
        </w:r>
        <w:r w:rsidR="00B249E9" w:rsidRPr="00161E65">
          <w:rPr>
            <w:rStyle w:val="a9"/>
            <w:rFonts w:ascii="Times New Roman" w:hint="eastAsia"/>
            <w:sz w:val="21"/>
            <w:szCs w:val="21"/>
          </w:rPr>
          <w:t>报表附注</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_Toc48664235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17</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36" w:history="1">
        <w:r w:rsidR="00B249E9" w:rsidRPr="00161E65">
          <w:rPr>
            <w:rStyle w:val="a9"/>
            <w:rFonts w:hAnsi="宋体" w:cs="Arial"/>
            <w:sz w:val="21"/>
            <w:szCs w:val="21"/>
          </w:rPr>
          <w:t>7</w:t>
        </w:r>
        <w:r w:rsidR="00B249E9" w:rsidRPr="00161E65">
          <w:rPr>
            <w:rFonts w:asciiTheme="minorHAnsi" w:eastAsiaTheme="minorEastAsia" w:hAnsiTheme="minorHAnsi" w:cstheme="minorBidi"/>
            <w:sz w:val="21"/>
            <w:szCs w:val="21"/>
          </w:rPr>
          <w:tab/>
        </w:r>
        <w:r w:rsidR="00B249E9" w:rsidRPr="00161E65">
          <w:rPr>
            <w:rStyle w:val="a9"/>
            <w:rFonts w:hAnsi="宋体" w:cs="Arial" w:hint="eastAsia"/>
            <w:sz w:val="21"/>
            <w:szCs w:val="21"/>
          </w:rPr>
          <w:t>投资组合报告</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_Toc48664236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36</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37" w:history="1">
        <w:r w:rsidR="00B249E9" w:rsidRPr="00161E65">
          <w:rPr>
            <w:rStyle w:val="a9"/>
            <w:rFonts w:hAnsi="宋体"/>
            <w:kern w:val="0"/>
            <w:sz w:val="21"/>
            <w:szCs w:val="21"/>
          </w:rPr>
          <w:t>7.1</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期末基金资产组合情况</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_Toc48664237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36</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38" w:history="1">
        <w:r w:rsidR="00B249E9" w:rsidRPr="00161E65">
          <w:rPr>
            <w:rStyle w:val="a9"/>
            <w:rFonts w:hAnsi="宋体"/>
            <w:kern w:val="0"/>
            <w:sz w:val="21"/>
            <w:szCs w:val="21"/>
          </w:rPr>
          <w:t>7.2</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期末在各个国家（地区）证券市场的权益投资分布</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_Toc48664238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36</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39" w:history="1">
        <w:r w:rsidR="00B249E9" w:rsidRPr="00161E65">
          <w:rPr>
            <w:rStyle w:val="a9"/>
            <w:kern w:val="0"/>
            <w:sz w:val="21"/>
            <w:szCs w:val="21"/>
          </w:rPr>
          <w:t>7.3</w:t>
        </w:r>
        <w:r w:rsidR="00B249E9" w:rsidRPr="00161E65">
          <w:rPr>
            <w:rFonts w:asciiTheme="minorHAnsi" w:eastAsiaTheme="minorEastAsia" w:hAnsiTheme="minorHAnsi" w:cstheme="minorBidi"/>
            <w:sz w:val="21"/>
            <w:szCs w:val="21"/>
          </w:rPr>
          <w:tab/>
        </w:r>
        <w:r w:rsidR="00B249E9" w:rsidRPr="00161E65">
          <w:rPr>
            <w:rStyle w:val="a9"/>
            <w:rFonts w:hint="eastAsia"/>
            <w:kern w:val="0"/>
            <w:sz w:val="21"/>
            <w:szCs w:val="21"/>
          </w:rPr>
          <w:t>期末按行业分类的权益投资组合</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_Toc48664239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37</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40" w:history="1">
        <w:r w:rsidR="00B249E9" w:rsidRPr="00161E65">
          <w:rPr>
            <w:rStyle w:val="a9"/>
            <w:rFonts w:hAnsi="宋体"/>
            <w:kern w:val="0"/>
            <w:sz w:val="21"/>
            <w:szCs w:val="21"/>
          </w:rPr>
          <w:t>7.4</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期末按公允价值占基金资产净值比例大小排序的所有权益投资明细</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_Toc48664240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37</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41" w:history="1">
        <w:r w:rsidR="00B249E9" w:rsidRPr="00161E65">
          <w:rPr>
            <w:rStyle w:val="a9"/>
            <w:rFonts w:hAnsi="宋体"/>
            <w:kern w:val="0"/>
            <w:sz w:val="21"/>
            <w:szCs w:val="21"/>
          </w:rPr>
          <w:t>7.5</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报告期内权益投资组合的重大变动</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_Toc48664241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45</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42" w:history="1">
        <w:r w:rsidR="00B249E9" w:rsidRPr="00161E65">
          <w:rPr>
            <w:rStyle w:val="a9"/>
            <w:rFonts w:hAnsi="宋体"/>
            <w:kern w:val="0"/>
            <w:sz w:val="21"/>
            <w:szCs w:val="21"/>
          </w:rPr>
          <w:t>7.6</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期末按债券信用等级分类的债券投资组合</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_Toc48664242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47</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43" w:history="1">
        <w:r w:rsidR="00B249E9" w:rsidRPr="00161E65">
          <w:rPr>
            <w:rStyle w:val="a9"/>
            <w:rFonts w:hAnsi="宋体"/>
            <w:kern w:val="0"/>
            <w:sz w:val="21"/>
            <w:szCs w:val="21"/>
          </w:rPr>
          <w:t>7.7</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期末按公允价值占基金资产净值比例大小排序的前五名债券投资明细</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_Toc48664243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47</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44" w:history="1">
        <w:r w:rsidR="00B249E9" w:rsidRPr="00161E65">
          <w:rPr>
            <w:rStyle w:val="a9"/>
            <w:rFonts w:hAnsi="宋体"/>
            <w:kern w:val="0"/>
            <w:sz w:val="21"/>
            <w:szCs w:val="21"/>
          </w:rPr>
          <w:t>7.8</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期末按公允价值占基金资产净值比例大小排序的所有资产支持证券投资明细</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_Toc48664244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47</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45" w:history="1">
        <w:r w:rsidR="00B249E9" w:rsidRPr="00161E65">
          <w:rPr>
            <w:rStyle w:val="a9"/>
            <w:rFonts w:hAnsi="宋体"/>
            <w:kern w:val="0"/>
            <w:sz w:val="21"/>
            <w:szCs w:val="21"/>
          </w:rPr>
          <w:t>7.9</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期末按公允价值占基金资产净值比例大小排序的前五名金融衍生品投资明细</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_Toc48664245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47</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46" w:history="1">
        <w:r w:rsidR="00B249E9" w:rsidRPr="00161E65">
          <w:rPr>
            <w:rStyle w:val="a9"/>
            <w:rFonts w:hAnsi="宋体"/>
            <w:kern w:val="0"/>
            <w:sz w:val="21"/>
            <w:szCs w:val="21"/>
          </w:rPr>
          <w:t>7.10</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期末按公允价值占基金资产净值比例大小排序的前十名基金投资明细</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_Toc48664246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47</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47" w:history="1">
        <w:r w:rsidR="00B249E9" w:rsidRPr="00161E65">
          <w:rPr>
            <w:rStyle w:val="a9"/>
            <w:rFonts w:hAnsi="宋体"/>
            <w:kern w:val="0"/>
            <w:sz w:val="21"/>
            <w:szCs w:val="21"/>
          </w:rPr>
          <w:t>7.11</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投资组合报告附注</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_Toc48664247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47</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48" w:history="1">
        <w:r w:rsidR="00B249E9" w:rsidRPr="00161E65">
          <w:rPr>
            <w:rStyle w:val="a9"/>
            <w:rFonts w:hAnsi="宋体" w:cs="Arial"/>
            <w:sz w:val="21"/>
            <w:szCs w:val="21"/>
          </w:rPr>
          <w:t>8</w:t>
        </w:r>
        <w:r w:rsidR="00B249E9" w:rsidRPr="00161E65">
          <w:rPr>
            <w:rFonts w:asciiTheme="minorHAnsi" w:eastAsiaTheme="minorEastAsia" w:hAnsiTheme="minorHAnsi" w:cstheme="minorBidi"/>
            <w:sz w:val="21"/>
            <w:szCs w:val="21"/>
          </w:rPr>
          <w:tab/>
        </w:r>
        <w:r w:rsidR="00B249E9" w:rsidRPr="00161E65">
          <w:rPr>
            <w:rStyle w:val="a9"/>
            <w:rFonts w:hAnsi="宋体" w:cs="Arial" w:hint="eastAsia"/>
            <w:sz w:val="21"/>
            <w:szCs w:val="21"/>
          </w:rPr>
          <w:t>基金份额持有人信息</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_Toc48664248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49</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49" w:history="1">
        <w:r w:rsidR="00B249E9" w:rsidRPr="00161E65">
          <w:rPr>
            <w:rStyle w:val="a9"/>
            <w:rFonts w:hAnsi="宋体"/>
            <w:kern w:val="0"/>
            <w:sz w:val="21"/>
            <w:szCs w:val="21"/>
          </w:rPr>
          <w:t>8.1</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期末基金份额持有人户数及持有人结构</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_Toc48664249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49</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50" w:history="1">
        <w:r w:rsidR="00B249E9" w:rsidRPr="00161E65">
          <w:rPr>
            <w:rStyle w:val="a9"/>
            <w:rFonts w:hAnsi="宋体"/>
            <w:kern w:val="0"/>
            <w:sz w:val="21"/>
            <w:szCs w:val="21"/>
          </w:rPr>
          <w:t>8.2</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期末上市基金前十名持有人</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_Toc48664250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49</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51" w:history="1">
        <w:r w:rsidR="00B249E9" w:rsidRPr="00161E65">
          <w:rPr>
            <w:rStyle w:val="a9"/>
            <w:rFonts w:hAnsi="宋体"/>
            <w:kern w:val="0"/>
            <w:sz w:val="21"/>
            <w:szCs w:val="21"/>
          </w:rPr>
          <w:t>8.3</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期末基金管理人的从业人员持有本基金的情况</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_Toc48664251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50</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52" w:history="1">
        <w:r w:rsidR="00B249E9" w:rsidRPr="00161E65">
          <w:rPr>
            <w:rStyle w:val="a9"/>
            <w:kern w:val="0"/>
            <w:sz w:val="21"/>
            <w:szCs w:val="21"/>
          </w:rPr>
          <w:t>8.4</w:t>
        </w:r>
        <w:r w:rsidR="00B249E9" w:rsidRPr="00161E65">
          <w:rPr>
            <w:rFonts w:asciiTheme="minorHAnsi" w:eastAsiaTheme="minorEastAsia" w:hAnsiTheme="minorHAnsi" w:cstheme="minorBidi"/>
            <w:sz w:val="21"/>
            <w:szCs w:val="21"/>
          </w:rPr>
          <w:tab/>
        </w:r>
        <w:r w:rsidR="00B249E9" w:rsidRPr="00161E65">
          <w:rPr>
            <w:rStyle w:val="a9"/>
            <w:rFonts w:hint="eastAsia"/>
            <w:kern w:val="0"/>
            <w:sz w:val="21"/>
            <w:szCs w:val="21"/>
          </w:rPr>
          <w:t>期末基金管理人的从业人员持有本开放式基金份额总量区间的情况</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_Toc48664252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50</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53" w:history="1">
        <w:r w:rsidR="00B249E9" w:rsidRPr="00161E65">
          <w:rPr>
            <w:rStyle w:val="a9"/>
            <w:rFonts w:hAnsi="宋体" w:cs="Arial"/>
            <w:sz w:val="21"/>
            <w:szCs w:val="21"/>
          </w:rPr>
          <w:t>9</w:t>
        </w:r>
        <w:r w:rsidR="00B249E9" w:rsidRPr="00161E65">
          <w:rPr>
            <w:rFonts w:asciiTheme="minorHAnsi" w:eastAsiaTheme="minorEastAsia" w:hAnsiTheme="minorHAnsi" w:cstheme="minorBidi"/>
            <w:sz w:val="21"/>
            <w:szCs w:val="21"/>
          </w:rPr>
          <w:tab/>
        </w:r>
        <w:r w:rsidR="00B249E9" w:rsidRPr="00161E65">
          <w:rPr>
            <w:rStyle w:val="a9"/>
            <w:rFonts w:hAnsi="宋体" w:cs="Arial" w:hint="eastAsia"/>
            <w:sz w:val="21"/>
            <w:szCs w:val="21"/>
          </w:rPr>
          <w:t>开放式基金份额变动</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_Toc48664253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50</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54" w:history="1">
        <w:r w:rsidR="00B249E9" w:rsidRPr="00161E65">
          <w:rPr>
            <w:rStyle w:val="a9"/>
            <w:rFonts w:hAnsi="宋体" w:cs="Arial"/>
            <w:sz w:val="21"/>
            <w:szCs w:val="21"/>
          </w:rPr>
          <w:t>10</w:t>
        </w:r>
        <w:r w:rsidR="00B249E9" w:rsidRPr="00161E65">
          <w:rPr>
            <w:rFonts w:asciiTheme="minorHAnsi" w:eastAsiaTheme="minorEastAsia" w:hAnsiTheme="minorHAnsi" w:cstheme="minorBidi"/>
            <w:sz w:val="21"/>
            <w:szCs w:val="21"/>
          </w:rPr>
          <w:tab/>
        </w:r>
        <w:r w:rsidR="00B249E9" w:rsidRPr="00161E65">
          <w:rPr>
            <w:rStyle w:val="a9"/>
            <w:rFonts w:hAnsi="宋体" w:cs="Arial" w:hint="eastAsia"/>
            <w:sz w:val="21"/>
            <w:szCs w:val="21"/>
          </w:rPr>
          <w:t>重大事件揭示</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_Toc48664254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50</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55" w:history="1">
        <w:r w:rsidR="00B249E9" w:rsidRPr="00161E65">
          <w:rPr>
            <w:rStyle w:val="a9"/>
            <w:kern w:val="0"/>
            <w:sz w:val="21"/>
            <w:szCs w:val="21"/>
          </w:rPr>
          <w:t>10.1</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基金份额持有人大会决议</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_Toc48664255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50</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56" w:history="1">
        <w:r w:rsidR="00B249E9" w:rsidRPr="00161E65">
          <w:rPr>
            <w:rStyle w:val="a9"/>
            <w:kern w:val="0"/>
            <w:sz w:val="21"/>
            <w:szCs w:val="21"/>
          </w:rPr>
          <w:t>10.2</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基金管理人、基金托管人的专门基金托管部门的重大人事变动</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_Toc48664256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50</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57" w:history="1">
        <w:r w:rsidR="00B249E9" w:rsidRPr="00161E65">
          <w:rPr>
            <w:rStyle w:val="a9"/>
            <w:kern w:val="0"/>
            <w:sz w:val="21"/>
            <w:szCs w:val="21"/>
          </w:rPr>
          <w:t>10.3</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涉及基金管理人、基金财产、基金托管业务的诉讼</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_Toc48664257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51</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58" w:history="1">
        <w:r w:rsidR="00B249E9" w:rsidRPr="00161E65">
          <w:rPr>
            <w:rStyle w:val="a9"/>
            <w:kern w:val="0"/>
            <w:sz w:val="21"/>
            <w:szCs w:val="21"/>
          </w:rPr>
          <w:t>10.4</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基金投资策略的改变</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_Toc48664258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51</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59" w:history="1">
        <w:r w:rsidR="00B249E9" w:rsidRPr="00161E65">
          <w:rPr>
            <w:rStyle w:val="a9"/>
            <w:kern w:val="0"/>
            <w:sz w:val="21"/>
            <w:szCs w:val="21"/>
          </w:rPr>
          <w:t>10.5</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为基金进行审计的会计师事务所情况</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_Toc48664259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51</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60" w:history="1">
        <w:r w:rsidR="00B249E9" w:rsidRPr="00161E65">
          <w:rPr>
            <w:rStyle w:val="a9"/>
            <w:kern w:val="0"/>
            <w:sz w:val="21"/>
            <w:szCs w:val="21"/>
          </w:rPr>
          <w:t>10.6</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管理人、托管人及其高级管理人员受稽查或处罚等情况</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_Toc48664260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51</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61" w:history="1">
        <w:r w:rsidR="00B249E9" w:rsidRPr="00161E65">
          <w:rPr>
            <w:rStyle w:val="a9"/>
            <w:kern w:val="0"/>
            <w:sz w:val="21"/>
            <w:szCs w:val="21"/>
          </w:rPr>
          <w:t>10.7</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基金租用证券公司交易单元的有关情况</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_Toc48664261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51</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62" w:history="1">
        <w:r w:rsidR="00B249E9" w:rsidRPr="00161E65">
          <w:rPr>
            <w:rStyle w:val="a9"/>
            <w:rFonts w:hAnsi="宋体"/>
            <w:kern w:val="0"/>
            <w:sz w:val="21"/>
            <w:szCs w:val="21"/>
          </w:rPr>
          <w:t>10.8</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其他重大事件</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_Toc48664262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53</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63" w:history="1">
        <w:r w:rsidR="00B249E9" w:rsidRPr="00161E65">
          <w:rPr>
            <w:rStyle w:val="a9"/>
            <w:rFonts w:hAnsi="宋体" w:cs="Arial"/>
            <w:sz w:val="21"/>
            <w:szCs w:val="21"/>
          </w:rPr>
          <w:t>11</w:t>
        </w:r>
        <w:r w:rsidR="00B249E9" w:rsidRPr="00161E65">
          <w:rPr>
            <w:rFonts w:asciiTheme="minorHAnsi" w:eastAsiaTheme="minorEastAsia" w:hAnsiTheme="minorHAnsi" w:cstheme="minorBidi"/>
            <w:sz w:val="21"/>
            <w:szCs w:val="21"/>
          </w:rPr>
          <w:tab/>
        </w:r>
        <w:r w:rsidR="00B249E9" w:rsidRPr="00161E65">
          <w:rPr>
            <w:rStyle w:val="a9"/>
            <w:rFonts w:hAnsi="宋体" w:cs="Arial" w:hint="eastAsia"/>
            <w:sz w:val="21"/>
            <w:szCs w:val="21"/>
          </w:rPr>
          <w:t>备查文件目录</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_Toc48664263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55</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64" w:history="1">
        <w:r w:rsidR="00B249E9" w:rsidRPr="00161E65">
          <w:rPr>
            <w:rStyle w:val="a9"/>
            <w:rFonts w:hAnsi="宋体"/>
            <w:kern w:val="0"/>
            <w:sz w:val="21"/>
            <w:szCs w:val="21"/>
          </w:rPr>
          <w:t>11.1</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备查文件目录</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_Toc48664264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55</w:t>
        </w:r>
        <w:r w:rsidR="00B249E9" w:rsidRPr="00161E65">
          <w:rPr>
            <w:webHidden/>
            <w:sz w:val="21"/>
            <w:szCs w:val="21"/>
          </w:rPr>
          <w:fldChar w:fldCharType="end"/>
        </w:r>
      </w:hyperlink>
    </w:p>
    <w:p w:rsidR="00B249E9" w:rsidRPr="00161E65" w:rsidRDefault="00161E65">
      <w:pPr>
        <w:pStyle w:val="22"/>
        <w:rPr>
          <w:rFonts w:asciiTheme="minorHAnsi" w:eastAsiaTheme="minorEastAsia" w:hAnsiTheme="minorHAnsi" w:cstheme="minorBidi"/>
          <w:sz w:val="21"/>
          <w:szCs w:val="21"/>
        </w:rPr>
      </w:pPr>
      <w:hyperlink w:anchor="_Toc48664265" w:history="1">
        <w:r w:rsidR="00B249E9" w:rsidRPr="00161E65">
          <w:rPr>
            <w:rStyle w:val="a9"/>
            <w:rFonts w:hAnsi="宋体"/>
            <w:kern w:val="0"/>
            <w:sz w:val="21"/>
            <w:szCs w:val="21"/>
          </w:rPr>
          <w:t>11.2</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存放地点</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_Toc48664265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56</w:t>
        </w:r>
        <w:r w:rsidR="00B249E9" w:rsidRPr="00161E65">
          <w:rPr>
            <w:webHidden/>
            <w:sz w:val="21"/>
            <w:szCs w:val="21"/>
          </w:rPr>
          <w:fldChar w:fldCharType="end"/>
        </w:r>
      </w:hyperlink>
    </w:p>
    <w:p w:rsidR="00B249E9" w:rsidRDefault="00161E65">
      <w:pPr>
        <w:pStyle w:val="22"/>
        <w:rPr>
          <w:rFonts w:asciiTheme="minorHAnsi" w:eastAsiaTheme="minorEastAsia" w:hAnsiTheme="minorHAnsi" w:cstheme="minorBidi"/>
          <w:sz w:val="21"/>
          <w:szCs w:val="22"/>
        </w:rPr>
      </w:pPr>
      <w:hyperlink w:anchor="_Toc48664266" w:history="1">
        <w:r w:rsidR="00B249E9" w:rsidRPr="00161E65">
          <w:rPr>
            <w:rStyle w:val="a9"/>
            <w:rFonts w:hAnsi="宋体"/>
            <w:kern w:val="0"/>
            <w:sz w:val="21"/>
            <w:szCs w:val="21"/>
          </w:rPr>
          <w:t>11.3</w:t>
        </w:r>
        <w:r w:rsidR="00B249E9" w:rsidRPr="00161E65">
          <w:rPr>
            <w:rFonts w:asciiTheme="minorHAnsi" w:eastAsiaTheme="minorEastAsia" w:hAnsiTheme="minorHAnsi" w:cstheme="minorBidi"/>
            <w:sz w:val="21"/>
            <w:szCs w:val="21"/>
          </w:rPr>
          <w:tab/>
        </w:r>
        <w:r w:rsidR="00B249E9" w:rsidRPr="00161E65">
          <w:rPr>
            <w:rStyle w:val="a9"/>
            <w:rFonts w:hAnsi="宋体" w:hint="eastAsia"/>
            <w:kern w:val="0"/>
            <w:sz w:val="21"/>
            <w:szCs w:val="21"/>
          </w:rPr>
          <w:t>查阅方式</w:t>
        </w:r>
        <w:r w:rsidR="00B249E9" w:rsidRPr="00161E65">
          <w:rPr>
            <w:webHidden/>
            <w:sz w:val="21"/>
            <w:szCs w:val="21"/>
          </w:rPr>
          <w:tab/>
        </w:r>
        <w:r w:rsidR="00B249E9" w:rsidRPr="00161E65">
          <w:rPr>
            <w:webHidden/>
            <w:sz w:val="21"/>
            <w:szCs w:val="21"/>
          </w:rPr>
          <w:fldChar w:fldCharType="begin"/>
        </w:r>
        <w:r w:rsidR="00B249E9" w:rsidRPr="00161E65">
          <w:rPr>
            <w:webHidden/>
            <w:sz w:val="21"/>
            <w:szCs w:val="21"/>
          </w:rPr>
          <w:instrText xml:space="preserve"> PAGEREF _Toc48664266 \h </w:instrText>
        </w:r>
        <w:r w:rsidR="00B249E9" w:rsidRPr="00161E65">
          <w:rPr>
            <w:webHidden/>
            <w:sz w:val="21"/>
            <w:szCs w:val="21"/>
          </w:rPr>
        </w:r>
        <w:r w:rsidR="00B249E9" w:rsidRPr="00161E65">
          <w:rPr>
            <w:webHidden/>
            <w:sz w:val="21"/>
            <w:szCs w:val="21"/>
          </w:rPr>
          <w:fldChar w:fldCharType="separate"/>
        </w:r>
        <w:r w:rsidR="00B249E9" w:rsidRPr="00161E65">
          <w:rPr>
            <w:webHidden/>
            <w:sz w:val="21"/>
            <w:szCs w:val="21"/>
          </w:rPr>
          <w:t>56</w:t>
        </w:r>
        <w:r w:rsidR="00B249E9" w:rsidRPr="00161E65">
          <w:rPr>
            <w:webHidden/>
            <w:sz w:val="21"/>
            <w:szCs w:val="21"/>
          </w:rPr>
          <w:fldChar w:fldCharType="end"/>
        </w:r>
      </w:hyperlink>
      <w:bookmarkEnd w:id="22"/>
    </w:p>
    <w:p w:rsidR="00BA6060" w:rsidRPr="00DE71B3" w:rsidRDefault="00251072" w:rsidP="00BA6060">
      <w:pPr>
        <w:pStyle w:val="22"/>
        <w:rPr>
          <w:sz w:val="21"/>
          <w:szCs w:val="21"/>
        </w:rPr>
      </w:pPr>
      <w:r w:rsidRPr="00DE71B3">
        <w:rPr>
          <w:sz w:val="21"/>
          <w:szCs w:val="21"/>
        </w:rPr>
        <w:fldChar w:fldCharType="end"/>
      </w:r>
      <w:bookmarkStart w:id="23" w:name="_Toc225498244"/>
      <w:bookmarkStart w:id="24" w:name="_Toc352255960"/>
      <w:bookmarkStart w:id="25" w:name="_Toc352256028"/>
      <w:bookmarkStart w:id="26" w:name="_Toc352331206"/>
      <w:bookmarkStart w:id="27" w:name="_Toc374611638"/>
    </w:p>
    <w:p w:rsidR="00711C4C" w:rsidRPr="00964699" w:rsidRDefault="00BA6060" w:rsidP="003427BF">
      <w:pPr>
        <w:pStyle w:val="20"/>
        <w:tabs>
          <w:tab w:val="num" w:pos="425"/>
        </w:tabs>
        <w:spacing w:beforeLines="100" w:before="312" w:afterLines="100" w:after="312"/>
        <w:ind w:left="425" w:hanging="425"/>
        <w:jc w:val="center"/>
        <w:rPr>
          <w:rFonts w:ascii="宋体" w:cs="Arial"/>
          <w:color w:val="000000"/>
          <w:sz w:val="21"/>
          <w:szCs w:val="21"/>
        </w:rPr>
      </w:pPr>
      <w:r>
        <w:br w:type="page"/>
      </w:r>
      <w:bookmarkStart w:id="28" w:name="_Toc48664208"/>
      <w:r w:rsidR="00711C4C" w:rsidRPr="00964699">
        <w:rPr>
          <w:rFonts w:ascii="宋体" w:hAnsi="宋体" w:cs="Arial"/>
          <w:color w:val="000000"/>
          <w:sz w:val="21"/>
          <w:szCs w:val="21"/>
        </w:rPr>
        <w:lastRenderedPageBreak/>
        <w:t>2</w:t>
      </w:r>
      <w:r w:rsidR="006B4E2C" w:rsidRPr="006B4E2C">
        <w:rPr>
          <w:rFonts w:ascii="宋体" w:hAnsi="宋体" w:cs="Arial"/>
          <w:color w:val="000000"/>
          <w:sz w:val="21"/>
          <w:szCs w:val="21"/>
        </w:rPr>
        <w:tab/>
      </w:r>
      <w:r w:rsidR="00711C4C" w:rsidRPr="00964699">
        <w:rPr>
          <w:rFonts w:ascii="宋体" w:hAnsi="宋体" w:cs="Arial" w:hint="eastAsia"/>
          <w:color w:val="000000"/>
          <w:sz w:val="21"/>
          <w:szCs w:val="21"/>
        </w:rPr>
        <w:t>基金简介</w:t>
      </w:r>
      <w:bookmarkEnd w:id="23"/>
      <w:bookmarkEnd w:id="24"/>
      <w:bookmarkEnd w:id="25"/>
      <w:bookmarkEnd w:id="26"/>
      <w:bookmarkEnd w:id="27"/>
      <w:bookmarkEnd w:id="28"/>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 w:name="_Toc352255961"/>
      <w:bookmarkStart w:id="30" w:name="_Toc352256029"/>
      <w:bookmarkStart w:id="31" w:name="_Toc352331207"/>
      <w:bookmarkStart w:id="32" w:name="_Toc374611639"/>
      <w:bookmarkStart w:id="33" w:name="_Toc48664209"/>
      <w:r w:rsidRPr="0087410D">
        <w:rPr>
          <w:rFonts w:ascii="宋体" w:hAnsi="宋体"/>
          <w:kern w:val="0"/>
          <w:sz w:val="21"/>
          <w:szCs w:val="21"/>
        </w:rPr>
        <w:t>2.1</w:t>
      </w:r>
      <w:r w:rsidR="00BE2F8C" w:rsidRPr="006B4E2C">
        <w:rPr>
          <w:rFonts w:ascii="宋体" w:hAnsi="宋体"/>
          <w:kern w:val="0"/>
          <w:sz w:val="21"/>
          <w:szCs w:val="21"/>
        </w:rPr>
        <w:tab/>
      </w:r>
      <w:r w:rsidRPr="0087410D">
        <w:rPr>
          <w:rFonts w:ascii="宋体" w:hAnsi="宋体" w:hint="eastAsia"/>
          <w:kern w:val="0"/>
          <w:sz w:val="21"/>
          <w:szCs w:val="21"/>
        </w:rPr>
        <w:t>基金基本情况</w:t>
      </w:r>
      <w:bookmarkEnd w:id="29"/>
      <w:bookmarkEnd w:id="30"/>
      <w:bookmarkEnd w:id="31"/>
      <w:bookmarkEnd w:id="32"/>
      <w:bookmarkEnd w:id="33"/>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基金名称</w:t>
            </w:r>
          </w:p>
        </w:tc>
        <w:tc>
          <w:tcPr>
            <w:tcW w:w="5670" w:type="dxa"/>
            <w:vAlign w:val="center"/>
          </w:tcPr>
          <w:p w:rsidR="00711C4C" w:rsidRPr="00D749D4" w:rsidRDefault="00711C4C" w:rsidP="00FB1382">
            <w:pPr>
              <w:jc w:val="right"/>
              <w:rPr>
                <w:szCs w:val="21"/>
              </w:rPr>
            </w:pPr>
            <w:r w:rsidRPr="00D749D4">
              <w:rPr>
                <w:szCs w:val="21"/>
              </w:rPr>
              <w:t>易方达纳斯达克</w:t>
            </w:r>
            <w:r w:rsidRPr="00D749D4">
              <w:rPr>
                <w:szCs w:val="21"/>
              </w:rPr>
              <w:t>100</w:t>
            </w:r>
            <w:r w:rsidRPr="00D749D4">
              <w:rPr>
                <w:szCs w:val="21"/>
              </w:rPr>
              <w:t>指数证券投资基金（</w:t>
            </w:r>
            <w:r w:rsidRPr="00D749D4">
              <w:rPr>
                <w:szCs w:val="21"/>
              </w:rPr>
              <w:t>LOF</w:t>
            </w:r>
            <w:r w:rsidRPr="00D749D4">
              <w:rPr>
                <w:szCs w:val="21"/>
              </w:rPr>
              <w:t>）</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基金简称</w:t>
            </w:r>
          </w:p>
        </w:tc>
        <w:tc>
          <w:tcPr>
            <w:tcW w:w="5670" w:type="dxa"/>
            <w:vAlign w:val="center"/>
          </w:tcPr>
          <w:p w:rsidR="00711C4C" w:rsidRPr="00D749D4" w:rsidRDefault="00711C4C" w:rsidP="00FB1382">
            <w:pPr>
              <w:jc w:val="right"/>
              <w:rPr>
                <w:szCs w:val="21"/>
              </w:rPr>
            </w:pPr>
            <w:r w:rsidRPr="00D749D4">
              <w:rPr>
                <w:szCs w:val="21"/>
              </w:rPr>
              <w:t>易方达纳斯达克</w:t>
            </w:r>
            <w:r w:rsidRPr="00D749D4">
              <w:rPr>
                <w:szCs w:val="21"/>
              </w:rPr>
              <w:t>100</w:t>
            </w:r>
            <w:r w:rsidRPr="00D749D4">
              <w:rPr>
                <w:szCs w:val="21"/>
              </w:rPr>
              <w:t>指数（</w:t>
            </w:r>
            <w:r w:rsidRPr="00D749D4">
              <w:rPr>
                <w:szCs w:val="21"/>
              </w:rPr>
              <w:t>QDII-LOF</w:t>
            </w:r>
            <w:r w:rsidRPr="00D749D4">
              <w:rPr>
                <w:szCs w:val="21"/>
              </w:rPr>
              <w:t>）</w:t>
            </w:r>
          </w:p>
        </w:tc>
      </w:tr>
      <w:tr w:rsidR="007E7028" w:rsidRPr="00D749D4" w:rsidTr="0021645F">
        <w:tc>
          <w:tcPr>
            <w:tcW w:w="2835" w:type="dxa"/>
          </w:tcPr>
          <w:p w:rsidR="007E7028" w:rsidRPr="00FA19BB" w:rsidRDefault="007E7028" w:rsidP="0021645F">
            <w:pPr>
              <w:rPr>
                <w:szCs w:val="21"/>
              </w:rPr>
            </w:pPr>
            <w:r>
              <w:rPr>
                <w:rFonts w:hint="eastAsia"/>
                <w:szCs w:val="21"/>
              </w:rPr>
              <w:t>场内简称</w:t>
            </w:r>
          </w:p>
        </w:tc>
        <w:tc>
          <w:tcPr>
            <w:tcW w:w="5670" w:type="dxa"/>
            <w:vAlign w:val="center"/>
          </w:tcPr>
          <w:p w:rsidR="007E7028" w:rsidRPr="00FA19BB" w:rsidRDefault="007E7028" w:rsidP="0021645F">
            <w:pPr>
              <w:jc w:val="right"/>
              <w:rPr>
                <w:szCs w:val="21"/>
              </w:rPr>
            </w:pPr>
            <w:r>
              <w:rPr>
                <w:rFonts w:hint="eastAsia"/>
                <w:szCs w:val="21"/>
              </w:rPr>
              <w:t>纳指</w:t>
            </w:r>
            <w:r>
              <w:rPr>
                <w:rFonts w:hint="eastAsia"/>
                <w:szCs w:val="21"/>
              </w:rPr>
              <w:t>LOF</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基金主代码</w:t>
            </w:r>
          </w:p>
        </w:tc>
        <w:tc>
          <w:tcPr>
            <w:tcW w:w="5670" w:type="dxa"/>
            <w:vAlign w:val="center"/>
          </w:tcPr>
          <w:p w:rsidR="00711C4C" w:rsidRPr="00D749D4" w:rsidRDefault="00711C4C" w:rsidP="00FB1382">
            <w:pPr>
              <w:jc w:val="right"/>
              <w:rPr>
                <w:szCs w:val="21"/>
              </w:rPr>
            </w:pPr>
            <w:r w:rsidRPr="00D749D4">
              <w:rPr>
                <w:szCs w:val="21"/>
              </w:rPr>
              <w:t>161130</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交易代码</w:t>
            </w:r>
          </w:p>
        </w:tc>
        <w:tc>
          <w:tcPr>
            <w:tcW w:w="5670" w:type="dxa"/>
            <w:vAlign w:val="center"/>
          </w:tcPr>
          <w:p w:rsidR="00711C4C" w:rsidRPr="00D749D4" w:rsidRDefault="00711C4C" w:rsidP="00FB1382">
            <w:pPr>
              <w:jc w:val="right"/>
              <w:rPr>
                <w:szCs w:val="21"/>
              </w:rPr>
            </w:pPr>
            <w:r w:rsidRPr="00D749D4">
              <w:rPr>
                <w:szCs w:val="21"/>
              </w:rPr>
              <w:t>161130</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基金运作方式</w:t>
            </w:r>
          </w:p>
        </w:tc>
        <w:tc>
          <w:tcPr>
            <w:tcW w:w="5670" w:type="dxa"/>
            <w:vAlign w:val="center"/>
          </w:tcPr>
          <w:p w:rsidR="00711C4C" w:rsidRPr="00D749D4" w:rsidRDefault="00711C4C" w:rsidP="00FB1382">
            <w:pPr>
              <w:jc w:val="right"/>
              <w:rPr>
                <w:szCs w:val="21"/>
              </w:rPr>
            </w:pPr>
            <w:r w:rsidRPr="00D749D4">
              <w:rPr>
                <w:szCs w:val="21"/>
              </w:rPr>
              <w:t>契约型、上市开放式（</w:t>
            </w:r>
            <w:r w:rsidRPr="00D749D4">
              <w:rPr>
                <w:szCs w:val="21"/>
              </w:rPr>
              <w:t>LOF</w:t>
            </w:r>
            <w:r w:rsidRPr="00D749D4">
              <w:rPr>
                <w:szCs w:val="21"/>
              </w:rPr>
              <w:t>）</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基金合同生效日</w:t>
            </w:r>
          </w:p>
        </w:tc>
        <w:tc>
          <w:tcPr>
            <w:tcW w:w="5670" w:type="dxa"/>
            <w:vAlign w:val="center"/>
          </w:tcPr>
          <w:p w:rsidR="00711C4C" w:rsidRPr="00D749D4" w:rsidRDefault="00711C4C" w:rsidP="00FB1382">
            <w:pPr>
              <w:jc w:val="right"/>
              <w:rPr>
                <w:szCs w:val="21"/>
              </w:rPr>
            </w:pPr>
            <w:r w:rsidRPr="00D749D4">
              <w:rPr>
                <w:szCs w:val="21"/>
              </w:rPr>
              <w:t>2017</w:t>
            </w:r>
            <w:r w:rsidRPr="00D749D4">
              <w:rPr>
                <w:szCs w:val="21"/>
              </w:rPr>
              <w:t>年</w:t>
            </w:r>
            <w:r w:rsidRPr="00D749D4">
              <w:rPr>
                <w:szCs w:val="21"/>
              </w:rPr>
              <w:t>6</w:t>
            </w:r>
            <w:r w:rsidRPr="00D749D4">
              <w:rPr>
                <w:szCs w:val="21"/>
              </w:rPr>
              <w:t>月</w:t>
            </w:r>
            <w:r w:rsidRPr="00D749D4">
              <w:rPr>
                <w:szCs w:val="21"/>
              </w:rPr>
              <w:t>23</w:t>
            </w:r>
            <w:r w:rsidRPr="00D749D4">
              <w:rPr>
                <w:szCs w:val="21"/>
              </w:rPr>
              <w:t>日</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基金管理人</w:t>
            </w:r>
          </w:p>
        </w:tc>
        <w:tc>
          <w:tcPr>
            <w:tcW w:w="5670" w:type="dxa"/>
            <w:vAlign w:val="center"/>
          </w:tcPr>
          <w:p w:rsidR="00711C4C" w:rsidRPr="00D749D4" w:rsidRDefault="00711C4C" w:rsidP="00FB1382">
            <w:pPr>
              <w:jc w:val="right"/>
              <w:rPr>
                <w:szCs w:val="21"/>
              </w:rPr>
            </w:pPr>
            <w:r w:rsidRPr="00D749D4">
              <w:rPr>
                <w:szCs w:val="21"/>
              </w:rPr>
              <w:t>易方达基金管理有限公司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基金托管人</w:t>
            </w:r>
          </w:p>
        </w:tc>
        <w:tc>
          <w:tcPr>
            <w:tcW w:w="5670" w:type="dxa"/>
            <w:vAlign w:val="center"/>
          </w:tcPr>
          <w:p w:rsidR="00711C4C" w:rsidRPr="00D749D4" w:rsidRDefault="00711C4C" w:rsidP="00FB1382">
            <w:pPr>
              <w:jc w:val="right"/>
              <w:rPr>
                <w:szCs w:val="21"/>
              </w:rPr>
            </w:pPr>
            <w:r w:rsidRPr="00D749D4">
              <w:rPr>
                <w:szCs w:val="21"/>
              </w:rPr>
              <w:t>中国建设银行股份有限公司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报告期末基金份额总额</w:t>
            </w:r>
          </w:p>
        </w:tc>
        <w:tc>
          <w:tcPr>
            <w:tcW w:w="5670" w:type="dxa"/>
            <w:vAlign w:val="center"/>
          </w:tcPr>
          <w:p w:rsidR="00711C4C" w:rsidRPr="00D749D4" w:rsidRDefault="00711C4C" w:rsidP="00FB1382">
            <w:pPr>
              <w:jc w:val="right"/>
              <w:rPr>
                <w:szCs w:val="21"/>
              </w:rPr>
            </w:pPr>
            <w:r w:rsidRPr="00D749D4">
              <w:rPr>
                <w:szCs w:val="21"/>
              </w:rPr>
              <w:t>365,711,876.96</w:t>
            </w:r>
            <w:r w:rsidRPr="00D749D4">
              <w:rPr>
                <w:rFonts w:hint="eastAsia"/>
                <w:szCs w:val="21"/>
              </w:rPr>
              <w:t>份</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基金合同存续期</w:t>
            </w:r>
          </w:p>
        </w:tc>
        <w:tc>
          <w:tcPr>
            <w:tcW w:w="5670" w:type="dxa"/>
            <w:vAlign w:val="center"/>
          </w:tcPr>
          <w:p w:rsidR="00711C4C" w:rsidRPr="00D749D4" w:rsidRDefault="00711C4C" w:rsidP="00FB1382">
            <w:pPr>
              <w:jc w:val="right"/>
              <w:rPr>
                <w:szCs w:val="21"/>
              </w:rPr>
            </w:pPr>
            <w:r w:rsidRPr="00D749D4">
              <w:rPr>
                <w:szCs w:val="21"/>
              </w:rPr>
              <w:t>不定期</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基金份额上市的证券交易所</w:t>
            </w:r>
          </w:p>
        </w:tc>
        <w:tc>
          <w:tcPr>
            <w:tcW w:w="5670" w:type="dxa"/>
            <w:vAlign w:val="center"/>
          </w:tcPr>
          <w:p w:rsidR="00711C4C" w:rsidRPr="00D749D4" w:rsidRDefault="00711C4C" w:rsidP="00FB1382">
            <w:pPr>
              <w:jc w:val="right"/>
              <w:rPr>
                <w:szCs w:val="21"/>
              </w:rPr>
            </w:pPr>
            <w:r w:rsidRPr="00D749D4">
              <w:rPr>
                <w:szCs w:val="21"/>
              </w:rPr>
              <w:t>深圳证券交易所</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上市日期</w:t>
            </w:r>
          </w:p>
        </w:tc>
        <w:tc>
          <w:tcPr>
            <w:tcW w:w="5670" w:type="dxa"/>
            <w:vAlign w:val="center"/>
          </w:tcPr>
          <w:p w:rsidR="00711C4C" w:rsidRPr="00D749D4" w:rsidRDefault="00711C4C" w:rsidP="00FB1382">
            <w:pPr>
              <w:jc w:val="right"/>
              <w:rPr>
                <w:szCs w:val="21"/>
              </w:rPr>
            </w:pPr>
            <w:r w:rsidRPr="00D749D4">
              <w:rPr>
                <w:szCs w:val="21"/>
              </w:rPr>
              <w:t>2017</w:t>
            </w:r>
            <w:r w:rsidRPr="00D749D4">
              <w:rPr>
                <w:szCs w:val="21"/>
              </w:rPr>
              <w:t>年</w:t>
            </w:r>
            <w:r w:rsidRPr="00D749D4">
              <w:rPr>
                <w:szCs w:val="21"/>
              </w:rPr>
              <w:t>7</w:t>
            </w:r>
            <w:r w:rsidRPr="00D749D4">
              <w:rPr>
                <w:szCs w:val="21"/>
              </w:rPr>
              <w:t>月</w:t>
            </w:r>
            <w:r w:rsidRPr="00D749D4">
              <w:rPr>
                <w:szCs w:val="21"/>
              </w:rPr>
              <w:t>14</w:t>
            </w:r>
            <w:r w:rsidRPr="00D749D4">
              <w:rPr>
                <w:szCs w:val="21"/>
              </w:rPr>
              <w:t>日</w:t>
            </w:r>
          </w:p>
        </w:tc>
      </w:tr>
    </w:tbl>
    <w:p w:rsidR="00711C4C" w:rsidRDefault="00711C4C" w:rsidP="00AB0FF3">
      <w:pPr>
        <w:tabs>
          <w:tab w:val="left" w:pos="426"/>
        </w:tabs>
        <w:spacing w:line="360" w:lineRule="auto"/>
        <w:ind w:firstLineChars="200" w:firstLine="420"/>
        <w:jc w:val="left"/>
        <w:rPr>
          <w:kern w:val="0"/>
          <w:szCs w:val="21"/>
        </w:rPr>
      </w:pPr>
      <w:r w:rsidRPr="00D749D4">
        <w:rPr>
          <w:kern w:val="0"/>
          <w:szCs w:val="21"/>
        </w:rPr>
        <w:tab/>
      </w:r>
      <w:r w:rsidRPr="00D749D4">
        <w:rPr>
          <w:kern w:val="0"/>
          <w:szCs w:val="21"/>
        </w:rPr>
        <w:t>注：易方达纳斯达克</w:t>
      </w:r>
      <w:r w:rsidRPr="00D749D4">
        <w:rPr>
          <w:kern w:val="0"/>
          <w:szCs w:val="21"/>
        </w:rPr>
        <w:t>100</w:t>
      </w:r>
      <w:r w:rsidRPr="00D749D4">
        <w:rPr>
          <w:kern w:val="0"/>
          <w:szCs w:val="21"/>
        </w:rPr>
        <w:t>指数（</w:t>
      </w:r>
      <w:r w:rsidRPr="00D749D4">
        <w:rPr>
          <w:kern w:val="0"/>
          <w:szCs w:val="21"/>
        </w:rPr>
        <w:t>QDII-LOF</w:t>
      </w:r>
      <w:r w:rsidRPr="00D749D4">
        <w:rPr>
          <w:kern w:val="0"/>
          <w:szCs w:val="21"/>
        </w:rPr>
        <w:t>）含人民币份额（份额代码：</w:t>
      </w:r>
      <w:r w:rsidRPr="00D749D4">
        <w:rPr>
          <w:kern w:val="0"/>
          <w:szCs w:val="21"/>
        </w:rPr>
        <w:t>161130</w:t>
      </w:r>
      <w:r w:rsidRPr="00D749D4">
        <w:rPr>
          <w:kern w:val="0"/>
          <w:szCs w:val="21"/>
        </w:rPr>
        <w:t>）及美元现汇份额（份额代码：</w:t>
      </w:r>
      <w:r w:rsidRPr="00D749D4">
        <w:rPr>
          <w:kern w:val="0"/>
          <w:szCs w:val="21"/>
        </w:rPr>
        <w:t>003722</w:t>
      </w:r>
      <w:r w:rsidRPr="00D749D4">
        <w:rPr>
          <w:kern w:val="0"/>
          <w:szCs w:val="21"/>
        </w:rPr>
        <w:t>），交易代码仅列示人民币份额代码。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4" w:name="_Toc352255962"/>
      <w:bookmarkStart w:id="35" w:name="_Toc352256030"/>
      <w:bookmarkStart w:id="36" w:name="_Toc352331208"/>
      <w:bookmarkStart w:id="37" w:name="_Toc374611640"/>
      <w:bookmarkStart w:id="38" w:name="_Toc48664210"/>
      <w:r w:rsidRPr="0087410D">
        <w:rPr>
          <w:rFonts w:ascii="宋体" w:hAnsi="宋体"/>
          <w:kern w:val="0"/>
          <w:sz w:val="21"/>
          <w:szCs w:val="21"/>
        </w:rPr>
        <w:t>2.2</w:t>
      </w:r>
      <w:r w:rsidR="00BE2F8C" w:rsidRPr="006B4E2C">
        <w:rPr>
          <w:rFonts w:ascii="宋体" w:hAnsi="宋体"/>
          <w:kern w:val="0"/>
          <w:sz w:val="21"/>
          <w:szCs w:val="21"/>
        </w:rPr>
        <w:tab/>
      </w:r>
      <w:r w:rsidRPr="0087410D">
        <w:rPr>
          <w:rFonts w:ascii="宋体" w:hAnsi="宋体" w:hint="eastAsia"/>
          <w:kern w:val="0"/>
          <w:sz w:val="21"/>
          <w:szCs w:val="21"/>
        </w:rPr>
        <w:t>基金产品说明</w:t>
      </w:r>
      <w:bookmarkEnd w:id="34"/>
      <w:bookmarkEnd w:id="35"/>
      <w:bookmarkEnd w:id="36"/>
      <w:bookmarkEnd w:id="37"/>
      <w:bookmarkEnd w:id="3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szCs w:val="21"/>
              </w:rPr>
            </w:pPr>
            <w:r w:rsidRPr="00D749D4">
              <w:rPr>
                <w:rFonts w:hint="eastAsia"/>
                <w:szCs w:val="21"/>
              </w:rPr>
              <w:t>投资目标</w:t>
            </w:r>
          </w:p>
        </w:tc>
        <w:tc>
          <w:tcPr>
            <w:tcW w:w="5670" w:type="dxa"/>
            <w:vAlign w:val="center"/>
          </w:tcPr>
          <w:p w:rsidR="00711C4C" w:rsidRPr="00D749D4" w:rsidRDefault="00711C4C">
            <w:pPr>
              <w:rPr>
                <w:szCs w:val="21"/>
              </w:rPr>
            </w:pPr>
            <w:r w:rsidRPr="00D749D4">
              <w:rPr>
                <w:szCs w:val="21"/>
              </w:rPr>
              <w:t>紧密跟踪业绩比较基准，追求跟踪偏离度及跟踪误差的最小化。</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投资策略</w:t>
            </w:r>
          </w:p>
        </w:tc>
        <w:tc>
          <w:tcPr>
            <w:tcW w:w="5670" w:type="dxa"/>
            <w:vAlign w:val="center"/>
          </w:tcPr>
          <w:p w:rsidR="00711C4C" w:rsidRPr="00D749D4" w:rsidRDefault="00711C4C">
            <w:pPr>
              <w:rPr>
                <w:szCs w:val="21"/>
              </w:rPr>
            </w:pPr>
            <w:r w:rsidRPr="00D749D4">
              <w:rPr>
                <w:szCs w:val="21"/>
              </w:rPr>
              <w:t>作为追踪纳斯达克</w:t>
            </w:r>
            <w:r w:rsidRPr="00D749D4">
              <w:rPr>
                <w:szCs w:val="21"/>
              </w:rPr>
              <w:t>100</w:t>
            </w:r>
            <w:r w:rsidRPr="00D749D4">
              <w:rPr>
                <w:szCs w:val="21"/>
              </w:rPr>
              <w:t>指数的被动式海外指数基金，本基金主要采取完全复制法进行投资，力争紧密跟踪业绩比较基准，追求跟踪偏离度及跟踪误差的最小化。</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业绩比较基准</w:t>
            </w:r>
          </w:p>
        </w:tc>
        <w:tc>
          <w:tcPr>
            <w:tcW w:w="5670" w:type="dxa"/>
            <w:vAlign w:val="center"/>
          </w:tcPr>
          <w:p w:rsidR="00711C4C" w:rsidRPr="00D749D4" w:rsidRDefault="00711C4C">
            <w:pPr>
              <w:rPr>
                <w:szCs w:val="21"/>
              </w:rPr>
            </w:pPr>
            <w:r w:rsidRPr="00D749D4">
              <w:rPr>
                <w:szCs w:val="21"/>
              </w:rPr>
              <w:t>纳斯达克</w:t>
            </w:r>
            <w:r w:rsidRPr="00D749D4">
              <w:rPr>
                <w:szCs w:val="21"/>
              </w:rPr>
              <w:t>100</w:t>
            </w:r>
            <w:r w:rsidRPr="00D749D4">
              <w:rPr>
                <w:szCs w:val="21"/>
              </w:rPr>
              <w:t>指数收益率（使用估值汇率折算）</w:t>
            </w:r>
            <w:r w:rsidRPr="00D749D4">
              <w:rPr>
                <w:szCs w:val="21"/>
              </w:rPr>
              <w:t>×95%+</w:t>
            </w:r>
            <w:r w:rsidRPr="00D749D4">
              <w:rPr>
                <w:szCs w:val="21"/>
              </w:rPr>
              <w:t>活期存款利率（税后）</w:t>
            </w:r>
            <w:r w:rsidRPr="00D749D4">
              <w:rPr>
                <w:szCs w:val="21"/>
              </w:rPr>
              <w:t>×5%</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风险收益特征</w:t>
            </w:r>
          </w:p>
        </w:tc>
        <w:tc>
          <w:tcPr>
            <w:tcW w:w="5670" w:type="dxa"/>
            <w:vAlign w:val="center"/>
          </w:tcPr>
          <w:p w:rsidR="00711C4C" w:rsidRPr="00D749D4" w:rsidRDefault="00711C4C">
            <w:pPr>
              <w:rPr>
                <w:szCs w:val="21"/>
              </w:rPr>
            </w:pPr>
            <w:r w:rsidRPr="00D749D4">
              <w:rPr>
                <w:szCs w:val="21"/>
              </w:rPr>
              <w:t>本基金属股票指数基金，预期风险与收益水平高于混合基金、债券基金与货币市场基金。本基金主要采用组合复制策略和适当的替代性策略实现对标的指数的紧密跟踪，具有与标的指数相似的风险收益特征。本基金主要投资美国证券市场，需承担汇率风险以及境外市场的风险。</w:t>
            </w:r>
            <w:r w:rsidRPr="00D749D4">
              <w:rPr>
                <w:szCs w:val="21"/>
              </w:rPr>
              <w:t xml:space="preserve"> </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9" w:name="_Toc225498247"/>
      <w:bookmarkStart w:id="40" w:name="_Toc352255963"/>
      <w:bookmarkStart w:id="41" w:name="_Toc352256031"/>
      <w:bookmarkStart w:id="42" w:name="_Toc352331209"/>
      <w:bookmarkStart w:id="43" w:name="_Toc374611641"/>
      <w:bookmarkStart w:id="44" w:name="_Toc48664211"/>
      <w:r w:rsidRPr="0087410D">
        <w:rPr>
          <w:rFonts w:ascii="宋体" w:hAnsi="宋体"/>
          <w:kern w:val="0"/>
          <w:sz w:val="21"/>
          <w:szCs w:val="21"/>
        </w:rPr>
        <w:t>2.3</w:t>
      </w:r>
      <w:r w:rsidR="00BE2F8C" w:rsidRPr="006B4E2C">
        <w:rPr>
          <w:rFonts w:ascii="宋体" w:hAnsi="宋体"/>
          <w:kern w:val="0"/>
          <w:sz w:val="21"/>
          <w:szCs w:val="21"/>
        </w:rPr>
        <w:tab/>
      </w:r>
      <w:r w:rsidRPr="0087410D">
        <w:rPr>
          <w:rFonts w:ascii="宋体" w:hAnsi="宋体" w:hint="eastAsia"/>
          <w:kern w:val="0"/>
          <w:sz w:val="21"/>
          <w:szCs w:val="21"/>
        </w:rPr>
        <w:t>基金管理人和基金托管人</w:t>
      </w:r>
      <w:bookmarkEnd w:id="39"/>
      <w:bookmarkEnd w:id="40"/>
      <w:bookmarkEnd w:id="41"/>
      <w:bookmarkEnd w:id="42"/>
      <w:bookmarkEnd w:id="43"/>
      <w:bookmarkEnd w:id="4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2956"/>
      </w:tblGrid>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kern w:val="0"/>
                <w:szCs w:val="21"/>
              </w:rPr>
              <w:t>项目</w:t>
            </w:r>
          </w:p>
        </w:tc>
        <w:tc>
          <w:tcPr>
            <w:tcW w:w="3060" w:type="dxa"/>
            <w:vAlign w:val="center"/>
          </w:tcPr>
          <w:p w:rsidR="00711C4C" w:rsidRPr="00D749D4" w:rsidRDefault="00711C4C" w:rsidP="00EC549A">
            <w:pPr>
              <w:jc w:val="center"/>
              <w:rPr>
                <w:color w:val="000000"/>
                <w:szCs w:val="21"/>
              </w:rPr>
            </w:pPr>
            <w:r w:rsidRPr="00D749D4">
              <w:rPr>
                <w:rFonts w:hint="eastAsia"/>
                <w:color w:val="000000"/>
                <w:szCs w:val="21"/>
              </w:rPr>
              <w:t>基金管理人</w:t>
            </w:r>
          </w:p>
        </w:tc>
        <w:tc>
          <w:tcPr>
            <w:tcW w:w="2956" w:type="dxa"/>
            <w:vAlign w:val="center"/>
          </w:tcPr>
          <w:p w:rsidR="00711C4C" w:rsidRPr="00D749D4" w:rsidRDefault="00711C4C" w:rsidP="00EC549A">
            <w:pPr>
              <w:jc w:val="center"/>
              <w:rPr>
                <w:color w:val="000000"/>
                <w:szCs w:val="21"/>
              </w:rPr>
            </w:pPr>
            <w:r w:rsidRPr="00D749D4">
              <w:rPr>
                <w:rFonts w:hint="eastAsia"/>
                <w:color w:val="000000"/>
                <w:szCs w:val="21"/>
              </w:rPr>
              <w:t>基金托管人</w:t>
            </w:r>
          </w:p>
        </w:tc>
      </w:tr>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rPr>
                <w:color w:val="000000"/>
                <w:kern w:val="0"/>
                <w:szCs w:val="21"/>
              </w:rPr>
            </w:pPr>
            <w:r w:rsidRPr="00D749D4">
              <w:rPr>
                <w:rFonts w:hint="eastAsia"/>
                <w:color w:val="000000"/>
                <w:kern w:val="0"/>
                <w:szCs w:val="21"/>
              </w:rPr>
              <w:t>名称</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易方达基金管理有限公司</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中国建设银行股份有限公司</w:t>
            </w:r>
          </w:p>
        </w:tc>
      </w:tr>
      <w:tr w:rsidR="00711C4C" w:rsidRPr="00D749D4" w:rsidTr="001D05B1">
        <w:tc>
          <w:tcPr>
            <w:tcW w:w="1260" w:type="dxa"/>
            <w:vMerge w:val="restart"/>
            <w:vAlign w:val="center"/>
          </w:tcPr>
          <w:p w:rsidR="00711C4C" w:rsidRPr="00D749D4" w:rsidRDefault="00711C4C">
            <w:pPr>
              <w:autoSpaceDE w:val="0"/>
              <w:autoSpaceDN w:val="0"/>
              <w:adjustRightInd w:val="0"/>
              <w:spacing w:before="29" w:line="360" w:lineRule="auto"/>
              <w:ind w:left="15"/>
              <w:rPr>
                <w:color w:val="000000"/>
                <w:kern w:val="0"/>
                <w:szCs w:val="21"/>
              </w:rPr>
            </w:pPr>
            <w:r w:rsidRPr="00D749D4">
              <w:rPr>
                <w:rFonts w:hint="eastAsia"/>
                <w:color w:val="000000"/>
                <w:szCs w:val="21"/>
              </w:rPr>
              <w:lastRenderedPageBreak/>
              <w:t>信息披露负责人</w:t>
            </w:r>
          </w:p>
        </w:tc>
        <w:tc>
          <w:tcPr>
            <w:tcW w:w="1371" w:type="dxa"/>
            <w:vAlign w:val="center"/>
          </w:tcPr>
          <w:p w:rsidR="00711C4C" w:rsidRPr="00D749D4" w:rsidRDefault="00711C4C">
            <w:pPr>
              <w:jc w:val="center"/>
              <w:rPr>
                <w:color w:val="000000"/>
                <w:szCs w:val="21"/>
              </w:rPr>
            </w:pPr>
            <w:r w:rsidRPr="00D749D4">
              <w:rPr>
                <w:rFonts w:hint="eastAsia"/>
                <w:color w:val="000000"/>
                <w:szCs w:val="21"/>
              </w:rPr>
              <w:t>姓名</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张南</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李申</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联系电话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020-85102688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021-60637102</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电子邮箱</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service@efunds.com.cn</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lishen.zh@ccb.com</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客户服务电话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400 881 8088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021-60637111</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传真</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020-85104666</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021-60635778</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注册地址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广东省珠海市横琴新区宝华路</w:t>
            </w:r>
            <w:r w:rsidRPr="00D749D4">
              <w:rPr>
                <w:color w:val="000000"/>
                <w:kern w:val="0"/>
                <w:szCs w:val="21"/>
              </w:rPr>
              <w:t>6</w:t>
            </w:r>
            <w:r w:rsidRPr="00D749D4">
              <w:rPr>
                <w:color w:val="000000"/>
                <w:kern w:val="0"/>
                <w:szCs w:val="21"/>
              </w:rPr>
              <w:t>号</w:t>
            </w:r>
            <w:r w:rsidRPr="00D749D4">
              <w:rPr>
                <w:color w:val="000000"/>
                <w:kern w:val="0"/>
                <w:szCs w:val="21"/>
              </w:rPr>
              <w:t>105</w:t>
            </w:r>
            <w:r w:rsidRPr="00D749D4">
              <w:rPr>
                <w:color w:val="000000"/>
                <w:kern w:val="0"/>
                <w:szCs w:val="21"/>
              </w:rPr>
              <w:t>室－</w:t>
            </w:r>
            <w:r w:rsidRPr="00D749D4">
              <w:rPr>
                <w:color w:val="000000"/>
                <w:kern w:val="0"/>
                <w:szCs w:val="21"/>
              </w:rPr>
              <w:t>42891</w:t>
            </w:r>
            <w:r w:rsidRPr="00D749D4">
              <w:rPr>
                <w:color w:val="000000"/>
                <w:kern w:val="0"/>
                <w:szCs w:val="21"/>
              </w:rPr>
              <w:t>（集中办公区）</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北京市西城区金融大街</w:t>
            </w:r>
            <w:r w:rsidRPr="00D749D4">
              <w:rPr>
                <w:color w:val="000000"/>
                <w:kern w:val="0"/>
                <w:szCs w:val="21"/>
              </w:rPr>
              <w:t>25</w:t>
            </w:r>
            <w:r w:rsidRPr="00D749D4">
              <w:rPr>
                <w:color w:val="000000"/>
                <w:kern w:val="0"/>
                <w:szCs w:val="21"/>
              </w:rPr>
              <w:t>号</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办公地址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广州市天河区珠江新城珠江东路</w:t>
            </w:r>
            <w:r w:rsidRPr="00D749D4">
              <w:rPr>
                <w:color w:val="000000"/>
                <w:kern w:val="0"/>
                <w:szCs w:val="21"/>
              </w:rPr>
              <w:t>30</w:t>
            </w:r>
            <w:r w:rsidRPr="00D749D4">
              <w:rPr>
                <w:color w:val="000000"/>
                <w:kern w:val="0"/>
                <w:szCs w:val="21"/>
              </w:rPr>
              <w:t>号广州银行大厦</w:t>
            </w:r>
            <w:r w:rsidRPr="00D749D4">
              <w:rPr>
                <w:color w:val="000000"/>
                <w:kern w:val="0"/>
                <w:szCs w:val="21"/>
              </w:rPr>
              <w:t>40-43</w:t>
            </w:r>
            <w:r w:rsidRPr="00D749D4">
              <w:rPr>
                <w:color w:val="000000"/>
                <w:kern w:val="0"/>
                <w:szCs w:val="21"/>
              </w:rPr>
              <w:t>楼</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北京市西城区闹市口大街</w:t>
            </w:r>
            <w:r w:rsidRPr="00D749D4">
              <w:rPr>
                <w:color w:val="000000"/>
                <w:kern w:val="0"/>
                <w:szCs w:val="21"/>
              </w:rPr>
              <w:t>1</w:t>
            </w:r>
            <w:r w:rsidRPr="00D749D4">
              <w:rPr>
                <w:color w:val="000000"/>
                <w:kern w:val="0"/>
                <w:szCs w:val="21"/>
              </w:rPr>
              <w:t>号院</w:t>
            </w:r>
            <w:r w:rsidRPr="00D749D4">
              <w:rPr>
                <w:color w:val="000000"/>
                <w:kern w:val="0"/>
                <w:szCs w:val="21"/>
              </w:rPr>
              <w:t>1</w:t>
            </w:r>
            <w:r w:rsidRPr="00D749D4">
              <w:rPr>
                <w:color w:val="000000"/>
                <w:kern w:val="0"/>
                <w:szCs w:val="21"/>
              </w:rPr>
              <w:t>号楼</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邮政编码</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510620</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100033</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法定代表人</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刘晓艳</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田国立</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45" w:name="_Toc224618346"/>
      <w:bookmarkStart w:id="46" w:name="_Toc235605676"/>
      <w:bookmarkStart w:id="47" w:name="_Toc286929724"/>
      <w:bookmarkStart w:id="48" w:name="_Toc352255964"/>
      <w:bookmarkStart w:id="49" w:name="_Toc352256032"/>
      <w:bookmarkStart w:id="50" w:name="_Toc352331210"/>
      <w:bookmarkStart w:id="51" w:name="_Toc374611642"/>
      <w:bookmarkStart w:id="52" w:name="_Toc48664212"/>
      <w:r w:rsidRPr="0087410D">
        <w:rPr>
          <w:rFonts w:ascii="宋体" w:hAnsi="宋体"/>
          <w:kern w:val="0"/>
          <w:sz w:val="21"/>
          <w:szCs w:val="21"/>
        </w:rPr>
        <w:t>2.4</w:t>
      </w:r>
      <w:r w:rsidR="00BE2F8C" w:rsidRPr="006B4E2C">
        <w:rPr>
          <w:rFonts w:ascii="宋体" w:hAnsi="宋体"/>
          <w:kern w:val="0"/>
          <w:sz w:val="21"/>
          <w:szCs w:val="21"/>
        </w:rPr>
        <w:tab/>
      </w:r>
      <w:r w:rsidRPr="0087410D">
        <w:rPr>
          <w:rFonts w:ascii="宋体" w:hAnsi="宋体" w:hint="eastAsia"/>
          <w:kern w:val="0"/>
          <w:sz w:val="21"/>
          <w:szCs w:val="21"/>
        </w:rPr>
        <w:t>境外投资顾问和境外资产托管人</w:t>
      </w:r>
      <w:bookmarkEnd w:id="45"/>
      <w:bookmarkEnd w:id="46"/>
      <w:bookmarkEnd w:id="47"/>
      <w:bookmarkEnd w:id="48"/>
      <w:bookmarkEnd w:id="49"/>
      <w:bookmarkEnd w:id="50"/>
      <w:bookmarkEnd w:id="51"/>
      <w:bookmarkEnd w:id="5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项目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境外投资顾问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境外资产托管人</w:t>
            </w:r>
          </w:p>
        </w:tc>
      </w:tr>
      <w:tr w:rsidR="00711C4C" w:rsidRPr="00D749D4" w:rsidTr="001D05B1">
        <w:trPr>
          <w:trHeight w:val="370"/>
        </w:trPr>
        <w:tc>
          <w:tcPr>
            <w:tcW w:w="900" w:type="dxa"/>
            <w:vMerge w:val="restart"/>
            <w:vAlign w:val="center"/>
          </w:tcPr>
          <w:p w:rsidR="00711C4C" w:rsidRPr="00D749D4" w:rsidRDefault="00711C4C" w:rsidP="004B68EC">
            <w:pPr>
              <w:jc w:val="center"/>
              <w:rPr>
                <w:color w:val="000000"/>
                <w:szCs w:val="21"/>
              </w:rPr>
            </w:pPr>
            <w:r w:rsidRPr="00D749D4">
              <w:rPr>
                <w:rFonts w:hint="eastAsia"/>
                <w:color w:val="000000"/>
                <w:szCs w:val="21"/>
              </w:rPr>
              <w:t>名称</w:t>
            </w: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英文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State Street Bank and Trust Company</w:t>
            </w:r>
          </w:p>
        </w:tc>
      </w:tr>
      <w:tr w:rsidR="00711C4C" w:rsidRPr="00D749D4" w:rsidTr="001D05B1">
        <w:trPr>
          <w:trHeight w:val="335"/>
        </w:trPr>
        <w:tc>
          <w:tcPr>
            <w:tcW w:w="900" w:type="dxa"/>
            <w:vMerge/>
            <w:vAlign w:val="center"/>
          </w:tcPr>
          <w:p w:rsidR="00711C4C" w:rsidRPr="00D749D4" w:rsidRDefault="00711C4C" w:rsidP="004B68EC">
            <w:pPr>
              <w:jc w:val="center"/>
              <w:rPr>
                <w:color w:val="000000"/>
                <w:szCs w:val="21"/>
              </w:rPr>
            </w:pP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中文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道富银行</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注册地址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One Lincoln Street, Boston, Massachusetts 02111, United States</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办公地址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One Lincoln Street, Boston, Massachusetts 02111, United States</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邮政编码</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无</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3" w:name="_Toc225498248"/>
      <w:bookmarkStart w:id="54" w:name="_Toc352255965"/>
      <w:bookmarkStart w:id="55" w:name="_Toc352256033"/>
      <w:bookmarkStart w:id="56" w:name="_Toc352331211"/>
      <w:bookmarkStart w:id="57" w:name="_Toc374611643"/>
      <w:bookmarkStart w:id="58" w:name="_Toc48664213"/>
      <w:r w:rsidRPr="0087410D">
        <w:rPr>
          <w:rFonts w:ascii="宋体" w:hAnsi="宋体"/>
          <w:kern w:val="0"/>
          <w:sz w:val="21"/>
          <w:szCs w:val="21"/>
        </w:rPr>
        <w:t>2.5</w:t>
      </w:r>
      <w:r w:rsidR="00BE2F8C" w:rsidRPr="006B4E2C">
        <w:rPr>
          <w:rFonts w:ascii="宋体" w:hAnsi="宋体"/>
          <w:kern w:val="0"/>
          <w:sz w:val="21"/>
          <w:szCs w:val="21"/>
        </w:rPr>
        <w:tab/>
      </w:r>
      <w:r w:rsidRPr="0087410D">
        <w:rPr>
          <w:rFonts w:ascii="宋体" w:hAnsi="宋体" w:hint="eastAsia"/>
          <w:kern w:val="0"/>
          <w:sz w:val="21"/>
          <w:szCs w:val="21"/>
        </w:rPr>
        <w:t>信息披露方式</w:t>
      </w:r>
      <w:bookmarkEnd w:id="53"/>
      <w:bookmarkEnd w:id="54"/>
      <w:bookmarkEnd w:id="55"/>
      <w:bookmarkEnd w:id="56"/>
      <w:bookmarkEnd w:id="57"/>
      <w:bookmarkEnd w:id="5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本基金选定的信息披露报纸名称</w:t>
            </w:r>
          </w:p>
        </w:tc>
        <w:tc>
          <w:tcPr>
            <w:tcW w:w="4180" w:type="dxa"/>
            <w:vAlign w:val="center"/>
          </w:tcPr>
          <w:p w:rsidR="00711C4C" w:rsidRPr="00D749D4" w:rsidRDefault="00711C4C">
            <w:pPr>
              <w:tabs>
                <w:tab w:val="left" w:pos="1740"/>
              </w:tabs>
              <w:rPr>
                <w:color w:val="000000"/>
                <w:szCs w:val="21"/>
              </w:rPr>
            </w:pPr>
            <w:r w:rsidRPr="00D749D4">
              <w:rPr>
                <w:color w:val="000000"/>
                <w:szCs w:val="21"/>
              </w:rPr>
              <w:t>上海证券报</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登载基金</w:t>
            </w:r>
            <w:r w:rsidR="00896530">
              <w:rPr>
                <w:rFonts w:hint="eastAsia"/>
                <w:color w:val="000000"/>
                <w:szCs w:val="21"/>
              </w:rPr>
              <w:t>中期</w:t>
            </w:r>
            <w:r w:rsidRPr="00D749D4">
              <w:rPr>
                <w:rFonts w:hint="eastAsia"/>
                <w:color w:val="000000"/>
                <w:szCs w:val="21"/>
              </w:rPr>
              <w:t>报告正文的管理人互联网网址</w:t>
            </w:r>
          </w:p>
        </w:tc>
        <w:tc>
          <w:tcPr>
            <w:tcW w:w="4180" w:type="dxa"/>
            <w:vAlign w:val="center"/>
          </w:tcPr>
          <w:p w:rsidR="00711C4C" w:rsidRPr="00D749D4" w:rsidRDefault="00711C4C">
            <w:pPr>
              <w:tabs>
                <w:tab w:val="left" w:pos="1740"/>
              </w:tabs>
              <w:rPr>
                <w:color w:val="000000"/>
                <w:szCs w:val="21"/>
              </w:rPr>
            </w:pPr>
            <w:r w:rsidRPr="00D749D4">
              <w:rPr>
                <w:color w:val="000000"/>
                <w:szCs w:val="21"/>
              </w:rPr>
              <w:t>http://www.efunds.com.cn</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基金</w:t>
            </w:r>
            <w:r w:rsidR="00896530">
              <w:rPr>
                <w:rFonts w:hint="eastAsia"/>
                <w:color w:val="000000"/>
                <w:szCs w:val="21"/>
              </w:rPr>
              <w:t>中期</w:t>
            </w:r>
            <w:r w:rsidRPr="00D749D4">
              <w:rPr>
                <w:rFonts w:hint="eastAsia"/>
                <w:color w:val="000000"/>
                <w:szCs w:val="21"/>
              </w:rPr>
              <w:t>报告备置地点</w:t>
            </w:r>
          </w:p>
        </w:tc>
        <w:tc>
          <w:tcPr>
            <w:tcW w:w="4180" w:type="dxa"/>
            <w:vAlign w:val="center"/>
          </w:tcPr>
          <w:p w:rsidR="00711C4C" w:rsidRPr="00D749D4" w:rsidRDefault="00711C4C">
            <w:pPr>
              <w:tabs>
                <w:tab w:val="left" w:pos="1740"/>
              </w:tabs>
              <w:rPr>
                <w:color w:val="000000"/>
                <w:szCs w:val="21"/>
              </w:rPr>
            </w:pPr>
            <w:r w:rsidRPr="00D749D4">
              <w:rPr>
                <w:color w:val="000000"/>
                <w:szCs w:val="21"/>
              </w:rPr>
              <w:t>广州市天河区珠江新城珠江东路</w:t>
            </w:r>
            <w:r w:rsidRPr="00D749D4">
              <w:rPr>
                <w:color w:val="000000"/>
                <w:szCs w:val="21"/>
              </w:rPr>
              <w:t>30</w:t>
            </w:r>
            <w:r w:rsidRPr="00D749D4">
              <w:rPr>
                <w:color w:val="000000"/>
                <w:szCs w:val="21"/>
              </w:rPr>
              <w:t>号广州银行大厦</w:t>
            </w:r>
            <w:r w:rsidRPr="00D749D4">
              <w:rPr>
                <w:color w:val="000000"/>
                <w:szCs w:val="21"/>
              </w:rPr>
              <w:t>43</w:t>
            </w:r>
            <w:r w:rsidRPr="00D749D4">
              <w:rPr>
                <w:color w:val="000000"/>
                <w:szCs w:val="21"/>
              </w:rPr>
              <w:t>楼</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9" w:name="_Toc225498249"/>
      <w:bookmarkStart w:id="60" w:name="_Toc352255966"/>
      <w:bookmarkStart w:id="61" w:name="_Toc352256034"/>
      <w:bookmarkStart w:id="62" w:name="_Toc352331212"/>
      <w:bookmarkStart w:id="63" w:name="_Toc374611644"/>
      <w:bookmarkStart w:id="64" w:name="_Toc48664214"/>
      <w:r w:rsidRPr="0087410D">
        <w:rPr>
          <w:rFonts w:ascii="宋体" w:hAnsi="宋体"/>
          <w:kern w:val="0"/>
          <w:sz w:val="21"/>
          <w:szCs w:val="21"/>
        </w:rPr>
        <w:t>2.6</w:t>
      </w:r>
      <w:r w:rsidR="00BE2F8C" w:rsidRPr="006B4E2C">
        <w:rPr>
          <w:rFonts w:ascii="宋体" w:hAnsi="宋体"/>
          <w:kern w:val="0"/>
          <w:sz w:val="21"/>
          <w:szCs w:val="21"/>
        </w:rPr>
        <w:tab/>
      </w:r>
      <w:r w:rsidRPr="0087410D">
        <w:rPr>
          <w:rFonts w:ascii="宋体" w:hAnsi="宋体" w:hint="eastAsia"/>
          <w:kern w:val="0"/>
          <w:sz w:val="21"/>
          <w:szCs w:val="21"/>
        </w:rPr>
        <w:t>其他相关资料</w:t>
      </w:r>
      <w:bookmarkEnd w:id="59"/>
      <w:bookmarkEnd w:id="60"/>
      <w:bookmarkEnd w:id="61"/>
      <w:bookmarkEnd w:id="62"/>
      <w:bookmarkEnd w:id="63"/>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711C4C" w:rsidRPr="00D749D4" w:rsidTr="001D0EF1">
        <w:tc>
          <w:tcPr>
            <w:tcW w:w="1951"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项目</w:t>
            </w:r>
          </w:p>
        </w:tc>
        <w:tc>
          <w:tcPr>
            <w:tcW w:w="3260"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名称</w:t>
            </w:r>
          </w:p>
        </w:tc>
        <w:tc>
          <w:tcPr>
            <w:tcW w:w="4075"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办公地址</w:t>
            </w:r>
          </w:p>
        </w:tc>
      </w:tr>
      <w:tr w:rsidR="00711C4C" w:rsidRPr="00D749D4" w:rsidTr="001D0EF1">
        <w:tc>
          <w:tcPr>
            <w:tcW w:w="1951" w:type="dxa"/>
            <w:vAlign w:val="center"/>
          </w:tcPr>
          <w:p w:rsidR="00711C4C" w:rsidRPr="00D749D4" w:rsidRDefault="00711C4C">
            <w:pPr>
              <w:tabs>
                <w:tab w:val="left" w:pos="1740"/>
              </w:tabs>
              <w:rPr>
                <w:color w:val="000000"/>
                <w:szCs w:val="21"/>
              </w:rPr>
            </w:pPr>
            <w:r w:rsidRPr="00D749D4">
              <w:rPr>
                <w:rFonts w:hint="eastAsia"/>
                <w:color w:val="000000"/>
                <w:szCs w:val="21"/>
              </w:rPr>
              <w:t>注册登记机构</w:t>
            </w:r>
          </w:p>
        </w:tc>
        <w:tc>
          <w:tcPr>
            <w:tcW w:w="3260" w:type="dxa"/>
            <w:vAlign w:val="center"/>
          </w:tcPr>
          <w:p w:rsidR="00711C4C" w:rsidRPr="00D749D4" w:rsidRDefault="00711C4C" w:rsidP="00EC549A">
            <w:pPr>
              <w:tabs>
                <w:tab w:val="left" w:pos="1740"/>
              </w:tabs>
              <w:jc w:val="left"/>
              <w:rPr>
                <w:color w:val="000000"/>
                <w:szCs w:val="21"/>
              </w:rPr>
            </w:pPr>
            <w:r w:rsidRPr="00D749D4">
              <w:rPr>
                <w:color w:val="000000"/>
                <w:szCs w:val="21"/>
              </w:rPr>
              <w:t>中国证券登记结算有限责任公司</w:t>
            </w:r>
          </w:p>
        </w:tc>
        <w:tc>
          <w:tcPr>
            <w:tcW w:w="4075" w:type="dxa"/>
            <w:vAlign w:val="center"/>
          </w:tcPr>
          <w:p w:rsidR="00711C4C" w:rsidRPr="00D749D4" w:rsidRDefault="00711C4C">
            <w:pPr>
              <w:tabs>
                <w:tab w:val="left" w:pos="1740"/>
              </w:tabs>
              <w:rPr>
                <w:color w:val="000000"/>
                <w:szCs w:val="21"/>
              </w:rPr>
            </w:pPr>
            <w:r w:rsidRPr="00D749D4">
              <w:rPr>
                <w:color w:val="000000"/>
                <w:szCs w:val="21"/>
              </w:rPr>
              <w:t>北京市西城区太平桥大街</w:t>
            </w:r>
            <w:r w:rsidRPr="00D749D4">
              <w:rPr>
                <w:color w:val="000000"/>
                <w:szCs w:val="21"/>
              </w:rPr>
              <w:t>17</w:t>
            </w:r>
            <w:r w:rsidRPr="00D749D4">
              <w:rPr>
                <w:color w:val="000000"/>
                <w:szCs w:val="21"/>
              </w:rPr>
              <w:t>号</w:t>
            </w:r>
          </w:p>
        </w:tc>
      </w:tr>
      <w:tr w:rsidR="00CF426B">
        <w:tc>
          <w:tcPr>
            <w:tcW w:w="1951" w:type="dxa"/>
            <w:vAlign w:val="center"/>
          </w:tcPr>
          <w:p w:rsidR="00CF426B" w:rsidRDefault="005F6DDD">
            <w:pPr>
              <w:jc w:val="left"/>
            </w:pPr>
            <w:r>
              <w:rPr>
                <w:color w:val="000000"/>
                <w:szCs w:val="21"/>
              </w:rPr>
              <w:t>注册登记机构</w:t>
            </w:r>
          </w:p>
        </w:tc>
        <w:tc>
          <w:tcPr>
            <w:tcW w:w="3260" w:type="dxa"/>
            <w:vAlign w:val="center"/>
          </w:tcPr>
          <w:p w:rsidR="00CF426B" w:rsidRDefault="005F6DDD">
            <w:pPr>
              <w:jc w:val="left"/>
            </w:pPr>
            <w:r>
              <w:rPr>
                <w:color w:val="000000"/>
                <w:szCs w:val="21"/>
              </w:rPr>
              <w:t>易方达基金管理有限公司</w:t>
            </w:r>
          </w:p>
        </w:tc>
        <w:tc>
          <w:tcPr>
            <w:tcW w:w="4075" w:type="dxa"/>
            <w:vAlign w:val="center"/>
          </w:tcPr>
          <w:p w:rsidR="00CF426B" w:rsidRDefault="005F6DDD">
            <w:pPr>
              <w:jc w:val="left"/>
            </w:pPr>
            <w:r>
              <w:rPr>
                <w:color w:val="000000"/>
                <w:szCs w:val="21"/>
              </w:rPr>
              <w:t>广州市天河区珠江新城珠江东路</w:t>
            </w:r>
            <w:r>
              <w:rPr>
                <w:color w:val="000000"/>
                <w:szCs w:val="21"/>
              </w:rPr>
              <w:t>30</w:t>
            </w:r>
            <w:r>
              <w:rPr>
                <w:color w:val="000000"/>
                <w:szCs w:val="21"/>
              </w:rPr>
              <w:t>号广州银行大厦</w:t>
            </w:r>
            <w:r>
              <w:rPr>
                <w:color w:val="000000"/>
                <w:szCs w:val="21"/>
              </w:rPr>
              <w:t>40-43</w:t>
            </w:r>
            <w:r>
              <w:rPr>
                <w:color w:val="000000"/>
                <w:szCs w:val="21"/>
              </w:rPr>
              <w:t>楼</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ab/>
      </w:r>
      <w:r w:rsidRPr="00D749D4">
        <w:rPr>
          <w:kern w:val="0"/>
          <w:szCs w:val="21"/>
        </w:rPr>
        <w:t>注：本基金人民币基金份额的登记结算机构为中国证券登记结算有限责任公司，美元基金份额</w:t>
      </w:r>
      <w:r w:rsidRPr="00D749D4">
        <w:rPr>
          <w:kern w:val="0"/>
          <w:szCs w:val="21"/>
        </w:rPr>
        <w:lastRenderedPageBreak/>
        <w:t>的登记结算机构为易方达基金管理有限公司。</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65" w:name="_Toc352255967"/>
      <w:bookmarkStart w:id="66" w:name="_Toc352256035"/>
      <w:bookmarkStart w:id="67" w:name="_Toc352331213"/>
      <w:bookmarkStart w:id="68" w:name="_Toc374611645"/>
      <w:bookmarkStart w:id="69" w:name="_Toc48664215"/>
      <w:r w:rsidRPr="00964699">
        <w:rPr>
          <w:rFonts w:ascii="宋体" w:hAnsi="宋体" w:cs="Arial"/>
          <w:color w:val="000000"/>
          <w:sz w:val="21"/>
          <w:szCs w:val="21"/>
        </w:rPr>
        <w:t>3</w:t>
      </w:r>
      <w:r w:rsidR="006B4E2C" w:rsidRPr="006B4E2C">
        <w:rPr>
          <w:rFonts w:ascii="宋体" w:hAnsi="宋体" w:cs="Arial"/>
          <w:color w:val="000000"/>
          <w:sz w:val="21"/>
          <w:szCs w:val="21"/>
        </w:rPr>
        <w:tab/>
      </w:r>
      <w:r w:rsidRPr="00964699">
        <w:rPr>
          <w:rFonts w:ascii="宋体" w:hAnsi="宋体" w:cs="Arial" w:hint="eastAsia"/>
          <w:color w:val="000000"/>
          <w:sz w:val="21"/>
          <w:szCs w:val="21"/>
        </w:rPr>
        <w:t>主要财务指标和基金净值表现</w:t>
      </w:r>
      <w:bookmarkEnd w:id="65"/>
      <w:bookmarkEnd w:id="66"/>
      <w:bookmarkEnd w:id="67"/>
      <w:bookmarkEnd w:id="68"/>
      <w:bookmarkEnd w:id="69"/>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0" w:name="_Toc286996129"/>
      <w:bookmarkStart w:id="71" w:name="_Toc352255968"/>
      <w:bookmarkStart w:id="72" w:name="_Toc352256036"/>
      <w:bookmarkStart w:id="73" w:name="_Toc352331214"/>
      <w:bookmarkStart w:id="74" w:name="_Toc374611646"/>
      <w:bookmarkStart w:id="75" w:name="_Toc48664216"/>
      <w:r w:rsidRPr="0087410D">
        <w:rPr>
          <w:rFonts w:ascii="宋体" w:hAnsi="宋体"/>
          <w:kern w:val="0"/>
          <w:sz w:val="21"/>
          <w:szCs w:val="21"/>
        </w:rPr>
        <w:t>3.1</w:t>
      </w:r>
      <w:r w:rsidR="00BE2F8C" w:rsidRPr="006B4E2C">
        <w:rPr>
          <w:rFonts w:ascii="宋体" w:hAnsi="宋体"/>
          <w:kern w:val="0"/>
          <w:sz w:val="21"/>
          <w:szCs w:val="21"/>
        </w:rPr>
        <w:tab/>
      </w:r>
      <w:r w:rsidRPr="0087410D">
        <w:rPr>
          <w:rFonts w:ascii="宋体" w:hAnsi="宋体" w:hint="eastAsia"/>
          <w:kern w:val="0"/>
          <w:sz w:val="21"/>
          <w:szCs w:val="21"/>
        </w:rPr>
        <w:t>主要会计数据和财务指标</w:t>
      </w:r>
      <w:bookmarkEnd w:id="70"/>
      <w:bookmarkEnd w:id="71"/>
      <w:bookmarkEnd w:id="72"/>
      <w:bookmarkEnd w:id="73"/>
      <w:bookmarkEnd w:id="74"/>
      <w:bookmarkEnd w:id="75"/>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金额单位：人民币元</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711C4C" w:rsidRPr="00D749D4" w:rsidTr="009D5A89">
        <w:trPr>
          <w:trHeight w:val="487"/>
          <w:jc w:val="center"/>
        </w:trPr>
        <w:tc>
          <w:tcPr>
            <w:tcW w:w="4509" w:type="dxa"/>
            <w:vAlign w:val="center"/>
          </w:tcPr>
          <w:p w:rsidR="00711C4C" w:rsidRPr="00D749D4" w:rsidRDefault="00711C4C" w:rsidP="009D5A89">
            <w:pPr>
              <w:rPr>
                <w:b/>
                <w:szCs w:val="21"/>
              </w:rPr>
            </w:pPr>
            <w:r w:rsidRPr="00D749D4">
              <w:rPr>
                <w:b/>
                <w:szCs w:val="21"/>
              </w:rPr>
              <w:t xml:space="preserve">3.1.1 </w:t>
            </w:r>
            <w:r w:rsidRPr="00D749D4">
              <w:rPr>
                <w:rFonts w:hint="eastAsia"/>
                <w:b/>
                <w:szCs w:val="21"/>
              </w:rPr>
              <w:t>期间数据和指标</w:t>
            </w:r>
          </w:p>
        </w:tc>
        <w:tc>
          <w:tcPr>
            <w:tcW w:w="4744" w:type="dxa"/>
            <w:vAlign w:val="center"/>
          </w:tcPr>
          <w:p w:rsidR="00711C4C" w:rsidRPr="00D749D4" w:rsidRDefault="00711C4C" w:rsidP="00EF3A81">
            <w:pPr>
              <w:jc w:val="center"/>
              <w:rPr>
                <w:b/>
                <w:szCs w:val="21"/>
              </w:rPr>
            </w:pPr>
            <w:r w:rsidRPr="00D749D4">
              <w:rPr>
                <w:rFonts w:hint="eastAsia"/>
                <w:b/>
                <w:szCs w:val="21"/>
              </w:rPr>
              <w:t>报告期（</w:t>
            </w:r>
            <w:r w:rsidRPr="00D749D4">
              <w:rPr>
                <w:b/>
                <w:szCs w:val="21"/>
              </w:rPr>
              <w:t>2020</w:t>
            </w:r>
            <w:r w:rsidRPr="00D749D4">
              <w:rPr>
                <w:b/>
                <w:szCs w:val="21"/>
              </w:rPr>
              <w:t>年</w:t>
            </w:r>
            <w:r w:rsidRPr="00D749D4">
              <w:rPr>
                <w:b/>
                <w:szCs w:val="21"/>
              </w:rPr>
              <w:t>1</w:t>
            </w:r>
            <w:r w:rsidRPr="00D749D4">
              <w:rPr>
                <w:b/>
                <w:szCs w:val="21"/>
              </w:rPr>
              <w:t>月</w:t>
            </w:r>
            <w:r w:rsidRPr="00D749D4">
              <w:rPr>
                <w:b/>
                <w:szCs w:val="21"/>
              </w:rPr>
              <w:t>1</w:t>
            </w:r>
            <w:r w:rsidRPr="00D749D4">
              <w:rPr>
                <w:b/>
                <w:szCs w:val="21"/>
              </w:rPr>
              <w:t>日</w:t>
            </w:r>
            <w:r w:rsidRPr="00D749D4">
              <w:rPr>
                <w:rFonts w:hint="eastAsia"/>
                <w:b/>
                <w:szCs w:val="21"/>
              </w:rPr>
              <w:t>至</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rFonts w:hint="eastAsia"/>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本期已实现收益</w:t>
            </w:r>
          </w:p>
        </w:tc>
        <w:tc>
          <w:tcPr>
            <w:tcW w:w="4744" w:type="dxa"/>
            <w:vAlign w:val="bottom"/>
          </w:tcPr>
          <w:p w:rsidR="00711C4C" w:rsidRPr="00D749D4" w:rsidRDefault="00711C4C" w:rsidP="00EC549A">
            <w:pPr>
              <w:jc w:val="right"/>
              <w:rPr>
                <w:szCs w:val="21"/>
              </w:rPr>
            </w:pPr>
            <w:r w:rsidRPr="00D749D4">
              <w:rPr>
                <w:szCs w:val="21"/>
              </w:rPr>
              <w:t>-4,557,143.00</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本期利润</w:t>
            </w:r>
          </w:p>
        </w:tc>
        <w:tc>
          <w:tcPr>
            <w:tcW w:w="4744" w:type="dxa"/>
            <w:vAlign w:val="bottom"/>
          </w:tcPr>
          <w:p w:rsidR="00711C4C" w:rsidRPr="00D749D4" w:rsidRDefault="00711C4C" w:rsidP="00EC549A">
            <w:pPr>
              <w:jc w:val="right"/>
              <w:rPr>
                <w:szCs w:val="21"/>
              </w:rPr>
            </w:pPr>
            <w:r w:rsidRPr="00D749D4">
              <w:rPr>
                <w:szCs w:val="21"/>
              </w:rPr>
              <w:t>60,947,463.32</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加权平均基金份额本期利润</w:t>
            </w:r>
          </w:p>
        </w:tc>
        <w:tc>
          <w:tcPr>
            <w:tcW w:w="4744" w:type="dxa"/>
            <w:vAlign w:val="bottom"/>
          </w:tcPr>
          <w:p w:rsidR="00711C4C" w:rsidRPr="00D749D4" w:rsidRDefault="00711C4C" w:rsidP="00EC549A">
            <w:pPr>
              <w:jc w:val="right"/>
              <w:rPr>
                <w:szCs w:val="21"/>
              </w:rPr>
            </w:pPr>
            <w:r w:rsidRPr="00D749D4">
              <w:rPr>
                <w:szCs w:val="21"/>
              </w:rPr>
              <w:t>0.1774</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本期加权平均净值利润率</w:t>
            </w:r>
          </w:p>
        </w:tc>
        <w:tc>
          <w:tcPr>
            <w:tcW w:w="4744" w:type="dxa"/>
            <w:vAlign w:val="bottom"/>
          </w:tcPr>
          <w:p w:rsidR="00711C4C" w:rsidRPr="00D749D4" w:rsidRDefault="00711C4C" w:rsidP="00EC549A">
            <w:pPr>
              <w:jc w:val="right"/>
              <w:rPr>
                <w:szCs w:val="21"/>
              </w:rPr>
            </w:pPr>
            <w:r w:rsidRPr="00D749D4">
              <w:rPr>
                <w:szCs w:val="21"/>
              </w:rPr>
              <w:t>11.83%</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本期基金份额净值增长率</w:t>
            </w:r>
          </w:p>
        </w:tc>
        <w:tc>
          <w:tcPr>
            <w:tcW w:w="4744" w:type="dxa"/>
            <w:vAlign w:val="bottom"/>
          </w:tcPr>
          <w:p w:rsidR="00711C4C" w:rsidRPr="00D749D4" w:rsidRDefault="00711C4C" w:rsidP="00EC549A">
            <w:pPr>
              <w:jc w:val="right"/>
              <w:rPr>
                <w:szCs w:val="21"/>
              </w:rPr>
            </w:pPr>
            <w:r w:rsidRPr="00D749D4">
              <w:rPr>
                <w:szCs w:val="21"/>
              </w:rPr>
              <w:t>15.17%</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3.1.2 </w:t>
            </w:r>
            <w:r w:rsidRPr="00D749D4">
              <w:rPr>
                <w:rFonts w:hint="eastAsia"/>
                <w:b/>
                <w:szCs w:val="21"/>
              </w:rPr>
              <w:t>期末数据和指标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期末可供分配利润</w:t>
            </w:r>
          </w:p>
        </w:tc>
        <w:tc>
          <w:tcPr>
            <w:tcW w:w="4744" w:type="dxa"/>
            <w:vAlign w:val="bottom"/>
          </w:tcPr>
          <w:p w:rsidR="00711C4C" w:rsidRPr="00D749D4" w:rsidRDefault="00711C4C" w:rsidP="00EC549A">
            <w:pPr>
              <w:jc w:val="right"/>
              <w:rPr>
                <w:szCs w:val="21"/>
              </w:rPr>
            </w:pPr>
            <w:r w:rsidRPr="00D749D4">
              <w:rPr>
                <w:szCs w:val="21"/>
              </w:rPr>
              <w:t>24,543,500.39</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期末可供分配基金份额利润</w:t>
            </w:r>
          </w:p>
        </w:tc>
        <w:tc>
          <w:tcPr>
            <w:tcW w:w="4744" w:type="dxa"/>
            <w:vAlign w:val="bottom"/>
          </w:tcPr>
          <w:p w:rsidR="00711C4C" w:rsidRPr="00D749D4" w:rsidRDefault="00711C4C" w:rsidP="00EC549A">
            <w:pPr>
              <w:jc w:val="right"/>
              <w:rPr>
                <w:szCs w:val="21"/>
              </w:rPr>
            </w:pPr>
            <w:r w:rsidRPr="00D749D4">
              <w:rPr>
                <w:szCs w:val="21"/>
              </w:rPr>
              <w:t>0.0671</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期末基金资产净值</w:t>
            </w:r>
          </w:p>
        </w:tc>
        <w:tc>
          <w:tcPr>
            <w:tcW w:w="4744" w:type="dxa"/>
            <w:vAlign w:val="bottom"/>
          </w:tcPr>
          <w:p w:rsidR="00711C4C" w:rsidRPr="00D749D4" w:rsidRDefault="00711C4C" w:rsidP="00EC549A">
            <w:pPr>
              <w:jc w:val="right"/>
              <w:rPr>
                <w:szCs w:val="21"/>
              </w:rPr>
            </w:pPr>
            <w:r w:rsidRPr="00D749D4">
              <w:rPr>
                <w:szCs w:val="21"/>
              </w:rPr>
              <w:t>625,555,309.93</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期末基金份额净值</w:t>
            </w:r>
          </w:p>
        </w:tc>
        <w:tc>
          <w:tcPr>
            <w:tcW w:w="4744" w:type="dxa"/>
            <w:vAlign w:val="bottom"/>
          </w:tcPr>
          <w:p w:rsidR="00711C4C" w:rsidRPr="00D749D4" w:rsidRDefault="00711C4C" w:rsidP="00EC549A">
            <w:pPr>
              <w:jc w:val="right"/>
              <w:rPr>
                <w:szCs w:val="21"/>
              </w:rPr>
            </w:pPr>
            <w:r w:rsidRPr="00D749D4">
              <w:rPr>
                <w:szCs w:val="21"/>
              </w:rPr>
              <w:t>1.7105</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3.1.3 </w:t>
            </w:r>
            <w:r w:rsidRPr="00D749D4">
              <w:rPr>
                <w:rFonts w:hint="eastAsia"/>
                <w:b/>
                <w:szCs w:val="21"/>
              </w:rPr>
              <w:t>累计期末指标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color w:val="000000"/>
                <w:szCs w:val="21"/>
              </w:rPr>
              <w:t>基金份额累计净值增长率</w:t>
            </w:r>
          </w:p>
        </w:tc>
        <w:tc>
          <w:tcPr>
            <w:tcW w:w="4744" w:type="dxa"/>
            <w:vAlign w:val="center"/>
          </w:tcPr>
          <w:p w:rsidR="00711C4C" w:rsidRPr="00D749D4" w:rsidRDefault="00711C4C" w:rsidP="00EC549A">
            <w:pPr>
              <w:jc w:val="right"/>
              <w:rPr>
                <w:szCs w:val="21"/>
              </w:rPr>
            </w:pPr>
            <w:r w:rsidRPr="00D749D4">
              <w:rPr>
                <w:szCs w:val="21"/>
              </w:rPr>
              <w:t>71.05%</w:t>
            </w:r>
          </w:p>
        </w:tc>
      </w:tr>
    </w:tbl>
    <w:p w:rsidR="00CF426B" w:rsidRDefault="005F6DDD">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CF426B" w:rsidRDefault="005F6DDD">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3.</w:t>
      </w:r>
      <w:r w:rsidRPr="00AB0FF3">
        <w:rPr>
          <w:kern w:val="0"/>
          <w:szCs w:val="21"/>
        </w:rPr>
        <w:t>期末可供分配利润，为期末资产负债表中未分配利润与未分配利润中已实现部分的孰低数。</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6" w:name="_Toc225498252"/>
      <w:bookmarkStart w:id="77" w:name="_Toc352255969"/>
      <w:bookmarkStart w:id="78" w:name="_Toc352256037"/>
      <w:bookmarkStart w:id="79" w:name="_Toc352331215"/>
      <w:bookmarkStart w:id="80" w:name="_Toc374611647"/>
      <w:bookmarkStart w:id="81" w:name="_Toc48664217"/>
      <w:r w:rsidRPr="0087410D">
        <w:rPr>
          <w:rFonts w:ascii="宋体" w:hAnsi="宋体"/>
          <w:kern w:val="0"/>
          <w:sz w:val="21"/>
          <w:szCs w:val="21"/>
        </w:rPr>
        <w:t>3.2</w:t>
      </w:r>
      <w:r w:rsidR="00BE2F8C" w:rsidRPr="006B4E2C">
        <w:rPr>
          <w:rFonts w:ascii="宋体" w:hAnsi="宋体"/>
          <w:kern w:val="0"/>
          <w:sz w:val="21"/>
          <w:szCs w:val="21"/>
        </w:rPr>
        <w:tab/>
      </w:r>
      <w:r w:rsidRPr="0087410D">
        <w:rPr>
          <w:rFonts w:ascii="宋体" w:hAnsi="宋体" w:hint="eastAsia"/>
          <w:kern w:val="0"/>
          <w:sz w:val="21"/>
          <w:szCs w:val="21"/>
        </w:rPr>
        <w:t>基金净值表现</w:t>
      </w:r>
      <w:bookmarkEnd w:id="76"/>
      <w:bookmarkEnd w:id="77"/>
      <w:bookmarkEnd w:id="78"/>
      <w:bookmarkEnd w:id="79"/>
      <w:bookmarkEnd w:id="80"/>
      <w:bookmarkEnd w:id="81"/>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3.2.1 </w:t>
      </w:r>
      <w:r w:rsidRPr="00740AC8">
        <w:rPr>
          <w:rFonts w:ascii="宋体" w:hAnsi="宋体" w:hint="eastAsia"/>
          <w:b/>
          <w:bCs/>
          <w:color w:val="000000"/>
          <w:kern w:val="0"/>
          <w:szCs w:val="21"/>
        </w:rPr>
        <w:t>基金份额净值增长率及其与同期业绩比较基准收益率的比较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3"/>
        <w:gridCol w:w="1231"/>
        <w:gridCol w:w="1209"/>
        <w:gridCol w:w="1232"/>
        <w:gridCol w:w="1210"/>
        <w:gridCol w:w="1246"/>
        <w:gridCol w:w="1210"/>
      </w:tblGrid>
      <w:tr w:rsidR="00711C4C" w:rsidRPr="00D749D4" w:rsidTr="00D0099B">
        <w:tc>
          <w:tcPr>
            <w:tcW w:w="1323" w:type="dxa"/>
            <w:vAlign w:val="center"/>
          </w:tcPr>
          <w:p w:rsidR="00711C4C" w:rsidRPr="00D749D4" w:rsidRDefault="00711C4C" w:rsidP="00B3741E">
            <w:pPr>
              <w:jc w:val="center"/>
              <w:rPr>
                <w:color w:val="000000"/>
                <w:szCs w:val="21"/>
              </w:rPr>
            </w:pPr>
            <w:r w:rsidRPr="00D749D4">
              <w:rPr>
                <w:rFonts w:hint="eastAsia"/>
                <w:color w:val="000000"/>
                <w:szCs w:val="21"/>
              </w:rPr>
              <w:t>阶段</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w:t>
            </w:r>
            <w:r w:rsidRPr="00D749D4">
              <w:rPr>
                <w:rFonts w:ascii="宋体" w:hAnsi="宋体" w:cs="宋体" w:hint="eastAsia"/>
                <w:color w:val="000000"/>
                <w:szCs w:val="21"/>
              </w:rPr>
              <w:t>①</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份额净值增长率标准差</w:t>
            </w:r>
            <w:r w:rsidRPr="00D749D4">
              <w:rPr>
                <w:rFonts w:ascii="宋体" w:hAnsi="宋体" w:cs="宋体" w:hint="eastAsia"/>
                <w:color w:val="000000"/>
                <w:szCs w:val="21"/>
              </w:rPr>
              <w:t>②</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业绩比较基准收益率标准差</w:t>
            </w:r>
            <w:r w:rsidRPr="00D749D4">
              <w:rPr>
                <w:rFonts w:ascii="宋体" w:hAnsi="宋体" w:cs="宋体" w:hint="eastAsia"/>
                <w:color w:val="000000"/>
                <w:szCs w:val="21"/>
              </w:rPr>
              <w:t>④</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①</w:t>
            </w:r>
            <w:r w:rsidRPr="00D749D4">
              <w:rPr>
                <w:rFonts w:hint="eastAsia"/>
                <w:color w:val="000000"/>
                <w:szCs w:val="21"/>
              </w:rPr>
              <w:t>－</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②</w:t>
            </w:r>
            <w:r w:rsidRPr="00D749D4">
              <w:rPr>
                <w:rFonts w:hint="eastAsia"/>
                <w:color w:val="000000"/>
                <w:szCs w:val="21"/>
              </w:rPr>
              <w:t>－</w:t>
            </w:r>
            <w:r w:rsidRPr="00D749D4">
              <w:rPr>
                <w:rFonts w:ascii="宋体" w:hAnsi="宋体" w:cs="宋体" w:hint="eastAsia"/>
                <w:color w:val="000000"/>
                <w:szCs w:val="21"/>
              </w:rPr>
              <w:t>④</w:t>
            </w:r>
          </w:p>
        </w:tc>
      </w:tr>
      <w:tr w:rsidR="00CF426B">
        <w:tc>
          <w:tcPr>
            <w:tcW w:w="0" w:type="auto"/>
            <w:vAlign w:val="center"/>
          </w:tcPr>
          <w:p w:rsidR="00CF426B" w:rsidRDefault="005F6DDD">
            <w:pPr>
              <w:jc w:val="left"/>
            </w:pPr>
            <w:r>
              <w:rPr>
                <w:color w:val="000000"/>
                <w:szCs w:val="21"/>
              </w:rPr>
              <w:t>过去一个月</w:t>
            </w:r>
          </w:p>
        </w:tc>
        <w:tc>
          <w:tcPr>
            <w:tcW w:w="0" w:type="auto"/>
            <w:vAlign w:val="center"/>
          </w:tcPr>
          <w:p w:rsidR="00CF426B" w:rsidRDefault="005F6DDD">
            <w:pPr>
              <w:jc w:val="center"/>
            </w:pPr>
            <w:r>
              <w:rPr>
                <w:color w:val="000000"/>
                <w:szCs w:val="21"/>
              </w:rPr>
              <w:t>5.15%</w:t>
            </w:r>
          </w:p>
        </w:tc>
        <w:tc>
          <w:tcPr>
            <w:tcW w:w="0" w:type="auto"/>
            <w:vAlign w:val="center"/>
          </w:tcPr>
          <w:p w:rsidR="00CF426B" w:rsidRDefault="005F6DDD">
            <w:pPr>
              <w:jc w:val="center"/>
            </w:pPr>
            <w:r>
              <w:rPr>
                <w:color w:val="000000"/>
                <w:szCs w:val="21"/>
              </w:rPr>
              <w:t>1.52%</w:t>
            </w:r>
          </w:p>
        </w:tc>
        <w:tc>
          <w:tcPr>
            <w:tcW w:w="0" w:type="auto"/>
            <w:vAlign w:val="center"/>
          </w:tcPr>
          <w:p w:rsidR="00CF426B" w:rsidRDefault="005F6DDD">
            <w:pPr>
              <w:jc w:val="center"/>
            </w:pPr>
            <w:r>
              <w:rPr>
                <w:color w:val="000000"/>
                <w:szCs w:val="21"/>
              </w:rPr>
              <w:t>5.25%</w:t>
            </w:r>
          </w:p>
        </w:tc>
        <w:tc>
          <w:tcPr>
            <w:tcW w:w="0" w:type="auto"/>
            <w:vAlign w:val="center"/>
          </w:tcPr>
          <w:p w:rsidR="00CF426B" w:rsidRDefault="005F6DDD">
            <w:pPr>
              <w:jc w:val="center"/>
            </w:pPr>
            <w:r>
              <w:rPr>
                <w:color w:val="000000"/>
                <w:szCs w:val="21"/>
              </w:rPr>
              <w:t>1.51%</w:t>
            </w:r>
          </w:p>
        </w:tc>
        <w:tc>
          <w:tcPr>
            <w:tcW w:w="0" w:type="auto"/>
            <w:vAlign w:val="center"/>
          </w:tcPr>
          <w:p w:rsidR="00CF426B" w:rsidRDefault="005F6DDD">
            <w:pPr>
              <w:jc w:val="center"/>
            </w:pPr>
            <w:r>
              <w:rPr>
                <w:color w:val="000000"/>
                <w:szCs w:val="21"/>
              </w:rPr>
              <w:t>-0.10%</w:t>
            </w:r>
          </w:p>
        </w:tc>
        <w:tc>
          <w:tcPr>
            <w:tcW w:w="0" w:type="auto"/>
            <w:vAlign w:val="center"/>
          </w:tcPr>
          <w:p w:rsidR="00CF426B" w:rsidRDefault="005F6DDD">
            <w:pPr>
              <w:jc w:val="center"/>
            </w:pPr>
            <w:r>
              <w:rPr>
                <w:color w:val="000000"/>
                <w:szCs w:val="21"/>
              </w:rPr>
              <w:t>0.01%</w:t>
            </w:r>
          </w:p>
        </w:tc>
      </w:tr>
      <w:tr w:rsidR="00CF426B">
        <w:tc>
          <w:tcPr>
            <w:tcW w:w="0" w:type="auto"/>
            <w:vAlign w:val="center"/>
          </w:tcPr>
          <w:p w:rsidR="00CF426B" w:rsidRDefault="005F6DDD">
            <w:pPr>
              <w:jc w:val="left"/>
            </w:pPr>
            <w:r>
              <w:rPr>
                <w:color w:val="000000"/>
                <w:szCs w:val="21"/>
              </w:rPr>
              <w:t>过去三个月</w:t>
            </w:r>
          </w:p>
        </w:tc>
        <w:tc>
          <w:tcPr>
            <w:tcW w:w="0" w:type="auto"/>
            <w:vAlign w:val="center"/>
          </w:tcPr>
          <w:p w:rsidR="00CF426B" w:rsidRDefault="005F6DDD">
            <w:pPr>
              <w:jc w:val="center"/>
            </w:pPr>
            <w:r>
              <w:rPr>
                <w:color w:val="000000"/>
                <w:szCs w:val="21"/>
              </w:rPr>
              <w:t>28.32%</w:t>
            </w:r>
          </w:p>
        </w:tc>
        <w:tc>
          <w:tcPr>
            <w:tcW w:w="0" w:type="auto"/>
            <w:vAlign w:val="center"/>
          </w:tcPr>
          <w:p w:rsidR="00CF426B" w:rsidRDefault="005F6DDD">
            <w:pPr>
              <w:jc w:val="center"/>
            </w:pPr>
            <w:r>
              <w:rPr>
                <w:color w:val="000000"/>
                <w:szCs w:val="21"/>
              </w:rPr>
              <w:t>1.80%</w:t>
            </w:r>
          </w:p>
        </w:tc>
        <w:tc>
          <w:tcPr>
            <w:tcW w:w="0" w:type="auto"/>
            <w:vAlign w:val="center"/>
          </w:tcPr>
          <w:p w:rsidR="00CF426B" w:rsidRDefault="005F6DDD">
            <w:pPr>
              <w:jc w:val="center"/>
            </w:pPr>
            <w:r>
              <w:rPr>
                <w:color w:val="000000"/>
                <w:szCs w:val="21"/>
              </w:rPr>
              <w:t>28.27%</w:t>
            </w:r>
          </w:p>
        </w:tc>
        <w:tc>
          <w:tcPr>
            <w:tcW w:w="0" w:type="auto"/>
            <w:vAlign w:val="center"/>
          </w:tcPr>
          <w:p w:rsidR="00CF426B" w:rsidRDefault="005F6DDD">
            <w:pPr>
              <w:jc w:val="center"/>
            </w:pPr>
            <w:r>
              <w:rPr>
                <w:color w:val="000000"/>
                <w:szCs w:val="21"/>
              </w:rPr>
              <w:t>1.79%</w:t>
            </w:r>
          </w:p>
        </w:tc>
        <w:tc>
          <w:tcPr>
            <w:tcW w:w="0" w:type="auto"/>
            <w:vAlign w:val="center"/>
          </w:tcPr>
          <w:p w:rsidR="00CF426B" w:rsidRDefault="005F6DDD">
            <w:pPr>
              <w:jc w:val="center"/>
            </w:pPr>
            <w:r>
              <w:rPr>
                <w:color w:val="000000"/>
                <w:szCs w:val="21"/>
              </w:rPr>
              <w:t>0.05%</w:t>
            </w:r>
          </w:p>
        </w:tc>
        <w:tc>
          <w:tcPr>
            <w:tcW w:w="0" w:type="auto"/>
            <w:vAlign w:val="center"/>
          </w:tcPr>
          <w:p w:rsidR="00CF426B" w:rsidRDefault="005F6DDD">
            <w:pPr>
              <w:jc w:val="center"/>
            </w:pPr>
            <w:r>
              <w:rPr>
                <w:color w:val="000000"/>
                <w:szCs w:val="21"/>
              </w:rPr>
              <w:t>0.01%</w:t>
            </w:r>
          </w:p>
        </w:tc>
      </w:tr>
      <w:tr w:rsidR="00CF426B">
        <w:tc>
          <w:tcPr>
            <w:tcW w:w="0" w:type="auto"/>
            <w:vAlign w:val="center"/>
          </w:tcPr>
          <w:p w:rsidR="00CF426B" w:rsidRDefault="005F6DDD">
            <w:pPr>
              <w:jc w:val="left"/>
            </w:pPr>
            <w:r>
              <w:rPr>
                <w:color w:val="000000"/>
                <w:szCs w:val="21"/>
              </w:rPr>
              <w:t>过去六个月</w:t>
            </w:r>
          </w:p>
        </w:tc>
        <w:tc>
          <w:tcPr>
            <w:tcW w:w="0" w:type="auto"/>
            <w:vAlign w:val="center"/>
          </w:tcPr>
          <w:p w:rsidR="00CF426B" w:rsidRDefault="005F6DDD">
            <w:pPr>
              <w:jc w:val="center"/>
            </w:pPr>
            <w:r>
              <w:rPr>
                <w:color w:val="000000"/>
                <w:szCs w:val="21"/>
              </w:rPr>
              <w:t>15.17%</w:t>
            </w:r>
          </w:p>
        </w:tc>
        <w:tc>
          <w:tcPr>
            <w:tcW w:w="0" w:type="auto"/>
            <w:vAlign w:val="center"/>
          </w:tcPr>
          <w:p w:rsidR="00CF426B" w:rsidRDefault="005F6DDD">
            <w:pPr>
              <w:jc w:val="center"/>
            </w:pPr>
            <w:r>
              <w:rPr>
                <w:color w:val="000000"/>
                <w:szCs w:val="21"/>
              </w:rPr>
              <w:t>2.89%</w:t>
            </w:r>
          </w:p>
        </w:tc>
        <w:tc>
          <w:tcPr>
            <w:tcW w:w="0" w:type="auto"/>
            <w:vAlign w:val="center"/>
          </w:tcPr>
          <w:p w:rsidR="00CF426B" w:rsidRDefault="005F6DDD">
            <w:pPr>
              <w:jc w:val="center"/>
            </w:pPr>
            <w:r>
              <w:rPr>
                <w:color w:val="000000"/>
                <w:szCs w:val="21"/>
              </w:rPr>
              <w:t>17.35%</w:t>
            </w:r>
          </w:p>
        </w:tc>
        <w:tc>
          <w:tcPr>
            <w:tcW w:w="0" w:type="auto"/>
            <w:vAlign w:val="center"/>
          </w:tcPr>
          <w:p w:rsidR="00CF426B" w:rsidRDefault="005F6DDD">
            <w:pPr>
              <w:jc w:val="center"/>
            </w:pPr>
            <w:r>
              <w:rPr>
                <w:color w:val="000000"/>
                <w:szCs w:val="21"/>
              </w:rPr>
              <w:t>2.79%</w:t>
            </w:r>
          </w:p>
        </w:tc>
        <w:tc>
          <w:tcPr>
            <w:tcW w:w="0" w:type="auto"/>
            <w:vAlign w:val="center"/>
          </w:tcPr>
          <w:p w:rsidR="00CF426B" w:rsidRDefault="005F6DDD">
            <w:pPr>
              <w:jc w:val="center"/>
            </w:pPr>
            <w:r>
              <w:rPr>
                <w:color w:val="000000"/>
                <w:szCs w:val="21"/>
              </w:rPr>
              <w:t>-2.18%</w:t>
            </w:r>
          </w:p>
        </w:tc>
        <w:tc>
          <w:tcPr>
            <w:tcW w:w="0" w:type="auto"/>
            <w:vAlign w:val="center"/>
          </w:tcPr>
          <w:p w:rsidR="00CF426B" w:rsidRDefault="005F6DDD">
            <w:pPr>
              <w:jc w:val="center"/>
            </w:pPr>
            <w:r>
              <w:rPr>
                <w:color w:val="000000"/>
                <w:szCs w:val="21"/>
              </w:rPr>
              <w:t>0.10%</w:t>
            </w:r>
          </w:p>
        </w:tc>
      </w:tr>
      <w:tr w:rsidR="00CF426B">
        <w:tc>
          <w:tcPr>
            <w:tcW w:w="0" w:type="auto"/>
            <w:vAlign w:val="center"/>
          </w:tcPr>
          <w:p w:rsidR="00CF426B" w:rsidRDefault="005F6DDD">
            <w:pPr>
              <w:jc w:val="left"/>
            </w:pPr>
            <w:r>
              <w:rPr>
                <w:color w:val="000000"/>
                <w:szCs w:val="21"/>
              </w:rPr>
              <w:t>过去一年</w:t>
            </w:r>
          </w:p>
        </w:tc>
        <w:tc>
          <w:tcPr>
            <w:tcW w:w="0" w:type="auto"/>
            <w:vAlign w:val="center"/>
          </w:tcPr>
          <w:p w:rsidR="00CF426B" w:rsidRDefault="005F6DDD">
            <w:pPr>
              <w:jc w:val="center"/>
            </w:pPr>
            <w:r>
              <w:rPr>
                <w:color w:val="000000"/>
                <w:szCs w:val="21"/>
              </w:rPr>
              <w:t>32.16%</w:t>
            </w:r>
          </w:p>
        </w:tc>
        <w:tc>
          <w:tcPr>
            <w:tcW w:w="0" w:type="auto"/>
            <w:vAlign w:val="center"/>
          </w:tcPr>
          <w:p w:rsidR="00CF426B" w:rsidRDefault="005F6DDD">
            <w:pPr>
              <w:jc w:val="center"/>
            </w:pPr>
            <w:r>
              <w:rPr>
                <w:color w:val="000000"/>
                <w:szCs w:val="21"/>
              </w:rPr>
              <w:t>2.11%</w:t>
            </w:r>
          </w:p>
        </w:tc>
        <w:tc>
          <w:tcPr>
            <w:tcW w:w="0" w:type="auto"/>
            <w:vAlign w:val="center"/>
          </w:tcPr>
          <w:p w:rsidR="00CF426B" w:rsidRDefault="005F6DDD">
            <w:pPr>
              <w:jc w:val="center"/>
            </w:pPr>
            <w:r>
              <w:rPr>
                <w:color w:val="000000"/>
                <w:szCs w:val="21"/>
              </w:rPr>
              <w:t>34.64%</w:t>
            </w:r>
          </w:p>
        </w:tc>
        <w:tc>
          <w:tcPr>
            <w:tcW w:w="0" w:type="auto"/>
            <w:vAlign w:val="center"/>
          </w:tcPr>
          <w:p w:rsidR="00CF426B" w:rsidRDefault="005F6DDD">
            <w:pPr>
              <w:jc w:val="center"/>
            </w:pPr>
            <w:r>
              <w:rPr>
                <w:color w:val="000000"/>
                <w:szCs w:val="21"/>
              </w:rPr>
              <w:t>2.04%</w:t>
            </w:r>
          </w:p>
        </w:tc>
        <w:tc>
          <w:tcPr>
            <w:tcW w:w="0" w:type="auto"/>
            <w:vAlign w:val="center"/>
          </w:tcPr>
          <w:p w:rsidR="00CF426B" w:rsidRDefault="005F6DDD">
            <w:pPr>
              <w:jc w:val="center"/>
            </w:pPr>
            <w:r>
              <w:rPr>
                <w:color w:val="000000"/>
                <w:szCs w:val="21"/>
              </w:rPr>
              <w:t>-2.48%</w:t>
            </w:r>
          </w:p>
        </w:tc>
        <w:tc>
          <w:tcPr>
            <w:tcW w:w="0" w:type="auto"/>
            <w:vAlign w:val="center"/>
          </w:tcPr>
          <w:p w:rsidR="00CF426B" w:rsidRDefault="005F6DDD">
            <w:pPr>
              <w:jc w:val="center"/>
            </w:pPr>
            <w:r>
              <w:rPr>
                <w:color w:val="000000"/>
                <w:szCs w:val="21"/>
              </w:rPr>
              <w:t>0.07%</w:t>
            </w:r>
          </w:p>
        </w:tc>
      </w:tr>
      <w:tr w:rsidR="00CF426B">
        <w:tc>
          <w:tcPr>
            <w:tcW w:w="0" w:type="auto"/>
            <w:vAlign w:val="center"/>
          </w:tcPr>
          <w:p w:rsidR="00CF426B" w:rsidRDefault="005F6DDD">
            <w:pPr>
              <w:jc w:val="left"/>
            </w:pPr>
            <w:r>
              <w:rPr>
                <w:color w:val="000000"/>
                <w:szCs w:val="21"/>
              </w:rPr>
              <w:t>过去三年</w:t>
            </w:r>
          </w:p>
        </w:tc>
        <w:tc>
          <w:tcPr>
            <w:tcW w:w="0" w:type="auto"/>
            <w:vAlign w:val="center"/>
          </w:tcPr>
          <w:p w:rsidR="00CF426B" w:rsidRDefault="005F6DDD">
            <w:pPr>
              <w:jc w:val="center"/>
            </w:pPr>
            <w:r>
              <w:rPr>
                <w:color w:val="000000"/>
                <w:szCs w:val="21"/>
              </w:rPr>
              <w:t>71.03%</w:t>
            </w:r>
          </w:p>
        </w:tc>
        <w:tc>
          <w:tcPr>
            <w:tcW w:w="0" w:type="auto"/>
            <w:vAlign w:val="center"/>
          </w:tcPr>
          <w:p w:rsidR="00CF426B" w:rsidRDefault="005F6DDD">
            <w:pPr>
              <w:jc w:val="center"/>
            </w:pPr>
            <w:r>
              <w:rPr>
                <w:color w:val="000000"/>
                <w:szCs w:val="21"/>
              </w:rPr>
              <w:t>1.55%</w:t>
            </w:r>
          </w:p>
        </w:tc>
        <w:tc>
          <w:tcPr>
            <w:tcW w:w="0" w:type="auto"/>
            <w:vAlign w:val="center"/>
          </w:tcPr>
          <w:p w:rsidR="00CF426B" w:rsidRDefault="005F6DDD">
            <w:pPr>
              <w:jc w:val="center"/>
            </w:pPr>
            <w:r>
              <w:rPr>
                <w:color w:val="000000"/>
                <w:szCs w:val="21"/>
              </w:rPr>
              <w:t>83.04%</w:t>
            </w:r>
          </w:p>
        </w:tc>
        <w:tc>
          <w:tcPr>
            <w:tcW w:w="0" w:type="auto"/>
            <w:vAlign w:val="center"/>
          </w:tcPr>
          <w:p w:rsidR="00CF426B" w:rsidRDefault="005F6DDD">
            <w:pPr>
              <w:jc w:val="center"/>
            </w:pPr>
            <w:r>
              <w:rPr>
                <w:color w:val="000000"/>
                <w:szCs w:val="21"/>
              </w:rPr>
              <w:t>1.53%</w:t>
            </w:r>
          </w:p>
        </w:tc>
        <w:tc>
          <w:tcPr>
            <w:tcW w:w="0" w:type="auto"/>
            <w:vAlign w:val="center"/>
          </w:tcPr>
          <w:p w:rsidR="00CF426B" w:rsidRDefault="005F6DDD">
            <w:pPr>
              <w:jc w:val="center"/>
            </w:pPr>
            <w:r>
              <w:rPr>
                <w:color w:val="000000"/>
                <w:szCs w:val="21"/>
              </w:rPr>
              <w:t>-12.01%</w:t>
            </w:r>
          </w:p>
        </w:tc>
        <w:tc>
          <w:tcPr>
            <w:tcW w:w="0" w:type="auto"/>
            <w:vAlign w:val="center"/>
          </w:tcPr>
          <w:p w:rsidR="00CF426B" w:rsidRDefault="005F6DDD">
            <w:pPr>
              <w:jc w:val="center"/>
            </w:pPr>
            <w:r>
              <w:rPr>
                <w:color w:val="000000"/>
                <w:szCs w:val="21"/>
              </w:rPr>
              <w:t>0.02%</w:t>
            </w:r>
          </w:p>
        </w:tc>
      </w:tr>
      <w:tr w:rsidR="00CF426B">
        <w:tc>
          <w:tcPr>
            <w:tcW w:w="0" w:type="auto"/>
            <w:vAlign w:val="center"/>
          </w:tcPr>
          <w:p w:rsidR="00CF426B" w:rsidRDefault="005F6DDD">
            <w:pPr>
              <w:jc w:val="left"/>
            </w:pPr>
            <w:r>
              <w:rPr>
                <w:color w:val="000000"/>
                <w:szCs w:val="21"/>
              </w:rPr>
              <w:t>自基金合同生效起</w:t>
            </w:r>
            <w:r>
              <w:rPr>
                <w:color w:val="000000"/>
                <w:szCs w:val="21"/>
              </w:rPr>
              <w:lastRenderedPageBreak/>
              <w:t>至今</w:t>
            </w:r>
          </w:p>
        </w:tc>
        <w:tc>
          <w:tcPr>
            <w:tcW w:w="0" w:type="auto"/>
            <w:vAlign w:val="center"/>
          </w:tcPr>
          <w:p w:rsidR="00CF426B" w:rsidRDefault="005F6DDD">
            <w:pPr>
              <w:jc w:val="center"/>
            </w:pPr>
            <w:r>
              <w:rPr>
                <w:color w:val="000000"/>
                <w:szCs w:val="21"/>
              </w:rPr>
              <w:lastRenderedPageBreak/>
              <w:t>71.05%</w:t>
            </w:r>
          </w:p>
        </w:tc>
        <w:tc>
          <w:tcPr>
            <w:tcW w:w="0" w:type="auto"/>
            <w:vAlign w:val="center"/>
          </w:tcPr>
          <w:p w:rsidR="00CF426B" w:rsidRDefault="005F6DDD">
            <w:pPr>
              <w:jc w:val="center"/>
            </w:pPr>
            <w:r>
              <w:rPr>
                <w:color w:val="000000"/>
                <w:szCs w:val="21"/>
              </w:rPr>
              <w:t>1.55%</w:t>
            </w:r>
          </w:p>
        </w:tc>
        <w:tc>
          <w:tcPr>
            <w:tcW w:w="0" w:type="auto"/>
            <w:vAlign w:val="center"/>
          </w:tcPr>
          <w:p w:rsidR="00CF426B" w:rsidRDefault="005F6DDD">
            <w:pPr>
              <w:jc w:val="center"/>
            </w:pPr>
            <w:r>
              <w:rPr>
                <w:color w:val="000000"/>
                <w:szCs w:val="21"/>
              </w:rPr>
              <w:t>77.92%</w:t>
            </w:r>
          </w:p>
        </w:tc>
        <w:tc>
          <w:tcPr>
            <w:tcW w:w="0" w:type="auto"/>
            <w:vAlign w:val="center"/>
          </w:tcPr>
          <w:p w:rsidR="00CF426B" w:rsidRDefault="005F6DDD">
            <w:pPr>
              <w:jc w:val="center"/>
            </w:pPr>
            <w:r>
              <w:rPr>
                <w:color w:val="000000"/>
                <w:szCs w:val="21"/>
              </w:rPr>
              <w:t>1.53%</w:t>
            </w:r>
          </w:p>
        </w:tc>
        <w:tc>
          <w:tcPr>
            <w:tcW w:w="0" w:type="auto"/>
            <w:vAlign w:val="center"/>
          </w:tcPr>
          <w:p w:rsidR="00CF426B" w:rsidRDefault="005F6DDD">
            <w:pPr>
              <w:jc w:val="center"/>
            </w:pPr>
            <w:r>
              <w:rPr>
                <w:color w:val="000000"/>
                <w:szCs w:val="21"/>
              </w:rPr>
              <w:t>-6.87%</w:t>
            </w:r>
          </w:p>
        </w:tc>
        <w:tc>
          <w:tcPr>
            <w:tcW w:w="0" w:type="auto"/>
            <w:vAlign w:val="center"/>
          </w:tcPr>
          <w:p w:rsidR="00CF426B" w:rsidRDefault="005F6DDD">
            <w:pPr>
              <w:jc w:val="center"/>
            </w:pPr>
            <w:r>
              <w:rPr>
                <w:color w:val="000000"/>
                <w:szCs w:val="21"/>
              </w:rPr>
              <w:t>0.02%</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3.2.2 </w:t>
      </w:r>
      <w:r w:rsidR="00C33B7F">
        <w:rPr>
          <w:rStyle w:val="af8"/>
          <w:rFonts w:hAnsi="宋体" w:cs="宋体" w:hint="eastAsia"/>
          <w:color w:val="000000"/>
          <w:shd w:val="clear" w:color="auto" w:fill="FFFFFF"/>
        </w:rPr>
        <w:t>自基金合同生效以来</w:t>
      </w:r>
      <w:r w:rsidRPr="00740AC8">
        <w:rPr>
          <w:rFonts w:ascii="宋体" w:hAnsi="宋体" w:hint="eastAsia"/>
          <w:b/>
          <w:bCs/>
          <w:color w:val="000000"/>
          <w:kern w:val="0"/>
          <w:szCs w:val="21"/>
        </w:rPr>
        <w:t>基金份额累计净值增长率变动及其与同期业绩比较基准收益率变动的比较</w:t>
      </w:r>
    </w:p>
    <w:p w:rsidR="00711C4C" w:rsidRPr="00D749D4" w:rsidRDefault="00711C4C" w:rsidP="002C4E2E">
      <w:pPr>
        <w:spacing w:line="360" w:lineRule="auto"/>
        <w:jc w:val="center"/>
        <w:rPr>
          <w:color w:val="000000"/>
          <w:szCs w:val="21"/>
        </w:rPr>
      </w:pPr>
      <w:r w:rsidRPr="00D749D4">
        <w:rPr>
          <w:color w:val="000000"/>
          <w:szCs w:val="21"/>
        </w:rPr>
        <w:t>易方达纳斯达克</w:t>
      </w:r>
      <w:r w:rsidRPr="00D749D4">
        <w:rPr>
          <w:color w:val="000000"/>
          <w:szCs w:val="21"/>
        </w:rPr>
        <w:t>100</w:t>
      </w:r>
      <w:r w:rsidRPr="00D749D4">
        <w:rPr>
          <w:color w:val="000000"/>
          <w:szCs w:val="21"/>
        </w:rPr>
        <w:t>指数证券投资基金（</w:t>
      </w:r>
      <w:r w:rsidRPr="00D749D4">
        <w:rPr>
          <w:color w:val="000000"/>
          <w:szCs w:val="21"/>
        </w:rPr>
        <w:t>LOF</w:t>
      </w:r>
      <w:r w:rsidRPr="00D749D4">
        <w:rPr>
          <w:color w:val="000000"/>
          <w:szCs w:val="21"/>
        </w:rPr>
        <w:t>）</w:t>
      </w:r>
    </w:p>
    <w:p w:rsidR="00711C4C" w:rsidRPr="00D749D4" w:rsidRDefault="00711C4C" w:rsidP="002C4E2E">
      <w:pPr>
        <w:pStyle w:val="a6"/>
        <w:snapToGrid w:val="0"/>
        <w:spacing w:line="360" w:lineRule="auto"/>
        <w:ind w:firstLine="480"/>
        <w:jc w:val="center"/>
        <w:rPr>
          <w:rFonts w:ascii="Times New Roman" w:hAnsi="Times New Roman"/>
          <w:color w:val="000000"/>
        </w:rPr>
      </w:pPr>
      <w:r w:rsidRPr="00D749D4">
        <w:rPr>
          <w:rFonts w:ascii="Times New Roman" w:hAnsi="Times New Roman" w:hint="eastAsia"/>
          <w:color w:val="000000"/>
        </w:rPr>
        <w:t>份额累计净值增长率与业绩比较基准收益率历史走势对比图</w:t>
      </w:r>
    </w:p>
    <w:p w:rsidR="00711C4C" w:rsidRPr="00D749D4" w:rsidRDefault="00711C4C" w:rsidP="002C4E2E">
      <w:pPr>
        <w:pStyle w:val="a6"/>
        <w:snapToGrid w:val="0"/>
        <w:spacing w:line="360" w:lineRule="auto"/>
        <w:ind w:firstLine="480"/>
        <w:jc w:val="center"/>
        <w:rPr>
          <w:rFonts w:ascii="Times New Roman" w:hAnsi="Times New Roman"/>
        </w:rPr>
      </w:pPr>
      <w:r w:rsidRPr="00D749D4">
        <w:rPr>
          <w:rFonts w:ascii="Times New Roman" w:hAnsi="Times New Roman"/>
        </w:rPr>
        <w:t>(2017</w:t>
      </w:r>
      <w:r w:rsidRPr="00D749D4">
        <w:rPr>
          <w:rFonts w:ascii="Times New Roman" w:hAnsi="Times New Roman"/>
        </w:rPr>
        <w:t>年</w:t>
      </w:r>
      <w:r w:rsidRPr="00D749D4">
        <w:rPr>
          <w:rFonts w:ascii="Times New Roman" w:hAnsi="Times New Roman"/>
        </w:rPr>
        <w:t>6</w:t>
      </w:r>
      <w:r w:rsidRPr="00D749D4">
        <w:rPr>
          <w:rFonts w:ascii="Times New Roman" w:hAnsi="Times New Roman"/>
        </w:rPr>
        <w:t>月</w:t>
      </w:r>
      <w:r w:rsidRPr="00D749D4">
        <w:rPr>
          <w:rFonts w:ascii="Times New Roman" w:hAnsi="Times New Roman"/>
        </w:rPr>
        <w:t>23</w:t>
      </w:r>
      <w:r w:rsidRPr="00D749D4">
        <w:rPr>
          <w:rFonts w:ascii="Times New Roman" w:hAnsi="Times New Roman"/>
        </w:rPr>
        <w:t>日</w:t>
      </w:r>
      <w:r w:rsidRPr="00D749D4">
        <w:rPr>
          <w:rFonts w:ascii="Times New Roman" w:hAnsi="Times New Roman" w:hint="eastAsia"/>
        </w:rPr>
        <w:t>至</w:t>
      </w:r>
      <w:r w:rsidRPr="00D749D4">
        <w:rPr>
          <w:rFonts w:ascii="Times New Roman" w:hAnsi="Times New Roman"/>
        </w:rPr>
        <w:t>2020</w:t>
      </w:r>
      <w:r w:rsidRPr="00D749D4">
        <w:rPr>
          <w:rFonts w:ascii="Times New Roman" w:hAnsi="Times New Roman"/>
        </w:rPr>
        <w:t>年</w:t>
      </w:r>
      <w:r w:rsidRPr="00D749D4">
        <w:rPr>
          <w:rFonts w:ascii="Times New Roman" w:hAnsi="Times New Roman"/>
        </w:rPr>
        <w:t>6</w:t>
      </w:r>
      <w:r w:rsidRPr="00D749D4">
        <w:rPr>
          <w:rFonts w:ascii="Times New Roman" w:hAnsi="Times New Roman"/>
        </w:rPr>
        <w:t>月</w:t>
      </w:r>
      <w:r w:rsidRPr="00D749D4">
        <w:rPr>
          <w:rFonts w:ascii="Times New Roman" w:hAnsi="Times New Roman"/>
        </w:rPr>
        <w:t>30</w:t>
      </w:r>
      <w:r w:rsidRPr="00D749D4">
        <w:rPr>
          <w:rFonts w:ascii="Times New Roman" w:hAnsi="Times New Roman"/>
        </w:rPr>
        <w:t>日</w:t>
      </w:r>
      <w:r w:rsidRPr="00D749D4">
        <w:rPr>
          <w:rFonts w:ascii="Times New Roman" w:hAnsi="Times New Roman"/>
        </w:rPr>
        <w:t>)</w:t>
      </w:r>
    </w:p>
    <w:p w:rsidR="00711C4C" w:rsidRPr="00D749D4" w:rsidRDefault="00161E65" w:rsidP="006D141C">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1.5pt;height:263.25pt;visibility:visible">
            <v:imagedata r:id="rId8" o:title=""/>
          </v:shape>
        </w:pict>
      </w:r>
    </w:p>
    <w:p w:rsidR="00CF426B" w:rsidRDefault="005F6DDD">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本基金的业绩比较基准已经转换为以人民币计价。</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2.</w:t>
      </w:r>
      <w:r w:rsidRPr="00AB0FF3">
        <w:rPr>
          <w:kern w:val="0"/>
          <w:szCs w:val="21"/>
        </w:rPr>
        <w:t>自基金合同生效至报告期末，基金份额净值增长率为</w:t>
      </w:r>
      <w:r w:rsidRPr="00AB0FF3">
        <w:rPr>
          <w:kern w:val="0"/>
          <w:szCs w:val="21"/>
        </w:rPr>
        <w:t>71.05%</w:t>
      </w:r>
      <w:r w:rsidRPr="00AB0FF3">
        <w:rPr>
          <w:kern w:val="0"/>
          <w:szCs w:val="21"/>
        </w:rPr>
        <w:t>，同期业绩比较基准收益率为</w:t>
      </w:r>
      <w:r w:rsidRPr="00AB0FF3">
        <w:rPr>
          <w:kern w:val="0"/>
          <w:szCs w:val="21"/>
        </w:rPr>
        <w:t>77.92%</w:t>
      </w:r>
      <w:r w:rsidRPr="00AB0FF3">
        <w:rPr>
          <w:kern w:val="0"/>
          <w:szCs w:val="21"/>
        </w:rPr>
        <w:t>。</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82" w:name="_Toc225498254"/>
      <w:bookmarkStart w:id="83" w:name="_Toc352255971"/>
      <w:bookmarkStart w:id="84" w:name="_Toc352256039"/>
      <w:bookmarkStart w:id="85" w:name="_Toc352331217"/>
      <w:bookmarkStart w:id="86" w:name="_Toc374611648"/>
      <w:bookmarkStart w:id="87" w:name="_Toc48664218"/>
      <w:r w:rsidRPr="00964699">
        <w:rPr>
          <w:rFonts w:ascii="宋体" w:hAnsi="宋体" w:cs="Arial"/>
          <w:color w:val="000000"/>
          <w:sz w:val="21"/>
          <w:szCs w:val="21"/>
        </w:rPr>
        <w:t>4</w:t>
      </w:r>
      <w:r w:rsidR="006B4E2C" w:rsidRPr="006B4E2C">
        <w:rPr>
          <w:rFonts w:ascii="宋体" w:hAnsi="宋体" w:cs="Arial"/>
          <w:color w:val="000000"/>
          <w:sz w:val="21"/>
          <w:szCs w:val="21"/>
        </w:rPr>
        <w:tab/>
      </w:r>
      <w:r w:rsidRPr="00964699">
        <w:rPr>
          <w:rFonts w:ascii="宋体" w:hAnsi="宋体" w:cs="Arial" w:hint="eastAsia"/>
          <w:color w:val="000000"/>
          <w:sz w:val="21"/>
          <w:szCs w:val="21"/>
        </w:rPr>
        <w:t>管理人报告</w:t>
      </w:r>
      <w:bookmarkEnd w:id="82"/>
      <w:bookmarkEnd w:id="83"/>
      <w:bookmarkEnd w:id="84"/>
      <w:bookmarkEnd w:id="85"/>
      <w:bookmarkEnd w:id="86"/>
      <w:bookmarkEnd w:id="87"/>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88" w:name="_Toc352255972"/>
      <w:bookmarkStart w:id="89" w:name="_Toc352256040"/>
      <w:bookmarkStart w:id="90" w:name="_Toc352331218"/>
      <w:bookmarkStart w:id="91" w:name="_Toc374611649"/>
      <w:bookmarkStart w:id="92" w:name="_Toc48664219"/>
      <w:r w:rsidRPr="0087410D">
        <w:rPr>
          <w:rFonts w:ascii="宋体" w:hAnsi="宋体"/>
          <w:kern w:val="0"/>
          <w:sz w:val="21"/>
          <w:szCs w:val="21"/>
        </w:rPr>
        <w:t>4.1</w:t>
      </w:r>
      <w:r w:rsidR="00BE2F8C" w:rsidRPr="006B4E2C">
        <w:rPr>
          <w:rFonts w:ascii="宋体" w:hAnsi="宋体"/>
          <w:kern w:val="0"/>
          <w:sz w:val="21"/>
          <w:szCs w:val="21"/>
        </w:rPr>
        <w:tab/>
      </w:r>
      <w:r w:rsidRPr="0087410D">
        <w:rPr>
          <w:rFonts w:ascii="宋体" w:hAnsi="宋体" w:hint="eastAsia"/>
          <w:kern w:val="0"/>
          <w:sz w:val="21"/>
          <w:szCs w:val="21"/>
        </w:rPr>
        <w:t>基金管理人及基金经理情况</w:t>
      </w:r>
      <w:bookmarkEnd w:id="88"/>
      <w:bookmarkEnd w:id="89"/>
      <w:bookmarkEnd w:id="90"/>
      <w:bookmarkEnd w:id="91"/>
      <w:bookmarkEnd w:id="92"/>
    </w:p>
    <w:p w:rsidR="00711C4C" w:rsidRPr="0087410D" w:rsidRDefault="00711C4C" w:rsidP="00DB1E0B">
      <w:pPr>
        <w:spacing w:line="360" w:lineRule="auto"/>
        <w:ind w:firstLineChars="197" w:firstLine="415"/>
        <w:rPr>
          <w:rFonts w:ascii="宋体"/>
          <w:b/>
          <w:color w:val="000000"/>
          <w:kern w:val="0"/>
          <w:szCs w:val="21"/>
        </w:rPr>
      </w:pPr>
      <w:r w:rsidRPr="0087410D">
        <w:rPr>
          <w:rFonts w:ascii="宋体" w:hAnsi="宋体"/>
          <w:b/>
          <w:color w:val="000000"/>
          <w:kern w:val="0"/>
          <w:szCs w:val="21"/>
        </w:rPr>
        <w:t>4.1.1</w:t>
      </w:r>
      <w:r w:rsidRPr="0087410D">
        <w:rPr>
          <w:rFonts w:ascii="宋体" w:hAnsi="宋体" w:hint="eastAsia"/>
          <w:b/>
          <w:color w:val="000000"/>
          <w:kern w:val="0"/>
          <w:szCs w:val="21"/>
        </w:rPr>
        <w:t>基金管理人及其管理基金的经验</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经中国证监会证监基金字</w:t>
      </w:r>
      <w:r w:rsidRPr="00AB0FF3">
        <w:rPr>
          <w:kern w:val="0"/>
          <w:szCs w:val="21"/>
        </w:rPr>
        <w:t>[2001]4</w:t>
      </w:r>
      <w:r w:rsidRPr="00AB0FF3">
        <w:rPr>
          <w:kern w:val="0"/>
          <w:szCs w:val="21"/>
        </w:rPr>
        <w:t>号文批准，本基金管理人成立于</w:t>
      </w:r>
      <w:r w:rsidRPr="00AB0FF3">
        <w:rPr>
          <w:kern w:val="0"/>
          <w:szCs w:val="21"/>
        </w:rPr>
        <w:t>2001</w:t>
      </w:r>
      <w:r w:rsidRPr="00AB0FF3">
        <w:rPr>
          <w:kern w:val="0"/>
          <w:szCs w:val="21"/>
        </w:rPr>
        <w:t>年</w:t>
      </w:r>
      <w:r w:rsidRPr="00AB0FF3">
        <w:rPr>
          <w:kern w:val="0"/>
          <w:szCs w:val="21"/>
        </w:rPr>
        <w:t>4</w:t>
      </w:r>
      <w:r w:rsidRPr="00AB0FF3">
        <w:rPr>
          <w:kern w:val="0"/>
          <w:szCs w:val="21"/>
        </w:rPr>
        <w:t>月</w:t>
      </w:r>
      <w:r w:rsidRPr="00AB0FF3">
        <w:rPr>
          <w:kern w:val="0"/>
          <w:szCs w:val="21"/>
        </w:rPr>
        <w:t>17</w:t>
      </w:r>
      <w:r w:rsidRPr="00AB0FF3">
        <w:rPr>
          <w:kern w:val="0"/>
          <w:szCs w:val="21"/>
        </w:rPr>
        <w:t>日，总部设在广州，在北京、上海、香港等地设有分公司或子公司。本基金管理人拥有公募、社保、年金、特定客户资产管理、</w:t>
      </w:r>
      <w:r w:rsidRPr="00AB0FF3">
        <w:rPr>
          <w:kern w:val="0"/>
          <w:szCs w:val="21"/>
        </w:rPr>
        <w:t>QDII</w:t>
      </w:r>
      <w:r w:rsidRPr="00AB0FF3">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4.1.2</w:t>
      </w:r>
      <w:r w:rsidRPr="00740AC8">
        <w:rPr>
          <w:rFonts w:ascii="宋体" w:hAnsi="宋体" w:hint="eastAsia"/>
          <w:b/>
          <w:bCs/>
          <w:color w:val="000000"/>
          <w:kern w:val="0"/>
          <w:szCs w:val="21"/>
        </w:rPr>
        <w:t>基金经理（或基金经理小组）及基金经理助理简介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3037"/>
        <w:gridCol w:w="1198"/>
        <w:gridCol w:w="1335"/>
        <w:gridCol w:w="1029"/>
        <w:gridCol w:w="1729"/>
      </w:tblGrid>
      <w:tr w:rsidR="00711C4C" w:rsidRPr="00D749D4" w:rsidTr="00603062">
        <w:tc>
          <w:tcPr>
            <w:tcW w:w="516" w:type="pct"/>
            <w:vMerge w:val="restart"/>
            <w:vAlign w:val="center"/>
          </w:tcPr>
          <w:p w:rsidR="00711C4C" w:rsidRPr="00D749D4" w:rsidRDefault="00711C4C">
            <w:pPr>
              <w:jc w:val="center"/>
              <w:rPr>
                <w:color w:val="000000"/>
                <w:szCs w:val="21"/>
              </w:rPr>
            </w:pPr>
            <w:r w:rsidRPr="00D749D4">
              <w:rPr>
                <w:rFonts w:hint="eastAsia"/>
                <w:color w:val="000000"/>
                <w:szCs w:val="21"/>
              </w:rPr>
              <w:t>姓名</w:t>
            </w:r>
          </w:p>
        </w:tc>
        <w:tc>
          <w:tcPr>
            <w:tcW w:w="1635" w:type="pct"/>
            <w:vMerge w:val="restart"/>
            <w:vAlign w:val="center"/>
          </w:tcPr>
          <w:p w:rsidR="00711C4C" w:rsidRPr="00D749D4" w:rsidRDefault="00711C4C">
            <w:pPr>
              <w:jc w:val="center"/>
              <w:rPr>
                <w:color w:val="000000"/>
                <w:szCs w:val="21"/>
              </w:rPr>
            </w:pPr>
            <w:r w:rsidRPr="00D749D4">
              <w:rPr>
                <w:rFonts w:hint="eastAsia"/>
                <w:color w:val="000000"/>
                <w:szCs w:val="21"/>
              </w:rPr>
              <w:t>职务</w:t>
            </w:r>
          </w:p>
        </w:tc>
        <w:tc>
          <w:tcPr>
            <w:tcW w:w="1364" w:type="pct"/>
            <w:gridSpan w:val="2"/>
            <w:vAlign w:val="center"/>
          </w:tcPr>
          <w:p w:rsidR="00711C4C" w:rsidRPr="00D749D4" w:rsidRDefault="00711C4C">
            <w:pPr>
              <w:jc w:val="center"/>
              <w:rPr>
                <w:szCs w:val="21"/>
              </w:rPr>
            </w:pPr>
            <w:r w:rsidRPr="00D749D4">
              <w:rPr>
                <w:rFonts w:hint="eastAsia"/>
                <w:szCs w:val="21"/>
              </w:rPr>
              <w:t>任本基金的基金经理</w:t>
            </w:r>
          </w:p>
          <w:p w:rsidR="00711C4C" w:rsidRPr="00D749D4" w:rsidRDefault="00711C4C">
            <w:pPr>
              <w:jc w:val="center"/>
              <w:rPr>
                <w:color w:val="000000"/>
                <w:szCs w:val="21"/>
              </w:rPr>
            </w:pPr>
            <w:r w:rsidRPr="00D749D4">
              <w:rPr>
                <w:rFonts w:hint="eastAsia"/>
                <w:szCs w:val="21"/>
              </w:rPr>
              <w:t>（助理）期限</w:t>
            </w:r>
          </w:p>
        </w:tc>
        <w:tc>
          <w:tcPr>
            <w:tcW w:w="554" w:type="pct"/>
            <w:vMerge w:val="restart"/>
            <w:vAlign w:val="center"/>
          </w:tcPr>
          <w:p w:rsidR="00711C4C" w:rsidRPr="00D749D4" w:rsidRDefault="00711C4C">
            <w:pPr>
              <w:jc w:val="center"/>
              <w:rPr>
                <w:color w:val="000000"/>
                <w:szCs w:val="21"/>
              </w:rPr>
            </w:pPr>
            <w:r w:rsidRPr="00D749D4">
              <w:rPr>
                <w:rFonts w:hint="eastAsia"/>
                <w:color w:val="000000"/>
                <w:szCs w:val="21"/>
              </w:rPr>
              <w:t>证券从业年限</w:t>
            </w:r>
          </w:p>
        </w:tc>
        <w:tc>
          <w:tcPr>
            <w:tcW w:w="931" w:type="pct"/>
            <w:vMerge w:val="restart"/>
            <w:vAlign w:val="center"/>
          </w:tcPr>
          <w:p w:rsidR="00711C4C" w:rsidRPr="00D749D4" w:rsidRDefault="00711C4C">
            <w:pPr>
              <w:jc w:val="center"/>
              <w:rPr>
                <w:color w:val="000000"/>
                <w:szCs w:val="21"/>
              </w:rPr>
            </w:pPr>
            <w:r w:rsidRPr="00D749D4">
              <w:rPr>
                <w:rFonts w:hint="eastAsia"/>
                <w:color w:val="000000"/>
                <w:szCs w:val="21"/>
              </w:rPr>
              <w:t>说明</w:t>
            </w:r>
          </w:p>
        </w:tc>
      </w:tr>
      <w:tr w:rsidR="00603062" w:rsidRPr="00D749D4" w:rsidTr="00603062">
        <w:tc>
          <w:tcPr>
            <w:tcW w:w="516" w:type="pct"/>
            <w:vMerge/>
            <w:vAlign w:val="center"/>
          </w:tcPr>
          <w:p w:rsidR="00711C4C" w:rsidRPr="00D749D4" w:rsidRDefault="00711C4C">
            <w:pPr>
              <w:widowControl/>
              <w:jc w:val="left"/>
              <w:rPr>
                <w:color w:val="000000"/>
                <w:szCs w:val="21"/>
              </w:rPr>
            </w:pPr>
          </w:p>
        </w:tc>
        <w:tc>
          <w:tcPr>
            <w:tcW w:w="1635" w:type="pct"/>
            <w:vMerge/>
            <w:vAlign w:val="center"/>
          </w:tcPr>
          <w:p w:rsidR="00711C4C" w:rsidRPr="00D749D4" w:rsidRDefault="00711C4C">
            <w:pPr>
              <w:widowControl/>
              <w:jc w:val="left"/>
              <w:rPr>
                <w:color w:val="000000"/>
                <w:szCs w:val="21"/>
              </w:rPr>
            </w:pPr>
          </w:p>
        </w:tc>
        <w:tc>
          <w:tcPr>
            <w:tcW w:w="645" w:type="pct"/>
            <w:vAlign w:val="center"/>
          </w:tcPr>
          <w:p w:rsidR="00711C4C" w:rsidRPr="00D749D4" w:rsidRDefault="00711C4C">
            <w:pPr>
              <w:jc w:val="center"/>
              <w:rPr>
                <w:color w:val="000000"/>
                <w:szCs w:val="21"/>
              </w:rPr>
            </w:pPr>
            <w:r w:rsidRPr="00D749D4">
              <w:rPr>
                <w:rFonts w:hint="eastAsia"/>
                <w:color w:val="000000"/>
                <w:szCs w:val="21"/>
              </w:rPr>
              <w:t>任职日期</w:t>
            </w:r>
          </w:p>
        </w:tc>
        <w:tc>
          <w:tcPr>
            <w:tcW w:w="719" w:type="pct"/>
            <w:vAlign w:val="center"/>
          </w:tcPr>
          <w:p w:rsidR="00711C4C" w:rsidRPr="00D749D4" w:rsidRDefault="00711C4C">
            <w:pPr>
              <w:jc w:val="center"/>
              <w:rPr>
                <w:color w:val="000000"/>
                <w:szCs w:val="21"/>
              </w:rPr>
            </w:pPr>
            <w:r w:rsidRPr="00D749D4">
              <w:rPr>
                <w:rFonts w:hint="eastAsia"/>
                <w:color w:val="000000"/>
                <w:szCs w:val="21"/>
              </w:rPr>
              <w:t>离任日期</w:t>
            </w:r>
          </w:p>
        </w:tc>
        <w:tc>
          <w:tcPr>
            <w:tcW w:w="554" w:type="pct"/>
            <w:vMerge/>
            <w:vAlign w:val="center"/>
          </w:tcPr>
          <w:p w:rsidR="00711C4C" w:rsidRPr="00D749D4" w:rsidRDefault="00711C4C">
            <w:pPr>
              <w:widowControl/>
              <w:jc w:val="left"/>
              <w:rPr>
                <w:color w:val="000000"/>
                <w:szCs w:val="21"/>
              </w:rPr>
            </w:pPr>
          </w:p>
        </w:tc>
        <w:tc>
          <w:tcPr>
            <w:tcW w:w="931" w:type="pct"/>
            <w:vMerge/>
            <w:vAlign w:val="center"/>
          </w:tcPr>
          <w:p w:rsidR="00711C4C" w:rsidRPr="00D749D4" w:rsidRDefault="00711C4C">
            <w:pPr>
              <w:widowControl/>
              <w:jc w:val="left"/>
              <w:rPr>
                <w:color w:val="000000"/>
                <w:szCs w:val="21"/>
              </w:rPr>
            </w:pPr>
          </w:p>
        </w:tc>
      </w:tr>
      <w:tr w:rsidR="00CF426B">
        <w:tc>
          <w:tcPr>
            <w:tcW w:w="0" w:type="auto"/>
            <w:vAlign w:val="center"/>
          </w:tcPr>
          <w:p w:rsidR="00CF426B" w:rsidRDefault="005F6DDD">
            <w:pPr>
              <w:jc w:val="center"/>
            </w:pPr>
            <w:r>
              <w:rPr>
                <w:color w:val="000000"/>
                <w:szCs w:val="21"/>
              </w:rPr>
              <w:t>FAN BING</w:t>
            </w:r>
            <w:r>
              <w:rPr>
                <w:color w:val="000000"/>
                <w:szCs w:val="21"/>
              </w:rPr>
              <w:t>（范冰）</w:t>
            </w:r>
          </w:p>
        </w:tc>
        <w:tc>
          <w:tcPr>
            <w:tcW w:w="0" w:type="auto"/>
            <w:vAlign w:val="center"/>
          </w:tcPr>
          <w:p w:rsidR="00CF426B" w:rsidRDefault="005F6DDD">
            <w:pPr>
              <w:jc w:val="left"/>
            </w:pPr>
            <w:r>
              <w:rPr>
                <w:color w:val="000000"/>
                <w:szCs w:val="21"/>
              </w:rPr>
              <w:t>本基金的基金经理、易方达中证海外中国互联网</w:t>
            </w:r>
            <w:r>
              <w:rPr>
                <w:color w:val="000000"/>
                <w:szCs w:val="21"/>
              </w:rPr>
              <w:t>50</w:t>
            </w:r>
            <w:r>
              <w:rPr>
                <w:color w:val="000000"/>
                <w:szCs w:val="21"/>
              </w:rPr>
              <w:t>交易型开放式指数证券投资基金的基金经理、易方达标普信息科技指数证券投资基金（</w:t>
            </w:r>
            <w:r>
              <w:rPr>
                <w:color w:val="000000"/>
                <w:szCs w:val="21"/>
              </w:rPr>
              <w:t>LOF</w:t>
            </w:r>
            <w:r>
              <w:rPr>
                <w:color w:val="000000"/>
                <w:szCs w:val="21"/>
              </w:rPr>
              <w:t>）的基金经理、易方达标普生物科技指数证券投资基金（</w:t>
            </w:r>
            <w:r>
              <w:rPr>
                <w:color w:val="000000"/>
                <w:szCs w:val="21"/>
              </w:rPr>
              <w:t>LOF</w:t>
            </w:r>
            <w:r>
              <w:rPr>
                <w:color w:val="000000"/>
                <w:szCs w:val="21"/>
              </w:rPr>
              <w:t>）的基金经理、易方达标普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）的基金经理、易方达黄金交易型开放式证券投资基金联接基金的基金经理、易方达标普全球高端消费品指数增强型证券投资基金的基金经理（自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25</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19</w:t>
            </w:r>
            <w:r>
              <w:rPr>
                <w:color w:val="000000"/>
                <w:szCs w:val="21"/>
              </w:rPr>
              <w:t>日）、易方达黄金交易型开放式证券投资基金的基金经理、易方达原油证券投资基金（</w:t>
            </w:r>
            <w:r>
              <w:rPr>
                <w:color w:val="000000"/>
                <w:szCs w:val="21"/>
              </w:rPr>
              <w:t>QDII</w:t>
            </w:r>
            <w:r>
              <w:rPr>
                <w:color w:val="000000"/>
                <w:szCs w:val="21"/>
              </w:rPr>
              <w:t>）的基金经理、易方达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股国际通交易型开放式指数证券投资基金的基金经理、易方达中证海外中国互联网</w:t>
            </w:r>
            <w:r>
              <w:rPr>
                <w:color w:val="000000"/>
                <w:szCs w:val="21"/>
              </w:rPr>
              <w:t>50</w:t>
            </w:r>
            <w:r>
              <w:rPr>
                <w:color w:val="000000"/>
                <w:szCs w:val="21"/>
              </w:rPr>
              <w:t>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）的基金经理、易方达中证香港证券投资主题交易型开放式指数证券投资基金的基金经理</w:t>
            </w:r>
          </w:p>
        </w:tc>
        <w:tc>
          <w:tcPr>
            <w:tcW w:w="0" w:type="auto"/>
            <w:vAlign w:val="center"/>
          </w:tcPr>
          <w:p w:rsidR="00CF426B" w:rsidRDefault="005F6DDD">
            <w:pPr>
              <w:jc w:val="center"/>
            </w:pPr>
            <w:r>
              <w:rPr>
                <w:color w:val="000000"/>
                <w:szCs w:val="21"/>
              </w:rPr>
              <w:t>2017-06-27</w:t>
            </w:r>
          </w:p>
        </w:tc>
        <w:tc>
          <w:tcPr>
            <w:tcW w:w="0" w:type="auto"/>
            <w:vAlign w:val="center"/>
          </w:tcPr>
          <w:p w:rsidR="00CF426B" w:rsidRDefault="005F6DDD">
            <w:pPr>
              <w:jc w:val="center"/>
            </w:pPr>
            <w:r>
              <w:rPr>
                <w:color w:val="000000"/>
                <w:szCs w:val="21"/>
              </w:rPr>
              <w:t>-</w:t>
            </w:r>
          </w:p>
        </w:tc>
        <w:tc>
          <w:tcPr>
            <w:tcW w:w="0" w:type="auto"/>
            <w:vAlign w:val="center"/>
          </w:tcPr>
          <w:p w:rsidR="00CF426B" w:rsidRDefault="005F6DDD">
            <w:pPr>
              <w:jc w:val="center"/>
            </w:pPr>
            <w:r>
              <w:rPr>
                <w:color w:val="000000"/>
                <w:szCs w:val="21"/>
              </w:rPr>
              <w:t>15</w:t>
            </w:r>
            <w:r>
              <w:rPr>
                <w:color w:val="000000"/>
                <w:szCs w:val="21"/>
              </w:rPr>
              <w:t>年</w:t>
            </w:r>
          </w:p>
        </w:tc>
        <w:tc>
          <w:tcPr>
            <w:tcW w:w="0" w:type="auto"/>
            <w:vAlign w:val="center"/>
          </w:tcPr>
          <w:p w:rsidR="00CF426B" w:rsidRDefault="005F6DDD">
            <w:pPr>
              <w:jc w:val="left"/>
            </w:pPr>
            <w:r>
              <w:rPr>
                <w:color w:val="000000"/>
                <w:szCs w:val="21"/>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w:t>
            </w:r>
          </w:p>
        </w:tc>
      </w:tr>
      <w:tr w:rsidR="00CF426B">
        <w:tc>
          <w:tcPr>
            <w:tcW w:w="0" w:type="auto"/>
            <w:vAlign w:val="center"/>
          </w:tcPr>
          <w:p w:rsidR="00CF426B" w:rsidRDefault="005F6DDD">
            <w:pPr>
              <w:jc w:val="center"/>
            </w:pPr>
            <w:r>
              <w:rPr>
                <w:color w:val="000000"/>
                <w:szCs w:val="21"/>
              </w:rPr>
              <w:t>成曦</w:t>
            </w:r>
          </w:p>
        </w:tc>
        <w:tc>
          <w:tcPr>
            <w:tcW w:w="0" w:type="auto"/>
            <w:vAlign w:val="center"/>
          </w:tcPr>
          <w:p w:rsidR="00CF426B" w:rsidRDefault="005F6DDD">
            <w:pPr>
              <w:jc w:val="left"/>
            </w:pPr>
            <w:r>
              <w:rPr>
                <w:color w:val="000000"/>
                <w:szCs w:val="21"/>
              </w:rPr>
              <w:t>本基金的基金经理、易方达创业板交易型开放式指数证券投资基金联接基金的基金经理、易方达深证</w:t>
            </w:r>
            <w:r>
              <w:rPr>
                <w:color w:val="000000"/>
                <w:szCs w:val="21"/>
              </w:rPr>
              <w:t>100</w:t>
            </w:r>
            <w:r>
              <w:rPr>
                <w:color w:val="000000"/>
                <w:szCs w:val="21"/>
              </w:rPr>
              <w:t>交易型开放式指数证券投资基金联接基金的基金经理、易方达深证</w:t>
            </w:r>
            <w:r>
              <w:rPr>
                <w:color w:val="000000"/>
                <w:szCs w:val="21"/>
              </w:rPr>
              <w:t>100</w:t>
            </w:r>
            <w:r>
              <w:rPr>
                <w:color w:val="000000"/>
                <w:szCs w:val="21"/>
              </w:rPr>
              <w:t>交</w:t>
            </w:r>
            <w:r>
              <w:rPr>
                <w:color w:val="000000"/>
                <w:szCs w:val="21"/>
              </w:rPr>
              <w:lastRenderedPageBreak/>
              <w:t>易型开放式指数基金的基金经理、易方达创业板交易型开放式指数证券投资基金的基金经理、易方达生物科技指数分级证券投资基金的基金经理（自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日）、易方达中小板指数证券投资基金（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日）、易方达并购重组指数分级证券投资基金的基金经理（自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日）、易方达银行指数分级证券投资基金的基金经理（自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股国际通交易型开放式指数证券投资基金的基金经理（自</w:t>
            </w:r>
            <w:r>
              <w:rPr>
                <w:color w:val="000000"/>
                <w:szCs w:val="21"/>
              </w:rPr>
              <w:t>2018</w:t>
            </w:r>
            <w:r>
              <w:rPr>
                <w:color w:val="000000"/>
                <w:szCs w:val="21"/>
              </w:rPr>
              <w:t>年</w:t>
            </w:r>
            <w:r>
              <w:rPr>
                <w:color w:val="000000"/>
                <w:szCs w:val="21"/>
              </w:rPr>
              <w:t>05</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日）、易方达恒生中国企业交易型开放式指数证券投资基金的基金经理、易方达原油证券投资基金（</w:t>
            </w:r>
            <w:r>
              <w:rPr>
                <w:color w:val="000000"/>
                <w:szCs w:val="21"/>
              </w:rPr>
              <w:t>QDII</w:t>
            </w:r>
            <w:r>
              <w:rPr>
                <w:color w:val="000000"/>
                <w:szCs w:val="21"/>
              </w:rPr>
              <w:t>）的基金经理、易方达恒生中国企业交易型开放式指数证券投资基金联接基金的基金经理、易方达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13</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交易型开放式指数证券投资基金发起式联接基金的基金经理、易方达中证香港证券投资主题交易型开放式指数证券投资基金的基金经理</w:t>
            </w:r>
          </w:p>
        </w:tc>
        <w:tc>
          <w:tcPr>
            <w:tcW w:w="0" w:type="auto"/>
            <w:vAlign w:val="center"/>
          </w:tcPr>
          <w:p w:rsidR="00CF426B" w:rsidRDefault="005F6DDD">
            <w:pPr>
              <w:jc w:val="center"/>
            </w:pPr>
            <w:r>
              <w:rPr>
                <w:color w:val="000000"/>
                <w:szCs w:val="21"/>
              </w:rPr>
              <w:lastRenderedPageBreak/>
              <w:t>2018-08-11</w:t>
            </w:r>
          </w:p>
        </w:tc>
        <w:tc>
          <w:tcPr>
            <w:tcW w:w="0" w:type="auto"/>
            <w:vAlign w:val="center"/>
          </w:tcPr>
          <w:p w:rsidR="00CF426B" w:rsidRDefault="005F6DDD">
            <w:pPr>
              <w:jc w:val="center"/>
            </w:pPr>
            <w:r>
              <w:rPr>
                <w:color w:val="000000"/>
                <w:szCs w:val="21"/>
              </w:rPr>
              <w:t>2020-04-23</w:t>
            </w:r>
          </w:p>
        </w:tc>
        <w:tc>
          <w:tcPr>
            <w:tcW w:w="0" w:type="auto"/>
            <w:vAlign w:val="center"/>
          </w:tcPr>
          <w:p w:rsidR="00CF426B" w:rsidRDefault="005F6DDD">
            <w:pPr>
              <w:jc w:val="center"/>
            </w:pPr>
            <w:r>
              <w:rPr>
                <w:color w:val="000000"/>
                <w:szCs w:val="21"/>
              </w:rPr>
              <w:t>12</w:t>
            </w:r>
            <w:r>
              <w:rPr>
                <w:color w:val="000000"/>
                <w:szCs w:val="21"/>
              </w:rPr>
              <w:t>年</w:t>
            </w:r>
          </w:p>
        </w:tc>
        <w:tc>
          <w:tcPr>
            <w:tcW w:w="0" w:type="auto"/>
            <w:vAlign w:val="center"/>
          </w:tcPr>
          <w:p w:rsidR="00CF426B" w:rsidRDefault="005F6DDD">
            <w:pPr>
              <w:jc w:val="left"/>
            </w:pPr>
            <w:r>
              <w:rPr>
                <w:color w:val="000000"/>
                <w:szCs w:val="21"/>
              </w:rPr>
              <w:t>硕士研究生，具有基金从业资格。曾任华泰联合证券资产管理部研究员，易方达基金管理有限</w:t>
            </w:r>
            <w:r>
              <w:rPr>
                <w:color w:val="000000"/>
                <w:szCs w:val="21"/>
              </w:rPr>
              <w:lastRenderedPageBreak/>
              <w:t>公司集中交易室交易员、指数与量化投资部指数基金运作专员、基金经理助理、易方达深证成指交易型开放式指数证券投资基金基金经理、易方达深证成指交易型开放式指数证券投资基金联接基金基金经理。</w:t>
            </w:r>
          </w:p>
        </w:tc>
      </w:tr>
    </w:tbl>
    <w:p w:rsidR="00CF426B" w:rsidRDefault="005F6DDD">
      <w:pPr>
        <w:tabs>
          <w:tab w:val="left" w:pos="426"/>
        </w:tabs>
        <w:spacing w:line="360" w:lineRule="auto"/>
        <w:ind w:firstLineChars="200" w:firstLine="420"/>
        <w:rPr>
          <w:kern w:val="0"/>
          <w:szCs w:val="21"/>
        </w:rPr>
      </w:pPr>
      <w:r>
        <w:rPr>
          <w:kern w:val="0"/>
          <w:szCs w:val="21"/>
        </w:rPr>
        <w:lastRenderedPageBreak/>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21645F" w:rsidRDefault="00711C4C" w:rsidP="0021645F">
      <w:pPr>
        <w:tabs>
          <w:tab w:val="left" w:pos="426"/>
        </w:tabs>
        <w:spacing w:line="360" w:lineRule="auto"/>
        <w:ind w:firstLineChars="200" w:firstLine="420"/>
        <w:rPr>
          <w:kern w:val="0"/>
          <w:szCs w:val="21"/>
        </w:rPr>
      </w:pPr>
      <w:r w:rsidRPr="00AB0FF3">
        <w:rPr>
          <w:kern w:val="0"/>
          <w:szCs w:val="21"/>
        </w:rPr>
        <w:t>2.</w:t>
      </w:r>
      <w:r w:rsidRPr="00AB0FF3">
        <w:rPr>
          <w:kern w:val="0"/>
          <w:szCs w:val="21"/>
        </w:rPr>
        <w:t>证券从业的含义遵从《证券业从业人员资格管理办法》的相关规定。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93" w:name="_Toc224618356"/>
      <w:bookmarkStart w:id="94" w:name="_Toc235605685"/>
      <w:bookmarkStart w:id="95" w:name="_Toc286929733"/>
      <w:bookmarkStart w:id="96" w:name="_Toc352255973"/>
      <w:bookmarkStart w:id="97" w:name="_Toc352256041"/>
      <w:bookmarkStart w:id="98" w:name="_Toc352331219"/>
      <w:bookmarkStart w:id="99" w:name="_Toc374611650"/>
      <w:bookmarkStart w:id="100" w:name="_Toc48664220"/>
      <w:r w:rsidRPr="0087410D">
        <w:rPr>
          <w:rFonts w:ascii="宋体" w:hAnsi="宋体"/>
          <w:kern w:val="0"/>
          <w:sz w:val="21"/>
          <w:szCs w:val="21"/>
        </w:rPr>
        <w:lastRenderedPageBreak/>
        <w:t>4.2</w:t>
      </w:r>
      <w:r w:rsidR="00BE2F8C" w:rsidRPr="006B4E2C">
        <w:rPr>
          <w:rFonts w:ascii="宋体" w:hAnsi="宋体"/>
          <w:kern w:val="0"/>
          <w:sz w:val="21"/>
          <w:szCs w:val="21"/>
        </w:rPr>
        <w:tab/>
      </w:r>
      <w:r w:rsidRPr="0087410D">
        <w:rPr>
          <w:rFonts w:ascii="宋体" w:hAnsi="宋体" w:hint="eastAsia"/>
          <w:kern w:val="0"/>
          <w:sz w:val="21"/>
          <w:szCs w:val="21"/>
        </w:rPr>
        <w:t>境外投资顾问为本基金提供投资建议的主要成员简介</w:t>
      </w:r>
      <w:bookmarkEnd w:id="93"/>
      <w:bookmarkEnd w:id="94"/>
      <w:bookmarkEnd w:id="95"/>
      <w:bookmarkEnd w:id="96"/>
      <w:bookmarkEnd w:id="97"/>
      <w:bookmarkEnd w:id="98"/>
      <w:bookmarkEnd w:id="99"/>
      <w:bookmarkEnd w:id="10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本基金未聘请境外投资顾问。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1" w:name="_Toc225498256"/>
      <w:bookmarkStart w:id="102" w:name="_Toc352255974"/>
      <w:bookmarkStart w:id="103" w:name="_Toc352256042"/>
      <w:bookmarkStart w:id="104" w:name="_Toc352331220"/>
      <w:bookmarkStart w:id="105" w:name="_Toc374611651"/>
      <w:bookmarkStart w:id="106" w:name="_Toc48664221"/>
      <w:r w:rsidRPr="0087410D">
        <w:rPr>
          <w:rFonts w:ascii="宋体" w:hAnsi="宋体"/>
          <w:kern w:val="0"/>
          <w:sz w:val="21"/>
          <w:szCs w:val="21"/>
        </w:rPr>
        <w:t>4.3</w:t>
      </w:r>
      <w:r w:rsidR="00BE2F8C" w:rsidRPr="006B4E2C">
        <w:rPr>
          <w:rFonts w:ascii="宋体" w:hAnsi="宋体"/>
          <w:kern w:val="0"/>
          <w:sz w:val="21"/>
          <w:szCs w:val="21"/>
        </w:rPr>
        <w:tab/>
      </w:r>
      <w:r w:rsidRPr="0087410D">
        <w:rPr>
          <w:rFonts w:ascii="宋体" w:hAnsi="宋体" w:hint="eastAsia"/>
          <w:kern w:val="0"/>
          <w:sz w:val="21"/>
          <w:szCs w:val="21"/>
        </w:rPr>
        <w:t>管理人对报告期内本基金运作遵规守信情况的说明</w:t>
      </w:r>
      <w:bookmarkEnd w:id="101"/>
      <w:bookmarkEnd w:id="102"/>
      <w:bookmarkEnd w:id="103"/>
      <w:bookmarkEnd w:id="104"/>
      <w:bookmarkEnd w:id="105"/>
      <w:bookmarkEnd w:id="106"/>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7" w:name="_Toc225498257"/>
      <w:bookmarkStart w:id="108" w:name="_Toc352255975"/>
      <w:bookmarkStart w:id="109" w:name="_Toc352256043"/>
      <w:bookmarkStart w:id="110" w:name="_Toc352331221"/>
      <w:bookmarkStart w:id="111" w:name="_Toc374611652"/>
      <w:bookmarkStart w:id="112" w:name="_Toc48664222"/>
      <w:r w:rsidRPr="0087410D">
        <w:rPr>
          <w:rFonts w:ascii="宋体" w:hAnsi="宋体"/>
          <w:kern w:val="0"/>
          <w:sz w:val="21"/>
          <w:szCs w:val="21"/>
        </w:rPr>
        <w:t>4.4</w:t>
      </w:r>
      <w:r w:rsidR="00BE2F8C" w:rsidRPr="006B4E2C">
        <w:rPr>
          <w:rFonts w:ascii="宋体" w:hAnsi="宋体"/>
          <w:kern w:val="0"/>
          <w:sz w:val="21"/>
          <w:szCs w:val="21"/>
        </w:rPr>
        <w:tab/>
      </w:r>
      <w:r w:rsidRPr="0087410D">
        <w:rPr>
          <w:rFonts w:ascii="宋体" w:hAnsi="宋体" w:hint="eastAsia"/>
          <w:kern w:val="0"/>
          <w:sz w:val="21"/>
          <w:szCs w:val="21"/>
        </w:rPr>
        <w:t>管理人对报告期内公平交易情况的专项说明</w:t>
      </w:r>
      <w:bookmarkEnd w:id="107"/>
      <w:bookmarkEnd w:id="108"/>
      <w:bookmarkEnd w:id="109"/>
      <w:bookmarkEnd w:id="110"/>
      <w:bookmarkEnd w:id="111"/>
      <w:bookmarkEnd w:id="112"/>
    </w:p>
    <w:p w:rsidR="00711C4C" w:rsidRPr="00740AC8" w:rsidRDefault="00711C4C" w:rsidP="00DB1E0B">
      <w:pPr>
        <w:spacing w:line="360" w:lineRule="auto"/>
        <w:ind w:firstLineChars="197" w:firstLine="415"/>
        <w:rPr>
          <w:rFonts w:ascii="宋体"/>
          <w:b/>
          <w:bCs/>
          <w:color w:val="000000"/>
          <w:kern w:val="0"/>
          <w:szCs w:val="21"/>
        </w:rPr>
      </w:pPr>
      <w:bookmarkStart w:id="113" w:name="_Toc225498258"/>
      <w:bookmarkStart w:id="114" w:name="_Toc352255976"/>
      <w:bookmarkStart w:id="115" w:name="_Toc352256044"/>
      <w:bookmarkStart w:id="116" w:name="_Toc352331222"/>
      <w:r w:rsidRPr="00740AC8">
        <w:rPr>
          <w:rFonts w:ascii="宋体" w:hAnsi="宋体"/>
          <w:b/>
          <w:bCs/>
          <w:color w:val="000000"/>
          <w:kern w:val="0"/>
          <w:szCs w:val="21"/>
        </w:rPr>
        <w:t>4.4.1</w:t>
      </w:r>
      <w:r w:rsidRPr="00740AC8">
        <w:rPr>
          <w:rFonts w:ascii="宋体" w:hAnsi="宋体" w:hint="eastAsia"/>
          <w:b/>
          <w:bCs/>
          <w:color w:val="000000"/>
          <w:kern w:val="0"/>
          <w:szCs w:val="21"/>
        </w:rPr>
        <w:t>公平交易制度的执行情况</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4.4.2</w:t>
      </w:r>
      <w:r w:rsidRPr="00740AC8">
        <w:rPr>
          <w:rFonts w:ascii="宋体" w:hAnsi="宋体" w:hint="eastAsia"/>
          <w:b/>
          <w:bCs/>
          <w:color w:val="000000"/>
          <w:kern w:val="0"/>
          <w:szCs w:val="21"/>
        </w:rPr>
        <w:t>异常交易行为的专项说明</w:t>
      </w:r>
    </w:p>
    <w:p w:rsidR="00CF426B" w:rsidRDefault="005F6DDD">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本报告期内，未发现本基金有可能导致不公平交易和利益输送的异常交易。</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7" w:name="_Toc374611653"/>
      <w:bookmarkStart w:id="118" w:name="_Toc48664223"/>
      <w:r w:rsidRPr="0087410D">
        <w:rPr>
          <w:rFonts w:ascii="宋体" w:hAnsi="宋体"/>
          <w:kern w:val="0"/>
          <w:sz w:val="21"/>
          <w:szCs w:val="21"/>
        </w:rPr>
        <w:t>4.5</w:t>
      </w:r>
      <w:r w:rsidR="00BE2F8C" w:rsidRPr="006B4E2C">
        <w:rPr>
          <w:rFonts w:ascii="宋体" w:hAnsi="宋体"/>
          <w:kern w:val="0"/>
          <w:sz w:val="21"/>
          <w:szCs w:val="21"/>
        </w:rPr>
        <w:tab/>
      </w:r>
      <w:r w:rsidRPr="0087410D">
        <w:rPr>
          <w:rFonts w:ascii="宋体" w:hAnsi="宋体" w:hint="eastAsia"/>
          <w:kern w:val="0"/>
          <w:sz w:val="21"/>
          <w:szCs w:val="21"/>
        </w:rPr>
        <w:t>管理人对报告期内基金的投资策略和业绩表现的说明</w:t>
      </w:r>
      <w:bookmarkEnd w:id="113"/>
      <w:bookmarkEnd w:id="114"/>
      <w:bookmarkEnd w:id="115"/>
      <w:bookmarkEnd w:id="116"/>
      <w:bookmarkEnd w:id="117"/>
      <w:bookmarkEnd w:id="118"/>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4.5.1</w:t>
      </w:r>
      <w:r w:rsidRPr="00740AC8">
        <w:rPr>
          <w:rFonts w:ascii="宋体" w:hAnsi="宋体" w:hint="eastAsia"/>
          <w:b/>
          <w:bCs/>
          <w:color w:val="000000"/>
          <w:kern w:val="0"/>
          <w:szCs w:val="21"/>
        </w:rPr>
        <w:t>报告期内基金投资策略和运作分析</w:t>
      </w:r>
    </w:p>
    <w:p w:rsidR="00CF426B" w:rsidRDefault="005F6DDD">
      <w:pPr>
        <w:tabs>
          <w:tab w:val="left" w:pos="426"/>
        </w:tabs>
        <w:spacing w:line="360" w:lineRule="auto"/>
        <w:ind w:firstLineChars="200" w:firstLine="420"/>
        <w:jc w:val="left"/>
        <w:rPr>
          <w:kern w:val="0"/>
          <w:szCs w:val="21"/>
        </w:rPr>
      </w:pPr>
      <w:r>
        <w:rPr>
          <w:kern w:val="0"/>
          <w:szCs w:val="21"/>
        </w:rPr>
        <w:t>2020</w:t>
      </w:r>
      <w:r>
        <w:rPr>
          <w:kern w:val="0"/>
          <w:szCs w:val="21"/>
        </w:rPr>
        <w:t>年一季度，在新冠疫情全球扩散的冲击下，全球经济增长的预期一再下调，美国失业救济申请人数远超市场预期。美股盈利预期转负，叠加之前高企的美股估值，造成了美股的大幅下跌，并在短时间内出现了多次熔断。美联储连续两次非常规紧急降息至零利率水平附近，并紧急向市场提供流动性和信贷支持。美国政府也通过</w:t>
      </w:r>
      <w:r>
        <w:rPr>
          <w:kern w:val="0"/>
          <w:szCs w:val="21"/>
        </w:rPr>
        <w:t>2</w:t>
      </w:r>
      <w:r>
        <w:rPr>
          <w:kern w:val="0"/>
          <w:szCs w:val="21"/>
        </w:rPr>
        <w:t>万亿美元刺激计划，为经济托底。科技龙头企业股价表现远超大盘，带动纳斯达克指数表现好于标普</w:t>
      </w:r>
      <w:r>
        <w:rPr>
          <w:kern w:val="0"/>
          <w:szCs w:val="21"/>
        </w:rPr>
        <w:t>500</w:t>
      </w:r>
      <w:r>
        <w:rPr>
          <w:kern w:val="0"/>
          <w:szCs w:val="21"/>
        </w:rPr>
        <w:t>指数。</w:t>
      </w:r>
    </w:p>
    <w:p w:rsidR="00CF426B" w:rsidRDefault="005F6DDD">
      <w:pPr>
        <w:tabs>
          <w:tab w:val="left" w:pos="426"/>
        </w:tabs>
        <w:spacing w:line="360" w:lineRule="auto"/>
        <w:ind w:firstLineChars="200" w:firstLine="420"/>
        <w:jc w:val="left"/>
        <w:rPr>
          <w:kern w:val="0"/>
          <w:szCs w:val="21"/>
        </w:rPr>
      </w:pPr>
      <w:r>
        <w:rPr>
          <w:kern w:val="0"/>
          <w:szCs w:val="21"/>
        </w:rPr>
        <w:lastRenderedPageBreak/>
        <w:t>2020</w:t>
      </w:r>
      <w:r>
        <w:rPr>
          <w:kern w:val="0"/>
          <w:szCs w:val="21"/>
        </w:rPr>
        <w:t>年二季度，在货币及财政政策刺激下，美股出现明显反弹，美国重启经济，进一步提高了市场的风险偏好。美联储</w:t>
      </w:r>
      <w:r>
        <w:rPr>
          <w:kern w:val="0"/>
          <w:szCs w:val="21"/>
        </w:rPr>
        <w:t>6</w:t>
      </w:r>
      <w:r>
        <w:rPr>
          <w:kern w:val="0"/>
          <w:szCs w:val="21"/>
        </w:rPr>
        <w:t>月货币政策会议决议鸽派基调明显，符合市场预期，加息路径点阵图显示，利率预计将维持在当前水平直至</w:t>
      </w:r>
      <w:r>
        <w:rPr>
          <w:kern w:val="0"/>
          <w:szCs w:val="21"/>
        </w:rPr>
        <w:t>2022</w:t>
      </w:r>
      <w:r>
        <w:rPr>
          <w:kern w:val="0"/>
          <w:szCs w:val="21"/>
        </w:rPr>
        <w:t>年。美国经济前景仍然充满不确定性，但消费者信心有所回升。以</w:t>
      </w:r>
      <w:r>
        <w:rPr>
          <w:kern w:val="0"/>
          <w:szCs w:val="21"/>
        </w:rPr>
        <w:t>FAAMG</w:t>
      </w:r>
      <w:r>
        <w:rPr>
          <w:kern w:val="0"/>
          <w:szCs w:val="21"/>
        </w:rPr>
        <w:t>为代表的新经济龙头公司在反弹中表现抢眼，带动纳指</w:t>
      </w:r>
      <w:r>
        <w:rPr>
          <w:kern w:val="0"/>
          <w:szCs w:val="21"/>
        </w:rPr>
        <w:t>100</w:t>
      </w:r>
      <w:r>
        <w:rPr>
          <w:kern w:val="0"/>
          <w:szCs w:val="21"/>
        </w:rPr>
        <w:t>指数跑赢标普</w:t>
      </w:r>
      <w:r>
        <w:rPr>
          <w:kern w:val="0"/>
          <w:szCs w:val="21"/>
        </w:rPr>
        <w:t>500</w:t>
      </w:r>
      <w:r>
        <w:rPr>
          <w:kern w:val="0"/>
          <w:szCs w:val="21"/>
        </w:rPr>
        <w:t>指数。</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作为追踪纳斯达克</w:t>
      </w:r>
      <w:r w:rsidRPr="00AB0FF3">
        <w:rPr>
          <w:kern w:val="0"/>
          <w:szCs w:val="21"/>
        </w:rPr>
        <w:t>100</w:t>
      </w:r>
      <w:r w:rsidRPr="00AB0FF3">
        <w:rPr>
          <w:kern w:val="0"/>
          <w:szCs w:val="21"/>
        </w:rPr>
        <w:t>指数的被动式海外指数基金，本基金采用完全复制法，力求追踪误差最小化。</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4.5.2</w:t>
      </w:r>
      <w:r w:rsidRPr="00740AC8">
        <w:rPr>
          <w:rFonts w:ascii="宋体" w:hAnsi="宋体" w:hint="eastAsia"/>
          <w:b/>
          <w:bCs/>
          <w:color w:val="000000"/>
          <w:kern w:val="0"/>
          <w:szCs w:val="21"/>
        </w:rPr>
        <w:t>报告期内基金的业绩表现</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截至报告期末，本基金份额净值为</w:t>
      </w:r>
      <w:r w:rsidRPr="00AB0FF3">
        <w:rPr>
          <w:kern w:val="0"/>
          <w:szCs w:val="21"/>
        </w:rPr>
        <w:t>1.7105</w:t>
      </w:r>
      <w:r w:rsidRPr="00AB0FF3">
        <w:rPr>
          <w:kern w:val="0"/>
          <w:szCs w:val="21"/>
        </w:rPr>
        <w:t>元，本报告期份额净值增长率为</w:t>
      </w:r>
      <w:r w:rsidRPr="00AB0FF3">
        <w:rPr>
          <w:kern w:val="0"/>
          <w:szCs w:val="21"/>
        </w:rPr>
        <w:t>15.17%</w:t>
      </w:r>
      <w:r w:rsidRPr="00AB0FF3">
        <w:rPr>
          <w:kern w:val="0"/>
          <w:szCs w:val="21"/>
        </w:rPr>
        <w:t>，同期业绩比较基准收益率为</w:t>
      </w:r>
      <w:r w:rsidRPr="00AB0FF3">
        <w:rPr>
          <w:kern w:val="0"/>
          <w:szCs w:val="21"/>
        </w:rPr>
        <w:t>17.35%</w:t>
      </w:r>
      <w:r w:rsidRPr="00AB0FF3">
        <w:rPr>
          <w:kern w:val="0"/>
          <w:szCs w:val="21"/>
        </w:rPr>
        <w:t>，年化跟踪误差</w:t>
      </w:r>
      <w:r w:rsidRPr="00AB0FF3">
        <w:rPr>
          <w:kern w:val="0"/>
          <w:szCs w:val="21"/>
        </w:rPr>
        <w:t>2.134%</w:t>
      </w:r>
      <w:r w:rsidRPr="00AB0FF3">
        <w:rPr>
          <w:kern w:val="0"/>
          <w:szCs w:val="21"/>
        </w:rPr>
        <w:t>，在合同规定的目标控制范围之内。</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9" w:name="_Toc225498259"/>
      <w:bookmarkStart w:id="120" w:name="_Toc352255977"/>
      <w:bookmarkStart w:id="121" w:name="_Toc352256045"/>
      <w:bookmarkStart w:id="122" w:name="_Toc352331223"/>
      <w:bookmarkStart w:id="123" w:name="_Toc374611654"/>
      <w:bookmarkStart w:id="124" w:name="_Toc48664224"/>
      <w:r w:rsidRPr="0087410D">
        <w:rPr>
          <w:rFonts w:ascii="宋体" w:hAnsi="宋体"/>
          <w:kern w:val="0"/>
          <w:sz w:val="21"/>
          <w:szCs w:val="21"/>
        </w:rPr>
        <w:t>4.6</w:t>
      </w:r>
      <w:r w:rsidR="00BE2F8C" w:rsidRPr="006B4E2C">
        <w:rPr>
          <w:rFonts w:ascii="宋体" w:hAnsi="宋体"/>
          <w:kern w:val="0"/>
          <w:sz w:val="21"/>
          <w:szCs w:val="21"/>
        </w:rPr>
        <w:tab/>
      </w:r>
      <w:r w:rsidRPr="0087410D">
        <w:rPr>
          <w:rFonts w:ascii="宋体" w:hAnsi="宋体" w:hint="eastAsia"/>
          <w:kern w:val="0"/>
          <w:sz w:val="21"/>
          <w:szCs w:val="21"/>
        </w:rPr>
        <w:t>管理人对宏观经济、证券市场及行业走势的简要展望</w:t>
      </w:r>
      <w:bookmarkEnd w:id="119"/>
      <w:bookmarkEnd w:id="120"/>
      <w:bookmarkEnd w:id="121"/>
      <w:bookmarkEnd w:id="122"/>
      <w:bookmarkEnd w:id="123"/>
      <w:bookmarkEnd w:id="124"/>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展望</w:t>
      </w:r>
      <w:r w:rsidRPr="00AB0FF3">
        <w:rPr>
          <w:kern w:val="0"/>
          <w:szCs w:val="21"/>
        </w:rPr>
        <w:t>2020</w:t>
      </w:r>
      <w:r w:rsidRPr="00AB0FF3">
        <w:rPr>
          <w:kern w:val="0"/>
          <w:szCs w:val="21"/>
        </w:rPr>
        <w:t>年下半年，受疫情影响，美国多地撤回了经济重启计划，美国和中国及欧洲的贸易摩擦升温，叠加美股估值高企，美股可能出现回调和震荡。美国大选结果也将在</w:t>
      </w:r>
      <w:r w:rsidRPr="00AB0FF3">
        <w:rPr>
          <w:kern w:val="0"/>
          <w:szCs w:val="21"/>
        </w:rPr>
        <w:t>2020</w:t>
      </w:r>
      <w:r w:rsidRPr="00AB0FF3">
        <w:rPr>
          <w:kern w:val="0"/>
          <w:szCs w:val="21"/>
        </w:rPr>
        <w:t>年下半年揭晓，需要关注与之相关的事件冲击。美股的科技、消费和医疗板块有望继续跑赢传统周期板块，带动纳指</w:t>
      </w:r>
      <w:r w:rsidRPr="00AB0FF3">
        <w:rPr>
          <w:kern w:val="0"/>
          <w:szCs w:val="21"/>
        </w:rPr>
        <w:t>100</w:t>
      </w:r>
      <w:r w:rsidRPr="00AB0FF3">
        <w:rPr>
          <w:kern w:val="0"/>
          <w:szCs w:val="21"/>
        </w:rPr>
        <w:t>指数跑赢美股大盘。</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25" w:name="_Toc247959457"/>
      <w:bookmarkStart w:id="126" w:name="_Toc225570083"/>
      <w:bookmarkStart w:id="127" w:name="_Toc352255979"/>
      <w:bookmarkStart w:id="128" w:name="_Toc352256047"/>
      <w:bookmarkStart w:id="129" w:name="_Toc352331225"/>
      <w:bookmarkStart w:id="130" w:name="_Toc374611655"/>
      <w:bookmarkStart w:id="131" w:name="_Toc48664225"/>
      <w:r w:rsidRPr="0087410D">
        <w:rPr>
          <w:rFonts w:ascii="宋体" w:hAnsi="宋体"/>
          <w:kern w:val="0"/>
          <w:sz w:val="21"/>
          <w:szCs w:val="21"/>
        </w:rPr>
        <w:t>4.7</w:t>
      </w:r>
      <w:r w:rsidR="00BE2F8C" w:rsidRPr="006B4E2C">
        <w:rPr>
          <w:rFonts w:ascii="宋体" w:hAnsi="宋体"/>
          <w:kern w:val="0"/>
          <w:sz w:val="21"/>
          <w:szCs w:val="21"/>
        </w:rPr>
        <w:tab/>
      </w:r>
      <w:r w:rsidRPr="0087410D">
        <w:rPr>
          <w:rFonts w:ascii="宋体" w:hAnsi="宋体" w:hint="eastAsia"/>
          <w:kern w:val="0"/>
          <w:sz w:val="21"/>
          <w:szCs w:val="21"/>
        </w:rPr>
        <w:t>管理人对报告期内基金估值程序等事项的说明</w:t>
      </w:r>
      <w:bookmarkEnd w:id="125"/>
      <w:bookmarkEnd w:id="126"/>
      <w:bookmarkEnd w:id="127"/>
      <w:bookmarkEnd w:id="128"/>
      <w:bookmarkEnd w:id="129"/>
      <w:bookmarkEnd w:id="130"/>
      <w:bookmarkEnd w:id="131"/>
    </w:p>
    <w:p w:rsidR="00CF426B" w:rsidRDefault="005F6DDD">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CF426B" w:rsidRDefault="005F6DDD">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CF426B" w:rsidRDefault="005F6DDD">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32" w:name="_Toc247959458"/>
      <w:bookmarkStart w:id="133" w:name="_Toc225570084"/>
      <w:bookmarkStart w:id="134" w:name="_Toc352255980"/>
      <w:bookmarkStart w:id="135" w:name="_Toc352256048"/>
      <w:bookmarkStart w:id="136" w:name="_Toc352331226"/>
      <w:bookmarkStart w:id="137" w:name="_Toc374611656"/>
      <w:bookmarkStart w:id="138" w:name="_Toc48664226"/>
      <w:r w:rsidRPr="0087410D">
        <w:rPr>
          <w:rFonts w:ascii="宋体" w:hAnsi="宋体"/>
          <w:kern w:val="0"/>
          <w:sz w:val="21"/>
          <w:szCs w:val="21"/>
        </w:rPr>
        <w:lastRenderedPageBreak/>
        <w:t>4.8</w:t>
      </w:r>
      <w:r w:rsidR="00BE2F8C" w:rsidRPr="006B4E2C">
        <w:rPr>
          <w:rFonts w:ascii="宋体" w:hAnsi="宋体"/>
          <w:kern w:val="0"/>
          <w:sz w:val="21"/>
          <w:szCs w:val="21"/>
        </w:rPr>
        <w:tab/>
      </w:r>
      <w:r w:rsidRPr="0087410D">
        <w:rPr>
          <w:rFonts w:ascii="宋体" w:hAnsi="宋体" w:hint="eastAsia"/>
          <w:kern w:val="0"/>
          <w:sz w:val="21"/>
          <w:szCs w:val="21"/>
        </w:rPr>
        <w:t>管理人对报告期内基金利润分配情况的说明</w:t>
      </w:r>
      <w:bookmarkEnd w:id="132"/>
      <w:bookmarkEnd w:id="133"/>
      <w:bookmarkEnd w:id="134"/>
      <w:bookmarkEnd w:id="135"/>
      <w:bookmarkEnd w:id="136"/>
      <w:bookmarkEnd w:id="137"/>
      <w:bookmarkEnd w:id="138"/>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本基金本报告期内未实施利润分配。</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39" w:name="_Toc225498263"/>
      <w:bookmarkStart w:id="140" w:name="_Toc352255982"/>
      <w:bookmarkStart w:id="141" w:name="_Toc352256050"/>
      <w:bookmarkStart w:id="142" w:name="_Toc352331228"/>
      <w:bookmarkStart w:id="143" w:name="_Toc374611657"/>
      <w:bookmarkStart w:id="144" w:name="_Toc48664227"/>
      <w:r w:rsidRPr="00964699">
        <w:rPr>
          <w:rFonts w:ascii="宋体" w:hAnsi="宋体" w:cs="Arial"/>
          <w:color w:val="000000"/>
          <w:sz w:val="21"/>
          <w:szCs w:val="21"/>
        </w:rPr>
        <w:t>5</w:t>
      </w:r>
      <w:r w:rsidR="006B4E2C" w:rsidRPr="006B4E2C">
        <w:rPr>
          <w:rFonts w:ascii="宋体" w:hAnsi="宋体" w:cs="Arial"/>
          <w:color w:val="000000"/>
          <w:sz w:val="21"/>
          <w:szCs w:val="21"/>
        </w:rPr>
        <w:tab/>
      </w:r>
      <w:r w:rsidRPr="00964699">
        <w:rPr>
          <w:rFonts w:ascii="宋体" w:hAnsi="宋体" w:cs="Arial" w:hint="eastAsia"/>
          <w:color w:val="000000"/>
          <w:sz w:val="21"/>
          <w:szCs w:val="21"/>
        </w:rPr>
        <w:t>托管人报告</w:t>
      </w:r>
      <w:bookmarkEnd w:id="139"/>
      <w:bookmarkEnd w:id="140"/>
      <w:bookmarkEnd w:id="141"/>
      <w:bookmarkEnd w:id="142"/>
      <w:bookmarkEnd w:id="143"/>
      <w:bookmarkEnd w:id="144"/>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45" w:name="_Toc225498264"/>
      <w:bookmarkStart w:id="146" w:name="_Toc352255983"/>
      <w:bookmarkStart w:id="147" w:name="_Toc352256051"/>
      <w:bookmarkStart w:id="148" w:name="_Toc352331229"/>
      <w:bookmarkStart w:id="149" w:name="_Toc374611658"/>
      <w:bookmarkStart w:id="150" w:name="_Toc48664228"/>
      <w:r w:rsidRPr="0087410D">
        <w:rPr>
          <w:rFonts w:ascii="宋体" w:hAnsi="宋体"/>
          <w:kern w:val="0"/>
          <w:sz w:val="21"/>
          <w:szCs w:val="21"/>
        </w:rPr>
        <w:t>5.1</w:t>
      </w:r>
      <w:r w:rsidR="00BE2F8C" w:rsidRPr="006B4E2C">
        <w:rPr>
          <w:rFonts w:ascii="宋体" w:hAnsi="宋体"/>
          <w:kern w:val="0"/>
          <w:sz w:val="21"/>
          <w:szCs w:val="21"/>
        </w:rPr>
        <w:tab/>
      </w:r>
      <w:r w:rsidRPr="0087410D">
        <w:rPr>
          <w:rFonts w:ascii="宋体" w:hAnsi="宋体" w:hint="eastAsia"/>
          <w:kern w:val="0"/>
          <w:sz w:val="21"/>
          <w:szCs w:val="21"/>
        </w:rPr>
        <w:t>报告期内本基金托管人遵规守信情况声明</w:t>
      </w:r>
      <w:bookmarkEnd w:id="145"/>
      <w:bookmarkEnd w:id="146"/>
      <w:bookmarkEnd w:id="147"/>
      <w:bookmarkEnd w:id="148"/>
      <w:bookmarkEnd w:id="149"/>
      <w:bookmarkEnd w:id="15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1" w:name="_Toc225498265"/>
      <w:bookmarkStart w:id="152" w:name="_Toc352255984"/>
      <w:bookmarkStart w:id="153" w:name="_Toc352256052"/>
      <w:bookmarkStart w:id="154" w:name="_Toc352331230"/>
      <w:bookmarkStart w:id="155" w:name="_Toc374611659"/>
      <w:bookmarkStart w:id="156" w:name="_Toc48664229"/>
      <w:r w:rsidRPr="0087410D">
        <w:rPr>
          <w:rFonts w:ascii="宋体" w:hAnsi="宋体"/>
          <w:kern w:val="0"/>
          <w:sz w:val="21"/>
          <w:szCs w:val="21"/>
        </w:rPr>
        <w:t>5.2</w:t>
      </w:r>
      <w:r w:rsidR="00BE2F8C" w:rsidRPr="006B4E2C">
        <w:rPr>
          <w:rFonts w:ascii="宋体" w:hAnsi="宋体"/>
          <w:kern w:val="0"/>
          <w:sz w:val="21"/>
          <w:szCs w:val="21"/>
        </w:rPr>
        <w:tab/>
      </w:r>
      <w:r w:rsidRPr="0087410D">
        <w:rPr>
          <w:rFonts w:ascii="宋体" w:hAnsi="宋体" w:hint="eastAsia"/>
          <w:kern w:val="0"/>
          <w:sz w:val="21"/>
          <w:szCs w:val="21"/>
        </w:rPr>
        <w:t>托管人对报告期内本基金投资运作遵规守信、净值计算、利润分配等情况的</w:t>
      </w:r>
      <w:bookmarkEnd w:id="151"/>
      <w:r w:rsidRPr="0087410D">
        <w:rPr>
          <w:rFonts w:ascii="宋体" w:hAnsi="宋体" w:hint="eastAsia"/>
          <w:kern w:val="0"/>
          <w:sz w:val="21"/>
          <w:szCs w:val="21"/>
        </w:rPr>
        <w:t>说明</w:t>
      </w:r>
      <w:bookmarkEnd w:id="152"/>
      <w:bookmarkEnd w:id="153"/>
      <w:bookmarkEnd w:id="154"/>
      <w:bookmarkEnd w:id="155"/>
      <w:bookmarkEnd w:id="156"/>
    </w:p>
    <w:p w:rsidR="00CF426B" w:rsidRDefault="005F6DDD">
      <w:pPr>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11C4C" w:rsidRPr="00AB0FF3" w:rsidRDefault="00711C4C" w:rsidP="00DB1E0B">
      <w:pPr>
        <w:spacing w:line="360" w:lineRule="auto"/>
        <w:ind w:firstLineChars="200" w:firstLine="420"/>
        <w:rPr>
          <w:kern w:val="0"/>
          <w:szCs w:val="21"/>
        </w:rPr>
      </w:pPr>
      <w:r w:rsidRPr="00AB0FF3">
        <w:rPr>
          <w:kern w:val="0"/>
          <w:szCs w:val="21"/>
        </w:rPr>
        <w:t>报告期内，本基金未实施利润分配。</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7" w:name="_Toc225498266"/>
      <w:bookmarkStart w:id="158" w:name="_Toc352255985"/>
      <w:bookmarkStart w:id="159" w:name="_Toc352256053"/>
      <w:bookmarkStart w:id="160" w:name="_Toc352331231"/>
      <w:bookmarkStart w:id="161" w:name="_Toc374611660"/>
      <w:bookmarkStart w:id="162" w:name="_Toc48664230"/>
      <w:r w:rsidRPr="0087410D">
        <w:rPr>
          <w:rFonts w:ascii="宋体" w:hAnsi="宋体"/>
          <w:kern w:val="0"/>
          <w:sz w:val="21"/>
          <w:szCs w:val="21"/>
        </w:rPr>
        <w:t>5.3</w:t>
      </w:r>
      <w:r w:rsidR="00BE2F8C" w:rsidRPr="006B4E2C">
        <w:rPr>
          <w:rFonts w:ascii="宋体" w:hAnsi="宋体"/>
          <w:kern w:val="0"/>
          <w:sz w:val="21"/>
          <w:szCs w:val="21"/>
        </w:rPr>
        <w:tab/>
      </w:r>
      <w:r w:rsidRPr="0087410D">
        <w:rPr>
          <w:rFonts w:ascii="宋体" w:hAnsi="宋体" w:hint="eastAsia"/>
          <w:kern w:val="0"/>
          <w:sz w:val="21"/>
          <w:szCs w:val="21"/>
        </w:rPr>
        <w:t>托管人对本</w:t>
      </w:r>
      <w:r w:rsidR="00896530">
        <w:rPr>
          <w:rFonts w:ascii="宋体" w:hAnsi="宋体" w:hint="eastAsia"/>
          <w:kern w:val="0"/>
          <w:sz w:val="21"/>
          <w:szCs w:val="21"/>
        </w:rPr>
        <w:t>中期</w:t>
      </w:r>
      <w:r w:rsidRPr="0087410D">
        <w:rPr>
          <w:rFonts w:ascii="宋体" w:hAnsi="宋体" w:hint="eastAsia"/>
          <w:kern w:val="0"/>
          <w:sz w:val="21"/>
          <w:szCs w:val="21"/>
        </w:rPr>
        <w:t>报告中财务信息等内容的真实、准确和完整发表意见</w:t>
      </w:r>
      <w:bookmarkEnd w:id="157"/>
      <w:bookmarkEnd w:id="158"/>
      <w:bookmarkEnd w:id="159"/>
      <w:bookmarkEnd w:id="160"/>
      <w:bookmarkEnd w:id="161"/>
      <w:bookmarkEnd w:id="162"/>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本托管人复核审查了本报告中的财务指标、净值表现、利润分配情况、财务会计报告、投资组合报告等内容，保证复核内容不存在虚假记载、误导性陈述或者重大遗漏。</w:t>
      </w:r>
    </w:p>
    <w:p w:rsidR="00711C4C" w:rsidRPr="003540A5" w:rsidRDefault="00711C4C" w:rsidP="003427BF">
      <w:pPr>
        <w:pStyle w:val="20"/>
        <w:tabs>
          <w:tab w:val="num" w:pos="425"/>
        </w:tabs>
        <w:spacing w:beforeLines="100" w:before="312" w:afterLines="100" w:after="312"/>
        <w:ind w:left="425" w:hanging="425"/>
        <w:jc w:val="center"/>
        <w:rPr>
          <w:rFonts w:ascii="宋体" w:hAnsi="宋体" w:cs="Arial"/>
          <w:color w:val="000000"/>
          <w:sz w:val="21"/>
          <w:szCs w:val="21"/>
        </w:rPr>
      </w:pPr>
      <w:bookmarkStart w:id="163" w:name="_Toc331410096"/>
      <w:bookmarkStart w:id="164" w:name="_Toc374611661"/>
      <w:bookmarkStart w:id="165" w:name="_Toc48664231"/>
      <w:r w:rsidRPr="00964699">
        <w:rPr>
          <w:rFonts w:ascii="宋体" w:hAnsi="宋体" w:cs="Arial"/>
          <w:color w:val="000000"/>
          <w:sz w:val="21"/>
          <w:szCs w:val="21"/>
        </w:rPr>
        <w:t>6</w:t>
      </w:r>
      <w:bookmarkEnd w:id="163"/>
      <w:r w:rsidR="003540A5" w:rsidRPr="006B4E2C">
        <w:rPr>
          <w:rFonts w:ascii="宋体" w:hAnsi="宋体" w:cs="Arial"/>
          <w:color w:val="000000"/>
          <w:sz w:val="21"/>
          <w:szCs w:val="21"/>
        </w:rPr>
        <w:tab/>
      </w:r>
      <w:r w:rsidRPr="00964699">
        <w:rPr>
          <w:rFonts w:ascii="宋体" w:hAnsi="宋体" w:cs="Arial" w:hint="eastAsia"/>
          <w:color w:val="000000"/>
          <w:sz w:val="21"/>
          <w:szCs w:val="21"/>
        </w:rPr>
        <w:t>半年度财务会计报告（未经审计）</w:t>
      </w:r>
      <w:bookmarkEnd w:id="164"/>
      <w:bookmarkEnd w:id="16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6" w:name="_Toc225498268"/>
      <w:bookmarkStart w:id="167" w:name="_Toc352255991"/>
      <w:bookmarkStart w:id="168" w:name="_Toc352256059"/>
      <w:bookmarkStart w:id="169" w:name="_Toc352331237"/>
      <w:bookmarkStart w:id="170" w:name="_Toc374611662"/>
      <w:bookmarkStart w:id="171" w:name="_Toc48664232"/>
      <w:r w:rsidRPr="0087410D">
        <w:rPr>
          <w:rFonts w:ascii="宋体" w:hAnsi="宋体"/>
          <w:kern w:val="0"/>
          <w:sz w:val="21"/>
          <w:szCs w:val="21"/>
        </w:rPr>
        <w:t>6.1</w:t>
      </w:r>
      <w:r w:rsidR="00BE2F8C" w:rsidRPr="006B4E2C">
        <w:rPr>
          <w:rFonts w:ascii="宋体" w:hAnsi="宋体"/>
          <w:kern w:val="0"/>
          <w:sz w:val="21"/>
          <w:szCs w:val="21"/>
        </w:rPr>
        <w:tab/>
      </w:r>
      <w:r w:rsidRPr="0087410D">
        <w:rPr>
          <w:rFonts w:ascii="宋体" w:hAnsi="宋体" w:hint="eastAsia"/>
          <w:kern w:val="0"/>
          <w:sz w:val="21"/>
          <w:szCs w:val="21"/>
        </w:rPr>
        <w:t>资产负债表</w:t>
      </w:r>
      <w:bookmarkEnd w:id="166"/>
      <w:bookmarkEnd w:id="167"/>
      <w:bookmarkEnd w:id="168"/>
      <w:bookmarkEnd w:id="169"/>
      <w:bookmarkEnd w:id="170"/>
      <w:bookmarkEnd w:id="171"/>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易方达纳斯达克</w:t>
      </w:r>
      <w:r w:rsidRPr="00D749D4">
        <w:rPr>
          <w:color w:val="000000"/>
          <w:szCs w:val="21"/>
        </w:rPr>
        <w:t>100</w:t>
      </w:r>
      <w:r w:rsidRPr="00D749D4">
        <w:rPr>
          <w:color w:val="000000"/>
          <w:szCs w:val="21"/>
        </w:rPr>
        <w:t>指数证券投资基金（</w:t>
      </w:r>
      <w:r w:rsidRPr="00D749D4">
        <w:rPr>
          <w:color w:val="000000"/>
          <w:szCs w:val="21"/>
        </w:rPr>
        <w:t>LOF</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报告截止日：</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11C4C" w:rsidRPr="00D749D4" w:rsidTr="001543FC">
        <w:tc>
          <w:tcPr>
            <w:tcW w:w="288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资产</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资产：</w:t>
            </w:r>
          </w:p>
        </w:tc>
        <w:tc>
          <w:tcPr>
            <w:tcW w:w="1080" w:type="dxa"/>
            <w:vAlign w:val="center"/>
          </w:tcPr>
          <w:p w:rsidR="00711C4C" w:rsidRPr="00D749D4" w:rsidRDefault="00711C4C">
            <w:pPr>
              <w:widowControl/>
              <w:autoSpaceDE w:val="0"/>
              <w:autoSpaceDN w:val="0"/>
              <w:ind w:right="-15"/>
              <w:jc w:val="center"/>
              <w:textAlignment w:val="bottom"/>
              <w:rPr>
                <w:b/>
                <w:color w:val="000000"/>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rsidP="00384EBD">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银行存款</w:t>
            </w:r>
          </w:p>
        </w:tc>
        <w:tc>
          <w:tcPr>
            <w:tcW w:w="1080" w:type="dxa"/>
            <w:vAlign w:val="center"/>
          </w:tcPr>
          <w:p w:rsidR="00711C4C" w:rsidRPr="00D749D4" w:rsidRDefault="002457D3">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711C4C" w:rsidRPr="00D749D4" w:rsidRDefault="00711C4C">
            <w:pPr>
              <w:jc w:val="right"/>
              <w:rPr>
                <w:color w:val="000000"/>
                <w:szCs w:val="21"/>
              </w:rPr>
            </w:pPr>
            <w:r w:rsidRPr="00D749D4">
              <w:rPr>
                <w:color w:val="000000"/>
                <w:szCs w:val="21"/>
              </w:rPr>
              <w:t>38,918,153.62</w:t>
            </w:r>
          </w:p>
        </w:tc>
        <w:tc>
          <w:tcPr>
            <w:tcW w:w="2520" w:type="dxa"/>
            <w:vAlign w:val="center"/>
          </w:tcPr>
          <w:p w:rsidR="00711C4C" w:rsidRPr="00D749D4" w:rsidRDefault="00711C4C">
            <w:pPr>
              <w:jc w:val="right"/>
              <w:rPr>
                <w:color w:val="000000"/>
                <w:szCs w:val="21"/>
              </w:rPr>
            </w:pPr>
            <w:r w:rsidRPr="00D749D4">
              <w:rPr>
                <w:color w:val="000000"/>
                <w:szCs w:val="21"/>
              </w:rPr>
              <w:t>8,861,033.98</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lastRenderedPageBreak/>
              <w:t>结算备付金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12,646,389.29</w:t>
            </w:r>
          </w:p>
        </w:tc>
        <w:tc>
          <w:tcPr>
            <w:tcW w:w="2520" w:type="dxa"/>
            <w:vAlign w:val="center"/>
          </w:tcPr>
          <w:p w:rsidR="00711C4C" w:rsidRPr="00D749D4" w:rsidRDefault="00711C4C">
            <w:pPr>
              <w:jc w:val="right"/>
              <w:rPr>
                <w:color w:val="000000"/>
                <w:szCs w:val="21"/>
              </w:rPr>
            </w:pPr>
            <w:r w:rsidRPr="00D749D4">
              <w:rPr>
                <w:color w:val="000000"/>
                <w:szCs w:val="21"/>
              </w:rPr>
              <w:t>567,662.67</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存出保证金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280,348.20</w:t>
            </w:r>
          </w:p>
        </w:tc>
        <w:tc>
          <w:tcPr>
            <w:tcW w:w="2520" w:type="dxa"/>
            <w:vAlign w:val="center"/>
          </w:tcPr>
          <w:p w:rsidR="00711C4C" w:rsidRPr="00D749D4" w:rsidRDefault="00711C4C">
            <w:pPr>
              <w:jc w:val="right"/>
              <w:rPr>
                <w:color w:val="000000"/>
                <w:szCs w:val="21"/>
              </w:rPr>
            </w:pPr>
            <w:r w:rsidRPr="00D749D4">
              <w:rPr>
                <w:color w:val="000000"/>
                <w:szCs w:val="21"/>
              </w:rPr>
              <w:t>221,006.02</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交易性金融资产</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711C4C" w:rsidRPr="00D749D4" w:rsidRDefault="00711C4C">
            <w:pPr>
              <w:jc w:val="right"/>
              <w:rPr>
                <w:color w:val="000000"/>
                <w:szCs w:val="21"/>
              </w:rPr>
            </w:pPr>
            <w:r w:rsidRPr="00D749D4">
              <w:rPr>
                <w:color w:val="000000"/>
                <w:szCs w:val="21"/>
              </w:rPr>
              <w:t>588,488,753.30</w:t>
            </w:r>
          </w:p>
        </w:tc>
        <w:tc>
          <w:tcPr>
            <w:tcW w:w="2520" w:type="dxa"/>
            <w:vAlign w:val="center"/>
          </w:tcPr>
          <w:p w:rsidR="00711C4C" w:rsidRPr="00D749D4" w:rsidRDefault="00711C4C">
            <w:pPr>
              <w:jc w:val="right"/>
              <w:rPr>
                <w:color w:val="000000"/>
                <w:szCs w:val="21"/>
              </w:rPr>
            </w:pPr>
            <w:r w:rsidRPr="00D749D4">
              <w:rPr>
                <w:color w:val="000000"/>
                <w:szCs w:val="21"/>
              </w:rPr>
              <w:t>140,699,489.38</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其中：股票投资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588,488,753.30</w:t>
            </w:r>
          </w:p>
        </w:tc>
        <w:tc>
          <w:tcPr>
            <w:tcW w:w="2520" w:type="dxa"/>
            <w:vAlign w:val="center"/>
          </w:tcPr>
          <w:p w:rsidR="00711C4C" w:rsidRPr="00D749D4" w:rsidRDefault="00711C4C">
            <w:pPr>
              <w:jc w:val="right"/>
              <w:rPr>
                <w:color w:val="000000"/>
                <w:szCs w:val="21"/>
              </w:rPr>
            </w:pPr>
            <w:r w:rsidRPr="00D749D4">
              <w:rPr>
                <w:color w:val="000000"/>
                <w:szCs w:val="21"/>
              </w:rPr>
              <w:t>137,733,069.62</w:t>
            </w:r>
          </w:p>
        </w:tc>
      </w:tr>
      <w:tr w:rsidR="00711C4C" w:rsidRPr="00D749D4" w:rsidTr="001543FC">
        <w:tc>
          <w:tcPr>
            <w:tcW w:w="2880" w:type="dxa"/>
            <w:vAlign w:val="center"/>
          </w:tcPr>
          <w:p w:rsidR="00711C4C" w:rsidRPr="00D749D4" w:rsidRDefault="00711C4C" w:rsidP="00DB1E0B">
            <w:pPr>
              <w:pStyle w:val="af6"/>
              <w:ind w:firstLineChars="300" w:firstLine="630"/>
              <w:rPr>
                <w:rFonts w:ascii="Times New Roman" w:hAnsi="Times New Roman"/>
                <w:color w:val="000000"/>
                <w:sz w:val="21"/>
                <w:szCs w:val="21"/>
              </w:rPr>
            </w:pPr>
            <w:r w:rsidRPr="00D749D4">
              <w:rPr>
                <w:rFonts w:ascii="Times New Roman" w:hAnsi="Times New Roman" w:hint="eastAsia"/>
                <w:color w:val="000000"/>
                <w:sz w:val="21"/>
                <w:szCs w:val="21"/>
              </w:rPr>
              <w:t>基金投资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2,966,419.76</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390233" w:rsidRDefault="004C7673" w:rsidP="0021645F">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4C7673" w:rsidRPr="00390233" w:rsidRDefault="004C7673" w:rsidP="0021645F">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衍生金融资产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买入返售金融资产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应收证券清算款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10,804,373.69</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应收利息</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4C7673" w:rsidRPr="00D749D4" w:rsidRDefault="004C7673">
            <w:pPr>
              <w:jc w:val="right"/>
              <w:rPr>
                <w:color w:val="000000"/>
                <w:szCs w:val="21"/>
              </w:rPr>
            </w:pPr>
            <w:r w:rsidRPr="00D749D4">
              <w:rPr>
                <w:color w:val="000000"/>
                <w:szCs w:val="21"/>
              </w:rPr>
              <w:t>3,307.75</w:t>
            </w:r>
          </w:p>
        </w:tc>
        <w:tc>
          <w:tcPr>
            <w:tcW w:w="2520" w:type="dxa"/>
            <w:vAlign w:val="center"/>
          </w:tcPr>
          <w:p w:rsidR="004C7673" w:rsidRPr="00D749D4" w:rsidRDefault="004C7673">
            <w:pPr>
              <w:jc w:val="right"/>
              <w:rPr>
                <w:color w:val="000000"/>
                <w:szCs w:val="21"/>
              </w:rPr>
            </w:pPr>
            <w:r w:rsidRPr="00D749D4">
              <w:rPr>
                <w:color w:val="000000"/>
                <w:szCs w:val="21"/>
              </w:rPr>
              <w:t>799.60</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应收股利</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126,149.55</w:t>
            </w:r>
          </w:p>
        </w:tc>
        <w:tc>
          <w:tcPr>
            <w:tcW w:w="2520" w:type="dxa"/>
            <w:vAlign w:val="center"/>
          </w:tcPr>
          <w:p w:rsidR="004C7673" w:rsidRPr="00D749D4" w:rsidRDefault="004C7673">
            <w:pPr>
              <w:jc w:val="right"/>
              <w:rPr>
                <w:color w:val="000000"/>
                <w:szCs w:val="21"/>
              </w:rPr>
            </w:pPr>
            <w:r w:rsidRPr="00D749D4">
              <w:rPr>
                <w:color w:val="000000"/>
                <w:szCs w:val="21"/>
              </w:rPr>
              <w:t>42,675.09</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应收申购款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4,437,168.41</w:t>
            </w:r>
          </w:p>
        </w:tc>
        <w:tc>
          <w:tcPr>
            <w:tcW w:w="2520" w:type="dxa"/>
            <w:vAlign w:val="center"/>
          </w:tcPr>
          <w:p w:rsidR="004C7673" w:rsidRPr="00D749D4" w:rsidRDefault="004C7673">
            <w:pPr>
              <w:jc w:val="right"/>
              <w:rPr>
                <w:color w:val="000000"/>
                <w:szCs w:val="21"/>
              </w:rPr>
            </w:pPr>
            <w:r w:rsidRPr="00D749D4">
              <w:rPr>
                <w:color w:val="000000"/>
                <w:szCs w:val="21"/>
              </w:rPr>
              <w:t>4,368,570.77</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递延所得税资产</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其他资产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b/>
                <w:color w:val="000000"/>
                <w:szCs w:val="21"/>
              </w:rPr>
            </w:pPr>
            <w:r w:rsidRPr="00D749D4">
              <w:rPr>
                <w:rFonts w:hint="eastAsia"/>
                <w:b/>
                <w:color w:val="000000"/>
                <w:szCs w:val="21"/>
              </w:rPr>
              <w:t>资产总计</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655,704,643.81</w:t>
            </w:r>
          </w:p>
        </w:tc>
        <w:tc>
          <w:tcPr>
            <w:tcW w:w="2520" w:type="dxa"/>
            <w:vAlign w:val="center"/>
          </w:tcPr>
          <w:p w:rsidR="004C7673" w:rsidRPr="00D749D4" w:rsidRDefault="004C7673">
            <w:pPr>
              <w:jc w:val="right"/>
              <w:rPr>
                <w:color w:val="000000"/>
                <w:szCs w:val="21"/>
              </w:rPr>
            </w:pPr>
            <w:r w:rsidRPr="00D749D4">
              <w:rPr>
                <w:color w:val="000000"/>
                <w:szCs w:val="21"/>
              </w:rPr>
              <w:t>154,761,237.51</w:t>
            </w:r>
          </w:p>
        </w:tc>
      </w:tr>
      <w:tr w:rsidR="00711C4C" w:rsidRPr="00D749D4" w:rsidTr="001543FC">
        <w:tc>
          <w:tcPr>
            <w:tcW w:w="28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负债和所有者权益</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p>
        </w:tc>
        <w:tc>
          <w:tcPr>
            <w:tcW w:w="2520" w:type="dxa"/>
            <w:vAlign w:val="center"/>
          </w:tcPr>
          <w:p w:rsidR="00711C4C" w:rsidRPr="00D749D4" w:rsidRDefault="00711C4C">
            <w:pPr>
              <w:jc w:val="right"/>
              <w:rPr>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短期借款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衍生金融负债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卖出回购金融资产款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应付证券清算款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4,107,750.15</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应付赎回款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29,285,116.41</w:t>
            </w:r>
          </w:p>
        </w:tc>
        <w:tc>
          <w:tcPr>
            <w:tcW w:w="2520" w:type="dxa"/>
            <w:vAlign w:val="center"/>
          </w:tcPr>
          <w:p w:rsidR="00711C4C" w:rsidRPr="00D749D4" w:rsidRDefault="00711C4C">
            <w:pPr>
              <w:jc w:val="right"/>
              <w:rPr>
                <w:color w:val="000000"/>
                <w:szCs w:val="21"/>
              </w:rPr>
            </w:pPr>
            <w:r w:rsidRPr="00D749D4">
              <w:rPr>
                <w:color w:val="000000"/>
                <w:szCs w:val="21"/>
              </w:rPr>
              <w:t>1,248,949.84</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应付管理人报酬</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417,065.27</w:t>
            </w:r>
          </w:p>
        </w:tc>
        <w:tc>
          <w:tcPr>
            <w:tcW w:w="2520" w:type="dxa"/>
            <w:vAlign w:val="center"/>
          </w:tcPr>
          <w:p w:rsidR="00711C4C" w:rsidRPr="00D749D4" w:rsidRDefault="00711C4C">
            <w:pPr>
              <w:jc w:val="right"/>
              <w:rPr>
                <w:color w:val="000000"/>
                <w:szCs w:val="21"/>
              </w:rPr>
            </w:pPr>
            <w:r w:rsidRPr="00D749D4">
              <w:rPr>
                <w:color w:val="000000"/>
                <w:szCs w:val="21"/>
              </w:rPr>
              <w:t>89,314.36</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应付托管费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130,332.88</w:t>
            </w:r>
          </w:p>
        </w:tc>
        <w:tc>
          <w:tcPr>
            <w:tcW w:w="2520" w:type="dxa"/>
            <w:vAlign w:val="center"/>
          </w:tcPr>
          <w:p w:rsidR="00711C4C" w:rsidRPr="00D749D4" w:rsidRDefault="00711C4C">
            <w:pPr>
              <w:jc w:val="right"/>
              <w:rPr>
                <w:color w:val="000000"/>
                <w:szCs w:val="21"/>
              </w:rPr>
            </w:pPr>
            <w:r w:rsidRPr="00D749D4">
              <w:rPr>
                <w:color w:val="000000"/>
                <w:szCs w:val="21"/>
              </w:rPr>
              <w:t>27,910.73</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应付销售服务费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应付交易费用</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应交税费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11,221.41</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应付利息</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应付利润</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递延所得税负债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其他负债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11C4C" w:rsidRPr="00D749D4" w:rsidRDefault="00711C4C">
            <w:pPr>
              <w:jc w:val="right"/>
              <w:rPr>
                <w:color w:val="000000"/>
                <w:szCs w:val="21"/>
              </w:rPr>
            </w:pPr>
            <w:r w:rsidRPr="00D749D4">
              <w:rPr>
                <w:color w:val="000000"/>
                <w:szCs w:val="21"/>
              </w:rPr>
              <w:t>316,819.32</w:t>
            </w:r>
          </w:p>
        </w:tc>
        <w:tc>
          <w:tcPr>
            <w:tcW w:w="2520" w:type="dxa"/>
            <w:vAlign w:val="center"/>
          </w:tcPr>
          <w:p w:rsidR="00711C4C" w:rsidRPr="00D749D4" w:rsidRDefault="00711C4C">
            <w:pPr>
              <w:jc w:val="right"/>
              <w:rPr>
                <w:color w:val="000000"/>
                <w:szCs w:val="21"/>
              </w:rPr>
            </w:pPr>
            <w:r w:rsidRPr="00D749D4">
              <w:rPr>
                <w:color w:val="000000"/>
                <w:szCs w:val="21"/>
              </w:rPr>
              <w:t>234,282.88</w:t>
            </w:r>
          </w:p>
        </w:tc>
      </w:tr>
      <w:tr w:rsidR="00711C4C" w:rsidRPr="00D749D4" w:rsidTr="001543FC">
        <w:tc>
          <w:tcPr>
            <w:tcW w:w="2880" w:type="dxa"/>
            <w:vAlign w:val="center"/>
          </w:tcPr>
          <w:p w:rsidR="00711C4C" w:rsidRPr="00D749D4" w:rsidRDefault="00711C4C">
            <w:pPr>
              <w:pStyle w:val="af6"/>
              <w:rPr>
                <w:rFonts w:ascii="Times New Roman" w:hAnsi="Times New Roman"/>
                <w:color w:val="000000"/>
                <w:sz w:val="21"/>
                <w:szCs w:val="21"/>
              </w:rPr>
            </w:pPr>
            <w:r w:rsidRPr="00D749D4">
              <w:rPr>
                <w:rFonts w:ascii="Times New Roman" w:hAnsi="Times New Roman" w:hint="eastAsia"/>
                <w:color w:val="000000"/>
                <w:sz w:val="21"/>
                <w:szCs w:val="21"/>
              </w:rPr>
              <w:t>负债合计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30,149,333.88</w:t>
            </w:r>
          </w:p>
        </w:tc>
        <w:tc>
          <w:tcPr>
            <w:tcW w:w="2520" w:type="dxa"/>
            <w:vAlign w:val="center"/>
          </w:tcPr>
          <w:p w:rsidR="00711C4C" w:rsidRPr="00D749D4" w:rsidRDefault="00711C4C">
            <w:pPr>
              <w:jc w:val="right"/>
              <w:rPr>
                <w:color w:val="000000"/>
                <w:szCs w:val="21"/>
              </w:rPr>
            </w:pPr>
            <w:r w:rsidRPr="00D749D4">
              <w:rPr>
                <w:color w:val="000000"/>
                <w:szCs w:val="21"/>
              </w:rPr>
              <w:t>5,719,429.37</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所有者权益：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实收基金</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11C4C" w:rsidRPr="00D749D4" w:rsidRDefault="00711C4C">
            <w:pPr>
              <w:jc w:val="right"/>
              <w:rPr>
                <w:color w:val="000000"/>
                <w:szCs w:val="21"/>
              </w:rPr>
            </w:pPr>
            <w:r w:rsidRPr="00D749D4">
              <w:rPr>
                <w:color w:val="000000"/>
                <w:szCs w:val="21"/>
              </w:rPr>
              <w:t>365,711,876.96</w:t>
            </w:r>
          </w:p>
        </w:tc>
        <w:tc>
          <w:tcPr>
            <w:tcW w:w="2520" w:type="dxa"/>
            <w:vAlign w:val="center"/>
          </w:tcPr>
          <w:p w:rsidR="00711C4C" w:rsidRPr="00D749D4" w:rsidRDefault="00711C4C">
            <w:pPr>
              <w:jc w:val="right"/>
              <w:rPr>
                <w:color w:val="000000"/>
                <w:szCs w:val="21"/>
              </w:rPr>
            </w:pPr>
            <w:r w:rsidRPr="00D749D4">
              <w:rPr>
                <w:color w:val="000000"/>
                <w:szCs w:val="21"/>
              </w:rPr>
              <w:t>100,350,776.12</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未分配利润</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11C4C" w:rsidRPr="00D749D4" w:rsidRDefault="00711C4C">
            <w:pPr>
              <w:jc w:val="right"/>
              <w:rPr>
                <w:color w:val="000000"/>
                <w:szCs w:val="21"/>
              </w:rPr>
            </w:pPr>
            <w:r w:rsidRPr="00D749D4">
              <w:rPr>
                <w:color w:val="000000"/>
                <w:szCs w:val="21"/>
              </w:rPr>
              <w:t>259,843,432.97</w:t>
            </w:r>
          </w:p>
        </w:tc>
        <w:tc>
          <w:tcPr>
            <w:tcW w:w="2520" w:type="dxa"/>
            <w:vAlign w:val="center"/>
          </w:tcPr>
          <w:p w:rsidR="00711C4C" w:rsidRPr="00D749D4" w:rsidRDefault="00711C4C">
            <w:pPr>
              <w:jc w:val="right"/>
              <w:rPr>
                <w:color w:val="000000"/>
                <w:szCs w:val="21"/>
              </w:rPr>
            </w:pPr>
            <w:r w:rsidRPr="00D749D4">
              <w:rPr>
                <w:color w:val="000000"/>
                <w:szCs w:val="21"/>
              </w:rPr>
              <w:t>48,691,032.02</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所有者权益合计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625,555,309.93</w:t>
            </w:r>
          </w:p>
        </w:tc>
        <w:tc>
          <w:tcPr>
            <w:tcW w:w="2520" w:type="dxa"/>
            <w:vAlign w:val="center"/>
          </w:tcPr>
          <w:p w:rsidR="00711C4C" w:rsidRPr="00D749D4" w:rsidRDefault="00711C4C">
            <w:pPr>
              <w:jc w:val="right"/>
              <w:rPr>
                <w:color w:val="000000"/>
                <w:szCs w:val="21"/>
              </w:rPr>
            </w:pPr>
            <w:r w:rsidRPr="00D749D4">
              <w:rPr>
                <w:color w:val="000000"/>
                <w:szCs w:val="21"/>
              </w:rPr>
              <w:t>149,041,808.14</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负债和所有者权益总计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655,704,643.81</w:t>
            </w:r>
          </w:p>
        </w:tc>
        <w:tc>
          <w:tcPr>
            <w:tcW w:w="2520" w:type="dxa"/>
            <w:vAlign w:val="center"/>
          </w:tcPr>
          <w:p w:rsidR="00711C4C" w:rsidRPr="00D749D4" w:rsidRDefault="00711C4C">
            <w:pPr>
              <w:jc w:val="right"/>
              <w:rPr>
                <w:color w:val="000000"/>
                <w:szCs w:val="21"/>
              </w:rPr>
            </w:pPr>
            <w:r w:rsidRPr="00D749D4">
              <w:rPr>
                <w:color w:val="000000"/>
                <w:szCs w:val="21"/>
              </w:rPr>
              <w:t>154,761,237.51</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注：报告截止日</w:t>
      </w:r>
      <w:r w:rsidRPr="00AB0FF3">
        <w:rPr>
          <w:kern w:val="0"/>
          <w:szCs w:val="21"/>
        </w:rPr>
        <w:t>2020</w:t>
      </w:r>
      <w:r w:rsidRPr="00AB0FF3">
        <w:rPr>
          <w:kern w:val="0"/>
          <w:szCs w:val="21"/>
        </w:rPr>
        <w:t>年</w:t>
      </w:r>
      <w:r w:rsidRPr="00AB0FF3">
        <w:rPr>
          <w:kern w:val="0"/>
          <w:szCs w:val="21"/>
        </w:rPr>
        <w:t>6</w:t>
      </w:r>
      <w:r w:rsidRPr="00AB0FF3">
        <w:rPr>
          <w:kern w:val="0"/>
          <w:szCs w:val="21"/>
        </w:rPr>
        <w:t>月</w:t>
      </w:r>
      <w:r w:rsidRPr="00AB0FF3">
        <w:rPr>
          <w:kern w:val="0"/>
          <w:szCs w:val="21"/>
        </w:rPr>
        <w:t>30</w:t>
      </w:r>
      <w:r w:rsidRPr="00AB0FF3">
        <w:rPr>
          <w:kern w:val="0"/>
          <w:szCs w:val="21"/>
        </w:rPr>
        <w:t>日，基金份额净值</w:t>
      </w:r>
      <w:r w:rsidRPr="00AB0FF3">
        <w:rPr>
          <w:kern w:val="0"/>
          <w:szCs w:val="21"/>
        </w:rPr>
        <w:t>1.7105</w:t>
      </w:r>
      <w:r w:rsidRPr="00AB0FF3">
        <w:rPr>
          <w:kern w:val="0"/>
          <w:szCs w:val="21"/>
        </w:rPr>
        <w:t>元，基金份额总额</w:t>
      </w:r>
      <w:r w:rsidRPr="00AB0FF3">
        <w:rPr>
          <w:kern w:val="0"/>
          <w:szCs w:val="21"/>
        </w:rPr>
        <w:t>365,711,876.96</w:t>
      </w:r>
      <w:r w:rsidRPr="00AB0FF3">
        <w:rPr>
          <w:kern w:val="0"/>
          <w:szCs w:val="21"/>
        </w:rPr>
        <w:t>份。</w:t>
      </w:r>
    </w:p>
    <w:p w:rsidR="00711C4C" w:rsidRPr="00D749D4" w:rsidRDefault="00711C4C" w:rsidP="003427BF">
      <w:pPr>
        <w:pStyle w:val="20"/>
        <w:spacing w:beforeLines="100" w:before="312" w:afterLines="100" w:after="312"/>
        <w:ind w:firstLineChars="200" w:firstLine="422"/>
        <w:rPr>
          <w:rFonts w:ascii="Times New Roman" w:hAnsi="Times New Roman"/>
          <w:kern w:val="0"/>
          <w:sz w:val="21"/>
          <w:szCs w:val="21"/>
        </w:rPr>
      </w:pPr>
      <w:bookmarkStart w:id="172" w:name="_Toc225498269"/>
      <w:bookmarkStart w:id="173" w:name="_Toc352255992"/>
      <w:bookmarkStart w:id="174" w:name="_Toc352256060"/>
      <w:bookmarkStart w:id="175" w:name="_Toc352331238"/>
      <w:bookmarkStart w:id="176" w:name="_Toc374611663"/>
      <w:bookmarkStart w:id="177" w:name="_Toc48664233"/>
      <w:r w:rsidRPr="00D749D4">
        <w:rPr>
          <w:rFonts w:ascii="Times New Roman" w:hAnsi="Times New Roman"/>
          <w:kern w:val="0"/>
          <w:sz w:val="21"/>
          <w:szCs w:val="21"/>
        </w:rPr>
        <w:lastRenderedPageBreak/>
        <w:t>6.2</w:t>
      </w:r>
      <w:r w:rsidR="00BE2F8C" w:rsidRPr="006B4E2C">
        <w:rPr>
          <w:rFonts w:ascii="宋体" w:hAnsi="宋体"/>
          <w:kern w:val="0"/>
          <w:sz w:val="21"/>
          <w:szCs w:val="21"/>
        </w:rPr>
        <w:tab/>
      </w:r>
      <w:r w:rsidRPr="00D749D4">
        <w:rPr>
          <w:rFonts w:ascii="Times New Roman" w:hAnsi="Times New Roman" w:hint="eastAsia"/>
          <w:kern w:val="0"/>
          <w:sz w:val="21"/>
          <w:szCs w:val="21"/>
        </w:rPr>
        <w:t>利润表</w:t>
      </w:r>
      <w:bookmarkEnd w:id="172"/>
      <w:bookmarkEnd w:id="173"/>
      <w:bookmarkEnd w:id="174"/>
      <w:bookmarkEnd w:id="175"/>
      <w:bookmarkEnd w:id="176"/>
      <w:bookmarkEnd w:id="177"/>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易方达纳斯达克</w:t>
      </w:r>
      <w:r w:rsidRPr="00D749D4">
        <w:rPr>
          <w:color w:val="000000"/>
          <w:szCs w:val="21"/>
        </w:rPr>
        <w:t>100</w:t>
      </w:r>
      <w:r w:rsidRPr="00D749D4">
        <w:rPr>
          <w:color w:val="000000"/>
          <w:szCs w:val="21"/>
        </w:rPr>
        <w:t>指数证券投资基金（</w:t>
      </w:r>
      <w:r w:rsidRPr="00D749D4">
        <w:rPr>
          <w:color w:val="000000"/>
          <w:szCs w:val="21"/>
        </w:rPr>
        <w:t>LOF</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711C4C" w:rsidRPr="00D749D4" w:rsidTr="00A80FAE">
        <w:tc>
          <w:tcPr>
            <w:tcW w:w="342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项目</w:t>
            </w:r>
          </w:p>
        </w:tc>
        <w:tc>
          <w:tcPr>
            <w:tcW w:w="108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上年度可比期间</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A80FAE">
        <w:tc>
          <w:tcPr>
            <w:tcW w:w="3420" w:type="dxa"/>
            <w:vAlign w:val="center"/>
          </w:tcPr>
          <w:p w:rsidR="00711C4C" w:rsidRPr="00D749D4" w:rsidRDefault="00711C4C">
            <w:pPr>
              <w:rPr>
                <w:b/>
                <w:color w:val="000000"/>
                <w:szCs w:val="21"/>
              </w:rPr>
            </w:pPr>
            <w:r w:rsidRPr="00D749D4">
              <w:rPr>
                <w:rFonts w:hint="eastAsia"/>
                <w:b/>
                <w:color w:val="000000"/>
                <w:szCs w:val="21"/>
              </w:rPr>
              <w:t>一、收入</w:t>
            </w:r>
          </w:p>
        </w:tc>
        <w:tc>
          <w:tcPr>
            <w:tcW w:w="1080" w:type="dxa"/>
            <w:vAlign w:val="center"/>
          </w:tcPr>
          <w:p w:rsidR="00711C4C" w:rsidRPr="00D749D4" w:rsidRDefault="00711C4C">
            <w:pPr>
              <w:pStyle w:val="af6"/>
              <w:jc w:val="center"/>
              <w:rPr>
                <w:rFonts w:ascii="Times New Roman" w:hAnsi="Times New Roman"/>
                <w:b/>
                <w:color w:val="000000"/>
                <w:sz w:val="21"/>
                <w:szCs w:val="21"/>
              </w:rPr>
            </w:pPr>
          </w:p>
        </w:tc>
        <w:tc>
          <w:tcPr>
            <w:tcW w:w="2250" w:type="dxa"/>
            <w:vAlign w:val="center"/>
          </w:tcPr>
          <w:p w:rsidR="00711C4C" w:rsidRPr="00D749D4" w:rsidRDefault="00711C4C">
            <w:pPr>
              <w:jc w:val="right"/>
              <w:rPr>
                <w:b/>
                <w:color w:val="000000"/>
                <w:szCs w:val="21"/>
              </w:rPr>
            </w:pPr>
            <w:r w:rsidRPr="00D749D4">
              <w:rPr>
                <w:b/>
                <w:color w:val="000000"/>
                <w:szCs w:val="21"/>
              </w:rPr>
              <w:t>63,763,160.50</w:t>
            </w:r>
          </w:p>
        </w:tc>
        <w:tc>
          <w:tcPr>
            <w:tcW w:w="2250" w:type="dxa"/>
            <w:vAlign w:val="center"/>
          </w:tcPr>
          <w:p w:rsidR="00711C4C" w:rsidRPr="00D749D4" w:rsidRDefault="00711C4C">
            <w:pPr>
              <w:jc w:val="right"/>
              <w:rPr>
                <w:b/>
                <w:color w:val="000000"/>
                <w:szCs w:val="21"/>
              </w:rPr>
            </w:pPr>
            <w:r w:rsidRPr="00D749D4">
              <w:rPr>
                <w:b/>
                <w:color w:val="000000"/>
                <w:szCs w:val="21"/>
              </w:rPr>
              <w:t>16,868,758.44</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1.</w:t>
            </w:r>
            <w:r w:rsidRPr="00D749D4">
              <w:rPr>
                <w:rFonts w:hint="eastAsia"/>
                <w:color w:val="000000"/>
                <w:szCs w:val="21"/>
              </w:rPr>
              <w:t>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108,714.75</w:t>
            </w:r>
          </w:p>
        </w:tc>
        <w:tc>
          <w:tcPr>
            <w:tcW w:w="2250" w:type="dxa"/>
            <w:vAlign w:val="center"/>
          </w:tcPr>
          <w:p w:rsidR="00711C4C" w:rsidRPr="00D749D4" w:rsidRDefault="00711C4C">
            <w:pPr>
              <w:jc w:val="right"/>
              <w:rPr>
                <w:color w:val="000000"/>
                <w:szCs w:val="21"/>
              </w:rPr>
            </w:pPr>
            <w:r w:rsidRPr="00D749D4">
              <w:rPr>
                <w:color w:val="000000"/>
                <w:szCs w:val="21"/>
              </w:rPr>
              <w:t>17,978.84</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其中：存款利息收入</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11C4C" w:rsidRPr="00D749D4" w:rsidRDefault="00711C4C">
            <w:pPr>
              <w:jc w:val="right"/>
              <w:rPr>
                <w:color w:val="000000"/>
                <w:szCs w:val="21"/>
              </w:rPr>
            </w:pPr>
            <w:r w:rsidRPr="00D749D4">
              <w:rPr>
                <w:color w:val="000000"/>
                <w:szCs w:val="21"/>
              </w:rPr>
              <w:t>108,714.75</w:t>
            </w:r>
          </w:p>
        </w:tc>
        <w:tc>
          <w:tcPr>
            <w:tcW w:w="2250" w:type="dxa"/>
            <w:vAlign w:val="center"/>
          </w:tcPr>
          <w:p w:rsidR="00711C4C" w:rsidRPr="00D749D4" w:rsidRDefault="00711C4C">
            <w:pPr>
              <w:jc w:val="right"/>
              <w:rPr>
                <w:color w:val="000000"/>
                <w:szCs w:val="21"/>
              </w:rPr>
            </w:pPr>
            <w:r w:rsidRPr="00D749D4">
              <w:rPr>
                <w:color w:val="000000"/>
                <w:szCs w:val="21"/>
              </w:rPr>
              <w:t>17,978.84</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债券利息收入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资产支持证券利息收入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买入返售金融资产收入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其他利息收入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2.</w:t>
            </w:r>
            <w:r w:rsidRPr="00D749D4">
              <w:rPr>
                <w:rFonts w:hint="eastAsia"/>
                <w:color w:val="000000"/>
                <w:szCs w:val="21"/>
              </w:rPr>
              <w:t>投资收益（损失以</w:t>
            </w:r>
            <w:r w:rsidRPr="00D749D4">
              <w:rPr>
                <w:color w:val="000000"/>
                <w:szCs w:val="21"/>
              </w:rPr>
              <w:t>“-”</w:t>
            </w:r>
            <w:r w:rsidRPr="00D749D4">
              <w:rPr>
                <w:rFonts w:hint="eastAsia"/>
                <w:color w:val="000000"/>
                <w:szCs w:val="21"/>
              </w:rPr>
              <w:t>填列）</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-1,807,904.01</w:t>
            </w:r>
          </w:p>
        </w:tc>
        <w:tc>
          <w:tcPr>
            <w:tcW w:w="2250" w:type="dxa"/>
            <w:vAlign w:val="center"/>
          </w:tcPr>
          <w:p w:rsidR="00711C4C" w:rsidRPr="00D749D4" w:rsidRDefault="00711C4C">
            <w:pPr>
              <w:jc w:val="right"/>
              <w:rPr>
                <w:color w:val="000000"/>
                <w:szCs w:val="21"/>
              </w:rPr>
            </w:pPr>
            <w:r w:rsidRPr="00D749D4">
              <w:rPr>
                <w:color w:val="000000"/>
                <w:szCs w:val="21"/>
              </w:rPr>
              <w:t>1,603,896.24</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其中：股票投资收益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11C4C" w:rsidRPr="00D749D4" w:rsidRDefault="00711C4C">
            <w:pPr>
              <w:jc w:val="right"/>
              <w:rPr>
                <w:color w:val="000000"/>
                <w:szCs w:val="21"/>
              </w:rPr>
            </w:pPr>
            <w:r w:rsidRPr="00D749D4">
              <w:rPr>
                <w:color w:val="000000"/>
                <w:szCs w:val="21"/>
              </w:rPr>
              <w:t>4,215,174.91</w:t>
            </w:r>
          </w:p>
        </w:tc>
        <w:tc>
          <w:tcPr>
            <w:tcW w:w="2250" w:type="dxa"/>
            <w:vAlign w:val="center"/>
          </w:tcPr>
          <w:p w:rsidR="00711C4C" w:rsidRPr="00D749D4" w:rsidRDefault="00711C4C">
            <w:pPr>
              <w:jc w:val="right"/>
              <w:rPr>
                <w:color w:val="000000"/>
                <w:szCs w:val="21"/>
              </w:rPr>
            </w:pPr>
            <w:r w:rsidRPr="00D749D4">
              <w:rPr>
                <w:color w:val="000000"/>
                <w:szCs w:val="21"/>
              </w:rPr>
              <w:t>1,165,956.66</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基金投资收益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11C4C" w:rsidRPr="00D749D4" w:rsidRDefault="00711C4C">
            <w:pPr>
              <w:jc w:val="right"/>
              <w:rPr>
                <w:color w:val="000000"/>
                <w:szCs w:val="21"/>
              </w:rPr>
            </w:pPr>
            <w:r w:rsidRPr="00D749D4">
              <w:rPr>
                <w:color w:val="000000"/>
                <w:szCs w:val="21"/>
              </w:rPr>
              <w:t>-1,001,498.86</w:t>
            </w:r>
          </w:p>
        </w:tc>
        <w:tc>
          <w:tcPr>
            <w:tcW w:w="2250" w:type="dxa"/>
            <w:vAlign w:val="center"/>
          </w:tcPr>
          <w:p w:rsidR="00711C4C" w:rsidRPr="00D749D4" w:rsidRDefault="00711C4C">
            <w:pPr>
              <w:jc w:val="right"/>
              <w:rPr>
                <w:color w:val="000000"/>
                <w:szCs w:val="21"/>
              </w:rPr>
            </w:pPr>
            <w:r w:rsidRPr="00D749D4">
              <w:rPr>
                <w:color w:val="000000"/>
                <w:szCs w:val="21"/>
              </w:rPr>
              <w:t>-6,639.09</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资产支持证券投资收益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224952">
              <w:rPr>
                <w:rFonts w:hint="eastAsia"/>
              </w:rPr>
              <w:t>贵金属投资收益</w:t>
            </w:r>
          </w:p>
        </w:tc>
        <w:tc>
          <w:tcPr>
            <w:tcW w:w="1080" w:type="dxa"/>
            <w:vAlign w:val="center"/>
          </w:tcPr>
          <w:p w:rsidR="004C7673" w:rsidRDefault="004C7673">
            <w:pPr>
              <w:pStyle w:val="af6"/>
              <w:jc w:val="center"/>
              <w:rPr>
                <w:rFonts w:ascii="Times New Roman" w:hAnsi="Times New Roman"/>
                <w:color w:val="000000"/>
                <w:sz w:val="21"/>
                <w:szCs w:val="21"/>
              </w:rPr>
            </w:pP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衍生工具收益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4C7673" w:rsidRPr="00D749D4" w:rsidRDefault="004C7673">
            <w:pPr>
              <w:jc w:val="right"/>
              <w:rPr>
                <w:color w:val="000000"/>
                <w:szCs w:val="21"/>
              </w:rPr>
            </w:pPr>
            <w:r w:rsidRPr="00D749D4">
              <w:rPr>
                <w:color w:val="000000"/>
                <w:szCs w:val="21"/>
              </w:rPr>
              <w:t>-7,153,159.91</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股利收益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4C7673" w:rsidRPr="00D749D4" w:rsidRDefault="004C7673">
            <w:pPr>
              <w:jc w:val="right"/>
              <w:rPr>
                <w:color w:val="000000"/>
                <w:szCs w:val="21"/>
              </w:rPr>
            </w:pPr>
            <w:r w:rsidRPr="00D749D4">
              <w:rPr>
                <w:color w:val="000000"/>
                <w:szCs w:val="21"/>
              </w:rPr>
              <w:t>2,131,579.85</w:t>
            </w:r>
          </w:p>
        </w:tc>
        <w:tc>
          <w:tcPr>
            <w:tcW w:w="2250" w:type="dxa"/>
            <w:vAlign w:val="center"/>
          </w:tcPr>
          <w:p w:rsidR="004C7673" w:rsidRPr="00D749D4" w:rsidRDefault="004C7673">
            <w:pPr>
              <w:jc w:val="right"/>
              <w:rPr>
                <w:color w:val="000000"/>
                <w:szCs w:val="21"/>
              </w:rPr>
            </w:pPr>
            <w:r w:rsidRPr="00D749D4">
              <w:rPr>
                <w:color w:val="000000"/>
                <w:szCs w:val="21"/>
              </w:rPr>
              <w:t>444,578.67</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公允价值变动收益（损失以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4C7673" w:rsidRPr="00D749D4" w:rsidRDefault="004C7673">
            <w:pPr>
              <w:jc w:val="right"/>
              <w:rPr>
                <w:color w:val="000000"/>
                <w:szCs w:val="21"/>
              </w:rPr>
            </w:pPr>
            <w:r w:rsidRPr="00D749D4">
              <w:rPr>
                <w:color w:val="000000"/>
                <w:szCs w:val="21"/>
              </w:rPr>
              <w:t>65,504,606.32</w:t>
            </w:r>
          </w:p>
        </w:tc>
        <w:tc>
          <w:tcPr>
            <w:tcW w:w="2250" w:type="dxa"/>
            <w:vAlign w:val="center"/>
          </w:tcPr>
          <w:p w:rsidR="004C7673" w:rsidRPr="00D749D4" w:rsidRDefault="004C7673">
            <w:pPr>
              <w:jc w:val="right"/>
              <w:rPr>
                <w:color w:val="000000"/>
                <w:szCs w:val="21"/>
              </w:rPr>
            </w:pPr>
            <w:r w:rsidRPr="00D749D4">
              <w:rPr>
                <w:color w:val="000000"/>
                <w:szCs w:val="21"/>
              </w:rPr>
              <w:t>15,255,746.05</w:t>
            </w:r>
          </w:p>
        </w:tc>
      </w:tr>
      <w:tr w:rsidR="004C7673" w:rsidRPr="00D749D4" w:rsidTr="00A80FAE">
        <w:tc>
          <w:tcPr>
            <w:tcW w:w="3420" w:type="dxa"/>
            <w:vAlign w:val="center"/>
          </w:tcPr>
          <w:p w:rsidR="004C7673" w:rsidRPr="00D749D4" w:rsidRDefault="004C7673">
            <w:pPr>
              <w:pStyle w:val="af6"/>
              <w:rPr>
                <w:rFonts w:ascii="Times New Roman" w:hAnsi="Times New Roman"/>
                <w:color w:val="000000"/>
                <w:sz w:val="21"/>
                <w:szCs w:val="21"/>
              </w:rPr>
            </w:pPr>
            <w:r w:rsidRPr="00D749D4">
              <w:rPr>
                <w:rFonts w:ascii="Times New Roman" w:hAnsi="Times New Roman"/>
                <w:color w:val="000000"/>
                <w:sz w:val="21"/>
                <w:szCs w:val="21"/>
              </w:rPr>
              <w:t>4.</w:t>
            </w:r>
            <w:r w:rsidRPr="00D749D4">
              <w:rPr>
                <w:rFonts w:ascii="Times New Roman" w:hAnsi="Times New Roman" w:hint="eastAsia"/>
                <w:color w:val="000000"/>
                <w:sz w:val="21"/>
                <w:szCs w:val="21"/>
              </w:rPr>
              <w:t>汇兑收益（损失以</w:t>
            </w:r>
            <w:r w:rsidRPr="00D749D4">
              <w:rPr>
                <w:rFonts w:ascii="Times New Roman" w:hAnsi="Times New Roman"/>
                <w:color w:val="000000"/>
                <w:sz w:val="21"/>
                <w:szCs w:val="21"/>
              </w:rPr>
              <w:t>“</w:t>
            </w:r>
            <w:r w:rsidRPr="00D749D4">
              <w:rPr>
                <w:rFonts w:ascii="Times New Roman" w:hAnsi="Times New Roman" w:hint="eastAsia"/>
                <w:color w:val="000000"/>
                <w:sz w:val="21"/>
                <w:szCs w:val="21"/>
              </w:rPr>
              <w:t>－</w:t>
            </w:r>
            <w:r w:rsidRPr="00D749D4">
              <w:rPr>
                <w:rFonts w:ascii="Times New Roman" w:hAnsi="Times New Roman"/>
                <w:color w:val="000000"/>
                <w:sz w:val="21"/>
                <w:szCs w:val="21"/>
              </w:rPr>
              <w:t>”</w:t>
            </w:r>
            <w:r w:rsidRPr="00D749D4">
              <w:rPr>
                <w:rFonts w:ascii="Times New Roman" w:hAnsi="Times New Roman" w:hint="eastAsia"/>
                <w:color w:val="000000"/>
                <w:sz w:val="21"/>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-797,283.14</w:t>
            </w:r>
          </w:p>
        </w:tc>
        <w:tc>
          <w:tcPr>
            <w:tcW w:w="2250" w:type="dxa"/>
            <w:vAlign w:val="center"/>
          </w:tcPr>
          <w:p w:rsidR="004C7673" w:rsidRPr="00D749D4" w:rsidRDefault="004C7673">
            <w:pPr>
              <w:jc w:val="right"/>
              <w:rPr>
                <w:color w:val="000000"/>
                <w:szCs w:val="21"/>
              </w:rPr>
            </w:pPr>
            <w:r w:rsidRPr="00D749D4">
              <w:rPr>
                <w:color w:val="000000"/>
                <w:szCs w:val="21"/>
              </w:rPr>
              <w:t>-75,363.49</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其他收入（损失以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4C7673" w:rsidRPr="00D749D4" w:rsidRDefault="004C7673">
            <w:pPr>
              <w:jc w:val="right"/>
              <w:rPr>
                <w:color w:val="000000"/>
                <w:szCs w:val="21"/>
              </w:rPr>
            </w:pPr>
            <w:r w:rsidRPr="00D749D4">
              <w:rPr>
                <w:color w:val="000000"/>
                <w:szCs w:val="21"/>
              </w:rPr>
              <w:t>755,026.58</w:t>
            </w:r>
          </w:p>
        </w:tc>
        <w:tc>
          <w:tcPr>
            <w:tcW w:w="2250" w:type="dxa"/>
            <w:vAlign w:val="center"/>
          </w:tcPr>
          <w:p w:rsidR="004C7673" w:rsidRPr="00D749D4" w:rsidRDefault="004C7673">
            <w:pPr>
              <w:jc w:val="right"/>
              <w:rPr>
                <w:color w:val="000000"/>
                <w:szCs w:val="21"/>
              </w:rPr>
            </w:pPr>
            <w:r w:rsidRPr="00D749D4">
              <w:rPr>
                <w:color w:val="000000"/>
                <w:szCs w:val="21"/>
              </w:rPr>
              <w:t>66,500.80</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减：二、费用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2,815,697.18</w:t>
            </w:r>
          </w:p>
        </w:tc>
        <w:tc>
          <w:tcPr>
            <w:tcW w:w="2250" w:type="dxa"/>
            <w:vAlign w:val="center"/>
          </w:tcPr>
          <w:p w:rsidR="004C7673" w:rsidRPr="00D749D4" w:rsidRDefault="004C7673">
            <w:pPr>
              <w:jc w:val="right"/>
              <w:rPr>
                <w:b/>
                <w:color w:val="000000"/>
                <w:szCs w:val="21"/>
              </w:rPr>
            </w:pPr>
            <w:r w:rsidRPr="00D749D4">
              <w:rPr>
                <w:b/>
                <w:color w:val="000000"/>
                <w:szCs w:val="21"/>
              </w:rPr>
              <w:t>754,469.14</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1</w:t>
            </w:r>
            <w:r w:rsidRPr="00D749D4">
              <w:rPr>
                <w:rFonts w:hint="eastAsia"/>
                <w:color w:val="000000"/>
                <w:szCs w:val="21"/>
              </w:rPr>
              <w:t>．管理人报酬</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2,002,418.68</w:t>
            </w:r>
          </w:p>
        </w:tc>
        <w:tc>
          <w:tcPr>
            <w:tcW w:w="2250" w:type="dxa"/>
            <w:vAlign w:val="center"/>
          </w:tcPr>
          <w:p w:rsidR="004C7673" w:rsidRPr="00D749D4" w:rsidRDefault="004C7673">
            <w:pPr>
              <w:jc w:val="right"/>
              <w:rPr>
                <w:color w:val="000000"/>
                <w:szCs w:val="21"/>
              </w:rPr>
            </w:pPr>
            <w:r w:rsidRPr="00D749D4">
              <w:rPr>
                <w:color w:val="000000"/>
                <w:szCs w:val="21"/>
              </w:rPr>
              <w:t>376,784.56</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2</w:t>
            </w:r>
            <w:r w:rsidRPr="00D749D4">
              <w:rPr>
                <w:rFonts w:hint="eastAsia"/>
                <w:color w:val="000000"/>
                <w:szCs w:val="21"/>
              </w:rPr>
              <w:t>．托管费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625,755.82</w:t>
            </w:r>
          </w:p>
        </w:tc>
        <w:tc>
          <w:tcPr>
            <w:tcW w:w="2250" w:type="dxa"/>
            <w:vAlign w:val="center"/>
          </w:tcPr>
          <w:p w:rsidR="004C7673" w:rsidRPr="00D749D4" w:rsidRDefault="004C7673">
            <w:pPr>
              <w:jc w:val="right"/>
              <w:rPr>
                <w:color w:val="000000"/>
                <w:szCs w:val="21"/>
              </w:rPr>
            </w:pPr>
            <w:r w:rsidRPr="00D749D4">
              <w:rPr>
                <w:color w:val="000000"/>
                <w:szCs w:val="21"/>
              </w:rPr>
              <w:t>117,745.18</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．销售服务费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4</w:t>
            </w:r>
            <w:r w:rsidRPr="00D749D4">
              <w:rPr>
                <w:rFonts w:hint="eastAsia"/>
                <w:color w:val="000000"/>
                <w:szCs w:val="21"/>
              </w:rPr>
              <w:t>．交易费用</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center"/>
          </w:tcPr>
          <w:p w:rsidR="004C7673" w:rsidRPr="00D749D4" w:rsidRDefault="004C7673">
            <w:pPr>
              <w:jc w:val="right"/>
              <w:rPr>
                <w:color w:val="000000"/>
                <w:szCs w:val="21"/>
              </w:rPr>
            </w:pPr>
            <w:r w:rsidRPr="00D749D4">
              <w:rPr>
                <w:color w:val="000000"/>
                <w:szCs w:val="21"/>
              </w:rPr>
              <w:t>58,759.09</w:t>
            </w:r>
          </w:p>
        </w:tc>
        <w:tc>
          <w:tcPr>
            <w:tcW w:w="2250" w:type="dxa"/>
            <w:vAlign w:val="center"/>
          </w:tcPr>
          <w:p w:rsidR="004C7673" w:rsidRPr="00D749D4" w:rsidRDefault="004C7673">
            <w:pPr>
              <w:jc w:val="right"/>
              <w:rPr>
                <w:color w:val="000000"/>
                <w:szCs w:val="21"/>
              </w:rPr>
            </w:pPr>
            <w:r w:rsidRPr="00D749D4">
              <w:rPr>
                <w:color w:val="000000"/>
                <w:szCs w:val="21"/>
              </w:rPr>
              <w:t>4,627.53</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．利息支出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rFonts w:hint="eastAsia"/>
                <w:color w:val="000000"/>
                <w:szCs w:val="21"/>
              </w:rPr>
              <w:t>其中：卖出回购金融资产支出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345.62</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43.76</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6.4.7.20</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128,417.97</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255,268.11</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三、利润总额（亏损总额以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60,947,463.32</w:t>
            </w:r>
          </w:p>
        </w:tc>
        <w:tc>
          <w:tcPr>
            <w:tcW w:w="2250" w:type="dxa"/>
            <w:vAlign w:val="center"/>
          </w:tcPr>
          <w:p w:rsidR="004C7673" w:rsidRPr="00D749D4" w:rsidRDefault="004C7673">
            <w:pPr>
              <w:jc w:val="right"/>
              <w:rPr>
                <w:b/>
                <w:color w:val="000000"/>
                <w:szCs w:val="21"/>
              </w:rPr>
            </w:pPr>
            <w:r w:rsidRPr="00D749D4">
              <w:rPr>
                <w:b/>
                <w:color w:val="000000"/>
                <w:szCs w:val="21"/>
              </w:rPr>
              <w:t>16,114,289.30</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szCs w:val="21"/>
              </w:rPr>
              <w:t>减：所得税费用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四、净利润（净亏损以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60,947,463.32</w:t>
            </w:r>
          </w:p>
        </w:tc>
        <w:tc>
          <w:tcPr>
            <w:tcW w:w="2250" w:type="dxa"/>
            <w:vAlign w:val="center"/>
          </w:tcPr>
          <w:p w:rsidR="004C7673" w:rsidRPr="00D749D4" w:rsidRDefault="004C7673">
            <w:pPr>
              <w:jc w:val="right"/>
              <w:rPr>
                <w:b/>
                <w:color w:val="000000"/>
                <w:szCs w:val="21"/>
              </w:rPr>
            </w:pPr>
            <w:r w:rsidRPr="00D749D4">
              <w:rPr>
                <w:b/>
                <w:color w:val="000000"/>
                <w:szCs w:val="21"/>
              </w:rPr>
              <w:t>16,114,289.30</w:t>
            </w:r>
          </w:p>
        </w:tc>
      </w:tr>
    </w:tbl>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78" w:name="_Toc225498270"/>
      <w:bookmarkStart w:id="179" w:name="_Toc352255993"/>
      <w:bookmarkStart w:id="180" w:name="_Toc352256061"/>
      <w:bookmarkStart w:id="181" w:name="_Toc352331239"/>
      <w:bookmarkStart w:id="182" w:name="_Toc374611664"/>
      <w:bookmarkStart w:id="183" w:name="_Toc48664234"/>
      <w:r w:rsidRPr="00D749D4">
        <w:rPr>
          <w:rFonts w:ascii="Times New Roman" w:hAnsi="Times New Roman"/>
          <w:color w:val="000000"/>
          <w:sz w:val="21"/>
          <w:szCs w:val="21"/>
        </w:rPr>
        <w:lastRenderedPageBreak/>
        <w:t>6.3</w:t>
      </w:r>
      <w:r w:rsidR="00BE2F8C" w:rsidRPr="006B4E2C">
        <w:rPr>
          <w:rFonts w:ascii="宋体" w:hAnsi="宋体"/>
          <w:kern w:val="0"/>
          <w:sz w:val="21"/>
          <w:szCs w:val="21"/>
        </w:rPr>
        <w:tab/>
      </w:r>
      <w:r w:rsidRPr="00D749D4">
        <w:rPr>
          <w:rFonts w:ascii="Times New Roman" w:hAnsi="Times New Roman" w:hint="eastAsia"/>
          <w:color w:val="000000"/>
          <w:sz w:val="21"/>
          <w:szCs w:val="21"/>
        </w:rPr>
        <w:t>所有者权益（基金净值）变动表</w:t>
      </w:r>
      <w:bookmarkEnd w:id="178"/>
      <w:bookmarkEnd w:id="179"/>
      <w:bookmarkEnd w:id="180"/>
      <w:bookmarkEnd w:id="181"/>
      <w:bookmarkEnd w:id="182"/>
      <w:bookmarkEnd w:id="183"/>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易方达纳斯达克</w:t>
      </w:r>
      <w:r w:rsidRPr="00D749D4">
        <w:rPr>
          <w:color w:val="000000"/>
          <w:szCs w:val="21"/>
        </w:rPr>
        <w:t>100</w:t>
      </w:r>
      <w:r w:rsidRPr="00D749D4">
        <w:rPr>
          <w:color w:val="000000"/>
          <w:szCs w:val="21"/>
        </w:rPr>
        <w:t>指数证券投资基金（</w:t>
      </w:r>
      <w:r w:rsidRPr="00D749D4">
        <w:rPr>
          <w:color w:val="000000"/>
          <w:szCs w:val="21"/>
        </w:rPr>
        <w:t>LOF</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711C4C" w:rsidRPr="00D749D4" w:rsidTr="00E437E1">
        <w:tc>
          <w:tcPr>
            <w:tcW w:w="2835" w:type="dxa"/>
            <w:vMerge w:val="restart"/>
            <w:vAlign w:val="center"/>
          </w:tcPr>
          <w:p w:rsidR="00711C4C" w:rsidRPr="00D749D4" w:rsidRDefault="00711C4C" w:rsidP="00C96D24">
            <w:pPr>
              <w:jc w:val="center"/>
              <w:rPr>
                <w:b/>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本期</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r>
      <w:tr w:rsidR="00711C4C" w:rsidRPr="00D749D4" w:rsidTr="00E437E1">
        <w:tc>
          <w:tcPr>
            <w:tcW w:w="2835" w:type="dxa"/>
            <w:vMerge/>
            <w:vAlign w:val="center"/>
          </w:tcPr>
          <w:p w:rsidR="00711C4C" w:rsidRPr="00D749D4" w:rsidRDefault="00711C4C">
            <w:pPr>
              <w:widowControl/>
              <w:jc w:val="left"/>
              <w:rPr>
                <w:b/>
                <w:color w:val="000000"/>
                <w:szCs w:val="21"/>
              </w:rPr>
            </w:pPr>
          </w:p>
        </w:tc>
        <w:tc>
          <w:tcPr>
            <w:tcW w:w="2127" w:type="dxa"/>
            <w:vAlign w:val="center"/>
          </w:tcPr>
          <w:p w:rsidR="00711C4C" w:rsidRPr="00D749D4" w:rsidRDefault="00711C4C">
            <w:pPr>
              <w:jc w:val="center"/>
              <w:rPr>
                <w:b/>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b/>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color w:val="000000"/>
                <w:szCs w:val="21"/>
              </w:rPr>
            </w:pPr>
            <w:r w:rsidRPr="00D749D4">
              <w:rPr>
                <w:rFonts w:hint="eastAsia"/>
                <w:b/>
                <w:color w:val="000000"/>
                <w:szCs w:val="21"/>
              </w:rPr>
              <w:t>所有者权益合计</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100,350,776.12</w:t>
            </w:r>
          </w:p>
        </w:tc>
        <w:tc>
          <w:tcPr>
            <w:tcW w:w="1984" w:type="dxa"/>
            <w:vAlign w:val="center"/>
          </w:tcPr>
          <w:p w:rsidR="00711C4C" w:rsidRPr="00D749D4" w:rsidRDefault="00711C4C">
            <w:pPr>
              <w:jc w:val="right"/>
              <w:rPr>
                <w:color w:val="000000"/>
                <w:szCs w:val="21"/>
              </w:rPr>
            </w:pPr>
            <w:r w:rsidRPr="00D749D4">
              <w:rPr>
                <w:color w:val="000000"/>
                <w:szCs w:val="21"/>
              </w:rPr>
              <w:t>48,691,032.02</w:t>
            </w:r>
          </w:p>
        </w:tc>
        <w:tc>
          <w:tcPr>
            <w:tcW w:w="2054" w:type="dxa"/>
            <w:vAlign w:val="center"/>
          </w:tcPr>
          <w:p w:rsidR="00711C4C" w:rsidRPr="00D749D4" w:rsidRDefault="00711C4C">
            <w:pPr>
              <w:jc w:val="right"/>
              <w:rPr>
                <w:color w:val="000000"/>
                <w:szCs w:val="21"/>
              </w:rPr>
            </w:pPr>
            <w:r w:rsidRPr="00D749D4">
              <w:rPr>
                <w:color w:val="000000"/>
                <w:szCs w:val="21"/>
              </w:rPr>
              <w:t>149,041,808.14</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60,947,463.32</w:t>
            </w:r>
          </w:p>
        </w:tc>
        <w:tc>
          <w:tcPr>
            <w:tcW w:w="2054" w:type="dxa"/>
            <w:vAlign w:val="center"/>
          </w:tcPr>
          <w:p w:rsidR="00711C4C" w:rsidRPr="00D749D4" w:rsidRDefault="00711C4C">
            <w:pPr>
              <w:jc w:val="right"/>
              <w:rPr>
                <w:color w:val="000000"/>
                <w:szCs w:val="21"/>
              </w:rPr>
            </w:pPr>
            <w:r w:rsidRPr="00D749D4">
              <w:rPr>
                <w:color w:val="000000"/>
                <w:szCs w:val="21"/>
              </w:rPr>
              <w:t>60,947,463.32</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265,361,100.84</w:t>
            </w:r>
          </w:p>
        </w:tc>
        <w:tc>
          <w:tcPr>
            <w:tcW w:w="1984" w:type="dxa"/>
            <w:vAlign w:val="center"/>
          </w:tcPr>
          <w:p w:rsidR="00711C4C" w:rsidRPr="00D749D4" w:rsidRDefault="00711C4C">
            <w:pPr>
              <w:jc w:val="right"/>
              <w:rPr>
                <w:color w:val="000000"/>
                <w:szCs w:val="21"/>
              </w:rPr>
            </w:pPr>
            <w:r w:rsidRPr="00D749D4">
              <w:rPr>
                <w:color w:val="000000"/>
                <w:szCs w:val="21"/>
              </w:rPr>
              <w:t>150,204,937.63</w:t>
            </w:r>
          </w:p>
        </w:tc>
        <w:tc>
          <w:tcPr>
            <w:tcW w:w="2054" w:type="dxa"/>
            <w:vAlign w:val="center"/>
          </w:tcPr>
          <w:p w:rsidR="00711C4C" w:rsidRPr="00D749D4" w:rsidRDefault="00711C4C">
            <w:pPr>
              <w:jc w:val="right"/>
              <w:rPr>
                <w:color w:val="000000"/>
                <w:szCs w:val="21"/>
              </w:rPr>
            </w:pPr>
            <w:r w:rsidRPr="00D749D4">
              <w:rPr>
                <w:color w:val="000000"/>
                <w:szCs w:val="21"/>
              </w:rPr>
              <w:t>415,566,038.47</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607,155,652.44</w:t>
            </w:r>
          </w:p>
        </w:tc>
        <w:tc>
          <w:tcPr>
            <w:tcW w:w="1984" w:type="dxa"/>
            <w:vAlign w:val="center"/>
          </w:tcPr>
          <w:p w:rsidR="00711C4C" w:rsidRPr="00D749D4" w:rsidRDefault="00711C4C">
            <w:pPr>
              <w:jc w:val="right"/>
              <w:rPr>
                <w:color w:val="000000"/>
                <w:szCs w:val="21"/>
              </w:rPr>
            </w:pPr>
            <w:r w:rsidRPr="00D749D4">
              <w:rPr>
                <w:color w:val="000000"/>
                <w:szCs w:val="21"/>
              </w:rPr>
              <w:t>317,078,001.49</w:t>
            </w:r>
          </w:p>
        </w:tc>
        <w:tc>
          <w:tcPr>
            <w:tcW w:w="2054" w:type="dxa"/>
            <w:vAlign w:val="center"/>
          </w:tcPr>
          <w:p w:rsidR="00711C4C" w:rsidRPr="00D749D4" w:rsidRDefault="00711C4C">
            <w:pPr>
              <w:jc w:val="right"/>
              <w:rPr>
                <w:color w:val="000000"/>
                <w:szCs w:val="21"/>
              </w:rPr>
            </w:pPr>
            <w:r w:rsidRPr="00D749D4">
              <w:rPr>
                <w:color w:val="000000"/>
                <w:szCs w:val="21"/>
              </w:rPr>
              <w:t>924,233,653.93</w:t>
            </w:r>
          </w:p>
        </w:tc>
      </w:tr>
      <w:tr w:rsidR="00711C4C" w:rsidRPr="00D749D4" w:rsidTr="00E437E1">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-341,794,551.60</w:t>
            </w:r>
          </w:p>
        </w:tc>
        <w:tc>
          <w:tcPr>
            <w:tcW w:w="1984" w:type="dxa"/>
            <w:vAlign w:val="center"/>
          </w:tcPr>
          <w:p w:rsidR="00711C4C" w:rsidRPr="00D749D4" w:rsidRDefault="00711C4C">
            <w:pPr>
              <w:jc w:val="right"/>
              <w:rPr>
                <w:color w:val="000000"/>
                <w:szCs w:val="21"/>
              </w:rPr>
            </w:pPr>
            <w:r w:rsidRPr="00D749D4">
              <w:rPr>
                <w:color w:val="000000"/>
                <w:szCs w:val="21"/>
              </w:rPr>
              <w:t>-166,873,063.86</w:t>
            </w:r>
          </w:p>
        </w:tc>
        <w:tc>
          <w:tcPr>
            <w:tcW w:w="2054" w:type="dxa"/>
            <w:vAlign w:val="center"/>
          </w:tcPr>
          <w:p w:rsidR="00711C4C" w:rsidRPr="00D749D4" w:rsidRDefault="00711C4C">
            <w:pPr>
              <w:jc w:val="right"/>
              <w:rPr>
                <w:color w:val="000000"/>
                <w:szCs w:val="21"/>
              </w:rPr>
            </w:pPr>
            <w:r w:rsidRPr="00D749D4">
              <w:rPr>
                <w:color w:val="000000"/>
                <w:szCs w:val="21"/>
              </w:rPr>
              <w:t>-508,667,615.46</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365,711,876.96</w:t>
            </w:r>
          </w:p>
        </w:tc>
        <w:tc>
          <w:tcPr>
            <w:tcW w:w="1984" w:type="dxa"/>
            <w:vAlign w:val="center"/>
          </w:tcPr>
          <w:p w:rsidR="00711C4C" w:rsidRPr="00D749D4" w:rsidRDefault="00711C4C">
            <w:pPr>
              <w:jc w:val="right"/>
              <w:rPr>
                <w:color w:val="000000"/>
                <w:szCs w:val="21"/>
              </w:rPr>
            </w:pPr>
            <w:r w:rsidRPr="00D749D4">
              <w:rPr>
                <w:color w:val="000000"/>
                <w:szCs w:val="21"/>
              </w:rPr>
              <w:t>259,843,432.97</w:t>
            </w:r>
          </w:p>
        </w:tc>
        <w:tc>
          <w:tcPr>
            <w:tcW w:w="2054" w:type="dxa"/>
            <w:vAlign w:val="center"/>
          </w:tcPr>
          <w:p w:rsidR="00711C4C" w:rsidRPr="00D749D4" w:rsidRDefault="00711C4C">
            <w:pPr>
              <w:jc w:val="right"/>
              <w:rPr>
                <w:color w:val="000000"/>
                <w:szCs w:val="21"/>
              </w:rPr>
            </w:pPr>
            <w:r w:rsidRPr="00D749D4">
              <w:rPr>
                <w:color w:val="000000"/>
                <w:szCs w:val="21"/>
              </w:rPr>
              <w:t>625,555,309.93</w:t>
            </w:r>
          </w:p>
        </w:tc>
      </w:tr>
      <w:tr w:rsidR="00711C4C" w:rsidRPr="00D749D4" w:rsidTr="009C5260">
        <w:tc>
          <w:tcPr>
            <w:tcW w:w="2835" w:type="dxa"/>
            <w:vMerge w:val="restart"/>
            <w:vAlign w:val="center"/>
          </w:tcPr>
          <w:p w:rsidR="00711C4C" w:rsidRPr="00D749D4" w:rsidRDefault="00711C4C">
            <w:pPr>
              <w:jc w:val="center"/>
              <w:rPr>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上年度可比期间</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9C5260">
        <w:tc>
          <w:tcPr>
            <w:tcW w:w="2835" w:type="dxa"/>
            <w:vMerge/>
            <w:vAlign w:val="center"/>
          </w:tcPr>
          <w:p w:rsidR="00711C4C" w:rsidRPr="00D749D4" w:rsidRDefault="00711C4C">
            <w:pPr>
              <w:widowControl/>
              <w:jc w:val="left"/>
              <w:rPr>
                <w:color w:val="000000"/>
                <w:szCs w:val="21"/>
              </w:rPr>
            </w:pPr>
          </w:p>
        </w:tc>
        <w:tc>
          <w:tcPr>
            <w:tcW w:w="2127" w:type="dxa"/>
            <w:vAlign w:val="center"/>
          </w:tcPr>
          <w:p w:rsidR="00711C4C" w:rsidRPr="00D749D4" w:rsidRDefault="00711C4C" w:rsidP="00E069E3">
            <w:pPr>
              <w:jc w:val="center"/>
              <w:rPr>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b/>
                <w:color w:val="000000"/>
                <w:szCs w:val="21"/>
              </w:rPr>
            </w:pPr>
            <w:r w:rsidRPr="00D749D4">
              <w:rPr>
                <w:rFonts w:hint="eastAsia"/>
                <w:b/>
                <w:color w:val="000000"/>
                <w:szCs w:val="21"/>
              </w:rPr>
              <w:t>所有者权益合计</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79,231,114.51</w:t>
            </w:r>
          </w:p>
        </w:tc>
        <w:tc>
          <w:tcPr>
            <w:tcW w:w="1984" w:type="dxa"/>
            <w:vAlign w:val="center"/>
          </w:tcPr>
          <w:p w:rsidR="00711C4C" w:rsidRPr="00D749D4" w:rsidRDefault="00711C4C">
            <w:pPr>
              <w:jc w:val="right"/>
              <w:rPr>
                <w:color w:val="000000"/>
                <w:szCs w:val="21"/>
              </w:rPr>
            </w:pPr>
            <w:r w:rsidRPr="00D749D4">
              <w:rPr>
                <w:color w:val="000000"/>
                <w:szCs w:val="21"/>
              </w:rPr>
              <w:t>6,307,905.53</w:t>
            </w:r>
          </w:p>
        </w:tc>
        <w:tc>
          <w:tcPr>
            <w:tcW w:w="2054" w:type="dxa"/>
            <w:vAlign w:val="center"/>
          </w:tcPr>
          <w:p w:rsidR="00711C4C" w:rsidRPr="00D749D4" w:rsidRDefault="00711C4C">
            <w:pPr>
              <w:jc w:val="right"/>
              <w:rPr>
                <w:color w:val="000000"/>
                <w:szCs w:val="21"/>
              </w:rPr>
            </w:pPr>
            <w:r w:rsidRPr="00D749D4">
              <w:rPr>
                <w:color w:val="000000"/>
                <w:szCs w:val="21"/>
              </w:rPr>
              <w:t>85,539,020.04</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16,114,289.30</w:t>
            </w:r>
          </w:p>
        </w:tc>
        <w:tc>
          <w:tcPr>
            <w:tcW w:w="2054" w:type="dxa"/>
            <w:vAlign w:val="center"/>
          </w:tcPr>
          <w:p w:rsidR="00711C4C" w:rsidRPr="00D749D4" w:rsidRDefault="00711C4C">
            <w:pPr>
              <w:jc w:val="right"/>
              <w:rPr>
                <w:color w:val="000000"/>
                <w:szCs w:val="21"/>
              </w:rPr>
            </w:pPr>
            <w:r w:rsidRPr="00D749D4">
              <w:rPr>
                <w:color w:val="000000"/>
                <w:szCs w:val="21"/>
              </w:rPr>
              <w:t>16,114,289.30</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-747,904.25</w:t>
            </w:r>
          </w:p>
        </w:tc>
        <w:tc>
          <w:tcPr>
            <w:tcW w:w="1984" w:type="dxa"/>
            <w:vAlign w:val="center"/>
          </w:tcPr>
          <w:p w:rsidR="00711C4C" w:rsidRPr="00D749D4" w:rsidRDefault="00711C4C">
            <w:pPr>
              <w:jc w:val="right"/>
              <w:rPr>
                <w:color w:val="000000"/>
                <w:szCs w:val="21"/>
              </w:rPr>
            </w:pPr>
            <w:r w:rsidRPr="00D749D4">
              <w:rPr>
                <w:color w:val="000000"/>
                <w:szCs w:val="21"/>
              </w:rPr>
              <w:t>674,244.87</w:t>
            </w:r>
          </w:p>
        </w:tc>
        <w:tc>
          <w:tcPr>
            <w:tcW w:w="2054" w:type="dxa"/>
            <w:vAlign w:val="center"/>
          </w:tcPr>
          <w:p w:rsidR="00711C4C" w:rsidRPr="00D749D4" w:rsidRDefault="00711C4C">
            <w:pPr>
              <w:jc w:val="right"/>
              <w:rPr>
                <w:color w:val="000000"/>
                <w:szCs w:val="21"/>
              </w:rPr>
            </w:pPr>
            <w:r w:rsidRPr="00D749D4">
              <w:rPr>
                <w:color w:val="000000"/>
                <w:szCs w:val="21"/>
              </w:rPr>
              <w:t>-73,659.38</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42,336,562.62</w:t>
            </w:r>
          </w:p>
        </w:tc>
        <w:tc>
          <w:tcPr>
            <w:tcW w:w="1984" w:type="dxa"/>
            <w:vAlign w:val="center"/>
          </w:tcPr>
          <w:p w:rsidR="00711C4C" w:rsidRPr="00D749D4" w:rsidRDefault="00711C4C">
            <w:pPr>
              <w:jc w:val="right"/>
              <w:rPr>
                <w:color w:val="000000"/>
                <w:szCs w:val="21"/>
              </w:rPr>
            </w:pPr>
            <w:r w:rsidRPr="00D749D4">
              <w:rPr>
                <w:color w:val="000000"/>
                <w:szCs w:val="21"/>
              </w:rPr>
              <w:t>9,814,396.10</w:t>
            </w:r>
          </w:p>
        </w:tc>
        <w:tc>
          <w:tcPr>
            <w:tcW w:w="2054" w:type="dxa"/>
            <w:vAlign w:val="center"/>
          </w:tcPr>
          <w:p w:rsidR="00711C4C" w:rsidRPr="00D749D4" w:rsidRDefault="00711C4C">
            <w:pPr>
              <w:jc w:val="right"/>
              <w:rPr>
                <w:color w:val="000000"/>
                <w:szCs w:val="21"/>
              </w:rPr>
            </w:pPr>
            <w:r w:rsidRPr="00D749D4">
              <w:rPr>
                <w:color w:val="000000"/>
                <w:szCs w:val="21"/>
              </w:rPr>
              <w:t>52,150,958.72</w:t>
            </w:r>
          </w:p>
        </w:tc>
      </w:tr>
      <w:tr w:rsidR="00711C4C" w:rsidRPr="00D749D4" w:rsidTr="009C5260">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-43,084,466.87</w:t>
            </w:r>
          </w:p>
        </w:tc>
        <w:tc>
          <w:tcPr>
            <w:tcW w:w="1984" w:type="dxa"/>
            <w:vAlign w:val="center"/>
          </w:tcPr>
          <w:p w:rsidR="00711C4C" w:rsidRPr="00D749D4" w:rsidRDefault="00711C4C">
            <w:pPr>
              <w:jc w:val="right"/>
              <w:rPr>
                <w:color w:val="000000"/>
                <w:szCs w:val="21"/>
              </w:rPr>
            </w:pPr>
            <w:r w:rsidRPr="00D749D4">
              <w:rPr>
                <w:color w:val="000000"/>
                <w:szCs w:val="21"/>
              </w:rPr>
              <w:t>-9,140,151.23</w:t>
            </w:r>
          </w:p>
        </w:tc>
        <w:tc>
          <w:tcPr>
            <w:tcW w:w="2054" w:type="dxa"/>
            <w:vAlign w:val="center"/>
          </w:tcPr>
          <w:p w:rsidR="00711C4C" w:rsidRPr="00D749D4" w:rsidRDefault="00711C4C">
            <w:pPr>
              <w:jc w:val="right"/>
              <w:rPr>
                <w:color w:val="000000"/>
                <w:szCs w:val="21"/>
              </w:rPr>
            </w:pPr>
            <w:r w:rsidRPr="00D749D4">
              <w:rPr>
                <w:color w:val="000000"/>
                <w:szCs w:val="21"/>
              </w:rPr>
              <w:t>-52,224,618.10</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78,483,210.26</w:t>
            </w:r>
          </w:p>
        </w:tc>
        <w:tc>
          <w:tcPr>
            <w:tcW w:w="1984" w:type="dxa"/>
            <w:vAlign w:val="center"/>
          </w:tcPr>
          <w:p w:rsidR="00711C4C" w:rsidRPr="00D749D4" w:rsidRDefault="00711C4C">
            <w:pPr>
              <w:jc w:val="right"/>
              <w:rPr>
                <w:color w:val="000000"/>
                <w:szCs w:val="21"/>
              </w:rPr>
            </w:pPr>
            <w:r w:rsidRPr="00D749D4">
              <w:rPr>
                <w:color w:val="000000"/>
                <w:szCs w:val="21"/>
              </w:rPr>
              <w:t>23,096,439.70</w:t>
            </w:r>
          </w:p>
        </w:tc>
        <w:tc>
          <w:tcPr>
            <w:tcW w:w="2054" w:type="dxa"/>
            <w:vAlign w:val="center"/>
          </w:tcPr>
          <w:p w:rsidR="00711C4C" w:rsidRPr="00D749D4" w:rsidRDefault="00711C4C">
            <w:pPr>
              <w:jc w:val="right"/>
              <w:rPr>
                <w:color w:val="000000"/>
                <w:szCs w:val="21"/>
              </w:rPr>
            </w:pPr>
            <w:r w:rsidRPr="00D749D4">
              <w:rPr>
                <w:color w:val="000000"/>
                <w:szCs w:val="21"/>
              </w:rPr>
              <w:t>101,579,649.96</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报表附注为财务报表的组成部分。</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本报告</w:t>
      </w:r>
      <w:r w:rsidRPr="00AB0FF3">
        <w:rPr>
          <w:kern w:val="0"/>
          <w:szCs w:val="21"/>
        </w:rPr>
        <w:t>6.1</w:t>
      </w:r>
      <w:r w:rsidRPr="00AB0FF3">
        <w:rPr>
          <w:rFonts w:hint="eastAsia"/>
          <w:kern w:val="0"/>
          <w:szCs w:val="21"/>
        </w:rPr>
        <w:t>至</w:t>
      </w:r>
      <w:r w:rsidRPr="00AB0FF3">
        <w:rPr>
          <w:kern w:val="0"/>
          <w:szCs w:val="21"/>
        </w:rPr>
        <w:t>6.4</w:t>
      </w:r>
      <w:r w:rsidRPr="00AB0FF3">
        <w:rPr>
          <w:rFonts w:hint="eastAsia"/>
          <w:kern w:val="0"/>
          <w:szCs w:val="21"/>
        </w:rPr>
        <w:t>，财务报表由下列负责人签署：</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lastRenderedPageBreak/>
        <w:t>基金管理人负责人：</w:t>
      </w:r>
      <w:r w:rsidRPr="00AB0FF3">
        <w:rPr>
          <w:kern w:val="0"/>
          <w:szCs w:val="21"/>
        </w:rPr>
        <w:t>刘晓艳</w:t>
      </w:r>
      <w:r w:rsidRPr="00AB0FF3">
        <w:rPr>
          <w:rFonts w:hint="eastAsia"/>
          <w:kern w:val="0"/>
          <w:szCs w:val="21"/>
        </w:rPr>
        <w:t>，主管会计工作负责人：</w:t>
      </w:r>
      <w:r w:rsidRPr="00AB0FF3">
        <w:rPr>
          <w:kern w:val="0"/>
          <w:szCs w:val="21"/>
        </w:rPr>
        <w:t>陈荣</w:t>
      </w:r>
      <w:r w:rsidRPr="00AB0FF3">
        <w:rPr>
          <w:rFonts w:hint="eastAsia"/>
          <w:kern w:val="0"/>
          <w:szCs w:val="21"/>
        </w:rPr>
        <w:t>，会计机构负责人：</w:t>
      </w:r>
      <w:r w:rsidRPr="00AB0FF3">
        <w:rPr>
          <w:kern w:val="0"/>
          <w:szCs w:val="21"/>
        </w:rPr>
        <w:t>邱毅华</w:t>
      </w:r>
    </w:p>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84" w:name="_Toc225498271"/>
      <w:bookmarkStart w:id="185" w:name="_Toc352255994"/>
      <w:bookmarkStart w:id="186" w:name="_Toc352256062"/>
      <w:bookmarkStart w:id="187" w:name="_Toc352331240"/>
      <w:bookmarkStart w:id="188" w:name="_Toc374611665"/>
      <w:bookmarkStart w:id="189" w:name="_Toc48664235"/>
      <w:r w:rsidRPr="00D749D4">
        <w:rPr>
          <w:rFonts w:ascii="Times New Roman" w:hAnsi="Times New Roman"/>
          <w:color w:val="000000"/>
          <w:sz w:val="21"/>
          <w:szCs w:val="21"/>
        </w:rPr>
        <w:t>6.4</w:t>
      </w:r>
      <w:r w:rsidR="00BE2F8C" w:rsidRPr="006B4E2C">
        <w:rPr>
          <w:rFonts w:ascii="宋体" w:hAnsi="宋体"/>
          <w:kern w:val="0"/>
          <w:sz w:val="21"/>
          <w:szCs w:val="21"/>
        </w:rPr>
        <w:tab/>
      </w:r>
      <w:r w:rsidRPr="00D749D4">
        <w:rPr>
          <w:rFonts w:ascii="Times New Roman" w:hAnsi="Times New Roman" w:hint="eastAsia"/>
          <w:color w:val="000000"/>
          <w:sz w:val="21"/>
          <w:szCs w:val="21"/>
        </w:rPr>
        <w:t>报表附注</w:t>
      </w:r>
      <w:bookmarkEnd w:id="184"/>
      <w:bookmarkEnd w:id="185"/>
      <w:bookmarkEnd w:id="186"/>
      <w:bookmarkEnd w:id="187"/>
      <w:bookmarkEnd w:id="188"/>
      <w:bookmarkEnd w:id="189"/>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6.4.1</w:t>
      </w:r>
      <w:r w:rsidRPr="00740AC8">
        <w:rPr>
          <w:rFonts w:ascii="宋体" w:hAnsi="宋体" w:hint="eastAsia"/>
          <w:b/>
          <w:bCs/>
          <w:color w:val="000000"/>
          <w:kern w:val="0"/>
          <w:szCs w:val="21"/>
        </w:rPr>
        <w:t>基金基本情况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易方达纳斯达克</w:t>
      </w:r>
      <w:r w:rsidRPr="00D749D4">
        <w:rPr>
          <w:kern w:val="0"/>
          <w:szCs w:val="21"/>
        </w:rPr>
        <w:t>100</w:t>
      </w:r>
      <w:r w:rsidRPr="00D749D4">
        <w:rPr>
          <w:kern w:val="0"/>
          <w:szCs w:val="21"/>
        </w:rPr>
        <w:t>指数证券投资基金</w:t>
      </w:r>
      <w:r w:rsidRPr="00D749D4">
        <w:rPr>
          <w:kern w:val="0"/>
          <w:szCs w:val="21"/>
        </w:rPr>
        <w:t>(LOF)(</w:t>
      </w:r>
      <w:r w:rsidRPr="00D749D4">
        <w:rPr>
          <w:kern w:val="0"/>
          <w:szCs w:val="21"/>
        </w:rPr>
        <w:t>以下简称</w:t>
      </w:r>
      <w:r w:rsidRPr="00D749D4">
        <w:rPr>
          <w:kern w:val="0"/>
          <w:szCs w:val="21"/>
        </w:rPr>
        <w:t>“</w:t>
      </w:r>
      <w:r w:rsidRPr="00D749D4">
        <w:rPr>
          <w:kern w:val="0"/>
          <w:szCs w:val="21"/>
        </w:rPr>
        <w:t>本基金</w:t>
      </w:r>
      <w:r w:rsidRPr="00D749D4">
        <w:rPr>
          <w:kern w:val="0"/>
          <w:szCs w:val="21"/>
        </w:rPr>
        <w:t xml:space="preserve">”) </w:t>
      </w:r>
      <w:r w:rsidRPr="00D749D4">
        <w:rPr>
          <w:kern w:val="0"/>
          <w:szCs w:val="21"/>
        </w:rPr>
        <w:t>根据中国证券监督管理委员会</w:t>
      </w:r>
      <w:r w:rsidRPr="00D749D4">
        <w:rPr>
          <w:kern w:val="0"/>
          <w:szCs w:val="21"/>
        </w:rPr>
        <w:t>(</w:t>
      </w:r>
      <w:r w:rsidRPr="00D749D4">
        <w:rPr>
          <w:kern w:val="0"/>
          <w:szCs w:val="21"/>
        </w:rPr>
        <w:t>以下简称</w:t>
      </w:r>
      <w:r w:rsidRPr="00D749D4">
        <w:rPr>
          <w:kern w:val="0"/>
          <w:szCs w:val="21"/>
        </w:rPr>
        <w:t>“</w:t>
      </w:r>
      <w:r w:rsidRPr="00D749D4">
        <w:rPr>
          <w:kern w:val="0"/>
          <w:szCs w:val="21"/>
        </w:rPr>
        <w:t>中国证监会</w:t>
      </w:r>
      <w:r w:rsidRPr="00D749D4">
        <w:rPr>
          <w:kern w:val="0"/>
          <w:szCs w:val="21"/>
        </w:rPr>
        <w:t>”)</w:t>
      </w:r>
      <w:r w:rsidRPr="00D749D4">
        <w:rPr>
          <w:kern w:val="0"/>
          <w:szCs w:val="21"/>
        </w:rPr>
        <w:t>证监许可</w:t>
      </w:r>
      <w:r w:rsidRPr="00D749D4">
        <w:rPr>
          <w:kern w:val="0"/>
          <w:szCs w:val="21"/>
        </w:rPr>
        <w:t xml:space="preserve">[2016]2420 </w:t>
      </w:r>
      <w:r w:rsidRPr="00D749D4">
        <w:rPr>
          <w:kern w:val="0"/>
          <w:szCs w:val="21"/>
        </w:rPr>
        <w:t>号《关于准予易方达纳斯达克</w:t>
      </w:r>
      <w:r w:rsidRPr="00D749D4">
        <w:rPr>
          <w:kern w:val="0"/>
          <w:szCs w:val="21"/>
        </w:rPr>
        <w:t>100</w:t>
      </w:r>
      <w:r w:rsidRPr="00D749D4">
        <w:rPr>
          <w:kern w:val="0"/>
          <w:szCs w:val="21"/>
        </w:rPr>
        <w:t>指数证券投资基金</w:t>
      </w:r>
      <w:r w:rsidRPr="00D749D4">
        <w:rPr>
          <w:kern w:val="0"/>
          <w:szCs w:val="21"/>
        </w:rPr>
        <w:t>(LOF)</w:t>
      </w:r>
      <w:r w:rsidRPr="00D749D4">
        <w:rPr>
          <w:kern w:val="0"/>
          <w:szCs w:val="21"/>
        </w:rPr>
        <w:t>注册的批复》，由易方达基金管理有限公司依照《中华人民共和国证券投资基金法》和《易方达纳斯达克</w:t>
      </w:r>
      <w:r w:rsidRPr="00D749D4">
        <w:rPr>
          <w:kern w:val="0"/>
          <w:szCs w:val="21"/>
        </w:rPr>
        <w:t>100</w:t>
      </w:r>
      <w:r w:rsidRPr="00D749D4">
        <w:rPr>
          <w:kern w:val="0"/>
          <w:szCs w:val="21"/>
        </w:rPr>
        <w:t>指数证券投资基金</w:t>
      </w:r>
      <w:r w:rsidRPr="00D749D4">
        <w:rPr>
          <w:kern w:val="0"/>
          <w:szCs w:val="21"/>
        </w:rPr>
        <w:t>(LOF)</w:t>
      </w:r>
      <w:r w:rsidRPr="00D749D4">
        <w:rPr>
          <w:kern w:val="0"/>
          <w:szCs w:val="21"/>
        </w:rPr>
        <w:t>基金合同》公开募集。经向中国证监会备案，《易方达纳斯达克</w:t>
      </w:r>
      <w:r w:rsidRPr="00D749D4">
        <w:rPr>
          <w:kern w:val="0"/>
          <w:szCs w:val="21"/>
        </w:rPr>
        <w:t>100</w:t>
      </w:r>
      <w:r w:rsidRPr="00D749D4">
        <w:rPr>
          <w:kern w:val="0"/>
          <w:szCs w:val="21"/>
        </w:rPr>
        <w:t>指数证券投资基金</w:t>
      </w:r>
      <w:r w:rsidRPr="00D749D4">
        <w:rPr>
          <w:kern w:val="0"/>
          <w:szCs w:val="21"/>
        </w:rPr>
        <w:t>(LOF)</w:t>
      </w:r>
      <w:r w:rsidRPr="00D749D4">
        <w:rPr>
          <w:kern w:val="0"/>
          <w:szCs w:val="21"/>
        </w:rPr>
        <w:t>基金合同》于</w:t>
      </w:r>
      <w:r w:rsidRPr="00D749D4">
        <w:rPr>
          <w:kern w:val="0"/>
          <w:szCs w:val="21"/>
        </w:rPr>
        <w:t>2017</w:t>
      </w:r>
      <w:r w:rsidRPr="00D749D4">
        <w:rPr>
          <w:kern w:val="0"/>
          <w:szCs w:val="21"/>
        </w:rPr>
        <w:t>年</w:t>
      </w:r>
      <w:r w:rsidRPr="00D749D4">
        <w:rPr>
          <w:kern w:val="0"/>
          <w:szCs w:val="21"/>
        </w:rPr>
        <w:t>6</w:t>
      </w:r>
      <w:r w:rsidRPr="00D749D4">
        <w:rPr>
          <w:kern w:val="0"/>
          <w:szCs w:val="21"/>
        </w:rPr>
        <w:t>月</w:t>
      </w:r>
      <w:r w:rsidRPr="00D749D4">
        <w:rPr>
          <w:kern w:val="0"/>
          <w:szCs w:val="21"/>
        </w:rPr>
        <w:t>23</w:t>
      </w:r>
      <w:r w:rsidRPr="00D749D4">
        <w:rPr>
          <w:kern w:val="0"/>
          <w:szCs w:val="21"/>
        </w:rPr>
        <w:t>日正式生效，基金合同生效日的基金份额总额为</w:t>
      </w:r>
      <w:r w:rsidRPr="00D749D4">
        <w:rPr>
          <w:kern w:val="0"/>
          <w:szCs w:val="21"/>
        </w:rPr>
        <w:t>333,099,865.38</w:t>
      </w:r>
      <w:r w:rsidRPr="00D749D4">
        <w:rPr>
          <w:kern w:val="0"/>
          <w:szCs w:val="21"/>
        </w:rPr>
        <w:t>份基金份额，其中认购资金利息折合</w:t>
      </w:r>
      <w:r w:rsidRPr="00D749D4">
        <w:rPr>
          <w:kern w:val="0"/>
          <w:szCs w:val="21"/>
        </w:rPr>
        <w:t>51,429.79</w:t>
      </w:r>
      <w:r w:rsidRPr="00D749D4">
        <w:rPr>
          <w:kern w:val="0"/>
          <w:szCs w:val="21"/>
        </w:rPr>
        <w:t>份基金份额。本基金为契约型、上市开放式基金，存续期限不定。本基金的基金管理人为易方达基金管理有限公司，基金托管人为中国建设银行股份有限公司，境外资产托管人为道富银行。</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6.4.2</w:t>
      </w:r>
      <w:r w:rsidRPr="00740AC8">
        <w:rPr>
          <w:rFonts w:ascii="宋体" w:hAnsi="宋体" w:hint="eastAsia"/>
          <w:b/>
          <w:bCs/>
          <w:color w:val="000000"/>
          <w:kern w:val="0"/>
          <w:szCs w:val="21"/>
        </w:rPr>
        <w:t>会计报表的编制基础</w:t>
      </w:r>
    </w:p>
    <w:p w:rsidR="00CF426B" w:rsidRDefault="005F6DDD">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颁布的《证券投资基金会计核算业务指引》、《易方达纳斯达克</w:t>
      </w:r>
      <w:r>
        <w:rPr>
          <w:kern w:val="0"/>
          <w:szCs w:val="21"/>
        </w:rPr>
        <w:t>100</w:t>
      </w:r>
      <w:r>
        <w:rPr>
          <w:kern w:val="0"/>
          <w:szCs w:val="21"/>
        </w:rPr>
        <w:t>指数证券投资基金</w:t>
      </w:r>
      <w:r>
        <w:rPr>
          <w:kern w:val="0"/>
          <w:szCs w:val="21"/>
        </w:rPr>
        <w:t>(LOF)</w:t>
      </w:r>
      <w:r>
        <w:rPr>
          <w:kern w:val="0"/>
          <w:szCs w:val="21"/>
        </w:rPr>
        <w:t>基金合同》和财务报表附注所列示的中国证监会、中国基金业协会发布的有关规定及允许的基金行业实务操作编制。</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本财务报表以持续经营为基础编制。</w:t>
      </w:r>
      <w:r w:rsidRPr="00D749D4">
        <w:rPr>
          <w:kern w:val="0"/>
          <w:szCs w:val="21"/>
        </w:rPr>
        <w:t xml:space="preserve"> </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6.4.3</w:t>
      </w:r>
      <w:r w:rsidRPr="00740AC8">
        <w:rPr>
          <w:rFonts w:ascii="宋体" w:hAnsi="宋体" w:hint="eastAsia"/>
          <w:b/>
          <w:bCs/>
          <w:color w:val="000000"/>
          <w:kern w:val="0"/>
          <w:szCs w:val="21"/>
        </w:rPr>
        <w:t>遵循企业会计准则及其他有关规定的声明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本财务报表符合企业会计准则的要求，真实、完整地反映了本基金本报告期末的财务状况以及本报告期间的经营成果和基金净值变动情况等有关信息。</w:t>
      </w:r>
    </w:p>
    <w:p w:rsidR="00FF17B1" w:rsidRPr="00B44F95" w:rsidRDefault="00FF17B1" w:rsidP="00704A44">
      <w:pPr>
        <w:autoSpaceDE w:val="0"/>
        <w:autoSpaceDN w:val="0"/>
        <w:adjustRightInd w:val="0"/>
        <w:snapToGrid w:val="0"/>
        <w:spacing w:line="360" w:lineRule="auto"/>
        <w:ind w:firstLineChars="200" w:firstLine="422"/>
        <w:jc w:val="left"/>
        <w:rPr>
          <w:rFonts w:ascii="宋体" w:hAnsi="宋体"/>
          <w:b/>
          <w:color w:val="000000"/>
          <w:kern w:val="0"/>
          <w:szCs w:val="21"/>
        </w:rPr>
      </w:pPr>
      <w:r w:rsidRPr="00B44F95">
        <w:rPr>
          <w:rFonts w:ascii="宋体" w:hAnsi="宋体"/>
          <w:b/>
          <w:bCs/>
          <w:color w:val="000000"/>
          <w:kern w:val="0"/>
          <w:szCs w:val="21"/>
        </w:rPr>
        <w:t xml:space="preserve">6.4.4 </w:t>
      </w:r>
      <w:r w:rsidRPr="00B44F95">
        <w:rPr>
          <w:rFonts w:ascii="宋体" w:hAnsi="宋体"/>
          <w:b/>
          <w:kern w:val="0"/>
          <w:szCs w:val="21"/>
        </w:rPr>
        <w:t>本报告期所采用的会计政策、会计估计与最近一期年度报告相一致的说明</w:t>
      </w:r>
    </w:p>
    <w:p w:rsidR="00FF17B1" w:rsidRDefault="00FF17B1" w:rsidP="00AB0FF3">
      <w:pPr>
        <w:tabs>
          <w:tab w:val="left" w:pos="426"/>
        </w:tabs>
        <w:spacing w:line="360" w:lineRule="auto"/>
        <w:ind w:firstLineChars="200" w:firstLine="420"/>
        <w:jc w:val="left"/>
        <w:rPr>
          <w:kern w:val="0"/>
          <w:szCs w:val="21"/>
        </w:rPr>
      </w:pPr>
      <w:r w:rsidRPr="00AB0FF3">
        <w:rPr>
          <w:kern w:val="0"/>
          <w:szCs w:val="21"/>
        </w:rPr>
        <w:t>本报告期所采用的会计政策、会计估计与最近一期年度报告相一致。</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6.4.5 </w:t>
      </w:r>
      <w:r w:rsidRPr="00740AC8">
        <w:rPr>
          <w:rFonts w:ascii="宋体" w:hAnsi="宋体" w:hint="eastAsia"/>
          <w:b/>
          <w:bCs/>
          <w:color w:val="000000"/>
          <w:kern w:val="0"/>
          <w:szCs w:val="21"/>
        </w:rPr>
        <w:t>差错更正的说明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本基金本报告期无会计差错更正。</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6.4.6</w:t>
      </w:r>
      <w:r w:rsidRPr="00740AC8">
        <w:rPr>
          <w:rFonts w:ascii="宋体" w:hAnsi="宋体" w:hint="eastAsia"/>
          <w:b/>
          <w:bCs/>
          <w:color w:val="000000"/>
          <w:kern w:val="0"/>
          <w:szCs w:val="21"/>
        </w:rPr>
        <w:t>税项</w:t>
      </w:r>
    </w:p>
    <w:p w:rsidR="00CF426B" w:rsidRDefault="005F6DDD">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[2014]81</w:t>
      </w:r>
      <w:r>
        <w:rPr>
          <w:kern w:val="0"/>
          <w:szCs w:val="21"/>
        </w:rPr>
        <w:t>号《财政部国家税务总局证</w:t>
      </w:r>
      <w:r>
        <w:rPr>
          <w:kern w:val="0"/>
          <w:szCs w:val="21"/>
        </w:rPr>
        <w:lastRenderedPageBreak/>
        <w:t>监会关于沪港股票市场交易互联互通机制试点有关税收政策的通知》、财税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号《关于租入固定资产进项税额抵扣等增值税政策的通知》及其他相关境内外财税法规和实务操作</w:t>
      </w:r>
      <w:r>
        <w:rPr>
          <w:kern w:val="0"/>
          <w:szCs w:val="21"/>
        </w:rPr>
        <w:t>,</w:t>
      </w:r>
      <w:r>
        <w:rPr>
          <w:kern w:val="0"/>
          <w:szCs w:val="21"/>
        </w:rPr>
        <w:t>主要税项列示如下</w:t>
      </w:r>
      <w:r>
        <w:rPr>
          <w:kern w:val="0"/>
          <w:szCs w:val="21"/>
        </w:rPr>
        <w:t>:</w:t>
      </w:r>
    </w:p>
    <w:p w:rsidR="00CF426B" w:rsidRDefault="005F6DDD">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w:t>
      </w:r>
      <w:r>
        <w:rPr>
          <w:kern w:val="0"/>
          <w:szCs w:val="21"/>
        </w:rPr>
        <w:t>,</w:t>
      </w:r>
      <w:r>
        <w:rPr>
          <w:kern w:val="0"/>
          <w:szCs w:val="21"/>
        </w:rPr>
        <w:t>以资管产品管理人为增值税纳税人。资管产品管理人运营资管产品过程中发生的增值税应税行为</w:t>
      </w:r>
      <w:r>
        <w:rPr>
          <w:kern w:val="0"/>
          <w:szCs w:val="21"/>
        </w:rPr>
        <w:t>,</w:t>
      </w:r>
      <w:r>
        <w:rPr>
          <w:kern w:val="0"/>
          <w:szCs w:val="21"/>
        </w:rPr>
        <w:t>暂适用简易计税方法</w:t>
      </w:r>
      <w:r>
        <w:rPr>
          <w:kern w:val="0"/>
          <w:szCs w:val="21"/>
        </w:rPr>
        <w:t>,</w:t>
      </w:r>
      <w:r>
        <w:rPr>
          <w:kern w:val="0"/>
          <w:szCs w:val="21"/>
        </w:rPr>
        <w:t>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w:t>
      </w:r>
      <w:r>
        <w:rPr>
          <w:kern w:val="0"/>
          <w:szCs w:val="21"/>
        </w:rPr>
        <w:t>,</w:t>
      </w:r>
      <w:r>
        <w:rPr>
          <w:kern w:val="0"/>
          <w:szCs w:val="21"/>
        </w:rPr>
        <w:t>未缴纳增值税的</w:t>
      </w:r>
      <w:r>
        <w:rPr>
          <w:kern w:val="0"/>
          <w:szCs w:val="21"/>
        </w:rPr>
        <w:t>,</w:t>
      </w:r>
      <w:r>
        <w:rPr>
          <w:kern w:val="0"/>
          <w:szCs w:val="21"/>
        </w:rPr>
        <w:t>不再缴纳</w:t>
      </w:r>
      <w:r>
        <w:rPr>
          <w:kern w:val="0"/>
          <w:szCs w:val="21"/>
        </w:rPr>
        <w:t>;</w:t>
      </w:r>
      <w:r>
        <w:rPr>
          <w:kern w:val="0"/>
          <w:szCs w:val="21"/>
        </w:rPr>
        <w:t>已缴纳增值税的</w:t>
      </w:r>
      <w:r>
        <w:rPr>
          <w:kern w:val="0"/>
          <w:szCs w:val="21"/>
        </w:rPr>
        <w:t>,</w:t>
      </w:r>
      <w:r>
        <w:rPr>
          <w:kern w:val="0"/>
          <w:szCs w:val="21"/>
        </w:rPr>
        <w:t>已纳税额从资管产品管理人以后月份的增值税应纳税额中抵减。对证券投资基金管理人运用基金买卖股票、债券的转让收入免征增值税</w:t>
      </w:r>
      <w:r>
        <w:rPr>
          <w:kern w:val="0"/>
          <w:szCs w:val="21"/>
        </w:rPr>
        <w:t>,</w:t>
      </w:r>
      <w:r>
        <w:rPr>
          <w:kern w:val="0"/>
          <w:szCs w:val="21"/>
        </w:rPr>
        <w:t>对国债、地方政府债以及金融同业往来利息收入亦免征增值税。资管产品管理人运营资管产品提供的贷款服务</w:t>
      </w:r>
      <w:r>
        <w:rPr>
          <w:kern w:val="0"/>
          <w:szCs w:val="21"/>
        </w:rPr>
        <w:t>,</w:t>
      </w:r>
      <w:r>
        <w:rPr>
          <w:kern w:val="0"/>
          <w:szCs w:val="21"/>
        </w:rPr>
        <w:t>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w:t>
      </w:r>
      <w:r>
        <w:rPr>
          <w:kern w:val="0"/>
          <w:szCs w:val="21"/>
        </w:rPr>
        <w:t>,</w:t>
      </w:r>
      <w:r>
        <w:rPr>
          <w:kern w:val="0"/>
          <w:szCs w:val="21"/>
        </w:rPr>
        <w:t>可以选择按照实际买入价计算销售额</w:t>
      </w:r>
      <w:r>
        <w:rPr>
          <w:kern w:val="0"/>
          <w:szCs w:val="21"/>
        </w:rPr>
        <w:t>,</w:t>
      </w:r>
      <w:r>
        <w:rPr>
          <w:kern w:val="0"/>
          <w:szCs w:val="21"/>
        </w:rPr>
        <w:t>或者以</w:t>
      </w:r>
      <w:r>
        <w:rPr>
          <w:kern w:val="0"/>
          <w:szCs w:val="21"/>
        </w:rPr>
        <w:t>2017</w:t>
      </w:r>
      <w:r>
        <w:rPr>
          <w:kern w:val="0"/>
          <w:szCs w:val="21"/>
        </w:rPr>
        <w:t>年最后一个交易日的基金份额净值、非货物期货结算价格作为买入价计算销售额。</w:t>
      </w:r>
    </w:p>
    <w:p w:rsidR="00CF426B" w:rsidRDefault="005F6DDD">
      <w:pPr>
        <w:tabs>
          <w:tab w:val="left" w:pos="426"/>
        </w:tabs>
        <w:spacing w:line="360" w:lineRule="auto"/>
        <w:ind w:firstLineChars="200" w:firstLine="420"/>
        <w:jc w:val="left"/>
        <w:rPr>
          <w:kern w:val="0"/>
          <w:szCs w:val="21"/>
        </w:rPr>
      </w:pPr>
      <w:r>
        <w:rPr>
          <w:kern w:val="0"/>
          <w:szCs w:val="21"/>
        </w:rPr>
        <w:t>(2)</w:t>
      </w:r>
      <w:r>
        <w:rPr>
          <w:kern w:val="0"/>
          <w:szCs w:val="21"/>
        </w:rPr>
        <w:t>目前基金取得的源自境外的差价收入</w:t>
      </w:r>
      <w:r>
        <w:rPr>
          <w:kern w:val="0"/>
          <w:szCs w:val="21"/>
        </w:rPr>
        <w:t>,</w:t>
      </w:r>
      <w:r>
        <w:rPr>
          <w:kern w:val="0"/>
          <w:szCs w:val="21"/>
        </w:rPr>
        <w:t>其涉及的境外所得税税收政策</w:t>
      </w:r>
      <w:r>
        <w:rPr>
          <w:kern w:val="0"/>
          <w:szCs w:val="21"/>
        </w:rPr>
        <w:t>,</w:t>
      </w:r>
      <w:r>
        <w:rPr>
          <w:kern w:val="0"/>
          <w:szCs w:val="21"/>
        </w:rPr>
        <w:t>按照相关国家或地区税收法律和法规执行</w:t>
      </w:r>
      <w:r>
        <w:rPr>
          <w:kern w:val="0"/>
          <w:szCs w:val="21"/>
        </w:rPr>
        <w:t>,</w:t>
      </w:r>
      <w:r>
        <w:rPr>
          <w:kern w:val="0"/>
          <w:szCs w:val="21"/>
        </w:rPr>
        <w:t>在境内暂不征收企业所得税。</w:t>
      </w:r>
    </w:p>
    <w:p w:rsidR="00CF426B" w:rsidRDefault="005F6DDD">
      <w:pPr>
        <w:tabs>
          <w:tab w:val="left" w:pos="426"/>
        </w:tabs>
        <w:spacing w:line="360" w:lineRule="auto"/>
        <w:ind w:firstLineChars="200" w:firstLine="420"/>
        <w:jc w:val="left"/>
        <w:rPr>
          <w:kern w:val="0"/>
          <w:szCs w:val="21"/>
        </w:rPr>
      </w:pPr>
      <w:r>
        <w:rPr>
          <w:kern w:val="0"/>
          <w:szCs w:val="21"/>
        </w:rPr>
        <w:t>(3)</w:t>
      </w:r>
      <w:r>
        <w:rPr>
          <w:kern w:val="0"/>
          <w:szCs w:val="21"/>
        </w:rPr>
        <w:t>目前基金取得的源自境外的股利收益</w:t>
      </w:r>
      <w:r>
        <w:rPr>
          <w:kern w:val="0"/>
          <w:szCs w:val="21"/>
        </w:rPr>
        <w:t>,</w:t>
      </w:r>
      <w:r>
        <w:rPr>
          <w:kern w:val="0"/>
          <w:szCs w:val="21"/>
        </w:rPr>
        <w:t>其涉及的境外所得税税收政策</w:t>
      </w:r>
      <w:r>
        <w:rPr>
          <w:kern w:val="0"/>
          <w:szCs w:val="21"/>
        </w:rPr>
        <w:t>,</w:t>
      </w:r>
      <w:r>
        <w:rPr>
          <w:kern w:val="0"/>
          <w:szCs w:val="21"/>
        </w:rPr>
        <w:t>按照相关国家或地区税收法律和法规执行</w:t>
      </w:r>
      <w:r>
        <w:rPr>
          <w:kern w:val="0"/>
          <w:szCs w:val="21"/>
        </w:rPr>
        <w:t>,</w:t>
      </w:r>
      <w:r>
        <w:rPr>
          <w:kern w:val="0"/>
          <w:szCs w:val="21"/>
        </w:rPr>
        <w:t>在境内暂不征收个人所得税和企业所得税。对基金通过沪港通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w:t>
      </w:r>
      <w:r>
        <w:rPr>
          <w:kern w:val="0"/>
          <w:szCs w:val="21"/>
        </w:rPr>
        <w:t>,</w:t>
      </w:r>
      <w:r>
        <w:rPr>
          <w:kern w:val="0"/>
          <w:szCs w:val="21"/>
        </w:rPr>
        <w:t>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w:t>
      </w:r>
      <w:r>
        <w:rPr>
          <w:kern w:val="0"/>
          <w:szCs w:val="21"/>
        </w:rPr>
        <w:t>,</w:t>
      </w:r>
      <w:r>
        <w:rPr>
          <w:kern w:val="0"/>
          <w:szCs w:val="21"/>
        </w:rPr>
        <w:t>由中国结算按照</w:t>
      </w:r>
      <w:r>
        <w:rPr>
          <w:kern w:val="0"/>
          <w:szCs w:val="21"/>
        </w:rPr>
        <w:t>20%</w:t>
      </w:r>
      <w:r>
        <w:rPr>
          <w:kern w:val="0"/>
          <w:szCs w:val="21"/>
        </w:rPr>
        <w:t>的税率代扣个人所得税。</w:t>
      </w:r>
    </w:p>
    <w:p w:rsidR="00CF426B" w:rsidRDefault="005F6DDD">
      <w:pPr>
        <w:tabs>
          <w:tab w:val="left" w:pos="426"/>
        </w:tabs>
        <w:spacing w:line="360" w:lineRule="auto"/>
        <w:ind w:firstLineChars="200" w:firstLine="420"/>
        <w:jc w:val="left"/>
        <w:rPr>
          <w:kern w:val="0"/>
          <w:szCs w:val="21"/>
        </w:rPr>
      </w:pPr>
      <w:r>
        <w:rPr>
          <w:kern w:val="0"/>
          <w:szCs w:val="21"/>
        </w:rPr>
        <w:t>(4)</w:t>
      </w:r>
      <w:r>
        <w:rPr>
          <w:kern w:val="0"/>
          <w:szCs w:val="21"/>
        </w:rPr>
        <w:t>基金通过沪港通</w:t>
      </w:r>
      <w:r>
        <w:rPr>
          <w:kern w:val="0"/>
          <w:szCs w:val="21"/>
        </w:rPr>
        <w:t>/</w:t>
      </w:r>
      <w:r>
        <w:rPr>
          <w:kern w:val="0"/>
          <w:szCs w:val="21"/>
        </w:rPr>
        <w:t>深港通买卖、继承、赠与联交所上市股票</w:t>
      </w:r>
      <w:r>
        <w:rPr>
          <w:kern w:val="0"/>
          <w:szCs w:val="21"/>
        </w:rPr>
        <w:t>,</w:t>
      </w:r>
      <w:r>
        <w:rPr>
          <w:kern w:val="0"/>
          <w:szCs w:val="21"/>
        </w:rPr>
        <w:t>按照香港特别行政区现行税法规定缴纳印花税。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(5)</w:t>
      </w:r>
      <w:r w:rsidRPr="00D749D4">
        <w:rPr>
          <w:kern w:val="0"/>
          <w:szCs w:val="21"/>
        </w:rPr>
        <w:t>本基金的城市维护建设税、教育费附加和地方教育附加等税费按照实际缴纳增值税额的适用比例计算缴纳。</w:t>
      </w:r>
    </w:p>
    <w:p w:rsidR="00711C4C" w:rsidRPr="00BE2F8C" w:rsidRDefault="00711C4C" w:rsidP="00BE2F8C">
      <w:pPr>
        <w:spacing w:line="360" w:lineRule="auto"/>
        <w:ind w:firstLineChars="197" w:firstLine="415"/>
        <w:rPr>
          <w:rFonts w:ascii="宋体"/>
          <w:b/>
          <w:bCs/>
          <w:color w:val="000000"/>
          <w:kern w:val="0"/>
          <w:szCs w:val="21"/>
        </w:rPr>
      </w:pPr>
      <w:r w:rsidRPr="00BE2F8C">
        <w:rPr>
          <w:rFonts w:ascii="宋体"/>
          <w:b/>
          <w:bCs/>
          <w:color w:val="000000"/>
          <w:kern w:val="0"/>
          <w:szCs w:val="21"/>
        </w:rPr>
        <w:t>6.4.7</w:t>
      </w:r>
      <w:r w:rsidRPr="00BE2F8C">
        <w:rPr>
          <w:rFonts w:ascii="宋体" w:hint="eastAsia"/>
          <w:b/>
          <w:bCs/>
          <w:color w:val="000000"/>
          <w:kern w:val="0"/>
          <w:szCs w:val="21"/>
        </w:rPr>
        <w:t>重要财务报表项目的说明</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6.4.7.1</w:t>
      </w:r>
      <w:r w:rsidRPr="00740AC8">
        <w:rPr>
          <w:rFonts w:ascii="宋体" w:hAnsi="宋体" w:hint="eastAsia"/>
          <w:b/>
          <w:bCs/>
          <w:color w:val="000000"/>
          <w:kern w:val="0"/>
          <w:szCs w:val="21"/>
        </w:rPr>
        <w:t>银行存款</w:t>
      </w:r>
    </w:p>
    <w:p w:rsidR="00D74B55" w:rsidRDefault="00D74B55" w:rsidP="00D74B55">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D74B55" w:rsidTr="00683B2A">
        <w:trPr>
          <w:trHeight w:val="345"/>
          <w:jc w:val="center"/>
        </w:trPr>
        <w:tc>
          <w:tcPr>
            <w:tcW w:w="3766" w:type="dxa"/>
            <w:tcMar>
              <w:top w:w="15" w:type="dxa"/>
              <w:left w:w="15" w:type="dxa"/>
              <w:bottom w:w="0" w:type="dxa"/>
              <w:right w:w="15" w:type="dxa"/>
            </w:tcMar>
            <w:vAlign w:val="center"/>
            <w:hideMark/>
          </w:tcPr>
          <w:p w:rsidR="00D74B55" w:rsidRDefault="00D74B55" w:rsidP="0021645F">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D74B55" w:rsidRDefault="00D74B55" w:rsidP="0021645F">
            <w:pPr>
              <w:jc w:val="center"/>
              <w:rPr>
                <w:kern w:val="0"/>
                <w:szCs w:val="21"/>
              </w:rPr>
            </w:pPr>
            <w:r>
              <w:rPr>
                <w:rFonts w:hAnsi="宋体" w:hint="eastAsia"/>
                <w:kern w:val="0"/>
                <w:szCs w:val="21"/>
              </w:rPr>
              <w:t>本期末</w:t>
            </w:r>
          </w:p>
          <w:p w:rsidR="00D74B55" w:rsidRDefault="00D74B55" w:rsidP="0021645F">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38,918,153.62</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38,918,153.62</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6.4.7.2</w:t>
      </w:r>
      <w:r w:rsidRPr="00740AC8">
        <w:rPr>
          <w:rFonts w:ascii="宋体" w:hAnsi="宋体" w:hint="eastAsia"/>
          <w:b/>
          <w:bCs/>
          <w:color w:val="000000"/>
          <w:kern w:val="0"/>
          <w:szCs w:val="21"/>
        </w:rPr>
        <w:t>交易性金融资产</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11C4C" w:rsidRPr="00D749D4" w:rsidTr="00417241">
        <w:trPr>
          <w:trHeight w:val="255"/>
          <w:jc w:val="center"/>
        </w:trPr>
        <w:tc>
          <w:tcPr>
            <w:tcW w:w="2268" w:type="dxa"/>
            <w:gridSpan w:val="2"/>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项目</w:t>
            </w:r>
          </w:p>
        </w:tc>
        <w:tc>
          <w:tcPr>
            <w:tcW w:w="7018" w:type="dxa"/>
            <w:gridSpan w:val="3"/>
            <w:vAlign w:val="center"/>
          </w:tcPr>
          <w:p w:rsidR="00711C4C" w:rsidRPr="00D749D4" w:rsidRDefault="00711C4C" w:rsidP="004A4847">
            <w:pPr>
              <w:jc w:val="center"/>
              <w:rPr>
                <w:color w:val="000000"/>
                <w:kern w:val="0"/>
                <w:szCs w:val="21"/>
              </w:rPr>
            </w:pPr>
            <w:r w:rsidRPr="00D749D4">
              <w:rPr>
                <w:rFonts w:hint="eastAsia"/>
                <w:color w:val="000000"/>
                <w:kern w:val="0"/>
                <w:szCs w:val="21"/>
              </w:rPr>
              <w:t>本期末</w:t>
            </w:r>
          </w:p>
          <w:p w:rsidR="00711C4C" w:rsidRPr="00D749D4" w:rsidRDefault="00711C4C" w:rsidP="004A4847">
            <w:pPr>
              <w:jc w:val="center"/>
              <w:rPr>
                <w:color w:val="000000"/>
                <w:kern w:val="0"/>
                <w:szCs w:val="21"/>
              </w:rPr>
            </w:pPr>
            <w:r w:rsidRPr="00D749D4">
              <w:rPr>
                <w:color w:val="000000"/>
                <w:kern w:val="0"/>
                <w:szCs w:val="21"/>
              </w:rPr>
              <w:t>2020</w:t>
            </w:r>
            <w:r w:rsidRPr="00D749D4">
              <w:rPr>
                <w:color w:val="000000"/>
                <w:kern w:val="0"/>
                <w:szCs w:val="21"/>
              </w:rPr>
              <w:t>年</w:t>
            </w:r>
            <w:r w:rsidRPr="00D749D4">
              <w:rPr>
                <w:color w:val="000000"/>
                <w:kern w:val="0"/>
                <w:szCs w:val="21"/>
              </w:rPr>
              <w:t>6</w:t>
            </w:r>
            <w:r w:rsidRPr="00D749D4">
              <w:rPr>
                <w:color w:val="000000"/>
                <w:kern w:val="0"/>
                <w:szCs w:val="21"/>
              </w:rPr>
              <w:t>月</w:t>
            </w:r>
            <w:r w:rsidRPr="00D749D4">
              <w:rPr>
                <w:color w:val="000000"/>
                <w:kern w:val="0"/>
                <w:szCs w:val="21"/>
              </w:rPr>
              <w:t>30</w:t>
            </w:r>
            <w:r w:rsidRPr="00D749D4">
              <w:rPr>
                <w:color w:val="000000"/>
                <w:kern w:val="0"/>
                <w:szCs w:val="21"/>
              </w:rPr>
              <w:t>日</w:t>
            </w:r>
          </w:p>
        </w:tc>
      </w:tr>
      <w:tr w:rsidR="00711C4C" w:rsidRPr="00D749D4" w:rsidTr="00417241">
        <w:trPr>
          <w:trHeight w:val="270"/>
          <w:jc w:val="center"/>
        </w:trPr>
        <w:tc>
          <w:tcPr>
            <w:tcW w:w="10726" w:type="dxa"/>
            <w:gridSpan w:val="2"/>
            <w:vMerge/>
            <w:vAlign w:val="center"/>
          </w:tcPr>
          <w:p w:rsidR="00711C4C" w:rsidRPr="00D749D4" w:rsidRDefault="00711C4C" w:rsidP="004A4847">
            <w:pPr>
              <w:widowControl/>
              <w:jc w:val="left"/>
              <w:rPr>
                <w:color w:val="000000"/>
                <w:kern w:val="0"/>
                <w:szCs w:val="21"/>
              </w:rPr>
            </w:pP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成本</w:t>
            </w: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w:t>
            </w:r>
          </w:p>
        </w:tc>
        <w:tc>
          <w:tcPr>
            <w:tcW w:w="234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公允价值变动</w:t>
            </w:r>
          </w:p>
        </w:tc>
      </w:tr>
      <w:tr w:rsidR="00711C4C" w:rsidRPr="00D749D4" w:rsidTr="00417241">
        <w:trPr>
          <w:trHeight w:val="270"/>
          <w:jc w:val="center"/>
        </w:trPr>
        <w:tc>
          <w:tcPr>
            <w:tcW w:w="2268" w:type="dxa"/>
            <w:gridSpan w:val="2"/>
            <w:vAlign w:val="center"/>
          </w:tcPr>
          <w:p w:rsidR="00711C4C" w:rsidRPr="00D749D4" w:rsidRDefault="00711C4C" w:rsidP="004A4847">
            <w:pPr>
              <w:widowControl/>
              <w:rPr>
                <w:color w:val="000000"/>
                <w:kern w:val="0"/>
                <w:szCs w:val="21"/>
              </w:rPr>
            </w:pPr>
            <w:r w:rsidRPr="00D749D4">
              <w:rPr>
                <w:rFonts w:hint="eastAsia"/>
                <w:color w:val="000000"/>
                <w:kern w:val="0"/>
                <w:szCs w:val="21"/>
              </w:rPr>
              <w:t>股票</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496,663,054.42</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588,488,753.30</w:t>
            </w:r>
          </w:p>
        </w:tc>
        <w:tc>
          <w:tcPr>
            <w:tcW w:w="2340" w:type="dxa"/>
            <w:vAlign w:val="center"/>
          </w:tcPr>
          <w:p w:rsidR="00711C4C" w:rsidRPr="00D749D4" w:rsidRDefault="00711C4C" w:rsidP="004A4847">
            <w:pPr>
              <w:jc w:val="right"/>
              <w:rPr>
                <w:color w:val="000000"/>
                <w:kern w:val="0"/>
                <w:szCs w:val="21"/>
              </w:rPr>
            </w:pPr>
            <w:r w:rsidRPr="00D749D4">
              <w:rPr>
                <w:color w:val="000000"/>
                <w:kern w:val="0"/>
                <w:szCs w:val="21"/>
              </w:rPr>
              <w:t>91,825,698.88</w:t>
            </w:r>
          </w:p>
        </w:tc>
      </w:tr>
      <w:tr w:rsidR="000F3F09" w:rsidRPr="00D749D4" w:rsidTr="00417241">
        <w:trPr>
          <w:trHeight w:val="270"/>
          <w:jc w:val="center"/>
        </w:trPr>
        <w:tc>
          <w:tcPr>
            <w:tcW w:w="2268" w:type="dxa"/>
            <w:gridSpan w:val="2"/>
            <w:vAlign w:val="center"/>
          </w:tcPr>
          <w:p w:rsidR="000F3F09" w:rsidRPr="00224952" w:rsidRDefault="000F3F09" w:rsidP="000F3F09">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40"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r>
      <w:tr w:rsidR="000F3F09" w:rsidRPr="00D749D4" w:rsidTr="00417241">
        <w:trPr>
          <w:trHeight w:val="285"/>
          <w:jc w:val="center"/>
        </w:trPr>
        <w:tc>
          <w:tcPr>
            <w:tcW w:w="828" w:type="dxa"/>
            <w:vMerge w:val="restart"/>
            <w:vAlign w:val="center"/>
          </w:tcPr>
          <w:p w:rsidR="000F3F09" w:rsidRPr="00D749D4" w:rsidRDefault="000F3F09" w:rsidP="000F3F09">
            <w:pPr>
              <w:jc w:val="center"/>
              <w:rPr>
                <w:color w:val="000000"/>
                <w:kern w:val="0"/>
                <w:szCs w:val="21"/>
              </w:rPr>
            </w:pPr>
            <w:r w:rsidRPr="00D749D4">
              <w:rPr>
                <w:rFonts w:hint="eastAsia"/>
                <w:color w:val="000000"/>
                <w:kern w:val="0"/>
                <w:szCs w:val="21"/>
              </w:rPr>
              <w:t>债券</w:t>
            </w:r>
          </w:p>
        </w:tc>
        <w:tc>
          <w:tcPr>
            <w:tcW w:w="1440" w:type="dxa"/>
            <w:vAlign w:val="center"/>
          </w:tcPr>
          <w:p w:rsidR="000F3F09" w:rsidRPr="00D749D4" w:rsidRDefault="000F3F09" w:rsidP="000F3F09">
            <w:pPr>
              <w:jc w:val="left"/>
              <w:rPr>
                <w:color w:val="000000"/>
                <w:kern w:val="0"/>
                <w:szCs w:val="21"/>
              </w:rPr>
            </w:pPr>
            <w:r w:rsidRPr="00D749D4">
              <w:rPr>
                <w:rFonts w:hint="eastAsia"/>
                <w:color w:val="000000"/>
                <w:kern w:val="0"/>
                <w:szCs w:val="21"/>
              </w:rPr>
              <w:t>交易所市场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jc w:val="left"/>
              <w:rPr>
                <w:color w:val="000000"/>
                <w:kern w:val="0"/>
                <w:szCs w:val="21"/>
              </w:rPr>
            </w:pPr>
            <w:r w:rsidRPr="00D749D4">
              <w:rPr>
                <w:rFonts w:hint="eastAsia"/>
                <w:color w:val="000000"/>
                <w:kern w:val="0"/>
                <w:szCs w:val="21"/>
              </w:rPr>
              <w:t>银行间市场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40" w:type="dxa"/>
            <w:vAlign w:val="center"/>
          </w:tcPr>
          <w:p w:rsidR="000F3F09" w:rsidRPr="00D749D4" w:rsidRDefault="000F3F09" w:rsidP="000F3F09">
            <w:pPr>
              <w:jc w:val="right"/>
              <w:rPr>
                <w:color w:val="000000"/>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资产支持证券</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基金</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其他</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jc w:val="center"/>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szCs w:val="21"/>
              </w:rPr>
            </w:pPr>
            <w:r w:rsidRPr="00D749D4">
              <w:rPr>
                <w:szCs w:val="21"/>
              </w:rPr>
              <w:t>496,663,054.42</w:t>
            </w:r>
          </w:p>
        </w:tc>
        <w:tc>
          <w:tcPr>
            <w:tcW w:w="2339" w:type="dxa"/>
            <w:vAlign w:val="center"/>
          </w:tcPr>
          <w:p w:rsidR="000F3F09" w:rsidRPr="00D749D4" w:rsidRDefault="000F3F09" w:rsidP="000F3F09">
            <w:pPr>
              <w:jc w:val="right"/>
              <w:rPr>
                <w:szCs w:val="21"/>
              </w:rPr>
            </w:pPr>
            <w:r w:rsidRPr="00D749D4">
              <w:rPr>
                <w:szCs w:val="21"/>
              </w:rPr>
              <w:t>588,488,753.30</w:t>
            </w:r>
          </w:p>
        </w:tc>
        <w:tc>
          <w:tcPr>
            <w:tcW w:w="2340" w:type="dxa"/>
            <w:vAlign w:val="center"/>
          </w:tcPr>
          <w:p w:rsidR="000F3F09" w:rsidRPr="00D749D4" w:rsidRDefault="000F3F09" w:rsidP="000F3F09">
            <w:pPr>
              <w:jc w:val="right"/>
              <w:rPr>
                <w:szCs w:val="21"/>
              </w:rPr>
            </w:pPr>
            <w:r w:rsidRPr="00D749D4">
              <w:rPr>
                <w:szCs w:val="21"/>
              </w:rPr>
              <w:t>91,825,698.88</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股票</w:t>
      </w:r>
      <w:r w:rsidRPr="00D749D4">
        <w:rPr>
          <w:kern w:val="0"/>
          <w:szCs w:val="21"/>
        </w:rPr>
        <w:t>”</w:t>
      </w:r>
      <w:r w:rsidRPr="00D749D4">
        <w:rPr>
          <w:kern w:val="0"/>
          <w:szCs w:val="21"/>
        </w:rPr>
        <w:t>包括普通股、存托凭证和优先股等。</w:t>
      </w:r>
    </w:p>
    <w:p w:rsidR="00711C4C" w:rsidRPr="00D749D4" w:rsidRDefault="00711C4C" w:rsidP="00DB1E0B">
      <w:pPr>
        <w:spacing w:line="360" w:lineRule="auto"/>
        <w:ind w:firstLineChars="197" w:firstLine="414"/>
        <w:rPr>
          <w:b/>
          <w:color w:val="000000"/>
          <w:szCs w:val="21"/>
        </w:rPr>
      </w:pPr>
      <w:r w:rsidRPr="00D749D4">
        <w:rPr>
          <w:color w:val="000000"/>
          <w:szCs w:val="21"/>
        </w:rPr>
        <w:tab/>
      </w:r>
      <w:r w:rsidRPr="00740AC8">
        <w:rPr>
          <w:rFonts w:ascii="宋体" w:hAnsi="宋体"/>
          <w:b/>
          <w:bCs/>
          <w:color w:val="000000"/>
          <w:kern w:val="0"/>
          <w:szCs w:val="21"/>
        </w:rPr>
        <w:t>6.4.7.3</w:t>
      </w:r>
      <w:r w:rsidRPr="00740AC8">
        <w:rPr>
          <w:rFonts w:ascii="宋体" w:hAnsi="宋体" w:hint="eastAsia"/>
          <w:b/>
          <w:bCs/>
          <w:color w:val="000000"/>
          <w:kern w:val="0"/>
          <w:szCs w:val="21"/>
        </w:rPr>
        <w:t>衍生金融资产</w:t>
      </w:r>
      <w:r w:rsidRPr="00740AC8">
        <w:rPr>
          <w:rFonts w:ascii="宋体" w:hAnsi="宋体"/>
          <w:b/>
          <w:bCs/>
          <w:color w:val="000000"/>
          <w:kern w:val="0"/>
          <w:szCs w:val="21"/>
        </w:rPr>
        <w:t>/</w:t>
      </w:r>
      <w:r w:rsidRPr="00740AC8">
        <w:rPr>
          <w:rFonts w:ascii="宋体" w:hAnsi="宋体" w:hint="eastAsia"/>
          <w:b/>
          <w:bCs/>
          <w:color w:val="000000"/>
          <w:kern w:val="0"/>
          <w:szCs w:val="21"/>
        </w:rPr>
        <w:t>负债</w:t>
      </w:r>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单位：</w:t>
      </w:r>
      <w:r w:rsidRPr="00D749D4">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711C4C" w:rsidRPr="00D749D4" w:rsidTr="00417241">
        <w:tc>
          <w:tcPr>
            <w:tcW w:w="2340" w:type="dxa"/>
            <w:vMerge w:val="restart"/>
            <w:vAlign w:val="center"/>
          </w:tcPr>
          <w:p w:rsidR="00711C4C" w:rsidRPr="00D749D4" w:rsidRDefault="00711C4C" w:rsidP="004A4847">
            <w:pPr>
              <w:jc w:val="center"/>
              <w:rPr>
                <w:color w:val="000000"/>
                <w:szCs w:val="21"/>
              </w:rPr>
            </w:pPr>
            <w:r w:rsidRPr="00D749D4">
              <w:rPr>
                <w:rFonts w:hint="eastAsia"/>
                <w:color w:val="000000"/>
                <w:kern w:val="0"/>
                <w:szCs w:val="21"/>
              </w:rPr>
              <w:t>项目</w:t>
            </w:r>
          </w:p>
        </w:tc>
        <w:tc>
          <w:tcPr>
            <w:tcW w:w="6660" w:type="dxa"/>
            <w:gridSpan w:val="4"/>
            <w:vAlign w:val="center"/>
          </w:tcPr>
          <w:p w:rsidR="00711C4C" w:rsidRPr="00D749D4" w:rsidRDefault="00711C4C" w:rsidP="004A4847">
            <w:pPr>
              <w:jc w:val="center"/>
              <w:rPr>
                <w:color w:val="000000"/>
                <w:kern w:val="0"/>
                <w:szCs w:val="21"/>
              </w:rPr>
            </w:pPr>
            <w:r w:rsidRPr="00D749D4">
              <w:rPr>
                <w:rFonts w:hint="eastAsia"/>
                <w:color w:val="000000"/>
                <w:kern w:val="0"/>
                <w:szCs w:val="21"/>
              </w:rPr>
              <w:t>本期末</w:t>
            </w:r>
          </w:p>
          <w:p w:rsidR="00711C4C" w:rsidRPr="00D749D4" w:rsidRDefault="00711C4C" w:rsidP="004A4847">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417241">
        <w:tc>
          <w:tcPr>
            <w:tcW w:w="2340" w:type="dxa"/>
            <w:vMerge/>
            <w:vAlign w:val="center"/>
          </w:tcPr>
          <w:p w:rsidR="00711C4C" w:rsidRPr="00D749D4" w:rsidRDefault="00711C4C" w:rsidP="004A4847">
            <w:pPr>
              <w:rPr>
                <w:color w:val="000000"/>
                <w:kern w:val="0"/>
                <w:szCs w:val="21"/>
              </w:rPr>
            </w:pPr>
          </w:p>
        </w:tc>
        <w:tc>
          <w:tcPr>
            <w:tcW w:w="1980" w:type="dxa"/>
            <w:vMerge w:val="restart"/>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合同</w:t>
            </w:r>
            <w:r w:rsidRPr="00D749D4">
              <w:rPr>
                <w:color w:val="000000"/>
                <w:kern w:val="0"/>
                <w:szCs w:val="21"/>
              </w:rPr>
              <w:t>/</w:t>
            </w:r>
            <w:r w:rsidRPr="00D749D4">
              <w:rPr>
                <w:rFonts w:hint="eastAsia"/>
                <w:color w:val="000000"/>
                <w:kern w:val="0"/>
                <w:szCs w:val="21"/>
              </w:rPr>
              <w:t>名义</w:t>
            </w:r>
          </w:p>
          <w:p w:rsidR="00711C4C" w:rsidRPr="00D749D4" w:rsidRDefault="00711C4C" w:rsidP="004A4847">
            <w:pPr>
              <w:jc w:val="center"/>
              <w:rPr>
                <w:color w:val="000000"/>
                <w:szCs w:val="21"/>
              </w:rPr>
            </w:pPr>
            <w:r w:rsidRPr="00D749D4">
              <w:rPr>
                <w:rFonts w:hint="eastAsia"/>
                <w:color w:val="000000"/>
                <w:kern w:val="0"/>
                <w:szCs w:val="21"/>
              </w:rPr>
              <w:t>金额</w:t>
            </w:r>
          </w:p>
        </w:tc>
        <w:tc>
          <w:tcPr>
            <w:tcW w:w="3600" w:type="dxa"/>
            <w:gridSpan w:val="2"/>
            <w:vAlign w:val="center"/>
          </w:tcPr>
          <w:p w:rsidR="00711C4C" w:rsidRPr="00D749D4" w:rsidRDefault="00711C4C" w:rsidP="004A4847">
            <w:pPr>
              <w:jc w:val="center"/>
              <w:rPr>
                <w:color w:val="000000"/>
                <w:szCs w:val="21"/>
              </w:rPr>
            </w:pPr>
            <w:r w:rsidRPr="00D749D4">
              <w:rPr>
                <w:rFonts w:hint="eastAsia"/>
                <w:color w:val="000000"/>
                <w:kern w:val="0"/>
                <w:szCs w:val="21"/>
              </w:rPr>
              <w:t>公允价值</w:t>
            </w:r>
          </w:p>
        </w:tc>
        <w:tc>
          <w:tcPr>
            <w:tcW w:w="1080" w:type="dxa"/>
            <w:vMerge w:val="restart"/>
            <w:vAlign w:val="center"/>
          </w:tcPr>
          <w:p w:rsidR="00711C4C" w:rsidRPr="00D749D4" w:rsidRDefault="00711C4C" w:rsidP="004A4847">
            <w:pPr>
              <w:jc w:val="center"/>
              <w:rPr>
                <w:color w:val="000000"/>
                <w:szCs w:val="21"/>
              </w:rPr>
            </w:pPr>
            <w:r w:rsidRPr="00D749D4">
              <w:rPr>
                <w:rFonts w:hint="eastAsia"/>
                <w:color w:val="000000"/>
                <w:kern w:val="0"/>
                <w:szCs w:val="21"/>
              </w:rPr>
              <w:t>备注</w:t>
            </w:r>
          </w:p>
        </w:tc>
      </w:tr>
      <w:tr w:rsidR="00711C4C" w:rsidRPr="00D749D4" w:rsidTr="00417241">
        <w:tc>
          <w:tcPr>
            <w:tcW w:w="2340" w:type="dxa"/>
            <w:vMerge/>
            <w:vAlign w:val="center"/>
          </w:tcPr>
          <w:p w:rsidR="00711C4C" w:rsidRPr="00D749D4" w:rsidRDefault="00711C4C" w:rsidP="004A4847">
            <w:pPr>
              <w:widowControl/>
              <w:jc w:val="left"/>
              <w:rPr>
                <w:color w:val="000000"/>
                <w:kern w:val="0"/>
                <w:szCs w:val="21"/>
              </w:rPr>
            </w:pPr>
          </w:p>
        </w:tc>
        <w:tc>
          <w:tcPr>
            <w:tcW w:w="1980" w:type="dxa"/>
            <w:vMerge/>
            <w:vAlign w:val="center"/>
          </w:tcPr>
          <w:p w:rsidR="00711C4C" w:rsidRPr="00D749D4" w:rsidRDefault="00711C4C" w:rsidP="004A4847">
            <w:pPr>
              <w:widowControl/>
              <w:jc w:val="left"/>
              <w:rPr>
                <w:color w:val="000000"/>
                <w:szCs w:val="21"/>
              </w:rPr>
            </w:pPr>
          </w:p>
        </w:tc>
        <w:tc>
          <w:tcPr>
            <w:tcW w:w="16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资产</w:t>
            </w:r>
          </w:p>
        </w:tc>
        <w:tc>
          <w:tcPr>
            <w:tcW w:w="198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负债</w:t>
            </w:r>
          </w:p>
        </w:tc>
        <w:tc>
          <w:tcPr>
            <w:tcW w:w="1080" w:type="dxa"/>
            <w:vMerge/>
            <w:vAlign w:val="center"/>
          </w:tcPr>
          <w:p w:rsidR="00711C4C" w:rsidRPr="00D749D4" w:rsidRDefault="00711C4C" w:rsidP="004A4847">
            <w:pPr>
              <w:widowControl/>
              <w:jc w:val="left"/>
              <w:rPr>
                <w:color w:val="000000"/>
                <w:szCs w:val="21"/>
              </w:rPr>
            </w:pPr>
          </w:p>
        </w:tc>
      </w:tr>
      <w:tr w:rsidR="00711C4C" w:rsidRPr="00D749D4" w:rsidTr="00417241">
        <w:tc>
          <w:tcPr>
            <w:tcW w:w="2340" w:type="dxa"/>
            <w:vAlign w:val="center"/>
          </w:tcPr>
          <w:p w:rsidR="00711C4C" w:rsidRPr="00D749D4" w:rsidRDefault="00711C4C" w:rsidP="004A4847">
            <w:pPr>
              <w:widowControl/>
              <w:rPr>
                <w:color w:val="000000"/>
                <w:kern w:val="0"/>
                <w:szCs w:val="21"/>
              </w:rPr>
            </w:pPr>
            <w:r w:rsidRPr="00D749D4">
              <w:rPr>
                <w:rFonts w:hint="eastAsia"/>
                <w:kern w:val="0"/>
                <w:szCs w:val="21"/>
              </w:rPr>
              <w:t>利率衍生工具</w:t>
            </w:r>
          </w:p>
        </w:tc>
        <w:tc>
          <w:tcPr>
            <w:tcW w:w="1980" w:type="dxa"/>
            <w:vAlign w:val="center"/>
          </w:tcPr>
          <w:p w:rsidR="00711C4C" w:rsidRPr="00D749D4" w:rsidRDefault="00711C4C" w:rsidP="004A4847">
            <w:pPr>
              <w:jc w:val="right"/>
              <w:rPr>
                <w:szCs w:val="21"/>
              </w:rPr>
            </w:pPr>
            <w:r w:rsidRPr="00D749D4">
              <w:rPr>
                <w:szCs w:val="21"/>
              </w:rPr>
              <w:t>-</w:t>
            </w:r>
          </w:p>
        </w:tc>
        <w:tc>
          <w:tcPr>
            <w:tcW w:w="1620" w:type="dxa"/>
            <w:vAlign w:val="center"/>
          </w:tcPr>
          <w:p w:rsidR="00711C4C" w:rsidRPr="00D749D4" w:rsidRDefault="00711C4C" w:rsidP="004A4847">
            <w:pPr>
              <w:jc w:val="right"/>
              <w:rPr>
                <w:szCs w:val="21"/>
              </w:rPr>
            </w:pPr>
            <w:r w:rsidRPr="00D749D4">
              <w:rPr>
                <w:szCs w:val="21"/>
              </w:rPr>
              <w:t>-</w:t>
            </w:r>
          </w:p>
        </w:tc>
        <w:tc>
          <w:tcPr>
            <w:tcW w:w="1980" w:type="dxa"/>
            <w:vAlign w:val="center"/>
          </w:tcPr>
          <w:p w:rsidR="00711C4C" w:rsidRPr="00D749D4" w:rsidRDefault="00711C4C" w:rsidP="004A4847">
            <w:pPr>
              <w:jc w:val="right"/>
              <w:rPr>
                <w:szCs w:val="21"/>
              </w:rPr>
            </w:pPr>
            <w:r w:rsidRPr="00D749D4">
              <w:rPr>
                <w:szCs w:val="21"/>
              </w:rPr>
              <w:t>-</w:t>
            </w:r>
          </w:p>
        </w:tc>
        <w:tc>
          <w:tcPr>
            <w:tcW w:w="1080" w:type="dxa"/>
            <w:vAlign w:val="center"/>
          </w:tcPr>
          <w:p w:rsidR="00711C4C" w:rsidRPr="00D749D4" w:rsidRDefault="00711C4C" w:rsidP="004A4847">
            <w:pPr>
              <w:jc w:val="left"/>
              <w:rPr>
                <w:szCs w:val="21"/>
              </w:rPr>
            </w:pPr>
            <w:r w:rsidRPr="00D749D4">
              <w:rPr>
                <w:szCs w:val="21"/>
              </w:rPr>
              <w:t>-</w:t>
            </w:r>
          </w:p>
        </w:tc>
      </w:tr>
      <w:tr w:rsidR="00711C4C" w:rsidRPr="00D749D4" w:rsidTr="0065165A">
        <w:tc>
          <w:tcPr>
            <w:tcW w:w="2340" w:type="dxa"/>
            <w:vAlign w:val="center"/>
          </w:tcPr>
          <w:p w:rsidR="00711C4C" w:rsidRPr="00D749D4" w:rsidRDefault="00711C4C" w:rsidP="00C56CD3">
            <w:pPr>
              <w:widowControl/>
              <w:rPr>
                <w:color w:val="000000"/>
                <w:kern w:val="0"/>
                <w:szCs w:val="21"/>
              </w:rPr>
            </w:pPr>
            <w:r w:rsidRPr="00D749D4">
              <w:rPr>
                <w:rFonts w:hint="eastAsia"/>
                <w:kern w:val="0"/>
                <w:szCs w:val="21"/>
              </w:rPr>
              <w:t>货币衍生工具</w:t>
            </w:r>
          </w:p>
        </w:tc>
        <w:tc>
          <w:tcPr>
            <w:tcW w:w="1980" w:type="dxa"/>
            <w:vAlign w:val="center"/>
          </w:tcPr>
          <w:p w:rsidR="00711C4C" w:rsidRPr="00D749D4" w:rsidRDefault="00711C4C" w:rsidP="004A4847">
            <w:pPr>
              <w:jc w:val="right"/>
              <w:rPr>
                <w:szCs w:val="21"/>
              </w:rPr>
            </w:pPr>
            <w:r w:rsidRPr="00D749D4">
              <w:rPr>
                <w:szCs w:val="21"/>
              </w:rPr>
              <w:t>-</w:t>
            </w:r>
          </w:p>
        </w:tc>
        <w:tc>
          <w:tcPr>
            <w:tcW w:w="1620" w:type="dxa"/>
            <w:vAlign w:val="center"/>
          </w:tcPr>
          <w:p w:rsidR="00711C4C" w:rsidRPr="00D749D4" w:rsidRDefault="00711C4C" w:rsidP="004A4847">
            <w:pPr>
              <w:jc w:val="right"/>
              <w:rPr>
                <w:szCs w:val="21"/>
              </w:rPr>
            </w:pPr>
            <w:r w:rsidRPr="00D749D4">
              <w:rPr>
                <w:szCs w:val="21"/>
              </w:rPr>
              <w:t>-</w:t>
            </w:r>
          </w:p>
        </w:tc>
        <w:tc>
          <w:tcPr>
            <w:tcW w:w="1980" w:type="dxa"/>
            <w:vAlign w:val="center"/>
          </w:tcPr>
          <w:p w:rsidR="00711C4C" w:rsidRPr="00D749D4" w:rsidRDefault="00711C4C" w:rsidP="004A4847">
            <w:pPr>
              <w:jc w:val="right"/>
              <w:rPr>
                <w:szCs w:val="21"/>
              </w:rPr>
            </w:pPr>
            <w:r w:rsidRPr="00D749D4">
              <w:rPr>
                <w:szCs w:val="21"/>
              </w:rPr>
              <w:t>-</w:t>
            </w:r>
          </w:p>
        </w:tc>
        <w:tc>
          <w:tcPr>
            <w:tcW w:w="1080" w:type="dxa"/>
            <w:vAlign w:val="center"/>
          </w:tcPr>
          <w:p w:rsidR="00711C4C" w:rsidRPr="00D749D4" w:rsidRDefault="00711C4C" w:rsidP="004A4847">
            <w:pPr>
              <w:jc w:val="left"/>
              <w:rPr>
                <w:szCs w:val="21"/>
              </w:rPr>
            </w:pPr>
            <w:r w:rsidRPr="00D749D4">
              <w:rPr>
                <w:szCs w:val="21"/>
              </w:rPr>
              <w:t>-</w:t>
            </w:r>
          </w:p>
        </w:tc>
      </w:tr>
      <w:tr w:rsidR="00711C4C" w:rsidRPr="00D749D4" w:rsidTr="0065165A">
        <w:tc>
          <w:tcPr>
            <w:tcW w:w="2340" w:type="dxa"/>
            <w:vAlign w:val="center"/>
          </w:tcPr>
          <w:p w:rsidR="00711C4C" w:rsidRPr="00D749D4" w:rsidRDefault="00711C4C" w:rsidP="00C56CD3">
            <w:pPr>
              <w:widowControl/>
              <w:rPr>
                <w:color w:val="000000"/>
                <w:kern w:val="0"/>
                <w:szCs w:val="21"/>
              </w:rPr>
            </w:pPr>
            <w:r w:rsidRPr="00D749D4">
              <w:rPr>
                <w:rFonts w:hint="eastAsia"/>
                <w:kern w:val="0"/>
                <w:szCs w:val="21"/>
              </w:rPr>
              <w:t>权益衍生工具</w:t>
            </w:r>
          </w:p>
        </w:tc>
        <w:tc>
          <w:tcPr>
            <w:tcW w:w="1980" w:type="dxa"/>
            <w:vAlign w:val="center"/>
          </w:tcPr>
          <w:p w:rsidR="00711C4C" w:rsidRPr="00D749D4" w:rsidRDefault="00711C4C" w:rsidP="004A4847">
            <w:pPr>
              <w:jc w:val="right"/>
              <w:rPr>
                <w:szCs w:val="21"/>
              </w:rPr>
            </w:pPr>
            <w:r w:rsidRPr="00D749D4">
              <w:rPr>
                <w:szCs w:val="21"/>
              </w:rPr>
              <w:t>2,670,878.34</w:t>
            </w:r>
          </w:p>
        </w:tc>
        <w:tc>
          <w:tcPr>
            <w:tcW w:w="1620" w:type="dxa"/>
            <w:vAlign w:val="center"/>
          </w:tcPr>
          <w:p w:rsidR="00711C4C" w:rsidRPr="00D749D4" w:rsidRDefault="00711C4C" w:rsidP="005B0764">
            <w:pPr>
              <w:jc w:val="right"/>
              <w:rPr>
                <w:szCs w:val="21"/>
              </w:rPr>
            </w:pPr>
            <w:r w:rsidRPr="00D749D4">
              <w:rPr>
                <w:szCs w:val="21"/>
              </w:rPr>
              <w:t>-</w:t>
            </w:r>
          </w:p>
        </w:tc>
        <w:tc>
          <w:tcPr>
            <w:tcW w:w="1980" w:type="dxa"/>
            <w:vAlign w:val="center"/>
          </w:tcPr>
          <w:p w:rsidR="00711C4C" w:rsidRPr="00D749D4" w:rsidRDefault="00711C4C" w:rsidP="005B0764">
            <w:pPr>
              <w:jc w:val="right"/>
              <w:rPr>
                <w:szCs w:val="21"/>
              </w:rPr>
            </w:pPr>
            <w:r w:rsidRPr="00D749D4">
              <w:rPr>
                <w:szCs w:val="21"/>
              </w:rPr>
              <w:t>-</w:t>
            </w:r>
          </w:p>
        </w:tc>
        <w:tc>
          <w:tcPr>
            <w:tcW w:w="1080" w:type="dxa"/>
            <w:vAlign w:val="center"/>
          </w:tcPr>
          <w:p w:rsidR="00711C4C" w:rsidRPr="00D749D4" w:rsidRDefault="00711C4C" w:rsidP="005B0764">
            <w:pPr>
              <w:jc w:val="left"/>
              <w:rPr>
                <w:szCs w:val="21"/>
              </w:rPr>
            </w:pPr>
            <w:r w:rsidRPr="00D749D4">
              <w:rPr>
                <w:szCs w:val="21"/>
              </w:rPr>
              <w:t>-</w:t>
            </w:r>
          </w:p>
        </w:tc>
      </w:tr>
      <w:tr w:rsidR="00CF426B">
        <w:tc>
          <w:tcPr>
            <w:tcW w:w="2340" w:type="dxa"/>
            <w:vAlign w:val="center"/>
          </w:tcPr>
          <w:p w:rsidR="00CF426B" w:rsidRDefault="005F6DDD">
            <w:pPr>
              <w:jc w:val="left"/>
            </w:pPr>
            <w:r>
              <w:rPr>
                <w:szCs w:val="21"/>
              </w:rPr>
              <w:t>NQU0</w:t>
            </w:r>
          </w:p>
        </w:tc>
        <w:tc>
          <w:tcPr>
            <w:tcW w:w="1980" w:type="dxa"/>
            <w:vAlign w:val="center"/>
          </w:tcPr>
          <w:p w:rsidR="00CF426B" w:rsidRDefault="005F6DDD">
            <w:pPr>
              <w:jc w:val="right"/>
            </w:pPr>
            <w:r>
              <w:rPr>
                <w:szCs w:val="21"/>
              </w:rPr>
              <w:t>2,670,878.34</w:t>
            </w:r>
          </w:p>
        </w:tc>
        <w:tc>
          <w:tcPr>
            <w:tcW w:w="1620" w:type="dxa"/>
            <w:vAlign w:val="center"/>
          </w:tcPr>
          <w:p w:rsidR="00CF426B" w:rsidRDefault="005F6DDD">
            <w:pPr>
              <w:jc w:val="right"/>
            </w:pPr>
            <w:r>
              <w:rPr>
                <w:szCs w:val="21"/>
              </w:rPr>
              <w:t>-</w:t>
            </w:r>
          </w:p>
        </w:tc>
        <w:tc>
          <w:tcPr>
            <w:tcW w:w="1980" w:type="dxa"/>
            <w:vAlign w:val="center"/>
          </w:tcPr>
          <w:p w:rsidR="00CF426B" w:rsidRDefault="005F6DDD">
            <w:pPr>
              <w:jc w:val="right"/>
            </w:pPr>
            <w:r>
              <w:rPr>
                <w:szCs w:val="21"/>
              </w:rPr>
              <w:t>-</w:t>
            </w:r>
          </w:p>
        </w:tc>
        <w:tc>
          <w:tcPr>
            <w:tcW w:w="1080" w:type="dxa"/>
            <w:vAlign w:val="center"/>
          </w:tcPr>
          <w:p w:rsidR="00CF426B" w:rsidRDefault="005F6DDD">
            <w:pPr>
              <w:jc w:val="left"/>
            </w:pPr>
            <w:r>
              <w:rPr>
                <w:szCs w:val="21"/>
              </w:rPr>
              <w:t>-</w:t>
            </w:r>
          </w:p>
        </w:tc>
      </w:tr>
      <w:tr w:rsidR="00711C4C" w:rsidRPr="00D749D4" w:rsidTr="0065165A">
        <w:tc>
          <w:tcPr>
            <w:tcW w:w="2340" w:type="dxa"/>
            <w:vAlign w:val="center"/>
          </w:tcPr>
          <w:p w:rsidR="00711C4C" w:rsidRPr="00D749D4" w:rsidRDefault="00711C4C" w:rsidP="004A4847">
            <w:pPr>
              <w:widowControl/>
              <w:rPr>
                <w:color w:val="000000"/>
                <w:kern w:val="0"/>
                <w:szCs w:val="21"/>
              </w:rPr>
            </w:pPr>
            <w:r w:rsidRPr="00D749D4">
              <w:rPr>
                <w:rFonts w:hint="eastAsia"/>
                <w:kern w:val="0"/>
                <w:szCs w:val="21"/>
              </w:rPr>
              <w:t>其他衍生工具</w:t>
            </w:r>
          </w:p>
        </w:tc>
        <w:tc>
          <w:tcPr>
            <w:tcW w:w="1980" w:type="dxa"/>
            <w:vAlign w:val="center"/>
          </w:tcPr>
          <w:p w:rsidR="00711C4C" w:rsidRPr="00D749D4" w:rsidRDefault="00711C4C" w:rsidP="004A4847">
            <w:pPr>
              <w:jc w:val="right"/>
              <w:rPr>
                <w:szCs w:val="21"/>
              </w:rPr>
            </w:pPr>
            <w:r w:rsidRPr="00D749D4">
              <w:rPr>
                <w:szCs w:val="21"/>
              </w:rPr>
              <w:t>-</w:t>
            </w:r>
          </w:p>
        </w:tc>
        <w:tc>
          <w:tcPr>
            <w:tcW w:w="1620" w:type="dxa"/>
            <w:vAlign w:val="center"/>
          </w:tcPr>
          <w:p w:rsidR="00711C4C" w:rsidRPr="00D749D4" w:rsidRDefault="00711C4C" w:rsidP="004A4847">
            <w:pPr>
              <w:jc w:val="right"/>
              <w:rPr>
                <w:szCs w:val="21"/>
              </w:rPr>
            </w:pPr>
            <w:r w:rsidRPr="00D749D4">
              <w:rPr>
                <w:szCs w:val="21"/>
              </w:rPr>
              <w:t>-</w:t>
            </w:r>
          </w:p>
        </w:tc>
        <w:tc>
          <w:tcPr>
            <w:tcW w:w="1980" w:type="dxa"/>
            <w:vAlign w:val="center"/>
          </w:tcPr>
          <w:p w:rsidR="00711C4C" w:rsidRPr="00D749D4" w:rsidRDefault="00711C4C" w:rsidP="004A4847">
            <w:pPr>
              <w:jc w:val="right"/>
              <w:rPr>
                <w:szCs w:val="21"/>
              </w:rPr>
            </w:pPr>
            <w:r w:rsidRPr="00D749D4">
              <w:rPr>
                <w:szCs w:val="21"/>
              </w:rPr>
              <w:t>-</w:t>
            </w:r>
          </w:p>
        </w:tc>
        <w:tc>
          <w:tcPr>
            <w:tcW w:w="1080" w:type="dxa"/>
            <w:vAlign w:val="center"/>
          </w:tcPr>
          <w:p w:rsidR="00711C4C" w:rsidRPr="00D749D4" w:rsidRDefault="00711C4C" w:rsidP="004A4847">
            <w:pPr>
              <w:jc w:val="left"/>
              <w:rPr>
                <w:szCs w:val="21"/>
              </w:rPr>
            </w:pPr>
            <w:r w:rsidRPr="00D749D4">
              <w:rPr>
                <w:szCs w:val="21"/>
              </w:rPr>
              <w:t>-</w:t>
            </w:r>
          </w:p>
        </w:tc>
      </w:tr>
      <w:tr w:rsidR="00711C4C" w:rsidRPr="00D749D4" w:rsidTr="0065165A">
        <w:tc>
          <w:tcPr>
            <w:tcW w:w="2340" w:type="dxa"/>
            <w:vAlign w:val="center"/>
          </w:tcPr>
          <w:p w:rsidR="00711C4C" w:rsidRPr="00D749D4" w:rsidRDefault="00711C4C" w:rsidP="004A4847">
            <w:pPr>
              <w:widowControl/>
              <w:jc w:val="center"/>
              <w:rPr>
                <w:color w:val="000000"/>
                <w:kern w:val="0"/>
                <w:szCs w:val="21"/>
              </w:rPr>
            </w:pPr>
            <w:r w:rsidRPr="00D749D4">
              <w:rPr>
                <w:rFonts w:hint="eastAsia"/>
                <w:kern w:val="0"/>
                <w:szCs w:val="21"/>
              </w:rPr>
              <w:t>合计</w:t>
            </w:r>
          </w:p>
        </w:tc>
        <w:tc>
          <w:tcPr>
            <w:tcW w:w="1980" w:type="dxa"/>
            <w:vAlign w:val="center"/>
          </w:tcPr>
          <w:p w:rsidR="00711C4C" w:rsidRPr="00D749D4" w:rsidRDefault="00711C4C" w:rsidP="004A4847">
            <w:pPr>
              <w:jc w:val="right"/>
              <w:rPr>
                <w:szCs w:val="21"/>
              </w:rPr>
            </w:pPr>
            <w:r w:rsidRPr="00D749D4">
              <w:rPr>
                <w:szCs w:val="21"/>
              </w:rPr>
              <w:t>2,670,878.34</w:t>
            </w:r>
          </w:p>
        </w:tc>
        <w:tc>
          <w:tcPr>
            <w:tcW w:w="1620" w:type="dxa"/>
            <w:vAlign w:val="center"/>
          </w:tcPr>
          <w:p w:rsidR="00711C4C" w:rsidRPr="00D749D4" w:rsidRDefault="00711C4C" w:rsidP="004A4847">
            <w:pPr>
              <w:jc w:val="right"/>
              <w:rPr>
                <w:szCs w:val="21"/>
              </w:rPr>
            </w:pPr>
            <w:r w:rsidRPr="00D749D4">
              <w:rPr>
                <w:szCs w:val="21"/>
              </w:rPr>
              <w:t>-</w:t>
            </w:r>
          </w:p>
        </w:tc>
        <w:tc>
          <w:tcPr>
            <w:tcW w:w="1980" w:type="dxa"/>
            <w:vAlign w:val="center"/>
          </w:tcPr>
          <w:p w:rsidR="00711C4C" w:rsidRPr="00D749D4" w:rsidRDefault="00711C4C" w:rsidP="004A4847">
            <w:pPr>
              <w:jc w:val="right"/>
              <w:rPr>
                <w:szCs w:val="21"/>
              </w:rPr>
            </w:pPr>
            <w:r w:rsidRPr="00D749D4">
              <w:rPr>
                <w:szCs w:val="21"/>
              </w:rPr>
              <w:t>-</w:t>
            </w:r>
          </w:p>
        </w:tc>
        <w:tc>
          <w:tcPr>
            <w:tcW w:w="1080" w:type="dxa"/>
            <w:vAlign w:val="center"/>
          </w:tcPr>
          <w:p w:rsidR="00711C4C" w:rsidRPr="00D749D4" w:rsidRDefault="00711C4C" w:rsidP="004A4847">
            <w:pPr>
              <w:jc w:val="left"/>
              <w:rPr>
                <w:szCs w:val="21"/>
              </w:rPr>
            </w:pPr>
            <w:r w:rsidRPr="00D749D4">
              <w:rPr>
                <w:szCs w:val="21"/>
              </w:rPr>
              <w:t>-</w:t>
            </w:r>
          </w:p>
        </w:tc>
      </w:tr>
    </w:tbl>
    <w:p w:rsidR="00711C4C" w:rsidRDefault="00711C4C" w:rsidP="00AB0FF3">
      <w:pPr>
        <w:tabs>
          <w:tab w:val="left" w:pos="426"/>
        </w:tabs>
        <w:spacing w:line="360" w:lineRule="auto"/>
        <w:ind w:firstLineChars="200" w:firstLine="420"/>
        <w:jc w:val="left"/>
        <w:rPr>
          <w:kern w:val="0"/>
          <w:szCs w:val="21"/>
        </w:rPr>
      </w:pPr>
      <w:r w:rsidRPr="00D749D4">
        <w:rPr>
          <w:kern w:val="0"/>
          <w:szCs w:val="21"/>
        </w:rPr>
        <w:t>注：按照股指期货每日无负债结算的结算规则、《基金股指期货投资会计业务核算细则</w:t>
      </w:r>
      <w:r w:rsidRPr="00D749D4">
        <w:rPr>
          <w:kern w:val="0"/>
          <w:szCs w:val="21"/>
        </w:rPr>
        <w:t>(</w:t>
      </w:r>
      <w:r w:rsidRPr="00D749D4">
        <w:rPr>
          <w:kern w:val="0"/>
          <w:szCs w:val="21"/>
        </w:rPr>
        <w:t>试行</w:t>
      </w:r>
      <w:r w:rsidRPr="00D749D4">
        <w:rPr>
          <w:kern w:val="0"/>
          <w:szCs w:val="21"/>
        </w:rPr>
        <w:t>)</w:t>
      </w:r>
      <w:r w:rsidRPr="00D749D4">
        <w:rPr>
          <w:kern w:val="0"/>
          <w:szCs w:val="21"/>
        </w:rPr>
        <w:t>》</w:t>
      </w:r>
      <w:r w:rsidRPr="00D749D4">
        <w:rPr>
          <w:kern w:val="0"/>
          <w:szCs w:val="21"/>
        </w:rPr>
        <w:lastRenderedPageBreak/>
        <w:t>及《企业会计准则</w:t>
      </w:r>
      <w:r w:rsidRPr="00D749D4">
        <w:rPr>
          <w:kern w:val="0"/>
          <w:szCs w:val="21"/>
        </w:rPr>
        <w:t>-</w:t>
      </w:r>
      <w:r w:rsidRPr="00D749D4">
        <w:rPr>
          <w:kern w:val="0"/>
          <w:szCs w:val="21"/>
        </w:rPr>
        <w:t>金融工具列报》的相关规定</w:t>
      </w:r>
      <w:r w:rsidRPr="00D749D4">
        <w:rPr>
          <w:kern w:val="0"/>
          <w:szCs w:val="21"/>
        </w:rPr>
        <w:t>,“</w:t>
      </w:r>
      <w:r w:rsidRPr="00D749D4">
        <w:rPr>
          <w:kern w:val="0"/>
          <w:szCs w:val="21"/>
        </w:rPr>
        <w:t>其他衍生工具</w:t>
      </w:r>
      <w:r w:rsidRPr="00D749D4">
        <w:rPr>
          <w:kern w:val="0"/>
          <w:szCs w:val="21"/>
        </w:rPr>
        <w:t>-</w:t>
      </w:r>
      <w:r w:rsidRPr="00D749D4">
        <w:rPr>
          <w:kern w:val="0"/>
          <w:szCs w:val="21"/>
        </w:rPr>
        <w:t>股指期货投资</w:t>
      </w:r>
      <w:r w:rsidRPr="00D749D4">
        <w:rPr>
          <w:kern w:val="0"/>
          <w:szCs w:val="21"/>
        </w:rPr>
        <w:t>”</w:t>
      </w:r>
      <w:r w:rsidRPr="00D749D4">
        <w:rPr>
          <w:kern w:val="0"/>
          <w:szCs w:val="21"/>
        </w:rPr>
        <w:t>与</w:t>
      </w:r>
      <w:r w:rsidRPr="00D749D4">
        <w:rPr>
          <w:kern w:val="0"/>
          <w:szCs w:val="21"/>
        </w:rPr>
        <w:t>“</w:t>
      </w:r>
      <w:r w:rsidRPr="00D749D4">
        <w:rPr>
          <w:kern w:val="0"/>
          <w:szCs w:val="21"/>
        </w:rPr>
        <w:t>证券清算款</w:t>
      </w:r>
      <w:r w:rsidRPr="00D749D4">
        <w:rPr>
          <w:kern w:val="0"/>
          <w:szCs w:val="21"/>
        </w:rPr>
        <w:t>-</w:t>
      </w:r>
      <w:r w:rsidRPr="00D749D4">
        <w:rPr>
          <w:kern w:val="0"/>
          <w:szCs w:val="21"/>
        </w:rPr>
        <w:t>股指期货每日无负债结算暂收暂付款</w:t>
      </w:r>
      <w:r w:rsidRPr="00D749D4">
        <w:rPr>
          <w:kern w:val="0"/>
          <w:szCs w:val="21"/>
        </w:rPr>
        <w:t>”,</w:t>
      </w:r>
      <w:r w:rsidRPr="00D749D4">
        <w:rPr>
          <w:kern w:val="0"/>
          <w:szCs w:val="21"/>
        </w:rPr>
        <w:t>符合金融资产与金融负债相抵销的条件</w:t>
      </w:r>
      <w:r w:rsidRPr="00D749D4">
        <w:rPr>
          <w:kern w:val="0"/>
          <w:szCs w:val="21"/>
        </w:rPr>
        <w:t>,</w:t>
      </w:r>
      <w:r w:rsidRPr="00D749D4">
        <w:rPr>
          <w:kern w:val="0"/>
          <w:szCs w:val="21"/>
        </w:rPr>
        <w:t>故将</w:t>
      </w:r>
      <w:r w:rsidRPr="00D749D4">
        <w:rPr>
          <w:kern w:val="0"/>
          <w:szCs w:val="21"/>
        </w:rPr>
        <w:t>“</w:t>
      </w:r>
      <w:r w:rsidRPr="00D749D4">
        <w:rPr>
          <w:kern w:val="0"/>
          <w:szCs w:val="21"/>
        </w:rPr>
        <w:t>其他衍生工具</w:t>
      </w:r>
      <w:r w:rsidRPr="00D749D4">
        <w:rPr>
          <w:kern w:val="0"/>
          <w:szCs w:val="21"/>
        </w:rPr>
        <w:t>-</w:t>
      </w:r>
      <w:r w:rsidRPr="00D749D4">
        <w:rPr>
          <w:kern w:val="0"/>
          <w:szCs w:val="21"/>
        </w:rPr>
        <w:t>股指期货投资</w:t>
      </w:r>
      <w:r w:rsidRPr="00D749D4">
        <w:rPr>
          <w:kern w:val="0"/>
          <w:szCs w:val="21"/>
        </w:rPr>
        <w:t>”</w:t>
      </w:r>
      <w:r w:rsidRPr="00D749D4">
        <w:rPr>
          <w:kern w:val="0"/>
          <w:szCs w:val="21"/>
        </w:rPr>
        <w:t>的期末公允价值以抵销后的净额列报</w:t>
      </w:r>
      <w:r w:rsidRPr="00D749D4">
        <w:rPr>
          <w:kern w:val="0"/>
          <w:szCs w:val="21"/>
        </w:rPr>
        <w:t>,</w:t>
      </w:r>
      <w:r w:rsidRPr="00D749D4">
        <w:rPr>
          <w:kern w:val="0"/>
          <w:szCs w:val="21"/>
        </w:rPr>
        <w:t>净额为零。</w:t>
      </w:r>
    </w:p>
    <w:p w:rsidR="004B2ACB" w:rsidRDefault="004B2ACB" w:rsidP="00AB0FF3">
      <w:pPr>
        <w:tabs>
          <w:tab w:val="left" w:pos="426"/>
        </w:tabs>
        <w:spacing w:line="360" w:lineRule="auto"/>
        <w:ind w:firstLineChars="200" w:firstLine="420"/>
        <w:jc w:val="left"/>
        <w:rPr>
          <w:kern w:val="0"/>
          <w:szCs w:val="21"/>
        </w:rPr>
      </w:pPr>
      <w:r w:rsidRPr="004B2ACB">
        <w:rPr>
          <w:rFonts w:hint="eastAsia"/>
          <w:kern w:val="0"/>
          <w:szCs w:val="21"/>
        </w:rPr>
        <w:t>于</w:t>
      </w:r>
      <w:r w:rsidRPr="004B2ACB">
        <w:rPr>
          <w:rFonts w:hint="eastAsia"/>
          <w:kern w:val="0"/>
          <w:szCs w:val="21"/>
        </w:rPr>
        <w:t>2020</w:t>
      </w:r>
      <w:r w:rsidRPr="004B2ACB">
        <w:rPr>
          <w:rFonts w:hint="eastAsia"/>
          <w:kern w:val="0"/>
          <w:szCs w:val="21"/>
        </w:rPr>
        <w:t>年</w:t>
      </w:r>
      <w:r w:rsidRPr="004B2ACB">
        <w:rPr>
          <w:rFonts w:hint="eastAsia"/>
          <w:kern w:val="0"/>
          <w:szCs w:val="21"/>
        </w:rPr>
        <w:t>6</w:t>
      </w:r>
      <w:r w:rsidRPr="004B2ACB">
        <w:rPr>
          <w:rFonts w:hint="eastAsia"/>
          <w:kern w:val="0"/>
          <w:szCs w:val="21"/>
        </w:rPr>
        <w:t>月</w:t>
      </w:r>
      <w:r w:rsidRPr="004B2ACB">
        <w:rPr>
          <w:rFonts w:hint="eastAsia"/>
          <w:kern w:val="0"/>
          <w:szCs w:val="21"/>
        </w:rPr>
        <w:t>30</w:t>
      </w:r>
      <w:r w:rsidRPr="004B2ACB">
        <w:rPr>
          <w:rFonts w:hint="eastAsia"/>
          <w:kern w:val="0"/>
          <w:szCs w:val="21"/>
        </w:rPr>
        <w:t>日，本基金持有的</w:t>
      </w:r>
      <w:r>
        <w:rPr>
          <w:rFonts w:hint="eastAsia"/>
          <w:kern w:val="0"/>
          <w:szCs w:val="21"/>
        </w:rPr>
        <w:t>股指</w:t>
      </w:r>
      <w:r w:rsidRPr="004B2ACB">
        <w:rPr>
          <w:rFonts w:hint="eastAsia"/>
          <w:kern w:val="0"/>
          <w:szCs w:val="21"/>
        </w:rPr>
        <w:t>期货情况如下：</w:t>
      </w:r>
    </w:p>
    <w:tbl>
      <w:tblPr>
        <w:tblW w:w="0" w:type="auto"/>
        <w:tblInd w:w="113" w:type="dxa"/>
        <w:tblLook w:val="04A0" w:firstRow="1" w:lastRow="0" w:firstColumn="1" w:lastColumn="0" w:noHBand="0" w:noVBand="1"/>
      </w:tblPr>
      <w:tblGrid>
        <w:gridCol w:w="656"/>
        <w:gridCol w:w="2746"/>
        <w:gridCol w:w="1841"/>
        <w:gridCol w:w="1752"/>
        <w:gridCol w:w="2178"/>
      </w:tblGrid>
      <w:tr w:rsidR="004B2ACB" w:rsidRPr="004B2ACB" w:rsidTr="004B2ACB">
        <w:trPr>
          <w:trHeight w:val="5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B2ACB" w:rsidRPr="004B2ACB" w:rsidRDefault="004B2ACB" w:rsidP="004B2ACB">
            <w:pPr>
              <w:widowControl/>
              <w:jc w:val="left"/>
              <w:rPr>
                <w:rFonts w:ascii="宋体" w:hAnsi="宋体" w:cs="宋体"/>
                <w:color w:val="000000"/>
                <w:kern w:val="0"/>
                <w:sz w:val="22"/>
                <w:szCs w:val="22"/>
              </w:rPr>
            </w:pPr>
            <w:r w:rsidRPr="004B2ACB">
              <w:rPr>
                <w:rFonts w:ascii="宋体" w:hAnsi="宋体" w:cs="宋体" w:hint="eastAsia"/>
                <w:color w:val="000000"/>
                <w:kern w:val="0"/>
                <w:sz w:val="22"/>
                <w:szCs w:val="22"/>
              </w:rPr>
              <w:t>代码</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B2ACB" w:rsidRPr="004B2ACB" w:rsidRDefault="004B2ACB" w:rsidP="004B2ACB">
            <w:pPr>
              <w:widowControl/>
              <w:jc w:val="left"/>
              <w:rPr>
                <w:rFonts w:ascii="宋体" w:hAnsi="宋体" w:cs="宋体"/>
                <w:color w:val="000000"/>
                <w:kern w:val="0"/>
                <w:sz w:val="22"/>
                <w:szCs w:val="22"/>
              </w:rPr>
            </w:pPr>
            <w:r w:rsidRPr="004B2ACB">
              <w:rPr>
                <w:rFonts w:ascii="宋体" w:hAnsi="宋体" w:cs="宋体" w:hint="eastAsia"/>
                <w:color w:val="000000"/>
                <w:kern w:val="0"/>
                <w:sz w:val="22"/>
                <w:szCs w:val="22"/>
              </w:rPr>
              <w:t>名称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B2ACB" w:rsidRPr="004B2ACB" w:rsidRDefault="004B2ACB" w:rsidP="004B2ACB">
            <w:pPr>
              <w:widowControl/>
              <w:jc w:val="left"/>
              <w:rPr>
                <w:rFonts w:ascii="宋体" w:hAnsi="宋体" w:cs="宋体"/>
                <w:color w:val="000000"/>
                <w:kern w:val="0"/>
                <w:sz w:val="22"/>
                <w:szCs w:val="22"/>
              </w:rPr>
            </w:pPr>
            <w:r w:rsidRPr="004B2ACB">
              <w:rPr>
                <w:rFonts w:ascii="宋体" w:hAnsi="宋体" w:cs="宋体" w:hint="eastAsia"/>
                <w:color w:val="000000"/>
                <w:kern w:val="0"/>
                <w:sz w:val="22"/>
                <w:szCs w:val="22"/>
              </w:rPr>
              <w:t>持仓量（买/卖）</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B2ACB" w:rsidRPr="004B2ACB" w:rsidRDefault="004B2ACB" w:rsidP="004B2ACB">
            <w:pPr>
              <w:widowControl/>
              <w:jc w:val="left"/>
              <w:rPr>
                <w:rFonts w:ascii="宋体" w:hAnsi="宋体" w:cs="宋体"/>
                <w:color w:val="000000"/>
                <w:kern w:val="0"/>
                <w:sz w:val="22"/>
                <w:szCs w:val="22"/>
              </w:rPr>
            </w:pPr>
            <w:r w:rsidRPr="004B2ACB">
              <w:rPr>
                <w:rFonts w:ascii="宋体" w:hAnsi="宋体" w:cs="宋体" w:hint="eastAsia"/>
                <w:color w:val="000000"/>
                <w:kern w:val="0"/>
                <w:sz w:val="22"/>
                <w:szCs w:val="22"/>
              </w:rPr>
              <w:t>合约市值（元）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B2ACB" w:rsidRPr="004B2ACB" w:rsidRDefault="004B2ACB" w:rsidP="004B2ACB">
            <w:pPr>
              <w:widowControl/>
              <w:jc w:val="left"/>
              <w:rPr>
                <w:rFonts w:ascii="宋体" w:hAnsi="宋体" w:cs="宋体"/>
                <w:color w:val="000000"/>
                <w:kern w:val="0"/>
                <w:sz w:val="22"/>
                <w:szCs w:val="22"/>
              </w:rPr>
            </w:pPr>
            <w:r w:rsidRPr="004B2ACB">
              <w:rPr>
                <w:rFonts w:ascii="宋体" w:hAnsi="宋体" w:cs="宋体" w:hint="eastAsia"/>
                <w:color w:val="000000"/>
                <w:kern w:val="0"/>
                <w:sz w:val="22"/>
                <w:szCs w:val="22"/>
              </w:rPr>
              <w:t>公允价值变动（元）</w:t>
            </w:r>
          </w:p>
        </w:tc>
      </w:tr>
      <w:tr w:rsidR="004B2ACB" w:rsidRPr="004B2ACB" w:rsidTr="004B2ACB">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B2ACB" w:rsidRPr="004B2ACB" w:rsidRDefault="004B2ACB" w:rsidP="004B2ACB">
            <w:pPr>
              <w:widowControl/>
              <w:jc w:val="left"/>
              <w:rPr>
                <w:rFonts w:ascii="宋体" w:hAnsi="宋体" w:cs="宋体"/>
                <w:color w:val="000000"/>
                <w:kern w:val="0"/>
                <w:sz w:val="22"/>
                <w:szCs w:val="22"/>
              </w:rPr>
            </w:pPr>
            <w:r w:rsidRPr="004B2ACB">
              <w:rPr>
                <w:rFonts w:ascii="宋体" w:hAnsi="宋体" w:cs="宋体"/>
                <w:color w:val="000000"/>
                <w:kern w:val="0"/>
                <w:sz w:val="22"/>
                <w:szCs w:val="22"/>
              </w:rPr>
              <w:t>NQU0</w:t>
            </w:r>
          </w:p>
        </w:tc>
        <w:tc>
          <w:tcPr>
            <w:tcW w:w="0" w:type="auto"/>
            <w:tcBorders>
              <w:top w:val="nil"/>
              <w:left w:val="nil"/>
              <w:bottom w:val="single" w:sz="4" w:space="0" w:color="auto"/>
              <w:right w:val="single" w:sz="4" w:space="0" w:color="auto"/>
            </w:tcBorders>
            <w:shd w:val="clear" w:color="auto" w:fill="auto"/>
            <w:noWrap/>
            <w:vAlign w:val="center"/>
            <w:hideMark/>
          </w:tcPr>
          <w:p w:rsidR="004B2ACB" w:rsidRPr="004B2ACB" w:rsidRDefault="004B2ACB" w:rsidP="004B2ACB">
            <w:pPr>
              <w:widowControl/>
              <w:jc w:val="left"/>
              <w:rPr>
                <w:rFonts w:ascii="宋体" w:hAnsi="宋体" w:cs="宋体"/>
                <w:color w:val="000000"/>
                <w:kern w:val="0"/>
                <w:sz w:val="22"/>
                <w:szCs w:val="22"/>
              </w:rPr>
            </w:pPr>
            <w:r w:rsidRPr="004B2ACB">
              <w:rPr>
                <w:rFonts w:ascii="宋体" w:hAnsi="宋体" w:cs="宋体"/>
                <w:color w:val="000000"/>
                <w:kern w:val="0"/>
                <w:sz w:val="22"/>
                <w:szCs w:val="22"/>
              </w:rPr>
              <w:t>NASDAQ 100 E-MINI S</w:t>
            </w:r>
            <w:r w:rsidRPr="004B2ACB">
              <w:rPr>
                <w:rFonts w:ascii="宋体" w:hAnsi="宋体" w:cs="宋体" w:hint="eastAsia"/>
                <w:color w:val="000000"/>
                <w:kern w:val="0"/>
                <w:sz w:val="22"/>
                <w:szCs w:val="22"/>
              </w:rPr>
              <w:t>ep</w:t>
            </w:r>
            <w:r w:rsidRPr="004B2ACB">
              <w:rPr>
                <w:rFonts w:ascii="宋体" w:hAnsi="宋体" w:cs="宋体"/>
                <w:color w:val="000000"/>
                <w:kern w:val="0"/>
                <w:sz w:val="22"/>
                <w:szCs w:val="22"/>
              </w:rPr>
              <w:t>2</w:t>
            </w:r>
            <w:r w:rsidRPr="004B2ACB">
              <w:rPr>
                <w:rFonts w:ascii="宋体" w:hAnsi="宋体" w:cs="宋体" w:hint="eastAsia"/>
                <w:color w:val="000000"/>
                <w:kern w:val="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rsidR="004B2ACB" w:rsidRPr="004B2ACB" w:rsidRDefault="004B2ACB" w:rsidP="004B2ACB">
            <w:pPr>
              <w:widowControl/>
              <w:jc w:val="center"/>
              <w:rPr>
                <w:rFonts w:ascii="宋体" w:hAnsi="宋体" w:cs="宋体"/>
                <w:color w:val="000000"/>
                <w:kern w:val="0"/>
                <w:sz w:val="22"/>
                <w:szCs w:val="22"/>
              </w:rPr>
            </w:pPr>
            <w:r w:rsidRPr="004B2ACB">
              <w:rPr>
                <w:rFonts w:ascii="宋体" w:hAnsi="宋体" w:cs="宋体"/>
                <w:color w:val="000000"/>
                <w:kern w:val="0"/>
                <w:sz w:val="22"/>
                <w:szCs w:val="22"/>
              </w:rPr>
              <w:t>2</w:t>
            </w:r>
          </w:p>
        </w:tc>
        <w:tc>
          <w:tcPr>
            <w:tcW w:w="0" w:type="auto"/>
            <w:tcBorders>
              <w:top w:val="nil"/>
              <w:left w:val="nil"/>
              <w:bottom w:val="single" w:sz="4" w:space="0" w:color="auto"/>
              <w:right w:val="single" w:sz="4" w:space="0" w:color="auto"/>
            </w:tcBorders>
            <w:shd w:val="clear" w:color="auto" w:fill="auto"/>
            <w:noWrap/>
            <w:vAlign w:val="center"/>
            <w:hideMark/>
          </w:tcPr>
          <w:p w:rsidR="004B2ACB" w:rsidRPr="004B2ACB" w:rsidRDefault="004B2ACB" w:rsidP="004B2ACB">
            <w:pPr>
              <w:widowControl/>
              <w:jc w:val="center"/>
              <w:rPr>
                <w:rFonts w:ascii="宋体" w:hAnsi="宋体" w:cs="宋体"/>
                <w:color w:val="000000"/>
                <w:kern w:val="0"/>
                <w:sz w:val="22"/>
                <w:szCs w:val="22"/>
              </w:rPr>
            </w:pPr>
            <w:r w:rsidRPr="004B2ACB">
              <w:rPr>
                <w:rFonts w:ascii="宋体" w:hAnsi="宋体" w:cs="宋体"/>
                <w:color w:val="000000"/>
                <w:kern w:val="0"/>
                <w:sz w:val="22"/>
                <w:szCs w:val="22"/>
              </w:rPr>
              <w:t>2</w:t>
            </w:r>
            <w:r w:rsidRPr="004B2ACB">
              <w:rPr>
                <w:rFonts w:ascii="宋体" w:hAnsi="宋体" w:cs="宋体" w:hint="eastAsia"/>
                <w:color w:val="000000"/>
                <w:kern w:val="0"/>
                <w:sz w:val="22"/>
                <w:szCs w:val="22"/>
              </w:rPr>
              <w:t>,</w:t>
            </w:r>
            <w:r w:rsidRPr="004B2ACB">
              <w:rPr>
                <w:rFonts w:ascii="宋体" w:hAnsi="宋体" w:cs="宋体"/>
                <w:color w:val="000000"/>
                <w:kern w:val="0"/>
                <w:sz w:val="22"/>
                <w:szCs w:val="22"/>
              </w:rPr>
              <w:t>873</w:t>
            </w:r>
            <w:r w:rsidRPr="004B2ACB">
              <w:rPr>
                <w:rFonts w:ascii="宋体" w:hAnsi="宋体" w:cs="宋体" w:hint="eastAsia"/>
                <w:color w:val="000000"/>
                <w:kern w:val="0"/>
                <w:sz w:val="22"/>
                <w:szCs w:val="22"/>
              </w:rPr>
              <w:t>,</w:t>
            </w:r>
            <w:r w:rsidRPr="004B2ACB">
              <w:rPr>
                <w:rFonts w:ascii="宋体" w:hAnsi="宋体" w:cs="宋体"/>
                <w:color w:val="000000"/>
                <w:kern w:val="0"/>
                <w:sz w:val="22"/>
                <w:szCs w:val="22"/>
              </w:rPr>
              <w:t>498.26</w:t>
            </w:r>
          </w:p>
        </w:tc>
        <w:tc>
          <w:tcPr>
            <w:tcW w:w="0" w:type="auto"/>
            <w:tcBorders>
              <w:top w:val="nil"/>
              <w:left w:val="nil"/>
              <w:bottom w:val="single" w:sz="4" w:space="0" w:color="auto"/>
              <w:right w:val="single" w:sz="4" w:space="0" w:color="auto"/>
            </w:tcBorders>
            <w:shd w:val="clear" w:color="auto" w:fill="auto"/>
            <w:noWrap/>
            <w:vAlign w:val="center"/>
            <w:hideMark/>
          </w:tcPr>
          <w:p w:rsidR="004B2ACB" w:rsidRPr="004B2ACB" w:rsidRDefault="004B2ACB" w:rsidP="004B2ACB">
            <w:pPr>
              <w:widowControl/>
              <w:jc w:val="center"/>
              <w:rPr>
                <w:rFonts w:ascii="宋体" w:hAnsi="宋体" w:cs="宋体"/>
                <w:color w:val="000000"/>
                <w:kern w:val="0"/>
                <w:sz w:val="22"/>
                <w:szCs w:val="22"/>
              </w:rPr>
            </w:pPr>
            <w:r w:rsidRPr="004B2ACB">
              <w:rPr>
                <w:rFonts w:ascii="宋体" w:hAnsi="宋体" w:cs="宋体"/>
                <w:color w:val="000000"/>
                <w:kern w:val="0"/>
                <w:sz w:val="22"/>
                <w:szCs w:val="22"/>
              </w:rPr>
              <w:t>202</w:t>
            </w:r>
            <w:r w:rsidRPr="004B2ACB">
              <w:rPr>
                <w:rFonts w:ascii="宋体" w:hAnsi="宋体" w:cs="宋体" w:hint="eastAsia"/>
                <w:color w:val="000000"/>
                <w:kern w:val="0"/>
                <w:sz w:val="22"/>
                <w:szCs w:val="22"/>
              </w:rPr>
              <w:t>,</w:t>
            </w:r>
            <w:r w:rsidRPr="004B2ACB">
              <w:rPr>
                <w:rFonts w:ascii="宋体" w:hAnsi="宋体" w:cs="宋体"/>
                <w:color w:val="000000"/>
                <w:kern w:val="0"/>
                <w:sz w:val="22"/>
                <w:szCs w:val="22"/>
              </w:rPr>
              <w:t>619.92</w:t>
            </w:r>
          </w:p>
        </w:tc>
      </w:tr>
      <w:tr w:rsidR="004B2ACB" w:rsidRPr="004B2ACB" w:rsidTr="004B2ACB">
        <w:trPr>
          <w:trHeight w:val="270"/>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ACB" w:rsidRPr="004B2ACB" w:rsidRDefault="004B2ACB" w:rsidP="004B2ACB">
            <w:pPr>
              <w:widowControl/>
              <w:jc w:val="left"/>
              <w:rPr>
                <w:rFonts w:ascii="宋体" w:hAnsi="宋体" w:cs="宋体"/>
                <w:color w:val="000000"/>
                <w:kern w:val="0"/>
                <w:sz w:val="22"/>
                <w:szCs w:val="22"/>
              </w:rPr>
            </w:pPr>
            <w:r w:rsidRPr="004B2ACB">
              <w:rPr>
                <w:rFonts w:ascii="宋体" w:hAnsi="宋体" w:cs="宋体" w:hint="eastAsia"/>
                <w:color w:val="000000"/>
                <w:kern w:val="0"/>
                <w:sz w:val="22"/>
                <w:szCs w:val="22"/>
              </w:rPr>
              <w:t>总额合计</w:t>
            </w:r>
          </w:p>
        </w:tc>
        <w:tc>
          <w:tcPr>
            <w:tcW w:w="0" w:type="auto"/>
            <w:tcBorders>
              <w:top w:val="nil"/>
              <w:left w:val="nil"/>
              <w:bottom w:val="single" w:sz="4" w:space="0" w:color="auto"/>
              <w:right w:val="single" w:sz="4" w:space="0" w:color="auto"/>
            </w:tcBorders>
            <w:shd w:val="clear" w:color="auto" w:fill="auto"/>
            <w:noWrap/>
            <w:vAlign w:val="center"/>
            <w:hideMark/>
          </w:tcPr>
          <w:p w:rsidR="004B2ACB" w:rsidRPr="004B2ACB" w:rsidRDefault="004B2ACB" w:rsidP="004B2ACB">
            <w:pPr>
              <w:widowControl/>
              <w:ind w:right="770"/>
              <w:jc w:val="right"/>
              <w:rPr>
                <w:rFonts w:ascii="宋体" w:hAnsi="宋体" w:cs="宋体"/>
                <w:color w:val="000000"/>
                <w:kern w:val="0"/>
                <w:sz w:val="22"/>
                <w:szCs w:val="22"/>
              </w:rPr>
            </w:pPr>
          </w:p>
        </w:tc>
        <w:tc>
          <w:tcPr>
            <w:tcW w:w="0" w:type="auto"/>
            <w:tcBorders>
              <w:top w:val="nil"/>
              <w:left w:val="nil"/>
              <w:bottom w:val="single" w:sz="4" w:space="0" w:color="auto"/>
              <w:right w:val="single" w:sz="4" w:space="0" w:color="auto"/>
            </w:tcBorders>
            <w:shd w:val="clear" w:color="auto" w:fill="auto"/>
            <w:noWrap/>
            <w:vAlign w:val="center"/>
            <w:hideMark/>
          </w:tcPr>
          <w:p w:rsidR="004B2ACB" w:rsidRPr="004B2ACB" w:rsidRDefault="004B2ACB" w:rsidP="004B2ACB">
            <w:pPr>
              <w:widowControl/>
              <w:jc w:val="center"/>
              <w:rPr>
                <w:rFonts w:ascii="宋体" w:hAnsi="宋体" w:cs="宋体"/>
                <w:color w:val="000000"/>
                <w:kern w:val="0"/>
                <w:sz w:val="22"/>
                <w:szCs w:val="22"/>
              </w:rPr>
            </w:pPr>
            <w:r w:rsidRPr="004B2ACB">
              <w:rPr>
                <w:rFonts w:ascii="宋体" w:hAnsi="宋体" w:cs="宋体"/>
                <w:color w:val="000000"/>
                <w:kern w:val="0"/>
                <w:sz w:val="22"/>
                <w:szCs w:val="22"/>
              </w:rPr>
              <w:t>202</w:t>
            </w:r>
            <w:r w:rsidRPr="004B2ACB">
              <w:rPr>
                <w:rFonts w:ascii="宋体" w:hAnsi="宋体" w:cs="宋体" w:hint="eastAsia"/>
                <w:color w:val="000000"/>
                <w:kern w:val="0"/>
                <w:sz w:val="22"/>
                <w:szCs w:val="22"/>
              </w:rPr>
              <w:t>,</w:t>
            </w:r>
            <w:r w:rsidRPr="004B2ACB">
              <w:rPr>
                <w:rFonts w:ascii="宋体" w:hAnsi="宋体" w:cs="宋体"/>
                <w:color w:val="000000"/>
                <w:kern w:val="0"/>
                <w:sz w:val="22"/>
                <w:szCs w:val="22"/>
              </w:rPr>
              <w:t>619.92</w:t>
            </w:r>
          </w:p>
        </w:tc>
      </w:tr>
      <w:tr w:rsidR="004B2ACB" w:rsidRPr="004B2ACB" w:rsidTr="004B2ACB">
        <w:trPr>
          <w:trHeight w:val="270"/>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ACB" w:rsidRPr="004B2ACB" w:rsidRDefault="004B2ACB" w:rsidP="004B2ACB">
            <w:pPr>
              <w:widowControl/>
              <w:jc w:val="left"/>
              <w:rPr>
                <w:rFonts w:ascii="宋体" w:hAnsi="宋体" w:cs="宋体"/>
                <w:color w:val="000000"/>
                <w:kern w:val="0"/>
                <w:sz w:val="22"/>
                <w:szCs w:val="22"/>
              </w:rPr>
            </w:pPr>
            <w:r w:rsidRPr="004B2ACB">
              <w:rPr>
                <w:rFonts w:ascii="宋体" w:hAnsi="宋体" w:cs="宋体" w:hint="eastAsia"/>
                <w:color w:val="000000"/>
                <w:kern w:val="0"/>
                <w:sz w:val="22"/>
                <w:szCs w:val="22"/>
              </w:rPr>
              <w:t>减：可抵销期货暂收款</w:t>
            </w:r>
          </w:p>
        </w:tc>
        <w:tc>
          <w:tcPr>
            <w:tcW w:w="0" w:type="auto"/>
            <w:tcBorders>
              <w:top w:val="nil"/>
              <w:left w:val="nil"/>
              <w:bottom w:val="single" w:sz="4" w:space="0" w:color="auto"/>
              <w:right w:val="single" w:sz="4" w:space="0" w:color="auto"/>
            </w:tcBorders>
            <w:shd w:val="clear" w:color="auto" w:fill="auto"/>
            <w:vAlign w:val="center"/>
            <w:hideMark/>
          </w:tcPr>
          <w:p w:rsidR="004B2ACB" w:rsidRPr="004B2ACB" w:rsidRDefault="004B2ACB" w:rsidP="004B2ACB">
            <w:pPr>
              <w:widowControl/>
              <w:jc w:val="center"/>
              <w:rPr>
                <w:rFonts w:ascii="宋体" w:hAnsi="宋体" w:cs="宋体"/>
                <w:color w:val="000000"/>
                <w:kern w:val="0"/>
                <w:sz w:val="22"/>
                <w:szCs w:val="22"/>
              </w:rPr>
            </w:pPr>
          </w:p>
        </w:tc>
        <w:tc>
          <w:tcPr>
            <w:tcW w:w="0" w:type="auto"/>
            <w:tcBorders>
              <w:top w:val="nil"/>
              <w:left w:val="nil"/>
              <w:bottom w:val="single" w:sz="4" w:space="0" w:color="auto"/>
              <w:right w:val="single" w:sz="4" w:space="0" w:color="auto"/>
            </w:tcBorders>
            <w:shd w:val="clear" w:color="auto" w:fill="auto"/>
            <w:noWrap/>
            <w:vAlign w:val="center"/>
            <w:hideMark/>
          </w:tcPr>
          <w:p w:rsidR="004B2ACB" w:rsidRPr="004B2ACB" w:rsidRDefault="004B2ACB" w:rsidP="004B2ACB">
            <w:pPr>
              <w:widowControl/>
              <w:jc w:val="center"/>
              <w:rPr>
                <w:rFonts w:ascii="宋体" w:hAnsi="宋体" w:cs="宋体"/>
                <w:color w:val="000000"/>
                <w:kern w:val="0"/>
                <w:sz w:val="22"/>
                <w:szCs w:val="22"/>
              </w:rPr>
            </w:pPr>
            <w:r w:rsidRPr="004B2ACB">
              <w:rPr>
                <w:rFonts w:ascii="宋体" w:hAnsi="宋体" w:cs="宋体"/>
                <w:color w:val="000000"/>
                <w:kern w:val="0"/>
                <w:sz w:val="22"/>
                <w:szCs w:val="22"/>
              </w:rPr>
              <w:t>202</w:t>
            </w:r>
            <w:r w:rsidRPr="004B2ACB">
              <w:rPr>
                <w:rFonts w:ascii="宋体" w:hAnsi="宋体" w:cs="宋体" w:hint="eastAsia"/>
                <w:color w:val="000000"/>
                <w:kern w:val="0"/>
                <w:sz w:val="22"/>
                <w:szCs w:val="22"/>
              </w:rPr>
              <w:t>,</w:t>
            </w:r>
            <w:r w:rsidRPr="004B2ACB">
              <w:rPr>
                <w:rFonts w:ascii="宋体" w:hAnsi="宋体" w:cs="宋体"/>
                <w:color w:val="000000"/>
                <w:kern w:val="0"/>
                <w:sz w:val="22"/>
                <w:szCs w:val="22"/>
              </w:rPr>
              <w:t>619.92</w:t>
            </w:r>
          </w:p>
        </w:tc>
      </w:tr>
      <w:tr w:rsidR="004B2ACB" w:rsidRPr="004B2ACB" w:rsidTr="004B2ACB">
        <w:trPr>
          <w:trHeight w:val="270"/>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ACB" w:rsidRPr="004B2ACB" w:rsidRDefault="003A49BA" w:rsidP="004B2ACB">
            <w:pPr>
              <w:widowControl/>
              <w:jc w:val="left"/>
              <w:rPr>
                <w:rFonts w:ascii="宋体" w:hAnsi="宋体" w:cs="宋体"/>
                <w:color w:val="000000"/>
                <w:kern w:val="0"/>
                <w:sz w:val="22"/>
                <w:szCs w:val="22"/>
              </w:rPr>
            </w:pPr>
            <w:r>
              <w:rPr>
                <w:rFonts w:ascii="宋体" w:hAnsi="宋体" w:cs="宋体" w:hint="eastAsia"/>
                <w:color w:val="000000"/>
                <w:kern w:val="0"/>
                <w:sz w:val="22"/>
                <w:szCs w:val="22"/>
              </w:rPr>
              <w:t>股指</w:t>
            </w:r>
            <w:r w:rsidR="004B2ACB" w:rsidRPr="004B2ACB">
              <w:rPr>
                <w:rFonts w:ascii="宋体" w:hAnsi="宋体" w:cs="宋体" w:hint="eastAsia"/>
                <w:color w:val="000000"/>
                <w:kern w:val="0"/>
                <w:sz w:val="22"/>
                <w:szCs w:val="22"/>
              </w:rPr>
              <w:t>期货投资净额</w:t>
            </w:r>
          </w:p>
        </w:tc>
        <w:tc>
          <w:tcPr>
            <w:tcW w:w="0" w:type="auto"/>
            <w:tcBorders>
              <w:top w:val="nil"/>
              <w:left w:val="nil"/>
              <w:bottom w:val="single" w:sz="4" w:space="0" w:color="auto"/>
              <w:right w:val="single" w:sz="4" w:space="0" w:color="auto"/>
            </w:tcBorders>
            <w:shd w:val="clear" w:color="auto" w:fill="auto"/>
            <w:vAlign w:val="center"/>
            <w:hideMark/>
          </w:tcPr>
          <w:p w:rsidR="004B2ACB" w:rsidRPr="004B2ACB" w:rsidRDefault="004B2ACB" w:rsidP="004B2ACB">
            <w:pPr>
              <w:widowControl/>
              <w:jc w:val="center"/>
              <w:rPr>
                <w:rFonts w:ascii="宋体" w:hAnsi="宋体" w:cs="宋体"/>
                <w:color w:val="000000"/>
                <w:kern w:val="0"/>
                <w:sz w:val="22"/>
                <w:szCs w:val="22"/>
              </w:rPr>
            </w:pPr>
          </w:p>
        </w:tc>
        <w:tc>
          <w:tcPr>
            <w:tcW w:w="0" w:type="auto"/>
            <w:tcBorders>
              <w:top w:val="nil"/>
              <w:left w:val="nil"/>
              <w:bottom w:val="single" w:sz="4" w:space="0" w:color="auto"/>
              <w:right w:val="single" w:sz="4" w:space="0" w:color="auto"/>
            </w:tcBorders>
            <w:shd w:val="clear" w:color="auto" w:fill="auto"/>
            <w:vAlign w:val="center"/>
            <w:hideMark/>
          </w:tcPr>
          <w:p w:rsidR="004B2ACB" w:rsidRPr="004B2ACB" w:rsidRDefault="004B2ACB" w:rsidP="004B2ACB">
            <w:pPr>
              <w:widowControl/>
              <w:jc w:val="center"/>
              <w:rPr>
                <w:rFonts w:ascii="宋体" w:hAnsi="宋体" w:cs="宋体"/>
                <w:color w:val="000000"/>
                <w:kern w:val="0"/>
                <w:sz w:val="22"/>
                <w:szCs w:val="22"/>
              </w:rPr>
            </w:pPr>
            <w:r w:rsidRPr="004B2ACB">
              <w:rPr>
                <w:rFonts w:ascii="宋体" w:hAnsi="宋体" w:cs="宋体" w:hint="eastAsia"/>
                <w:color w:val="000000"/>
                <w:kern w:val="0"/>
                <w:sz w:val="22"/>
                <w:szCs w:val="22"/>
              </w:rPr>
              <w:t xml:space="preserve">0.00 </w:t>
            </w:r>
          </w:p>
        </w:tc>
      </w:tr>
    </w:tbl>
    <w:p w:rsidR="004B2ACB" w:rsidRDefault="004B2ACB" w:rsidP="00AB0FF3">
      <w:pPr>
        <w:tabs>
          <w:tab w:val="left" w:pos="426"/>
        </w:tabs>
        <w:spacing w:line="360" w:lineRule="auto"/>
        <w:ind w:firstLineChars="200" w:firstLine="420"/>
        <w:jc w:val="left"/>
        <w:rPr>
          <w:kern w:val="0"/>
          <w:szCs w:val="21"/>
        </w:rPr>
      </w:pPr>
      <w:r w:rsidRPr="004B2ACB">
        <w:rPr>
          <w:rFonts w:hint="eastAsia"/>
          <w:kern w:val="0"/>
          <w:szCs w:val="21"/>
        </w:rPr>
        <w:t>注：买入持仓量以正数表示</w:t>
      </w:r>
      <w:r w:rsidRPr="004B2ACB">
        <w:rPr>
          <w:rFonts w:hint="eastAsia"/>
          <w:kern w:val="0"/>
          <w:szCs w:val="21"/>
        </w:rPr>
        <w:t>,</w:t>
      </w:r>
      <w:r w:rsidRPr="004B2ACB">
        <w:rPr>
          <w:rFonts w:hint="eastAsia"/>
          <w:kern w:val="0"/>
          <w:szCs w:val="21"/>
        </w:rPr>
        <w:t>卖出持仓量以负数表示。</w:t>
      </w:r>
    </w:p>
    <w:p w:rsidR="004B2ACB" w:rsidRPr="00D749D4" w:rsidRDefault="004B2ACB" w:rsidP="00AB0FF3">
      <w:pPr>
        <w:tabs>
          <w:tab w:val="left" w:pos="426"/>
        </w:tabs>
        <w:spacing w:line="360" w:lineRule="auto"/>
        <w:ind w:firstLineChars="200" w:firstLine="420"/>
        <w:jc w:val="left"/>
        <w:rPr>
          <w:kern w:val="0"/>
          <w:szCs w:val="21"/>
        </w:rPr>
      </w:pPr>
      <w:r w:rsidRPr="004B2ACB">
        <w:rPr>
          <w:rFonts w:hint="eastAsia"/>
          <w:kern w:val="0"/>
          <w:szCs w:val="21"/>
        </w:rPr>
        <w:t>于</w:t>
      </w:r>
      <w:r w:rsidRPr="004B2ACB">
        <w:rPr>
          <w:rFonts w:hint="eastAsia"/>
          <w:kern w:val="0"/>
          <w:szCs w:val="21"/>
        </w:rPr>
        <w:t>2019</w:t>
      </w:r>
      <w:r w:rsidRPr="004B2ACB">
        <w:rPr>
          <w:rFonts w:hint="eastAsia"/>
          <w:kern w:val="0"/>
          <w:szCs w:val="21"/>
        </w:rPr>
        <w:t>年</w:t>
      </w:r>
      <w:r w:rsidRPr="004B2ACB">
        <w:rPr>
          <w:rFonts w:hint="eastAsia"/>
          <w:kern w:val="0"/>
          <w:szCs w:val="21"/>
        </w:rPr>
        <w:t>6</w:t>
      </w:r>
      <w:r w:rsidRPr="004B2ACB">
        <w:rPr>
          <w:rFonts w:hint="eastAsia"/>
          <w:kern w:val="0"/>
          <w:szCs w:val="21"/>
        </w:rPr>
        <w:t>月</w:t>
      </w:r>
      <w:r w:rsidRPr="004B2ACB">
        <w:rPr>
          <w:rFonts w:hint="eastAsia"/>
          <w:kern w:val="0"/>
          <w:szCs w:val="21"/>
        </w:rPr>
        <w:t>30</w:t>
      </w:r>
      <w:r w:rsidRPr="004B2ACB">
        <w:rPr>
          <w:rFonts w:hint="eastAsia"/>
          <w:kern w:val="0"/>
          <w:szCs w:val="21"/>
        </w:rPr>
        <w:t>日，本基金未持有</w:t>
      </w:r>
      <w:r>
        <w:rPr>
          <w:rFonts w:hint="eastAsia"/>
          <w:kern w:val="0"/>
          <w:szCs w:val="21"/>
        </w:rPr>
        <w:t>股指</w:t>
      </w:r>
      <w:r w:rsidRPr="004B2ACB">
        <w:rPr>
          <w:rFonts w:hint="eastAsia"/>
          <w:kern w:val="0"/>
          <w:szCs w:val="21"/>
        </w:rPr>
        <w:t>期货。</w:t>
      </w:r>
    </w:p>
    <w:p w:rsidR="00711C4C" w:rsidRPr="00740AC8" w:rsidRDefault="00711C4C" w:rsidP="006B6ACC">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6.4.7.4</w:t>
      </w:r>
      <w:r w:rsidRPr="00740AC8">
        <w:rPr>
          <w:rFonts w:ascii="宋体" w:hAnsi="宋体" w:hint="eastAsia"/>
          <w:b/>
          <w:bCs/>
          <w:color w:val="000000"/>
          <w:kern w:val="0"/>
          <w:szCs w:val="21"/>
        </w:rPr>
        <w:t>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6.4.7.4.1</w:t>
      </w:r>
      <w:r w:rsidRPr="00740AC8">
        <w:rPr>
          <w:rFonts w:ascii="宋体" w:hAnsi="宋体" w:hint="eastAsia"/>
          <w:b/>
          <w:bCs/>
          <w:color w:val="000000"/>
          <w:kern w:val="0"/>
          <w:szCs w:val="21"/>
        </w:rPr>
        <w:t>各项买入返售金融资产期末余额</w:t>
      </w:r>
    </w:p>
    <w:p w:rsidR="00E42F01" w:rsidRPr="00AB0FF3" w:rsidRDefault="00E42F01" w:rsidP="00E42F01">
      <w:pPr>
        <w:tabs>
          <w:tab w:val="left" w:pos="426"/>
        </w:tabs>
        <w:spacing w:line="360" w:lineRule="auto"/>
        <w:ind w:firstLineChars="200" w:firstLine="420"/>
        <w:jc w:val="left"/>
        <w:rPr>
          <w:kern w:val="0"/>
          <w:szCs w:val="21"/>
        </w:rPr>
      </w:pPr>
      <w:r w:rsidRPr="00AB0FF3">
        <w:rPr>
          <w:kern w:val="0"/>
          <w:szCs w:val="21"/>
        </w:rPr>
        <w:t>本基金本报告期末无买入返售金融资产。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6.4.7.4.2</w:t>
      </w:r>
      <w:r w:rsidRPr="00740AC8">
        <w:rPr>
          <w:rFonts w:ascii="宋体" w:hAnsi="宋体" w:hint="eastAsia"/>
          <w:b/>
          <w:bCs/>
          <w:color w:val="000000"/>
          <w:kern w:val="0"/>
          <w:szCs w:val="21"/>
        </w:rPr>
        <w:t>期末买断式逆回购交易中取得的债券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本基金本报告期末无买断式逆回购交易中取得的债券。</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6.4.7.5</w:t>
      </w:r>
      <w:r w:rsidRPr="00740AC8">
        <w:rPr>
          <w:rFonts w:ascii="宋体" w:hAnsi="宋体" w:hint="eastAsia"/>
          <w:b/>
          <w:bCs/>
          <w:color w:val="000000"/>
          <w:kern w:val="0"/>
          <w:szCs w:val="21"/>
        </w:rPr>
        <w:t>应收利息</w:t>
      </w:r>
    </w:p>
    <w:p w:rsidR="00F84863" w:rsidRPr="00885C59" w:rsidRDefault="00F84863" w:rsidP="00F84863">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项目</w:t>
            </w:r>
          </w:p>
        </w:tc>
        <w:tc>
          <w:tcPr>
            <w:tcW w:w="5528" w:type="dxa"/>
            <w:vAlign w:val="center"/>
          </w:tcPr>
          <w:p w:rsidR="00F84863" w:rsidRPr="00885C59" w:rsidRDefault="00F84863" w:rsidP="0021645F">
            <w:pPr>
              <w:jc w:val="center"/>
              <w:rPr>
                <w:kern w:val="0"/>
                <w:szCs w:val="21"/>
              </w:rPr>
            </w:pPr>
            <w:r w:rsidRPr="00885C59">
              <w:rPr>
                <w:rFonts w:hint="eastAsia"/>
                <w:kern w:val="0"/>
                <w:szCs w:val="21"/>
              </w:rPr>
              <w:t>本期末</w:t>
            </w:r>
          </w:p>
          <w:p w:rsidR="00F84863" w:rsidRPr="00885C59" w:rsidRDefault="00F84863" w:rsidP="0021645F">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84863" w:rsidRPr="00885C59" w:rsidTr="0021645F">
        <w:trPr>
          <w:trHeight w:val="257"/>
        </w:trPr>
        <w:tc>
          <w:tcPr>
            <w:tcW w:w="3701" w:type="dxa"/>
            <w:vAlign w:val="center"/>
          </w:tcPr>
          <w:p w:rsidR="00F84863" w:rsidRPr="00885C59" w:rsidRDefault="00F84863" w:rsidP="0021645F">
            <w:pPr>
              <w:rPr>
                <w:szCs w:val="21"/>
              </w:rPr>
            </w:pPr>
            <w:r w:rsidRPr="00885C59">
              <w:rPr>
                <w:rFonts w:hint="eastAsia"/>
                <w:szCs w:val="21"/>
              </w:rPr>
              <w:t>应收活期存款利息</w:t>
            </w:r>
          </w:p>
        </w:tc>
        <w:tc>
          <w:tcPr>
            <w:tcW w:w="5528" w:type="dxa"/>
            <w:vAlign w:val="center"/>
          </w:tcPr>
          <w:p w:rsidR="00F84863" w:rsidRPr="00885C59" w:rsidRDefault="00F84863" w:rsidP="0021645F">
            <w:pPr>
              <w:jc w:val="right"/>
              <w:rPr>
                <w:szCs w:val="21"/>
              </w:rPr>
            </w:pPr>
            <w:r w:rsidRPr="00885C59">
              <w:rPr>
                <w:szCs w:val="21"/>
              </w:rPr>
              <w:t>3,307.75</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应收定期存款利息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应收其他存款利息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应收结算备付金利息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69"/>
        </w:trPr>
        <w:tc>
          <w:tcPr>
            <w:tcW w:w="3701" w:type="dxa"/>
            <w:vAlign w:val="center"/>
          </w:tcPr>
          <w:p w:rsidR="00F84863" w:rsidRPr="00885C59" w:rsidRDefault="00F84863" w:rsidP="0021645F">
            <w:pPr>
              <w:rPr>
                <w:szCs w:val="21"/>
              </w:rPr>
            </w:pPr>
            <w:r w:rsidRPr="00885C59">
              <w:rPr>
                <w:rFonts w:hint="eastAsia"/>
                <w:szCs w:val="21"/>
              </w:rPr>
              <w:t>应收债券利息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87"/>
        </w:trPr>
        <w:tc>
          <w:tcPr>
            <w:tcW w:w="3701" w:type="dxa"/>
            <w:vAlign w:val="bottom"/>
          </w:tcPr>
          <w:p w:rsidR="00F84863" w:rsidRPr="00211604" w:rsidRDefault="00F84863" w:rsidP="0021645F">
            <w:pPr>
              <w:rPr>
                <w:rFonts w:eastAsiaTheme="minorEastAsia"/>
                <w:szCs w:val="21"/>
              </w:rPr>
            </w:pPr>
            <w:r w:rsidRPr="00211604">
              <w:rPr>
                <w:rFonts w:eastAsiaTheme="minorEastAsia" w:hint="eastAsia"/>
                <w:szCs w:val="21"/>
              </w:rPr>
              <w:t>应收资产支持证券利息</w:t>
            </w:r>
          </w:p>
        </w:tc>
        <w:tc>
          <w:tcPr>
            <w:tcW w:w="5528" w:type="dxa"/>
          </w:tcPr>
          <w:p w:rsidR="00F84863" w:rsidRPr="00211604" w:rsidRDefault="00F84863" w:rsidP="0021645F">
            <w:pPr>
              <w:jc w:val="right"/>
              <w:rPr>
                <w:rFonts w:eastAsiaTheme="minorEastAsia"/>
                <w:szCs w:val="21"/>
              </w:rPr>
            </w:pPr>
            <w:r w:rsidRPr="00211604">
              <w:rPr>
                <w:rFonts w:eastAsiaTheme="minorEastAsia"/>
                <w:szCs w:val="21"/>
              </w:rPr>
              <w:t>-</w:t>
            </w:r>
          </w:p>
        </w:tc>
      </w:tr>
      <w:tr w:rsidR="00F84863" w:rsidRPr="00885C59" w:rsidTr="0021645F">
        <w:trPr>
          <w:trHeight w:val="287"/>
        </w:trPr>
        <w:tc>
          <w:tcPr>
            <w:tcW w:w="3701" w:type="dxa"/>
            <w:vAlign w:val="center"/>
          </w:tcPr>
          <w:p w:rsidR="00F84863" w:rsidRPr="00885C59" w:rsidRDefault="00F84863" w:rsidP="0021645F">
            <w:pPr>
              <w:rPr>
                <w:szCs w:val="21"/>
              </w:rPr>
            </w:pPr>
            <w:r w:rsidRPr="00885C59">
              <w:rPr>
                <w:rFonts w:hint="eastAsia"/>
                <w:szCs w:val="21"/>
              </w:rPr>
              <w:t>应收买入返售证券利息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应收申购款利息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应收黄金合约拆借孳息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其他</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合计</w:t>
            </w:r>
          </w:p>
        </w:tc>
        <w:tc>
          <w:tcPr>
            <w:tcW w:w="5528" w:type="dxa"/>
            <w:vAlign w:val="center"/>
          </w:tcPr>
          <w:p w:rsidR="00F84863" w:rsidRPr="00885C59" w:rsidRDefault="00F84863" w:rsidP="0021645F">
            <w:pPr>
              <w:jc w:val="right"/>
              <w:rPr>
                <w:szCs w:val="21"/>
              </w:rPr>
            </w:pPr>
            <w:r w:rsidRPr="00885C59">
              <w:rPr>
                <w:szCs w:val="21"/>
              </w:rPr>
              <w:t>3,307.75</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6.4.7.6</w:t>
      </w:r>
      <w:r w:rsidRPr="00740AC8">
        <w:rPr>
          <w:rFonts w:ascii="宋体" w:hAnsi="宋体" w:hint="eastAsia"/>
          <w:b/>
          <w:bCs/>
          <w:color w:val="000000"/>
          <w:kern w:val="0"/>
          <w:szCs w:val="21"/>
        </w:rPr>
        <w:t>其他资产</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本基金本报告期末无其他资产。</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6.4.7.7</w:t>
      </w:r>
      <w:r w:rsidRPr="00740AC8">
        <w:rPr>
          <w:rFonts w:ascii="宋体" w:hAnsi="宋体" w:hint="eastAsia"/>
          <w:b/>
          <w:bCs/>
          <w:color w:val="000000"/>
          <w:kern w:val="0"/>
          <w:szCs w:val="21"/>
        </w:rPr>
        <w:t>应付交易费用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本基金本报告期末无应付交易费用。</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6.4.7.8</w:t>
      </w:r>
      <w:r w:rsidRPr="00740AC8">
        <w:rPr>
          <w:rFonts w:ascii="宋体" w:hAnsi="宋体" w:hint="eastAsia"/>
          <w:b/>
          <w:bCs/>
          <w:color w:val="000000"/>
          <w:kern w:val="0"/>
          <w:szCs w:val="21"/>
        </w:rPr>
        <w:t>其他负债</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11C4C" w:rsidRPr="00D749D4" w:rsidTr="000763A9">
        <w:trPr>
          <w:trHeight w:val="330"/>
        </w:trPr>
        <w:tc>
          <w:tcPr>
            <w:tcW w:w="370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kern w:val="0"/>
                <w:szCs w:val="21"/>
              </w:rPr>
            </w:pPr>
            <w:r w:rsidRPr="00D749D4">
              <w:rPr>
                <w:rFonts w:hint="eastAsia"/>
                <w:kern w:val="0"/>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应付券商交易单元保证金</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应付赎回费</w:t>
            </w:r>
          </w:p>
        </w:tc>
        <w:tc>
          <w:tcPr>
            <w:tcW w:w="5528" w:type="dxa"/>
            <w:vAlign w:val="center"/>
          </w:tcPr>
          <w:p w:rsidR="00711C4C" w:rsidRPr="00D749D4" w:rsidRDefault="00711C4C" w:rsidP="004A4847">
            <w:pPr>
              <w:jc w:val="right"/>
              <w:rPr>
                <w:szCs w:val="21"/>
              </w:rPr>
            </w:pPr>
            <w:r w:rsidRPr="00D749D4">
              <w:rPr>
                <w:szCs w:val="21"/>
              </w:rPr>
              <w:t>108,998.77</w:t>
            </w:r>
          </w:p>
        </w:tc>
      </w:tr>
      <w:tr w:rsidR="00CF426B">
        <w:tc>
          <w:tcPr>
            <w:tcW w:w="3701" w:type="dxa"/>
            <w:vAlign w:val="center"/>
          </w:tcPr>
          <w:p w:rsidR="00CF426B" w:rsidRDefault="005F6DDD">
            <w:pPr>
              <w:jc w:val="left"/>
            </w:pPr>
            <w:r>
              <w:rPr>
                <w:szCs w:val="21"/>
              </w:rPr>
              <w:t>预提费用</w:t>
            </w:r>
          </w:p>
        </w:tc>
        <w:tc>
          <w:tcPr>
            <w:tcW w:w="5528" w:type="dxa"/>
            <w:vAlign w:val="center"/>
          </w:tcPr>
          <w:p w:rsidR="00CF426B" w:rsidRDefault="005F6DDD">
            <w:pPr>
              <w:jc w:val="right"/>
            </w:pPr>
            <w:r>
              <w:rPr>
                <w:szCs w:val="21"/>
              </w:rPr>
              <w:t>184,426.14</w:t>
            </w:r>
          </w:p>
        </w:tc>
      </w:tr>
      <w:tr w:rsidR="00CF426B">
        <w:tc>
          <w:tcPr>
            <w:tcW w:w="3701" w:type="dxa"/>
            <w:vAlign w:val="center"/>
          </w:tcPr>
          <w:p w:rsidR="00CF426B" w:rsidRDefault="005F6DDD">
            <w:pPr>
              <w:jc w:val="left"/>
            </w:pPr>
            <w:r>
              <w:rPr>
                <w:szCs w:val="21"/>
              </w:rPr>
              <w:t>其他应付款</w:t>
            </w:r>
          </w:p>
        </w:tc>
        <w:tc>
          <w:tcPr>
            <w:tcW w:w="5528" w:type="dxa"/>
            <w:vAlign w:val="center"/>
          </w:tcPr>
          <w:p w:rsidR="00CF426B" w:rsidRDefault="005F6DDD">
            <w:pPr>
              <w:jc w:val="right"/>
            </w:pPr>
            <w:r>
              <w:rPr>
                <w:szCs w:val="21"/>
              </w:rPr>
              <w:t>23,394.41</w:t>
            </w:r>
          </w:p>
        </w:tc>
      </w:tr>
      <w:tr w:rsidR="00711C4C" w:rsidRPr="00D749D4" w:rsidTr="000763A9">
        <w:trPr>
          <w:trHeight w:val="325"/>
        </w:trPr>
        <w:tc>
          <w:tcPr>
            <w:tcW w:w="370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316,819.32</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6.4.7.9</w:t>
      </w:r>
      <w:r w:rsidRPr="00740AC8">
        <w:rPr>
          <w:rFonts w:ascii="宋体" w:hAnsi="宋体" w:hint="eastAsia"/>
          <w:b/>
          <w:bCs/>
          <w:color w:val="000000"/>
          <w:kern w:val="0"/>
          <w:szCs w:val="21"/>
        </w:rPr>
        <w:t>实收基金</w:t>
      </w:r>
    </w:p>
    <w:p w:rsidR="00711C4C" w:rsidRPr="00D749D4" w:rsidRDefault="00711C4C" w:rsidP="0032494A">
      <w:pPr>
        <w:wordWrap w:val="0"/>
        <w:spacing w:line="360" w:lineRule="auto"/>
        <w:jc w:val="right"/>
        <w:rPr>
          <w:color w:val="000000"/>
          <w:szCs w:val="21"/>
        </w:rPr>
      </w:pPr>
      <w:r w:rsidRPr="00D749D4">
        <w:rPr>
          <w:rFonts w:hint="eastAsia"/>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11C4C" w:rsidRPr="00D749D4" w:rsidTr="000763A9">
        <w:tc>
          <w:tcPr>
            <w:tcW w:w="3119" w:type="dxa"/>
            <w:vMerge w:val="restart"/>
            <w:vAlign w:val="center"/>
          </w:tcPr>
          <w:p w:rsidR="00711C4C" w:rsidRPr="00D749D4" w:rsidRDefault="00711C4C" w:rsidP="00EE1E0C">
            <w:pPr>
              <w:jc w:val="center"/>
              <w:rPr>
                <w:color w:val="000000"/>
                <w:szCs w:val="21"/>
              </w:rPr>
            </w:pPr>
            <w:r w:rsidRPr="00D749D4">
              <w:rPr>
                <w:rFonts w:hint="eastAsia"/>
                <w:color w:val="000000"/>
                <w:kern w:val="0"/>
                <w:szCs w:val="21"/>
              </w:rPr>
              <w:t>项目</w:t>
            </w:r>
          </w:p>
        </w:tc>
        <w:tc>
          <w:tcPr>
            <w:tcW w:w="6237" w:type="dxa"/>
            <w:gridSpan w:val="2"/>
            <w:vAlign w:val="center"/>
          </w:tcPr>
          <w:p w:rsidR="00711C4C" w:rsidRPr="00D749D4" w:rsidRDefault="00711C4C" w:rsidP="00EE1E0C">
            <w:pPr>
              <w:jc w:val="center"/>
              <w:rPr>
                <w:color w:val="000000"/>
                <w:szCs w:val="21"/>
              </w:rPr>
            </w:pPr>
            <w:r w:rsidRPr="00D749D4">
              <w:rPr>
                <w:rFonts w:hint="eastAsia"/>
                <w:color w:val="000000"/>
                <w:szCs w:val="21"/>
              </w:rPr>
              <w:t>本期</w:t>
            </w:r>
          </w:p>
          <w:p w:rsidR="00711C4C" w:rsidRPr="00D749D4" w:rsidRDefault="00711C4C" w:rsidP="00EE1E0C">
            <w:pPr>
              <w:jc w:val="center"/>
              <w:rPr>
                <w:color w:val="000000"/>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c>
          <w:tcPr>
            <w:tcW w:w="3119" w:type="dxa"/>
            <w:vMerge/>
            <w:vAlign w:val="center"/>
          </w:tcPr>
          <w:p w:rsidR="00711C4C" w:rsidRPr="00D749D4" w:rsidRDefault="00711C4C" w:rsidP="00EE1E0C">
            <w:pPr>
              <w:widowControl/>
              <w:jc w:val="left"/>
              <w:rPr>
                <w:color w:val="000000"/>
                <w:szCs w:val="21"/>
              </w:rPr>
            </w:pPr>
          </w:p>
        </w:tc>
        <w:tc>
          <w:tcPr>
            <w:tcW w:w="2873" w:type="dxa"/>
            <w:vAlign w:val="center"/>
          </w:tcPr>
          <w:p w:rsidR="00711C4C" w:rsidRPr="00D749D4" w:rsidRDefault="00711C4C" w:rsidP="00EE1E0C">
            <w:pPr>
              <w:jc w:val="center"/>
              <w:rPr>
                <w:color w:val="000000"/>
                <w:szCs w:val="21"/>
              </w:rPr>
            </w:pPr>
            <w:r w:rsidRPr="00D749D4">
              <w:rPr>
                <w:rFonts w:hint="eastAsia"/>
                <w:color w:val="000000"/>
                <w:szCs w:val="21"/>
              </w:rPr>
              <w:t>基金份额（份）</w:t>
            </w:r>
          </w:p>
        </w:tc>
        <w:tc>
          <w:tcPr>
            <w:tcW w:w="3364" w:type="dxa"/>
            <w:vAlign w:val="center"/>
          </w:tcPr>
          <w:p w:rsidR="00711C4C" w:rsidRPr="00D749D4" w:rsidRDefault="00711C4C" w:rsidP="00EE1E0C">
            <w:pPr>
              <w:jc w:val="center"/>
              <w:rPr>
                <w:color w:val="000000"/>
                <w:szCs w:val="21"/>
              </w:rPr>
            </w:pPr>
            <w:r w:rsidRPr="00D749D4">
              <w:rPr>
                <w:rFonts w:hint="eastAsia"/>
                <w:color w:val="000000"/>
                <w:szCs w:val="21"/>
              </w:rPr>
              <w:t>账面金额</w:t>
            </w:r>
          </w:p>
        </w:tc>
      </w:tr>
      <w:tr w:rsidR="00711C4C" w:rsidRPr="00D749D4" w:rsidTr="000763A9">
        <w:tc>
          <w:tcPr>
            <w:tcW w:w="3119" w:type="dxa"/>
            <w:vAlign w:val="center"/>
          </w:tcPr>
          <w:p w:rsidR="00711C4C" w:rsidRPr="00D749D4" w:rsidRDefault="00711C4C" w:rsidP="00762144">
            <w:pPr>
              <w:rPr>
                <w:color w:val="000000"/>
                <w:szCs w:val="21"/>
              </w:rPr>
            </w:pPr>
            <w:r w:rsidRPr="00D749D4">
              <w:rPr>
                <w:kern w:val="0"/>
                <w:szCs w:val="21"/>
              </w:rPr>
              <w:t>上年度末</w:t>
            </w:r>
          </w:p>
        </w:tc>
        <w:tc>
          <w:tcPr>
            <w:tcW w:w="2873" w:type="dxa"/>
            <w:vAlign w:val="center"/>
          </w:tcPr>
          <w:p w:rsidR="00711C4C" w:rsidRPr="00D749D4" w:rsidRDefault="00711C4C" w:rsidP="00EE1E0C">
            <w:pPr>
              <w:jc w:val="right"/>
              <w:rPr>
                <w:szCs w:val="21"/>
              </w:rPr>
            </w:pPr>
            <w:r w:rsidRPr="00D749D4">
              <w:rPr>
                <w:szCs w:val="21"/>
              </w:rPr>
              <w:t>100,350,776.12</w:t>
            </w:r>
          </w:p>
        </w:tc>
        <w:tc>
          <w:tcPr>
            <w:tcW w:w="3364" w:type="dxa"/>
            <w:vAlign w:val="center"/>
          </w:tcPr>
          <w:p w:rsidR="00711C4C" w:rsidRPr="00D749D4" w:rsidRDefault="00711C4C" w:rsidP="00EE1E0C">
            <w:pPr>
              <w:jc w:val="right"/>
              <w:rPr>
                <w:szCs w:val="21"/>
              </w:rPr>
            </w:pPr>
            <w:r w:rsidRPr="00D749D4">
              <w:rPr>
                <w:szCs w:val="21"/>
              </w:rPr>
              <w:t>100,350,776.12</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本期申购</w:t>
            </w:r>
          </w:p>
        </w:tc>
        <w:tc>
          <w:tcPr>
            <w:tcW w:w="2873" w:type="dxa"/>
            <w:vAlign w:val="center"/>
          </w:tcPr>
          <w:p w:rsidR="00711C4C" w:rsidRPr="00D749D4" w:rsidRDefault="00711C4C" w:rsidP="00EE1E0C">
            <w:pPr>
              <w:jc w:val="right"/>
              <w:rPr>
                <w:szCs w:val="21"/>
              </w:rPr>
            </w:pPr>
            <w:r w:rsidRPr="00D749D4">
              <w:rPr>
                <w:szCs w:val="21"/>
              </w:rPr>
              <w:t>607,155,652.44</w:t>
            </w:r>
          </w:p>
        </w:tc>
        <w:tc>
          <w:tcPr>
            <w:tcW w:w="3364" w:type="dxa"/>
            <w:vAlign w:val="center"/>
          </w:tcPr>
          <w:p w:rsidR="00711C4C" w:rsidRPr="00D749D4" w:rsidRDefault="00711C4C" w:rsidP="00EE1E0C">
            <w:pPr>
              <w:jc w:val="right"/>
              <w:rPr>
                <w:szCs w:val="21"/>
              </w:rPr>
            </w:pPr>
            <w:r w:rsidRPr="00D749D4">
              <w:rPr>
                <w:szCs w:val="21"/>
              </w:rPr>
              <w:t>607,155,652.44</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本期赎回</w:t>
            </w:r>
            <w:r w:rsidRPr="00D749D4">
              <w:rPr>
                <w:rFonts w:hint="eastAsia"/>
                <w:szCs w:val="21"/>
              </w:rPr>
              <w:t>（以</w:t>
            </w:r>
            <w:r w:rsidRPr="00D749D4">
              <w:rPr>
                <w:szCs w:val="21"/>
              </w:rPr>
              <w:t>“-”</w:t>
            </w:r>
            <w:r w:rsidRPr="00D749D4">
              <w:rPr>
                <w:rFonts w:hint="eastAsia"/>
                <w:szCs w:val="21"/>
              </w:rPr>
              <w:t>号填列）</w:t>
            </w:r>
          </w:p>
        </w:tc>
        <w:tc>
          <w:tcPr>
            <w:tcW w:w="2873" w:type="dxa"/>
            <w:vAlign w:val="center"/>
          </w:tcPr>
          <w:p w:rsidR="00711C4C" w:rsidRPr="00D749D4" w:rsidRDefault="00711C4C" w:rsidP="00EE1E0C">
            <w:pPr>
              <w:jc w:val="right"/>
              <w:rPr>
                <w:szCs w:val="21"/>
              </w:rPr>
            </w:pPr>
            <w:r w:rsidRPr="00D749D4">
              <w:rPr>
                <w:szCs w:val="21"/>
              </w:rPr>
              <w:t>-341,794,551.60</w:t>
            </w:r>
          </w:p>
        </w:tc>
        <w:tc>
          <w:tcPr>
            <w:tcW w:w="3364" w:type="dxa"/>
            <w:vAlign w:val="center"/>
          </w:tcPr>
          <w:p w:rsidR="00711C4C" w:rsidRPr="00D749D4" w:rsidRDefault="00711C4C" w:rsidP="00EE1E0C">
            <w:pPr>
              <w:jc w:val="right"/>
              <w:rPr>
                <w:szCs w:val="21"/>
              </w:rPr>
            </w:pPr>
            <w:r w:rsidRPr="00D749D4">
              <w:rPr>
                <w:szCs w:val="21"/>
              </w:rPr>
              <w:t>-341,794,551.60</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szCs w:val="21"/>
              </w:rPr>
              <w:t>本期末</w:t>
            </w:r>
          </w:p>
        </w:tc>
        <w:tc>
          <w:tcPr>
            <w:tcW w:w="2873" w:type="dxa"/>
            <w:vAlign w:val="center"/>
          </w:tcPr>
          <w:p w:rsidR="00711C4C" w:rsidRPr="00D749D4" w:rsidRDefault="00711C4C" w:rsidP="00EE1E0C">
            <w:pPr>
              <w:jc w:val="right"/>
              <w:rPr>
                <w:szCs w:val="21"/>
              </w:rPr>
            </w:pPr>
            <w:r w:rsidRPr="00D749D4">
              <w:rPr>
                <w:szCs w:val="21"/>
              </w:rPr>
              <w:t>365,711,876.96</w:t>
            </w:r>
          </w:p>
        </w:tc>
        <w:tc>
          <w:tcPr>
            <w:tcW w:w="3364" w:type="dxa"/>
            <w:vAlign w:val="center"/>
          </w:tcPr>
          <w:p w:rsidR="00711C4C" w:rsidRPr="00D749D4" w:rsidRDefault="00711C4C" w:rsidP="00EE1E0C">
            <w:pPr>
              <w:jc w:val="right"/>
              <w:rPr>
                <w:szCs w:val="21"/>
              </w:rPr>
            </w:pPr>
            <w:r w:rsidRPr="00D749D4">
              <w:rPr>
                <w:szCs w:val="21"/>
              </w:rPr>
              <w:t>365,711,876.96</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6.4.7.10</w:t>
      </w:r>
      <w:r w:rsidRPr="00740AC8">
        <w:rPr>
          <w:rFonts w:ascii="宋体" w:hAnsi="宋体" w:hint="eastAsia"/>
          <w:b/>
          <w:bCs/>
          <w:color w:val="000000"/>
          <w:kern w:val="0"/>
          <w:szCs w:val="21"/>
        </w:rPr>
        <w:t>未分配利润</w:t>
      </w:r>
    </w:p>
    <w:p w:rsidR="00711C4C" w:rsidRPr="00D749D4" w:rsidRDefault="00711C4C" w:rsidP="002116B9">
      <w:pPr>
        <w:spacing w:line="288" w:lineRule="auto"/>
        <w:jc w:val="right"/>
        <w:rPr>
          <w:color w:val="000000"/>
          <w:szCs w:val="21"/>
        </w:rPr>
      </w:pPr>
      <w:r w:rsidRPr="00D749D4">
        <w:rPr>
          <w:rFonts w:hint="eastAsia"/>
          <w:color w:val="000000"/>
          <w:szCs w:val="21"/>
        </w:rPr>
        <w:t>单位：人民币元</w:t>
      </w:r>
    </w:p>
    <w:tbl>
      <w:tblPr>
        <w:tblW w:w="92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336"/>
      </w:tblGrid>
      <w:tr w:rsidR="00711C4C" w:rsidRPr="00D749D4" w:rsidTr="002F430E">
        <w:tc>
          <w:tcPr>
            <w:tcW w:w="270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已实现部分</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未实现部分</w:t>
            </w:r>
          </w:p>
        </w:tc>
        <w:tc>
          <w:tcPr>
            <w:tcW w:w="2336" w:type="dxa"/>
            <w:vAlign w:val="center"/>
          </w:tcPr>
          <w:p w:rsidR="00711C4C" w:rsidRPr="00D749D4" w:rsidRDefault="00711C4C" w:rsidP="004A4847">
            <w:pPr>
              <w:jc w:val="center"/>
              <w:rPr>
                <w:color w:val="000000"/>
                <w:szCs w:val="21"/>
              </w:rPr>
            </w:pPr>
            <w:r w:rsidRPr="00D749D4">
              <w:rPr>
                <w:rFonts w:hint="eastAsia"/>
                <w:color w:val="000000"/>
                <w:szCs w:val="21"/>
              </w:rPr>
              <w:t>未分配利润合计</w:t>
            </w:r>
          </w:p>
        </w:tc>
      </w:tr>
      <w:tr w:rsidR="00711C4C" w:rsidRPr="00D749D4" w:rsidTr="002F430E">
        <w:tc>
          <w:tcPr>
            <w:tcW w:w="2700" w:type="dxa"/>
            <w:vAlign w:val="center"/>
          </w:tcPr>
          <w:p w:rsidR="00711C4C" w:rsidRPr="00D749D4" w:rsidRDefault="00711C4C" w:rsidP="004A4847">
            <w:pPr>
              <w:rPr>
                <w:color w:val="000000"/>
                <w:szCs w:val="21"/>
              </w:rPr>
            </w:pPr>
            <w:r w:rsidRPr="00D749D4">
              <w:rPr>
                <w:szCs w:val="21"/>
              </w:rPr>
              <w:t>上年度末</w:t>
            </w:r>
          </w:p>
        </w:tc>
        <w:tc>
          <w:tcPr>
            <w:tcW w:w="2100" w:type="dxa"/>
            <w:vAlign w:val="center"/>
          </w:tcPr>
          <w:p w:rsidR="00711C4C" w:rsidRPr="00D749D4" w:rsidRDefault="00711C4C" w:rsidP="004A4847">
            <w:pPr>
              <w:jc w:val="right"/>
              <w:rPr>
                <w:szCs w:val="21"/>
              </w:rPr>
            </w:pPr>
            <w:r w:rsidRPr="00D749D4">
              <w:rPr>
                <w:szCs w:val="21"/>
              </w:rPr>
              <w:t>7,794,660.11</w:t>
            </w:r>
          </w:p>
        </w:tc>
        <w:tc>
          <w:tcPr>
            <w:tcW w:w="2100" w:type="dxa"/>
            <w:vAlign w:val="center"/>
          </w:tcPr>
          <w:p w:rsidR="00711C4C" w:rsidRPr="00D749D4" w:rsidRDefault="00711C4C" w:rsidP="004A4847">
            <w:pPr>
              <w:jc w:val="right"/>
              <w:rPr>
                <w:szCs w:val="21"/>
              </w:rPr>
            </w:pPr>
            <w:r w:rsidRPr="00D749D4">
              <w:rPr>
                <w:szCs w:val="21"/>
              </w:rPr>
              <w:t>40,896,371.91</w:t>
            </w:r>
          </w:p>
        </w:tc>
        <w:tc>
          <w:tcPr>
            <w:tcW w:w="2336" w:type="dxa"/>
            <w:vAlign w:val="center"/>
          </w:tcPr>
          <w:p w:rsidR="00711C4C" w:rsidRPr="00D749D4" w:rsidRDefault="00711C4C" w:rsidP="004A4847">
            <w:pPr>
              <w:jc w:val="right"/>
              <w:rPr>
                <w:szCs w:val="21"/>
              </w:rPr>
            </w:pPr>
            <w:r w:rsidRPr="00D749D4">
              <w:rPr>
                <w:szCs w:val="21"/>
              </w:rPr>
              <w:t>48,691,032.02</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本期利润</w:t>
            </w:r>
          </w:p>
        </w:tc>
        <w:tc>
          <w:tcPr>
            <w:tcW w:w="2100" w:type="dxa"/>
            <w:vAlign w:val="center"/>
          </w:tcPr>
          <w:p w:rsidR="00711C4C" w:rsidRPr="00D749D4" w:rsidRDefault="00711C4C" w:rsidP="004A4847">
            <w:pPr>
              <w:jc w:val="right"/>
              <w:rPr>
                <w:szCs w:val="21"/>
              </w:rPr>
            </w:pPr>
            <w:r w:rsidRPr="00D749D4">
              <w:rPr>
                <w:szCs w:val="21"/>
              </w:rPr>
              <w:t>-4,557,143.00</w:t>
            </w:r>
          </w:p>
        </w:tc>
        <w:tc>
          <w:tcPr>
            <w:tcW w:w="2100" w:type="dxa"/>
            <w:vAlign w:val="center"/>
          </w:tcPr>
          <w:p w:rsidR="00711C4C" w:rsidRPr="00D749D4" w:rsidRDefault="00711C4C" w:rsidP="004A4847">
            <w:pPr>
              <w:jc w:val="right"/>
              <w:rPr>
                <w:szCs w:val="21"/>
              </w:rPr>
            </w:pPr>
            <w:r w:rsidRPr="00D749D4">
              <w:rPr>
                <w:szCs w:val="21"/>
              </w:rPr>
              <w:t>65,504,606.32</w:t>
            </w:r>
          </w:p>
        </w:tc>
        <w:tc>
          <w:tcPr>
            <w:tcW w:w="2336" w:type="dxa"/>
            <w:vAlign w:val="center"/>
          </w:tcPr>
          <w:p w:rsidR="00711C4C" w:rsidRPr="00D749D4" w:rsidRDefault="00711C4C" w:rsidP="004A4847">
            <w:pPr>
              <w:jc w:val="right"/>
              <w:rPr>
                <w:szCs w:val="21"/>
              </w:rPr>
            </w:pPr>
            <w:r w:rsidRPr="00D749D4">
              <w:rPr>
                <w:szCs w:val="21"/>
              </w:rPr>
              <w:t>60,947,463.32</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本期基金份额交易产生的变动数</w:t>
            </w:r>
          </w:p>
        </w:tc>
        <w:tc>
          <w:tcPr>
            <w:tcW w:w="2100" w:type="dxa"/>
            <w:vAlign w:val="center"/>
          </w:tcPr>
          <w:p w:rsidR="00711C4C" w:rsidRPr="00D749D4" w:rsidRDefault="00711C4C" w:rsidP="004A4847">
            <w:pPr>
              <w:jc w:val="right"/>
              <w:rPr>
                <w:szCs w:val="21"/>
              </w:rPr>
            </w:pPr>
            <w:r w:rsidRPr="00D749D4">
              <w:rPr>
                <w:szCs w:val="21"/>
              </w:rPr>
              <w:t>21,305,983.28</w:t>
            </w:r>
          </w:p>
        </w:tc>
        <w:tc>
          <w:tcPr>
            <w:tcW w:w="2100" w:type="dxa"/>
            <w:vAlign w:val="center"/>
          </w:tcPr>
          <w:p w:rsidR="00711C4C" w:rsidRPr="00D749D4" w:rsidRDefault="00711C4C" w:rsidP="004A4847">
            <w:pPr>
              <w:jc w:val="right"/>
              <w:rPr>
                <w:szCs w:val="21"/>
              </w:rPr>
            </w:pPr>
            <w:r w:rsidRPr="00D749D4">
              <w:rPr>
                <w:szCs w:val="21"/>
              </w:rPr>
              <w:t>128,898,954.35</w:t>
            </w:r>
          </w:p>
        </w:tc>
        <w:tc>
          <w:tcPr>
            <w:tcW w:w="2336" w:type="dxa"/>
            <w:vAlign w:val="center"/>
          </w:tcPr>
          <w:p w:rsidR="00711C4C" w:rsidRPr="00D749D4" w:rsidRDefault="00711C4C" w:rsidP="004A4847">
            <w:pPr>
              <w:jc w:val="right"/>
              <w:rPr>
                <w:szCs w:val="21"/>
              </w:rPr>
            </w:pPr>
            <w:r w:rsidRPr="00D749D4">
              <w:rPr>
                <w:szCs w:val="21"/>
              </w:rPr>
              <w:t>150,204,937.63</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其中：基金申购款</w:t>
            </w:r>
          </w:p>
        </w:tc>
        <w:tc>
          <w:tcPr>
            <w:tcW w:w="2100" w:type="dxa"/>
            <w:vAlign w:val="center"/>
          </w:tcPr>
          <w:p w:rsidR="00711C4C" w:rsidRPr="00D749D4" w:rsidRDefault="00711C4C" w:rsidP="004A4847">
            <w:pPr>
              <w:jc w:val="right"/>
              <w:rPr>
                <w:szCs w:val="21"/>
              </w:rPr>
            </w:pPr>
            <w:r w:rsidRPr="00D749D4">
              <w:rPr>
                <w:szCs w:val="21"/>
              </w:rPr>
              <w:t>38,842,938.12</w:t>
            </w:r>
          </w:p>
        </w:tc>
        <w:tc>
          <w:tcPr>
            <w:tcW w:w="2100" w:type="dxa"/>
            <w:vAlign w:val="center"/>
          </w:tcPr>
          <w:p w:rsidR="00711C4C" w:rsidRPr="00D749D4" w:rsidRDefault="00711C4C" w:rsidP="004A4847">
            <w:pPr>
              <w:jc w:val="right"/>
              <w:rPr>
                <w:szCs w:val="21"/>
              </w:rPr>
            </w:pPr>
            <w:r w:rsidRPr="00D749D4">
              <w:rPr>
                <w:szCs w:val="21"/>
              </w:rPr>
              <w:t>278,235,063.37</w:t>
            </w:r>
          </w:p>
        </w:tc>
        <w:tc>
          <w:tcPr>
            <w:tcW w:w="2336" w:type="dxa"/>
            <w:vAlign w:val="center"/>
          </w:tcPr>
          <w:p w:rsidR="00711C4C" w:rsidRPr="00D749D4" w:rsidRDefault="00711C4C" w:rsidP="004A4847">
            <w:pPr>
              <w:jc w:val="right"/>
              <w:rPr>
                <w:szCs w:val="21"/>
              </w:rPr>
            </w:pPr>
            <w:r w:rsidRPr="00D749D4">
              <w:rPr>
                <w:szCs w:val="21"/>
              </w:rPr>
              <w:t>317,078,001.49</w:t>
            </w:r>
          </w:p>
        </w:tc>
      </w:tr>
      <w:tr w:rsidR="00711C4C" w:rsidRPr="00D749D4" w:rsidTr="002F430E">
        <w:tc>
          <w:tcPr>
            <w:tcW w:w="2700" w:type="dxa"/>
            <w:vAlign w:val="center"/>
          </w:tcPr>
          <w:p w:rsidR="00711C4C" w:rsidRPr="00D749D4" w:rsidRDefault="00711C4C" w:rsidP="00DB1E0B">
            <w:pPr>
              <w:ind w:firstLineChars="294" w:firstLine="617"/>
              <w:rPr>
                <w:color w:val="000000"/>
                <w:szCs w:val="21"/>
              </w:rPr>
            </w:pPr>
            <w:r w:rsidRPr="00D749D4">
              <w:rPr>
                <w:rFonts w:hint="eastAsia"/>
                <w:color w:val="000000"/>
                <w:szCs w:val="21"/>
              </w:rPr>
              <w:t>基金赎回款</w:t>
            </w:r>
          </w:p>
        </w:tc>
        <w:tc>
          <w:tcPr>
            <w:tcW w:w="2100" w:type="dxa"/>
            <w:vAlign w:val="center"/>
          </w:tcPr>
          <w:p w:rsidR="00711C4C" w:rsidRPr="00D749D4" w:rsidRDefault="00711C4C" w:rsidP="004A4847">
            <w:pPr>
              <w:jc w:val="right"/>
              <w:rPr>
                <w:szCs w:val="21"/>
              </w:rPr>
            </w:pPr>
            <w:r w:rsidRPr="00D749D4">
              <w:rPr>
                <w:szCs w:val="21"/>
              </w:rPr>
              <w:t>-17,536,954.84</w:t>
            </w:r>
          </w:p>
        </w:tc>
        <w:tc>
          <w:tcPr>
            <w:tcW w:w="2100" w:type="dxa"/>
            <w:vAlign w:val="center"/>
          </w:tcPr>
          <w:p w:rsidR="00711C4C" w:rsidRPr="00D749D4" w:rsidRDefault="00711C4C" w:rsidP="004A4847">
            <w:pPr>
              <w:jc w:val="right"/>
              <w:rPr>
                <w:szCs w:val="21"/>
              </w:rPr>
            </w:pPr>
            <w:r w:rsidRPr="00D749D4">
              <w:rPr>
                <w:szCs w:val="21"/>
              </w:rPr>
              <w:t>-149,336,109.02</w:t>
            </w:r>
          </w:p>
        </w:tc>
        <w:tc>
          <w:tcPr>
            <w:tcW w:w="2336" w:type="dxa"/>
            <w:vAlign w:val="center"/>
          </w:tcPr>
          <w:p w:rsidR="00711C4C" w:rsidRPr="00D749D4" w:rsidRDefault="00711C4C" w:rsidP="004A4847">
            <w:pPr>
              <w:jc w:val="right"/>
              <w:rPr>
                <w:szCs w:val="21"/>
              </w:rPr>
            </w:pPr>
            <w:r w:rsidRPr="00D749D4">
              <w:rPr>
                <w:szCs w:val="21"/>
              </w:rPr>
              <w:t>-166,873,063.86</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本期已分配利润</w:t>
            </w:r>
          </w:p>
        </w:tc>
        <w:tc>
          <w:tcPr>
            <w:tcW w:w="2100" w:type="dxa"/>
            <w:vAlign w:val="center"/>
          </w:tcPr>
          <w:p w:rsidR="00711C4C" w:rsidRPr="00D749D4" w:rsidRDefault="00711C4C" w:rsidP="004A4847">
            <w:pPr>
              <w:jc w:val="right"/>
              <w:rPr>
                <w:szCs w:val="21"/>
              </w:rPr>
            </w:pPr>
            <w:r w:rsidRPr="00D749D4">
              <w:rPr>
                <w:szCs w:val="21"/>
              </w:rPr>
              <w:t>-</w:t>
            </w:r>
          </w:p>
        </w:tc>
        <w:tc>
          <w:tcPr>
            <w:tcW w:w="2100" w:type="dxa"/>
            <w:vAlign w:val="center"/>
          </w:tcPr>
          <w:p w:rsidR="00711C4C" w:rsidRPr="00D749D4" w:rsidRDefault="00711C4C" w:rsidP="004A4847">
            <w:pPr>
              <w:jc w:val="right"/>
              <w:rPr>
                <w:szCs w:val="21"/>
              </w:rPr>
            </w:pPr>
            <w:r w:rsidRPr="00D749D4">
              <w:rPr>
                <w:szCs w:val="21"/>
              </w:rPr>
              <w:t>-</w:t>
            </w:r>
          </w:p>
        </w:tc>
        <w:tc>
          <w:tcPr>
            <w:tcW w:w="2336" w:type="dxa"/>
            <w:vAlign w:val="center"/>
          </w:tcPr>
          <w:p w:rsidR="00711C4C" w:rsidRPr="00D749D4" w:rsidRDefault="00711C4C" w:rsidP="004A4847">
            <w:pPr>
              <w:jc w:val="right"/>
              <w:rPr>
                <w:szCs w:val="21"/>
              </w:rPr>
            </w:pPr>
            <w:r w:rsidRPr="00D749D4">
              <w:rPr>
                <w:szCs w:val="21"/>
              </w:rPr>
              <w:t>-</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本期末</w:t>
            </w:r>
          </w:p>
        </w:tc>
        <w:tc>
          <w:tcPr>
            <w:tcW w:w="2100" w:type="dxa"/>
            <w:vAlign w:val="center"/>
          </w:tcPr>
          <w:p w:rsidR="00711C4C" w:rsidRPr="00D749D4" w:rsidRDefault="00711C4C" w:rsidP="004A4847">
            <w:pPr>
              <w:jc w:val="right"/>
              <w:rPr>
                <w:szCs w:val="21"/>
              </w:rPr>
            </w:pPr>
            <w:r w:rsidRPr="00D749D4">
              <w:rPr>
                <w:szCs w:val="21"/>
              </w:rPr>
              <w:t>24,543,500.39</w:t>
            </w:r>
          </w:p>
        </w:tc>
        <w:tc>
          <w:tcPr>
            <w:tcW w:w="2100" w:type="dxa"/>
            <w:vAlign w:val="center"/>
          </w:tcPr>
          <w:p w:rsidR="00711C4C" w:rsidRPr="00D749D4" w:rsidRDefault="00711C4C" w:rsidP="004A4847">
            <w:pPr>
              <w:jc w:val="right"/>
              <w:rPr>
                <w:szCs w:val="21"/>
              </w:rPr>
            </w:pPr>
            <w:r w:rsidRPr="00D749D4">
              <w:rPr>
                <w:szCs w:val="21"/>
              </w:rPr>
              <w:t>235,299,932.58</w:t>
            </w:r>
          </w:p>
        </w:tc>
        <w:tc>
          <w:tcPr>
            <w:tcW w:w="2336" w:type="dxa"/>
            <w:vAlign w:val="center"/>
          </w:tcPr>
          <w:p w:rsidR="00711C4C" w:rsidRPr="00D749D4" w:rsidRDefault="00711C4C" w:rsidP="004A4847">
            <w:pPr>
              <w:jc w:val="right"/>
              <w:rPr>
                <w:szCs w:val="21"/>
              </w:rPr>
            </w:pPr>
            <w:r w:rsidRPr="00D749D4">
              <w:rPr>
                <w:szCs w:val="21"/>
              </w:rPr>
              <w:t>259,843,432.97</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6.4.7.11</w:t>
      </w:r>
      <w:r w:rsidRPr="00740AC8">
        <w:rPr>
          <w:rFonts w:ascii="宋体" w:hAnsi="宋体" w:hint="eastAsia"/>
          <w:b/>
          <w:bCs/>
          <w:color w:val="000000"/>
          <w:kern w:val="0"/>
          <w:szCs w:val="21"/>
        </w:rPr>
        <w:t>存款利息收入</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11C4C" w:rsidRPr="00D749D4" w:rsidTr="00E958C3">
        <w:tc>
          <w:tcPr>
            <w:tcW w:w="3828" w:type="dxa"/>
            <w:vAlign w:val="center"/>
          </w:tcPr>
          <w:p w:rsidR="00711C4C" w:rsidRPr="00D749D4" w:rsidRDefault="00711C4C" w:rsidP="004A4847">
            <w:pPr>
              <w:jc w:val="center"/>
              <w:rPr>
                <w:szCs w:val="21"/>
              </w:rPr>
            </w:pPr>
            <w:r w:rsidRPr="00D749D4">
              <w:rPr>
                <w:rFonts w:hint="eastAsia"/>
                <w:szCs w:val="21"/>
              </w:rPr>
              <w:t>项目</w:t>
            </w:r>
          </w:p>
        </w:tc>
        <w:tc>
          <w:tcPr>
            <w:tcW w:w="5386"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jc w:val="center"/>
              <w:rPr>
                <w:b/>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活期存款利息收入</w:t>
            </w:r>
          </w:p>
        </w:tc>
        <w:tc>
          <w:tcPr>
            <w:tcW w:w="5386" w:type="dxa"/>
            <w:vAlign w:val="center"/>
          </w:tcPr>
          <w:p w:rsidR="00711C4C" w:rsidRPr="00D749D4" w:rsidRDefault="00711C4C" w:rsidP="004A4847">
            <w:pPr>
              <w:jc w:val="right"/>
              <w:rPr>
                <w:szCs w:val="21"/>
              </w:rPr>
            </w:pPr>
            <w:r w:rsidRPr="00D749D4">
              <w:rPr>
                <w:szCs w:val="21"/>
              </w:rPr>
              <w:t>106,009.98</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定期存款利息收入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结算备付金利息收入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w:t>
            </w:r>
          </w:p>
        </w:tc>
        <w:tc>
          <w:tcPr>
            <w:tcW w:w="5386" w:type="dxa"/>
            <w:vAlign w:val="center"/>
          </w:tcPr>
          <w:p w:rsidR="00711C4C" w:rsidRPr="00D749D4" w:rsidRDefault="00711C4C" w:rsidP="004A4847">
            <w:pPr>
              <w:jc w:val="right"/>
              <w:rPr>
                <w:szCs w:val="21"/>
              </w:rPr>
            </w:pPr>
            <w:r w:rsidRPr="00D749D4">
              <w:rPr>
                <w:szCs w:val="21"/>
              </w:rPr>
              <w:t>2,704.77</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合计</w:t>
            </w:r>
          </w:p>
        </w:tc>
        <w:tc>
          <w:tcPr>
            <w:tcW w:w="5386" w:type="dxa"/>
            <w:vAlign w:val="center"/>
          </w:tcPr>
          <w:p w:rsidR="00711C4C" w:rsidRPr="00D749D4" w:rsidRDefault="00711C4C" w:rsidP="004A4847">
            <w:pPr>
              <w:jc w:val="right"/>
              <w:rPr>
                <w:szCs w:val="21"/>
              </w:rPr>
            </w:pPr>
            <w:r w:rsidRPr="00D749D4">
              <w:rPr>
                <w:szCs w:val="21"/>
              </w:rPr>
              <w:t>108,714.75</w:t>
            </w:r>
          </w:p>
        </w:tc>
      </w:tr>
    </w:tbl>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6.4.7.12 </w:t>
      </w:r>
      <w:r w:rsidRPr="00740AC8">
        <w:rPr>
          <w:rFonts w:ascii="宋体" w:hAnsi="宋体" w:hint="eastAsia"/>
          <w:b/>
          <w:bCs/>
          <w:color w:val="000000"/>
          <w:kern w:val="0"/>
          <w:szCs w:val="21"/>
        </w:rPr>
        <w:t>股票投资收益</w:t>
      </w:r>
      <w:r w:rsidRPr="00740AC8">
        <w:rPr>
          <w:rFonts w:ascii="宋体" w:hAnsi="宋体"/>
          <w:b/>
          <w:bCs/>
          <w:color w:val="000000"/>
          <w:kern w:val="0"/>
          <w:szCs w:val="21"/>
        </w:rPr>
        <w:t>——</w:t>
      </w:r>
      <w:r w:rsidRPr="00740AC8">
        <w:rPr>
          <w:rFonts w:ascii="宋体" w:hAnsi="宋体" w:hint="eastAsia"/>
          <w:b/>
          <w:bCs/>
          <w:color w:val="000000"/>
          <w:kern w:val="0"/>
          <w:szCs w:val="21"/>
        </w:rPr>
        <w:t>买卖股票差价收入</w:t>
      </w:r>
    </w:p>
    <w:p w:rsidR="00711C4C" w:rsidRPr="00803354" w:rsidRDefault="00711C4C" w:rsidP="00803354">
      <w:pPr>
        <w:autoSpaceDE w:val="0"/>
        <w:autoSpaceDN w:val="0"/>
        <w:adjustRightInd w:val="0"/>
        <w:spacing w:before="29" w:line="288" w:lineRule="auto"/>
        <w:ind w:left="15"/>
        <w:jc w:val="right"/>
        <w:rPr>
          <w:color w:val="000000"/>
          <w:kern w:val="0"/>
          <w:szCs w:val="21"/>
        </w:rPr>
      </w:pPr>
      <w:r w:rsidRPr="00803354">
        <w:rPr>
          <w:rFonts w:hint="eastAsia"/>
          <w:color w:val="000000"/>
          <w:szCs w:val="21"/>
        </w:rPr>
        <w:lastRenderedPageBreak/>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项目</w:t>
            </w:r>
          </w:p>
        </w:tc>
        <w:tc>
          <w:tcPr>
            <w:tcW w:w="5452"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本期</w:t>
            </w:r>
          </w:p>
          <w:p w:rsidR="00711C4C" w:rsidRPr="00803354" w:rsidRDefault="00711C4C" w:rsidP="0087410D">
            <w:pPr>
              <w:jc w:val="center"/>
              <w:rPr>
                <w:b/>
                <w:szCs w:val="21"/>
              </w:rPr>
            </w:pPr>
            <w:r w:rsidRPr="00803354">
              <w:rPr>
                <w:szCs w:val="21"/>
              </w:rPr>
              <w:t>2020</w:t>
            </w:r>
            <w:r w:rsidRPr="00803354">
              <w:rPr>
                <w:szCs w:val="21"/>
              </w:rPr>
              <w:t>年</w:t>
            </w:r>
            <w:r w:rsidRPr="00803354">
              <w:rPr>
                <w:szCs w:val="21"/>
              </w:rPr>
              <w:t>1</w:t>
            </w:r>
            <w:r w:rsidRPr="00803354">
              <w:rPr>
                <w:szCs w:val="21"/>
              </w:rPr>
              <w:t>月</w:t>
            </w:r>
            <w:r w:rsidRPr="00803354">
              <w:rPr>
                <w:szCs w:val="21"/>
              </w:rPr>
              <w:t>1</w:t>
            </w:r>
            <w:r w:rsidRPr="00803354">
              <w:rPr>
                <w:szCs w:val="21"/>
              </w:rPr>
              <w:t>日</w:t>
            </w:r>
            <w:r w:rsidRPr="00803354">
              <w:rPr>
                <w:rFonts w:hint="eastAsia"/>
                <w:szCs w:val="21"/>
              </w:rPr>
              <w:t>至</w:t>
            </w:r>
            <w:r w:rsidRPr="00803354">
              <w:rPr>
                <w:szCs w:val="21"/>
              </w:rPr>
              <w:t>2020</w:t>
            </w:r>
            <w:r w:rsidRPr="00803354">
              <w:rPr>
                <w:szCs w:val="21"/>
              </w:rPr>
              <w:t>年</w:t>
            </w:r>
            <w:r w:rsidRPr="00803354">
              <w:rPr>
                <w:szCs w:val="21"/>
              </w:rPr>
              <w:t>6</w:t>
            </w:r>
            <w:r w:rsidRPr="00803354">
              <w:rPr>
                <w:szCs w:val="21"/>
              </w:rPr>
              <w:t>月</w:t>
            </w:r>
            <w:r w:rsidRPr="00803354">
              <w:rPr>
                <w:szCs w:val="21"/>
              </w:rPr>
              <w:t>30</w:t>
            </w:r>
            <w:r w:rsidRPr="00803354">
              <w:rPr>
                <w:szCs w:val="21"/>
              </w:rPr>
              <w:t>日</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卖出股票成交总额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148,312,509.56</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减：卖出股票成本总额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144,097,334.65</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买卖股票差价收入</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4,215,174.91</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6.4.7.13</w:t>
      </w:r>
      <w:r w:rsidRPr="00740AC8">
        <w:rPr>
          <w:rFonts w:ascii="宋体" w:hAnsi="宋体" w:hint="eastAsia"/>
          <w:b/>
          <w:bCs/>
          <w:color w:val="000000"/>
          <w:kern w:val="0"/>
          <w:szCs w:val="21"/>
        </w:rPr>
        <w:t>基金投资收益</w:t>
      </w:r>
    </w:p>
    <w:p w:rsidR="00711C4C" w:rsidRPr="00D749D4" w:rsidRDefault="00711C4C" w:rsidP="002116B9">
      <w:pPr>
        <w:jc w:val="right"/>
        <w:rPr>
          <w:color w:val="000000"/>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3D2655">
        <w:trPr>
          <w:trHeight w:val="315"/>
          <w:jc w:val="center"/>
        </w:trPr>
        <w:tc>
          <w:tcPr>
            <w:tcW w:w="3936"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5350"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jc w:val="center"/>
              <w:rPr>
                <w:color w:val="000000"/>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3D2655">
        <w:trPr>
          <w:trHeight w:val="315"/>
          <w:jc w:val="center"/>
        </w:trPr>
        <w:tc>
          <w:tcPr>
            <w:tcW w:w="3936" w:type="dxa"/>
            <w:vAlign w:val="center"/>
          </w:tcPr>
          <w:p w:rsidR="00711C4C" w:rsidRPr="00D749D4" w:rsidRDefault="00711C4C" w:rsidP="00EA1023">
            <w:pPr>
              <w:jc w:val="left"/>
              <w:rPr>
                <w:color w:val="000000"/>
                <w:szCs w:val="21"/>
              </w:rPr>
            </w:pPr>
            <w:r w:rsidRPr="00D749D4">
              <w:rPr>
                <w:rFonts w:hint="eastAsia"/>
                <w:color w:val="000000"/>
                <w:szCs w:val="21"/>
              </w:rPr>
              <w:t>卖出</w:t>
            </w:r>
            <w:r w:rsidRPr="00D749D4">
              <w:rPr>
                <w:color w:val="000000"/>
                <w:szCs w:val="21"/>
              </w:rPr>
              <w:t>/</w:t>
            </w:r>
            <w:r w:rsidRPr="00D749D4">
              <w:rPr>
                <w:rFonts w:hint="eastAsia"/>
                <w:color w:val="000000"/>
                <w:szCs w:val="21"/>
              </w:rPr>
              <w:t>赎回基金成交总额</w:t>
            </w:r>
          </w:p>
        </w:tc>
        <w:tc>
          <w:tcPr>
            <w:tcW w:w="5350" w:type="dxa"/>
            <w:vAlign w:val="center"/>
          </w:tcPr>
          <w:p w:rsidR="00711C4C" w:rsidRPr="00D749D4" w:rsidRDefault="00711C4C" w:rsidP="004A4847">
            <w:pPr>
              <w:jc w:val="right"/>
              <w:rPr>
                <w:szCs w:val="21"/>
              </w:rPr>
            </w:pPr>
            <w:r w:rsidRPr="00D749D4">
              <w:rPr>
                <w:szCs w:val="21"/>
              </w:rPr>
              <w:t>5,906,442.45</w:t>
            </w:r>
          </w:p>
        </w:tc>
      </w:tr>
      <w:tr w:rsidR="00711C4C" w:rsidRPr="00D749D4" w:rsidTr="003D2655">
        <w:trPr>
          <w:trHeight w:val="315"/>
          <w:jc w:val="center"/>
        </w:trPr>
        <w:tc>
          <w:tcPr>
            <w:tcW w:w="3936" w:type="dxa"/>
            <w:vAlign w:val="center"/>
          </w:tcPr>
          <w:p w:rsidR="00711C4C" w:rsidRPr="00D749D4" w:rsidRDefault="00711C4C" w:rsidP="00EA1023">
            <w:pPr>
              <w:jc w:val="left"/>
              <w:rPr>
                <w:color w:val="000000"/>
                <w:szCs w:val="21"/>
              </w:rPr>
            </w:pPr>
            <w:r w:rsidRPr="00D749D4">
              <w:rPr>
                <w:rFonts w:hint="eastAsia"/>
                <w:color w:val="000000"/>
                <w:szCs w:val="21"/>
              </w:rPr>
              <w:t>减：卖出</w:t>
            </w:r>
            <w:r w:rsidRPr="00D749D4">
              <w:rPr>
                <w:color w:val="000000"/>
                <w:szCs w:val="21"/>
              </w:rPr>
              <w:t>/</w:t>
            </w:r>
            <w:r w:rsidRPr="00D749D4">
              <w:rPr>
                <w:rFonts w:hint="eastAsia"/>
                <w:color w:val="000000"/>
                <w:szCs w:val="21"/>
              </w:rPr>
              <w:t>赎回基金成本总额</w:t>
            </w:r>
          </w:p>
        </w:tc>
        <w:tc>
          <w:tcPr>
            <w:tcW w:w="5350" w:type="dxa"/>
            <w:vAlign w:val="center"/>
          </w:tcPr>
          <w:p w:rsidR="00711C4C" w:rsidRPr="00D749D4" w:rsidRDefault="00711C4C" w:rsidP="004A4847">
            <w:pPr>
              <w:jc w:val="right"/>
              <w:rPr>
                <w:szCs w:val="21"/>
              </w:rPr>
            </w:pPr>
            <w:r w:rsidRPr="00D749D4">
              <w:rPr>
                <w:szCs w:val="21"/>
              </w:rPr>
              <w:t>6,907,941.31</w:t>
            </w:r>
          </w:p>
        </w:tc>
      </w:tr>
      <w:tr w:rsidR="00711C4C" w:rsidRPr="00D749D4" w:rsidTr="003D2655">
        <w:trPr>
          <w:trHeight w:val="315"/>
          <w:jc w:val="center"/>
        </w:trPr>
        <w:tc>
          <w:tcPr>
            <w:tcW w:w="3936" w:type="dxa"/>
            <w:vAlign w:val="center"/>
          </w:tcPr>
          <w:p w:rsidR="00711C4C" w:rsidRPr="00D749D4" w:rsidRDefault="00711C4C" w:rsidP="00EA1023">
            <w:pPr>
              <w:jc w:val="left"/>
              <w:rPr>
                <w:color w:val="000000"/>
                <w:szCs w:val="21"/>
              </w:rPr>
            </w:pPr>
            <w:r w:rsidRPr="00D749D4">
              <w:rPr>
                <w:rFonts w:hint="eastAsia"/>
                <w:color w:val="000000"/>
                <w:szCs w:val="21"/>
              </w:rPr>
              <w:t>基金投资收益</w:t>
            </w:r>
          </w:p>
        </w:tc>
        <w:tc>
          <w:tcPr>
            <w:tcW w:w="5350" w:type="dxa"/>
            <w:vAlign w:val="center"/>
          </w:tcPr>
          <w:p w:rsidR="00711C4C" w:rsidRPr="00D749D4" w:rsidRDefault="00711C4C" w:rsidP="004A4847">
            <w:pPr>
              <w:jc w:val="right"/>
              <w:rPr>
                <w:szCs w:val="21"/>
              </w:rPr>
            </w:pPr>
            <w:r w:rsidRPr="00D749D4">
              <w:rPr>
                <w:szCs w:val="21"/>
              </w:rPr>
              <w:t>-1,001,498.86</w:t>
            </w:r>
          </w:p>
        </w:tc>
      </w:tr>
    </w:tbl>
    <w:p w:rsidR="0064348A" w:rsidRPr="00C221A4" w:rsidRDefault="0064348A" w:rsidP="00C221A4">
      <w:pPr>
        <w:spacing w:line="360" w:lineRule="auto"/>
        <w:ind w:firstLineChars="197" w:firstLine="415"/>
        <w:rPr>
          <w:rFonts w:ascii="宋体"/>
          <w:b/>
          <w:bCs/>
          <w:color w:val="000000"/>
          <w:kern w:val="0"/>
          <w:szCs w:val="21"/>
        </w:rPr>
      </w:pPr>
      <w:r w:rsidRPr="00C221A4">
        <w:rPr>
          <w:rFonts w:ascii="宋体"/>
          <w:b/>
          <w:bCs/>
          <w:color w:val="000000"/>
          <w:kern w:val="0"/>
          <w:szCs w:val="21"/>
        </w:rPr>
        <w:t>6.4.7.14债券投资收益</w:t>
      </w:r>
      <w:r w:rsidRPr="00C221A4">
        <w:rPr>
          <w:rFonts w:ascii="宋体"/>
          <w:b/>
          <w:bCs/>
          <w:color w:val="000000"/>
          <w:kern w:val="0"/>
          <w:szCs w:val="21"/>
        </w:rPr>
        <w:t>——</w:t>
      </w:r>
      <w:r w:rsidRPr="00C221A4">
        <w:rPr>
          <w:rFonts w:ascii="宋体"/>
          <w:b/>
          <w:bCs/>
          <w:color w:val="000000"/>
          <w:kern w:val="0"/>
          <w:szCs w:val="21"/>
        </w:rPr>
        <w:t>买卖债券差价收入</w:t>
      </w:r>
    </w:p>
    <w:p w:rsidR="0064348A" w:rsidRPr="00AB0FF3" w:rsidRDefault="0064348A" w:rsidP="00AB0FF3">
      <w:pPr>
        <w:tabs>
          <w:tab w:val="left" w:pos="426"/>
        </w:tabs>
        <w:spacing w:line="360" w:lineRule="auto"/>
        <w:ind w:firstLineChars="200" w:firstLine="420"/>
        <w:jc w:val="left"/>
        <w:rPr>
          <w:kern w:val="0"/>
          <w:szCs w:val="21"/>
        </w:rPr>
      </w:pPr>
      <w:r w:rsidRPr="00AB0FF3">
        <w:rPr>
          <w:rFonts w:hint="eastAsia"/>
          <w:kern w:val="0"/>
          <w:szCs w:val="21"/>
        </w:rPr>
        <w:t>本基金本报告期无债券投资收益。</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6.4.7.15</w:t>
      </w:r>
      <w:r w:rsidRPr="00740AC8">
        <w:rPr>
          <w:rFonts w:ascii="宋体" w:hAnsi="宋体" w:hint="eastAsia"/>
          <w:b/>
          <w:bCs/>
          <w:color w:val="000000"/>
          <w:kern w:val="0"/>
          <w:szCs w:val="21"/>
        </w:rPr>
        <w:t>衍生工具收益</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6.4.7.15.1</w:t>
      </w:r>
      <w:r w:rsidRPr="00740AC8">
        <w:rPr>
          <w:rFonts w:ascii="宋体" w:hAnsi="宋体" w:hint="eastAsia"/>
          <w:b/>
          <w:bCs/>
          <w:color w:val="000000"/>
          <w:kern w:val="0"/>
          <w:szCs w:val="21"/>
        </w:rPr>
        <w:t>衍生工具收益</w:t>
      </w:r>
      <w:r w:rsidRPr="00740AC8">
        <w:rPr>
          <w:rFonts w:ascii="宋体" w:hAnsi="宋体"/>
          <w:b/>
          <w:bCs/>
          <w:color w:val="000000"/>
          <w:kern w:val="0"/>
          <w:szCs w:val="21"/>
        </w:rPr>
        <w:t>——</w:t>
      </w:r>
      <w:r w:rsidRPr="00740AC8">
        <w:rPr>
          <w:rFonts w:ascii="宋体" w:hAnsi="宋体" w:hint="eastAsia"/>
          <w:b/>
          <w:bCs/>
          <w:color w:val="000000"/>
          <w:kern w:val="0"/>
          <w:szCs w:val="21"/>
        </w:rPr>
        <w:t>买卖权证差价收入</w:t>
      </w:r>
    </w:p>
    <w:p w:rsidR="00B0033F" w:rsidRPr="002259E8" w:rsidRDefault="00B0033F" w:rsidP="00B0033F">
      <w:pPr>
        <w:wordWrap w:val="0"/>
        <w:spacing w:line="360" w:lineRule="auto"/>
        <w:jc w:val="right"/>
        <w:rPr>
          <w:rFonts w:eastAsiaTheme="minorEastAsia"/>
          <w:color w:val="000000"/>
          <w:szCs w:val="21"/>
        </w:rPr>
      </w:pPr>
      <w:r w:rsidRPr="002259E8">
        <w:rPr>
          <w:rFonts w:eastAsiaTheme="minorEastAsia"/>
          <w:color w:val="000000"/>
          <w:szCs w:val="21"/>
        </w:rPr>
        <w:t>单位：人民币元</w:t>
      </w:r>
    </w:p>
    <w:tbl>
      <w:tblPr>
        <w:tblW w:w="92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4"/>
        <w:gridCol w:w="5462"/>
      </w:tblGrid>
      <w:tr w:rsidR="00B0033F" w:rsidRPr="002259E8" w:rsidTr="0021645F">
        <w:trPr>
          <w:trHeight w:val="285"/>
        </w:trPr>
        <w:tc>
          <w:tcPr>
            <w:tcW w:w="3764" w:type="dxa"/>
            <w:vAlign w:val="center"/>
          </w:tcPr>
          <w:p w:rsidR="00B0033F" w:rsidRPr="002259E8" w:rsidRDefault="00B0033F" w:rsidP="0021645F">
            <w:pPr>
              <w:jc w:val="center"/>
              <w:rPr>
                <w:rFonts w:eastAsiaTheme="minorEastAsia"/>
                <w:szCs w:val="21"/>
              </w:rPr>
            </w:pPr>
            <w:r w:rsidRPr="002259E8">
              <w:rPr>
                <w:rFonts w:eastAsiaTheme="minorEastAsia"/>
                <w:szCs w:val="21"/>
              </w:rPr>
              <w:t>项目</w:t>
            </w:r>
          </w:p>
        </w:tc>
        <w:tc>
          <w:tcPr>
            <w:tcW w:w="5462" w:type="dxa"/>
            <w:vAlign w:val="center"/>
          </w:tcPr>
          <w:p w:rsidR="00B0033F" w:rsidRPr="002259E8" w:rsidRDefault="00B0033F" w:rsidP="0021645F">
            <w:pPr>
              <w:jc w:val="center"/>
              <w:rPr>
                <w:rFonts w:eastAsiaTheme="minorEastAsia"/>
                <w:szCs w:val="21"/>
              </w:rPr>
            </w:pPr>
            <w:r w:rsidRPr="002259E8">
              <w:rPr>
                <w:rFonts w:eastAsiaTheme="minorEastAsia"/>
                <w:szCs w:val="21"/>
              </w:rPr>
              <w:t>本期</w:t>
            </w:r>
          </w:p>
          <w:p w:rsidR="00B0033F" w:rsidRPr="002259E8" w:rsidRDefault="00B0033F" w:rsidP="0021645F">
            <w:pPr>
              <w:widowControl/>
              <w:autoSpaceDE w:val="0"/>
              <w:autoSpaceDN w:val="0"/>
              <w:ind w:right="-15"/>
              <w:jc w:val="center"/>
              <w:textAlignment w:val="bottom"/>
              <w:rPr>
                <w:rFonts w:eastAsiaTheme="minorEastAsia"/>
                <w:szCs w:val="21"/>
              </w:rPr>
            </w:pPr>
            <w:r w:rsidRPr="002259E8">
              <w:rPr>
                <w:rFonts w:eastAsiaTheme="minorEastAsia"/>
                <w:szCs w:val="21"/>
              </w:rPr>
              <w:t>2020</w:t>
            </w:r>
            <w:r w:rsidRPr="002259E8">
              <w:rPr>
                <w:rFonts w:eastAsiaTheme="minorEastAsia"/>
                <w:szCs w:val="21"/>
              </w:rPr>
              <w:t>年</w:t>
            </w:r>
            <w:r w:rsidRPr="002259E8">
              <w:rPr>
                <w:rFonts w:eastAsiaTheme="minorEastAsia"/>
                <w:szCs w:val="21"/>
              </w:rPr>
              <w:t>1</w:t>
            </w:r>
            <w:r w:rsidRPr="002259E8">
              <w:rPr>
                <w:rFonts w:eastAsiaTheme="minorEastAsia"/>
                <w:szCs w:val="21"/>
              </w:rPr>
              <w:t>月</w:t>
            </w:r>
            <w:r w:rsidRPr="002259E8">
              <w:rPr>
                <w:rFonts w:eastAsiaTheme="minorEastAsia"/>
                <w:szCs w:val="21"/>
              </w:rPr>
              <w:t>1</w:t>
            </w:r>
            <w:r w:rsidRPr="002259E8">
              <w:rPr>
                <w:rFonts w:eastAsiaTheme="minorEastAsia"/>
                <w:szCs w:val="21"/>
              </w:rPr>
              <w:t>日至</w:t>
            </w:r>
            <w:r w:rsidRPr="002259E8">
              <w:rPr>
                <w:rFonts w:eastAsiaTheme="minorEastAsia"/>
                <w:szCs w:val="21"/>
              </w:rPr>
              <w:t>2020</w:t>
            </w:r>
            <w:r w:rsidRPr="002259E8">
              <w:rPr>
                <w:rFonts w:eastAsiaTheme="minorEastAsia"/>
                <w:szCs w:val="21"/>
              </w:rPr>
              <w:t>年</w:t>
            </w:r>
            <w:r w:rsidRPr="002259E8">
              <w:rPr>
                <w:rFonts w:eastAsiaTheme="minorEastAsia"/>
                <w:szCs w:val="21"/>
              </w:rPr>
              <w:t>6</w:t>
            </w:r>
            <w:r w:rsidRPr="002259E8">
              <w:rPr>
                <w:rFonts w:eastAsiaTheme="minorEastAsia"/>
                <w:szCs w:val="21"/>
              </w:rPr>
              <w:t>月</w:t>
            </w:r>
            <w:r w:rsidRPr="002259E8">
              <w:rPr>
                <w:rFonts w:eastAsiaTheme="minorEastAsia"/>
                <w:szCs w:val="21"/>
              </w:rPr>
              <w:t>30</w:t>
            </w:r>
            <w:r w:rsidRPr="002259E8">
              <w:rPr>
                <w:rFonts w:eastAsiaTheme="minorEastAsia"/>
                <w:szCs w:val="21"/>
              </w:rPr>
              <w:t>日</w:t>
            </w:r>
          </w:p>
        </w:tc>
      </w:tr>
      <w:tr w:rsidR="00B0033F" w:rsidRPr="002259E8" w:rsidTr="0021645F">
        <w:trPr>
          <w:trHeight w:val="285"/>
        </w:trPr>
        <w:tc>
          <w:tcPr>
            <w:tcW w:w="3764" w:type="dxa"/>
            <w:vAlign w:val="center"/>
          </w:tcPr>
          <w:p w:rsidR="00B0033F" w:rsidRPr="002259E8" w:rsidRDefault="00B0033F" w:rsidP="0021645F">
            <w:pPr>
              <w:rPr>
                <w:rFonts w:eastAsiaTheme="minorEastAsia"/>
                <w:szCs w:val="21"/>
              </w:rPr>
            </w:pPr>
            <w:r w:rsidRPr="002259E8">
              <w:rPr>
                <w:rFonts w:eastAsiaTheme="minorEastAsia"/>
                <w:szCs w:val="21"/>
              </w:rPr>
              <w:t>卖出权证成交总额</w:t>
            </w:r>
          </w:p>
        </w:tc>
        <w:tc>
          <w:tcPr>
            <w:tcW w:w="5462" w:type="dxa"/>
            <w:vAlign w:val="bottom"/>
          </w:tcPr>
          <w:p w:rsidR="00B0033F" w:rsidRPr="002259E8" w:rsidRDefault="00B0033F" w:rsidP="0021645F">
            <w:pPr>
              <w:jc w:val="right"/>
              <w:rPr>
                <w:rFonts w:eastAsiaTheme="minorEastAsia"/>
                <w:szCs w:val="21"/>
              </w:rPr>
            </w:pPr>
            <w:r w:rsidRPr="002259E8">
              <w:rPr>
                <w:rFonts w:eastAsiaTheme="minorEastAsia"/>
                <w:szCs w:val="21"/>
              </w:rPr>
              <w:t>14,300.59</w:t>
            </w:r>
          </w:p>
        </w:tc>
      </w:tr>
      <w:tr w:rsidR="00B0033F" w:rsidRPr="002259E8" w:rsidTr="0021645F">
        <w:trPr>
          <w:trHeight w:val="285"/>
        </w:trPr>
        <w:tc>
          <w:tcPr>
            <w:tcW w:w="3764" w:type="dxa"/>
            <w:vAlign w:val="center"/>
          </w:tcPr>
          <w:p w:rsidR="00B0033F" w:rsidRPr="002259E8" w:rsidRDefault="00B0033F" w:rsidP="0021645F">
            <w:pPr>
              <w:rPr>
                <w:rFonts w:eastAsiaTheme="minorEastAsia"/>
                <w:szCs w:val="21"/>
              </w:rPr>
            </w:pPr>
            <w:r w:rsidRPr="002259E8">
              <w:rPr>
                <w:rFonts w:eastAsiaTheme="minorEastAsia"/>
                <w:szCs w:val="21"/>
              </w:rPr>
              <w:t>减：卖出权证成本总额</w:t>
            </w:r>
          </w:p>
        </w:tc>
        <w:tc>
          <w:tcPr>
            <w:tcW w:w="5462" w:type="dxa"/>
            <w:vAlign w:val="bottom"/>
          </w:tcPr>
          <w:p w:rsidR="00B0033F" w:rsidRPr="002259E8" w:rsidRDefault="00B0033F" w:rsidP="0021645F">
            <w:pPr>
              <w:jc w:val="right"/>
              <w:rPr>
                <w:rFonts w:eastAsiaTheme="minorEastAsia"/>
                <w:szCs w:val="21"/>
              </w:rPr>
            </w:pPr>
            <w:r w:rsidRPr="002259E8">
              <w:rPr>
                <w:rFonts w:eastAsiaTheme="minorEastAsia"/>
                <w:szCs w:val="21"/>
              </w:rPr>
              <w:t>-</w:t>
            </w:r>
          </w:p>
        </w:tc>
      </w:tr>
      <w:tr w:rsidR="00B0033F" w:rsidRPr="002259E8" w:rsidTr="0021645F">
        <w:trPr>
          <w:trHeight w:val="285"/>
        </w:trPr>
        <w:tc>
          <w:tcPr>
            <w:tcW w:w="3764" w:type="dxa"/>
            <w:vAlign w:val="center"/>
          </w:tcPr>
          <w:p w:rsidR="00B0033F" w:rsidRPr="002259E8" w:rsidRDefault="00B0033F" w:rsidP="0021645F">
            <w:pPr>
              <w:rPr>
                <w:rFonts w:ascii="宋体" w:hAnsi="宋体"/>
                <w:color w:val="000000" w:themeColor="text1"/>
                <w:szCs w:val="21"/>
              </w:rPr>
            </w:pPr>
            <w:r w:rsidRPr="002259E8">
              <w:rPr>
                <w:rFonts w:eastAsiaTheme="minorEastAsia" w:hint="eastAsia"/>
                <w:szCs w:val="21"/>
              </w:rPr>
              <w:t>减：买卖权证差价收入应缴纳增值税额</w:t>
            </w:r>
          </w:p>
        </w:tc>
        <w:tc>
          <w:tcPr>
            <w:tcW w:w="5462" w:type="dxa"/>
            <w:vAlign w:val="bottom"/>
          </w:tcPr>
          <w:p w:rsidR="00B0033F" w:rsidRPr="002259E8" w:rsidRDefault="00B0033F" w:rsidP="0021645F">
            <w:pPr>
              <w:jc w:val="right"/>
              <w:rPr>
                <w:rFonts w:ascii="宋体" w:hAnsi="宋体"/>
                <w:color w:val="000000" w:themeColor="text1"/>
                <w:szCs w:val="21"/>
              </w:rPr>
            </w:pPr>
            <w:r w:rsidRPr="002259E8">
              <w:rPr>
                <w:rFonts w:eastAsiaTheme="minorEastAsia"/>
                <w:szCs w:val="21"/>
              </w:rPr>
              <w:t>-</w:t>
            </w:r>
          </w:p>
        </w:tc>
      </w:tr>
      <w:tr w:rsidR="00B0033F" w:rsidRPr="002259E8" w:rsidTr="0021645F">
        <w:trPr>
          <w:trHeight w:val="285"/>
        </w:trPr>
        <w:tc>
          <w:tcPr>
            <w:tcW w:w="3764" w:type="dxa"/>
            <w:vAlign w:val="center"/>
          </w:tcPr>
          <w:p w:rsidR="00B0033F" w:rsidRPr="002259E8" w:rsidRDefault="00B0033F" w:rsidP="0021645F">
            <w:pPr>
              <w:rPr>
                <w:rFonts w:eastAsiaTheme="minorEastAsia"/>
                <w:szCs w:val="21"/>
              </w:rPr>
            </w:pPr>
            <w:r w:rsidRPr="002259E8">
              <w:rPr>
                <w:rFonts w:eastAsiaTheme="minorEastAsia"/>
                <w:szCs w:val="21"/>
              </w:rPr>
              <w:t>买卖权证差价收入</w:t>
            </w:r>
          </w:p>
        </w:tc>
        <w:tc>
          <w:tcPr>
            <w:tcW w:w="5462" w:type="dxa"/>
            <w:vAlign w:val="bottom"/>
          </w:tcPr>
          <w:p w:rsidR="00B0033F" w:rsidRPr="002259E8" w:rsidRDefault="00B0033F" w:rsidP="0021645F">
            <w:pPr>
              <w:jc w:val="right"/>
              <w:rPr>
                <w:rFonts w:eastAsiaTheme="minorEastAsia"/>
                <w:szCs w:val="21"/>
              </w:rPr>
            </w:pPr>
            <w:r w:rsidRPr="002259E8">
              <w:rPr>
                <w:rFonts w:eastAsiaTheme="minorEastAsia"/>
                <w:szCs w:val="21"/>
              </w:rPr>
              <w:t>14,300.59</w:t>
            </w:r>
          </w:p>
        </w:tc>
      </w:tr>
    </w:tbl>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 xml:space="preserve">6.4.7.15.2 </w:t>
      </w:r>
      <w:r w:rsidRPr="0087410D">
        <w:rPr>
          <w:rFonts w:ascii="宋体" w:hAnsi="宋体" w:hint="eastAsia"/>
          <w:b/>
          <w:szCs w:val="21"/>
        </w:rPr>
        <w:t>衍生工具收益</w:t>
      </w:r>
      <w:r w:rsidRPr="0087410D">
        <w:rPr>
          <w:rFonts w:ascii="宋体" w:hAnsi="宋体"/>
          <w:b/>
          <w:szCs w:val="21"/>
        </w:rPr>
        <w:t>——</w:t>
      </w:r>
      <w:r w:rsidRPr="0087410D">
        <w:rPr>
          <w:rFonts w:ascii="宋体" w:hAnsi="宋体" w:hint="eastAsia"/>
          <w:b/>
          <w:szCs w:val="21"/>
        </w:rPr>
        <w:t>其他投资收益</w:t>
      </w:r>
    </w:p>
    <w:p w:rsidR="00711C4C" w:rsidRPr="00D749D4" w:rsidRDefault="00711C4C" w:rsidP="00DB1E0B">
      <w:pPr>
        <w:tabs>
          <w:tab w:val="left" w:pos="7200"/>
          <w:tab w:val="left" w:pos="8280"/>
        </w:tabs>
        <w:ind w:rightChars="33" w:right="69"/>
        <w:jc w:val="right"/>
        <w:rPr>
          <w:szCs w:val="21"/>
        </w:rPr>
      </w:pPr>
      <w:r w:rsidRPr="00D749D4">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11C4C" w:rsidRPr="00D749D4" w:rsidTr="005C1AF8">
        <w:trPr>
          <w:trHeight w:val="285"/>
          <w:jc w:val="center"/>
        </w:trPr>
        <w:tc>
          <w:tcPr>
            <w:tcW w:w="3799" w:type="dxa"/>
            <w:vAlign w:val="center"/>
          </w:tcPr>
          <w:p w:rsidR="00711C4C" w:rsidRPr="00D749D4" w:rsidRDefault="00711C4C" w:rsidP="007C6EA8">
            <w:pPr>
              <w:jc w:val="center"/>
              <w:rPr>
                <w:szCs w:val="21"/>
              </w:rPr>
            </w:pPr>
            <w:r w:rsidRPr="00D749D4">
              <w:rPr>
                <w:rFonts w:hint="eastAsia"/>
                <w:szCs w:val="21"/>
              </w:rPr>
              <w:t>项目</w:t>
            </w:r>
          </w:p>
        </w:tc>
        <w:tc>
          <w:tcPr>
            <w:tcW w:w="5497" w:type="dxa"/>
            <w:vAlign w:val="center"/>
          </w:tcPr>
          <w:p w:rsidR="00711C4C" w:rsidRPr="00D749D4" w:rsidRDefault="00711C4C" w:rsidP="007C6EA8">
            <w:pPr>
              <w:jc w:val="center"/>
              <w:rPr>
                <w:szCs w:val="21"/>
              </w:rPr>
            </w:pPr>
            <w:r w:rsidRPr="00D749D4">
              <w:rPr>
                <w:rFonts w:hint="eastAsia"/>
                <w:szCs w:val="21"/>
              </w:rPr>
              <w:t>本期</w:t>
            </w:r>
          </w:p>
          <w:p w:rsidR="00711C4C" w:rsidRPr="00D749D4" w:rsidRDefault="00711C4C" w:rsidP="007C6EA8">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CF426B">
        <w:trPr>
          <w:jc w:val="center"/>
        </w:trPr>
        <w:tc>
          <w:tcPr>
            <w:tcW w:w="3799" w:type="dxa"/>
            <w:vAlign w:val="center"/>
          </w:tcPr>
          <w:p w:rsidR="00CF426B" w:rsidRDefault="005F6DDD">
            <w:pPr>
              <w:jc w:val="left"/>
            </w:pPr>
            <w:r>
              <w:rPr>
                <w:szCs w:val="21"/>
              </w:rPr>
              <w:t>期权投资收益</w:t>
            </w:r>
          </w:p>
        </w:tc>
        <w:tc>
          <w:tcPr>
            <w:tcW w:w="5497" w:type="dxa"/>
            <w:vAlign w:val="center"/>
          </w:tcPr>
          <w:p w:rsidR="00CF426B" w:rsidRDefault="005F6DDD">
            <w:pPr>
              <w:jc w:val="right"/>
            </w:pPr>
            <w:r>
              <w:rPr>
                <w:szCs w:val="21"/>
              </w:rPr>
              <w:t>-</w:t>
            </w:r>
          </w:p>
        </w:tc>
      </w:tr>
      <w:tr w:rsidR="00CF426B">
        <w:trPr>
          <w:jc w:val="center"/>
        </w:trPr>
        <w:tc>
          <w:tcPr>
            <w:tcW w:w="3799" w:type="dxa"/>
            <w:vAlign w:val="center"/>
          </w:tcPr>
          <w:p w:rsidR="00CF426B" w:rsidRDefault="005F6DDD">
            <w:pPr>
              <w:jc w:val="left"/>
            </w:pPr>
            <w:r>
              <w:rPr>
                <w:szCs w:val="21"/>
              </w:rPr>
              <w:t>期货投资收益</w:t>
            </w:r>
          </w:p>
        </w:tc>
        <w:tc>
          <w:tcPr>
            <w:tcW w:w="5497" w:type="dxa"/>
            <w:vAlign w:val="center"/>
          </w:tcPr>
          <w:p w:rsidR="00CF426B" w:rsidRDefault="005F6DDD">
            <w:pPr>
              <w:jc w:val="right"/>
            </w:pPr>
            <w:r>
              <w:rPr>
                <w:szCs w:val="21"/>
              </w:rPr>
              <w:t>-7,167,460.50</w:t>
            </w:r>
          </w:p>
        </w:tc>
      </w:tr>
      <w:tr w:rsidR="00CF426B">
        <w:trPr>
          <w:jc w:val="center"/>
        </w:trPr>
        <w:tc>
          <w:tcPr>
            <w:tcW w:w="3799" w:type="dxa"/>
            <w:vAlign w:val="center"/>
          </w:tcPr>
          <w:p w:rsidR="00CF426B" w:rsidRDefault="005F6DDD">
            <w:pPr>
              <w:jc w:val="left"/>
            </w:pPr>
            <w:r>
              <w:rPr>
                <w:szCs w:val="21"/>
              </w:rPr>
              <w:t>合计</w:t>
            </w:r>
          </w:p>
        </w:tc>
        <w:tc>
          <w:tcPr>
            <w:tcW w:w="5497" w:type="dxa"/>
            <w:vAlign w:val="center"/>
          </w:tcPr>
          <w:p w:rsidR="00CF426B" w:rsidRDefault="005F6DDD">
            <w:pPr>
              <w:jc w:val="right"/>
            </w:pPr>
            <w:r>
              <w:rPr>
                <w:szCs w:val="21"/>
              </w:rPr>
              <w:t>-7,167,460.50</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6.4.7.16</w:t>
      </w:r>
      <w:r w:rsidRPr="0087410D">
        <w:rPr>
          <w:rFonts w:ascii="宋体" w:hAnsi="宋体" w:hint="eastAsia"/>
          <w:b/>
          <w:szCs w:val="21"/>
        </w:rPr>
        <w:t>股利收益</w:t>
      </w:r>
    </w:p>
    <w:p w:rsidR="00711C4C" w:rsidRPr="00D749D4" w:rsidRDefault="00711C4C" w:rsidP="00DB1E0B">
      <w:pPr>
        <w:tabs>
          <w:tab w:val="left" w:pos="7200"/>
          <w:tab w:val="left" w:pos="8280"/>
        </w:tabs>
        <w:ind w:rightChars="33" w:right="69"/>
        <w:jc w:val="right"/>
        <w:rPr>
          <w:color w:val="000000"/>
          <w:szCs w:val="21"/>
        </w:rPr>
      </w:pPr>
      <w:r w:rsidRPr="00D749D4">
        <w:rPr>
          <w:rFonts w:hint="eastAsia"/>
          <w:color w:val="000000"/>
          <w:szCs w:val="21"/>
        </w:rPr>
        <w:t>单位：人民币元</w:t>
      </w:r>
    </w:p>
    <w:tbl>
      <w:tblPr>
        <w:tblW w:w="9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41"/>
      </w:tblGrid>
      <w:tr w:rsidR="00711C4C" w:rsidRPr="00D749D4" w:rsidTr="005C1AF8">
        <w:tc>
          <w:tcPr>
            <w:tcW w:w="3794" w:type="dxa"/>
            <w:vAlign w:val="center"/>
          </w:tcPr>
          <w:p w:rsidR="00711C4C" w:rsidRPr="00D749D4" w:rsidRDefault="00711C4C" w:rsidP="004A4847">
            <w:pPr>
              <w:jc w:val="center"/>
              <w:rPr>
                <w:szCs w:val="21"/>
              </w:rPr>
            </w:pPr>
            <w:r w:rsidRPr="00D749D4">
              <w:rPr>
                <w:rFonts w:hint="eastAsia"/>
                <w:szCs w:val="21"/>
              </w:rPr>
              <w:t>项目</w:t>
            </w:r>
          </w:p>
        </w:tc>
        <w:tc>
          <w:tcPr>
            <w:tcW w:w="5541"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股票投资产生的股利收益</w:t>
            </w:r>
          </w:p>
        </w:tc>
        <w:tc>
          <w:tcPr>
            <w:tcW w:w="5541" w:type="dxa"/>
            <w:vAlign w:val="center"/>
          </w:tcPr>
          <w:p w:rsidR="00711C4C" w:rsidRPr="00D749D4" w:rsidRDefault="00711C4C" w:rsidP="004A4847">
            <w:pPr>
              <w:jc w:val="right"/>
              <w:rPr>
                <w:szCs w:val="21"/>
              </w:rPr>
            </w:pPr>
            <w:r w:rsidRPr="00D749D4">
              <w:rPr>
                <w:szCs w:val="21"/>
              </w:rPr>
              <w:t>2,131,579.85</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基金投资产生的股利收益</w:t>
            </w:r>
          </w:p>
        </w:tc>
        <w:tc>
          <w:tcPr>
            <w:tcW w:w="5541" w:type="dxa"/>
            <w:vAlign w:val="center"/>
          </w:tcPr>
          <w:p w:rsidR="00711C4C" w:rsidRPr="00D749D4" w:rsidRDefault="00711C4C" w:rsidP="004A4847">
            <w:pPr>
              <w:jc w:val="right"/>
              <w:rPr>
                <w:szCs w:val="21"/>
              </w:rPr>
            </w:pPr>
            <w:r w:rsidRPr="00D749D4">
              <w:rPr>
                <w:szCs w:val="21"/>
              </w:rPr>
              <w:t>-</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合计</w:t>
            </w:r>
          </w:p>
        </w:tc>
        <w:tc>
          <w:tcPr>
            <w:tcW w:w="5541" w:type="dxa"/>
            <w:vAlign w:val="center"/>
          </w:tcPr>
          <w:p w:rsidR="00711C4C" w:rsidRPr="00D749D4" w:rsidRDefault="00711C4C" w:rsidP="004A4847">
            <w:pPr>
              <w:jc w:val="right"/>
              <w:rPr>
                <w:szCs w:val="21"/>
              </w:rPr>
            </w:pPr>
            <w:r w:rsidRPr="00D749D4">
              <w:rPr>
                <w:szCs w:val="21"/>
              </w:rPr>
              <w:t>2,131,579.85</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6.4.7.17</w:t>
      </w:r>
      <w:r w:rsidRPr="0087410D">
        <w:rPr>
          <w:rFonts w:ascii="宋体" w:hAnsi="宋体" w:hint="eastAsia"/>
          <w:b/>
          <w:szCs w:val="21"/>
        </w:rPr>
        <w:t>公允价值变动收益</w:t>
      </w:r>
    </w:p>
    <w:p w:rsidR="00783FE9" w:rsidRDefault="00783FE9" w:rsidP="00783FE9">
      <w:pPr>
        <w:tabs>
          <w:tab w:val="left" w:pos="8820"/>
        </w:tabs>
        <w:wordWrap w:val="0"/>
        <w:spacing w:line="360" w:lineRule="auto"/>
        <w:ind w:rightChars="-52" w:right="-109"/>
        <w:jc w:val="right"/>
        <w:rPr>
          <w:color w:val="000000"/>
          <w:szCs w:val="21"/>
        </w:rPr>
      </w:pPr>
      <w:r>
        <w:rPr>
          <w:rFonts w:hint="eastAsia"/>
          <w:color w:val="000000"/>
          <w:szCs w:val="21"/>
        </w:rPr>
        <w:lastRenderedPageBreak/>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783FE9" w:rsidTr="00683B2A">
        <w:trPr>
          <w:trHeight w:val="285"/>
        </w:trPr>
        <w:tc>
          <w:tcPr>
            <w:tcW w:w="3794" w:type="dxa"/>
            <w:vAlign w:val="center"/>
            <w:hideMark/>
          </w:tcPr>
          <w:p w:rsidR="00783FE9" w:rsidRDefault="00783FE9">
            <w:pPr>
              <w:jc w:val="center"/>
              <w:rPr>
                <w:szCs w:val="21"/>
              </w:rPr>
            </w:pPr>
            <w:r>
              <w:rPr>
                <w:rFonts w:hint="eastAsia"/>
                <w:kern w:val="0"/>
                <w:szCs w:val="21"/>
              </w:rPr>
              <w:t>项目名称</w:t>
            </w:r>
          </w:p>
        </w:tc>
        <w:tc>
          <w:tcPr>
            <w:tcW w:w="5528" w:type="dxa"/>
            <w:vAlign w:val="center"/>
            <w:hideMark/>
          </w:tcPr>
          <w:p w:rsidR="00783FE9" w:rsidRDefault="00783FE9">
            <w:pPr>
              <w:jc w:val="center"/>
              <w:rPr>
                <w:szCs w:val="21"/>
              </w:rPr>
            </w:pPr>
            <w:r>
              <w:rPr>
                <w:rFonts w:hint="eastAsia"/>
                <w:szCs w:val="21"/>
              </w:rPr>
              <w:t>本期</w:t>
            </w:r>
          </w:p>
          <w:p w:rsidR="00783FE9" w:rsidRDefault="00783FE9">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783FE9" w:rsidRDefault="00783FE9">
            <w:pPr>
              <w:jc w:val="right"/>
              <w:rPr>
                <w:szCs w:val="21"/>
              </w:rPr>
            </w:pPr>
            <w:r>
              <w:rPr>
                <w:szCs w:val="21"/>
              </w:rPr>
              <w:t>65,318,310.71</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股票投资</w:t>
            </w:r>
          </w:p>
        </w:tc>
        <w:tc>
          <w:tcPr>
            <w:tcW w:w="5528" w:type="dxa"/>
            <w:vAlign w:val="center"/>
            <w:hideMark/>
          </w:tcPr>
          <w:p w:rsidR="00783FE9" w:rsidRDefault="00783FE9">
            <w:pPr>
              <w:jc w:val="right"/>
              <w:rPr>
                <w:szCs w:val="21"/>
              </w:rPr>
            </w:pPr>
            <w:r>
              <w:rPr>
                <w:szCs w:val="21"/>
              </w:rPr>
              <w:t>65,317,843.55</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债券投资</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783FE9" w:rsidRDefault="00783FE9">
            <w:pPr>
              <w:jc w:val="right"/>
              <w:rPr>
                <w:kern w:val="0"/>
                <w:szCs w:val="21"/>
              </w:rPr>
            </w:pPr>
            <w:r>
              <w:rPr>
                <w:kern w:val="0"/>
                <w:szCs w:val="21"/>
              </w:rPr>
              <w:t>467.16</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783FE9" w:rsidRDefault="00783FE9">
            <w:pPr>
              <w:widowControl/>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783FE9" w:rsidRDefault="00783FE9">
            <w:pPr>
              <w:widowControl/>
              <w:jc w:val="right"/>
              <w:rPr>
                <w:kern w:val="0"/>
                <w:szCs w:val="21"/>
              </w:rPr>
            </w:pPr>
            <w:r>
              <w:rPr>
                <w:rFonts w:eastAsiaTheme="minorEastAsia"/>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783FE9" w:rsidRDefault="00783FE9">
            <w:pPr>
              <w:jc w:val="right"/>
              <w:rPr>
                <w:kern w:val="0"/>
                <w:szCs w:val="21"/>
              </w:rPr>
            </w:pPr>
            <w:r>
              <w:rPr>
                <w:kern w:val="0"/>
                <w:szCs w:val="21"/>
              </w:rPr>
              <w:t>186,295.61</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783FE9" w:rsidRDefault="00783FE9">
            <w:pPr>
              <w:jc w:val="right"/>
              <w:rPr>
                <w:kern w:val="0"/>
                <w:szCs w:val="21"/>
              </w:rPr>
            </w:pPr>
            <w:r>
              <w:rPr>
                <w:kern w:val="0"/>
                <w:szCs w:val="21"/>
              </w:rPr>
              <w:t>-</w:t>
            </w:r>
          </w:p>
        </w:tc>
      </w:tr>
      <w:tr w:rsidR="00CF426B">
        <w:tc>
          <w:tcPr>
            <w:tcW w:w="3794" w:type="dxa"/>
            <w:vAlign w:val="center"/>
          </w:tcPr>
          <w:p w:rsidR="00CF426B" w:rsidRDefault="005F6DDD">
            <w:pPr>
              <w:jc w:val="left"/>
            </w:pPr>
            <w:r>
              <w:rPr>
                <w:kern w:val="0"/>
                <w:szCs w:val="21"/>
              </w:rPr>
              <w:t>——</w:t>
            </w:r>
            <w:r>
              <w:rPr>
                <w:kern w:val="0"/>
                <w:szCs w:val="21"/>
              </w:rPr>
              <w:t>期货投资</w:t>
            </w:r>
          </w:p>
        </w:tc>
        <w:tc>
          <w:tcPr>
            <w:tcW w:w="5529" w:type="dxa"/>
            <w:vAlign w:val="center"/>
          </w:tcPr>
          <w:p w:rsidR="00CF426B" w:rsidRDefault="005F6DDD">
            <w:pPr>
              <w:jc w:val="right"/>
            </w:pPr>
            <w:r>
              <w:rPr>
                <w:kern w:val="0"/>
                <w:szCs w:val="21"/>
              </w:rPr>
              <w:t>186,295.61</w:t>
            </w:r>
          </w:p>
        </w:tc>
      </w:tr>
      <w:tr w:rsidR="00CF426B">
        <w:tc>
          <w:tcPr>
            <w:tcW w:w="3794" w:type="dxa"/>
            <w:vAlign w:val="center"/>
          </w:tcPr>
          <w:p w:rsidR="00CF426B" w:rsidRDefault="005F6DDD">
            <w:pPr>
              <w:jc w:val="left"/>
            </w:pPr>
            <w:r>
              <w:rPr>
                <w:kern w:val="0"/>
                <w:szCs w:val="21"/>
              </w:rPr>
              <w:t>——</w:t>
            </w:r>
            <w:r>
              <w:rPr>
                <w:kern w:val="0"/>
                <w:szCs w:val="21"/>
              </w:rPr>
              <w:t>期权投资</w:t>
            </w:r>
          </w:p>
        </w:tc>
        <w:tc>
          <w:tcPr>
            <w:tcW w:w="5529" w:type="dxa"/>
            <w:vAlign w:val="center"/>
          </w:tcPr>
          <w:p w:rsidR="00CF426B" w:rsidRDefault="005F6DDD">
            <w:pPr>
              <w:jc w:val="right"/>
            </w:pPr>
            <w:r>
              <w:rPr>
                <w:kern w:val="0"/>
                <w:szCs w:val="21"/>
              </w:rPr>
              <w:t>-</w:t>
            </w:r>
          </w:p>
        </w:tc>
      </w:tr>
      <w:tr w:rsidR="00783FE9" w:rsidTr="00683B2A">
        <w:trPr>
          <w:trHeight w:val="285"/>
        </w:trPr>
        <w:tc>
          <w:tcPr>
            <w:tcW w:w="3794" w:type="dxa"/>
            <w:vAlign w:val="center"/>
            <w:hideMark/>
          </w:tcPr>
          <w:p w:rsidR="00783FE9" w:rsidRDefault="00783FE9">
            <w:pPr>
              <w:widowControl/>
              <w:rPr>
                <w:szCs w:val="21"/>
              </w:rPr>
            </w:pPr>
            <w:r>
              <w:rPr>
                <w:kern w:val="0"/>
                <w:szCs w:val="21"/>
              </w:rPr>
              <w:t>3.</w:t>
            </w:r>
            <w:r>
              <w:rPr>
                <w:rFonts w:hint="eastAsia"/>
                <w:kern w:val="0"/>
                <w:szCs w:val="21"/>
              </w:rPr>
              <w:t>其他</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783FE9" w:rsidRDefault="00783FE9">
            <w:pPr>
              <w:jc w:val="right"/>
              <w:rPr>
                <w:rFonts w:eastAsiaTheme="minorEastAsia"/>
                <w:szCs w:val="21"/>
              </w:rPr>
            </w:pPr>
            <w:r>
              <w:rPr>
                <w:rFonts w:eastAsiaTheme="minorEastAsia"/>
                <w:szCs w:val="21"/>
              </w:rPr>
              <w:t>-</w:t>
            </w:r>
          </w:p>
        </w:tc>
      </w:tr>
      <w:tr w:rsidR="00783FE9" w:rsidTr="00683B2A">
        <w:trPr>
          <w:trHeight w:val="285"/>
        </w:trPr>
        <w:tc>
          <w:tcPr>
            <w:tcW w:w="3794" w:type="dxa"/>
            <w:vAlign w:val="center"/>
            <w:hideMark/>
          </w:tcPr>
          <w:p w:rsidR="00783FE9" w:rsidRDefault="00783FE9">
            <w:pPr>
              <w:widowControl/>
              <w:rPr>
                <w:szCs w:val="21"/>
              </w:rPr>
            </w:pPr>
            <w:r>
              <w:rPr>
                <w:rFonts w:hint="eastAsia"/>
                <w:kern w:val="0"/>
                <w:szCs w:val="21"/>
              </w:rPr>
              <w:t>合计</w:t>
            </w:r>
          </w:p>
        </w:tc>
        <w:tc>
          <w:tcPr>
            <w:tcW w:w="5528" w:type="dxa"/>
            <w:vAlign w:val="center"/>
            <w:hideMark/>
          </w:tcPr>
          <w:p w:rsidR="00783FE9" w:rsidRDefault="00783FE9">
            <w:pPr>
              <w:jc w:val="right"/>
              <w:rPr>
                <w:szCs w:val="21"/>
              </w:rPr>
            </w:pPr>
            <w:r>
              <w:rPr>
                <w:szCs w:val="21"/>
              </w:rPr>
              <w:t>65,504,606.32</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6.4.7.18</w:t>
      </w:r>
      <w:r w:rsidRPr="0087410D">
        <w:rPr>
          <w:rFonts w:ascii="宋体" w:hAnsi="宋体" w:hint="eastAsia"/>
          <w:b/>
          <w:szCs w:val="21"/>
        </w:rPr>
        <w:t>其他收入</w:t>
      </w:r>
    </w:p>
    <w:p w:rsidR="00711C4C" w:rsidRPr="00D749D4" w:rsidRDefault="00711C4C" w:rsidP="00DB1E0B">
      <w:pPr>
        <w:tabs>
          <w:tab w:val="left" w:pos="7200"/>
          <w:tab w:val="left" w:pos="8280"/>
        </w:tabs>
        <w:ind w:rightChars="-52" w:right="-109"/>
        <w:jc w:val="right"/>
        <w:rPr>
          <w:szCs w:val="21"/>
          <w:lang w:val="en-AU"/>
        </w:rPr>
      </w:pPr>
      <w:r w:rsidRPr="00D749D4">
        <w:rPr>
          <w:rFonts w:hint="eastAsia"/>
          <w:color w:val="000000"/>
          <w:szCs w:val="21"/>
        </w:rPr>
        <w:t>单位：人民币元</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711C4C" w:rsidRPr="00D749D4" w:rsidTr="005C1AF8">
        <w:trPr>
          <w:trHeight w:val="255"/>
        </w:trPr>
        <w:tc>
          <w:tcPr>
            <w:tcW w:w="3833" w:type="dxa"/>
            <w:vAlign w:val="center"/>
          </w:tcPr>
          <w:p w:rsidR="00711C4C" w:rsidRPr="00D749D4" w:rsidRDefault="00711C4C" w:rsidP="004A4847">
            <w:pPr>
              <w:jc w:val="center"/>
              <w:rPr>
                <w:szCs w:val="21"/>
              </w:rPr>
            </w:pPr>
            <w:r w:rsidRPr="00D749D4">
              <w:rPr>
                <w:rFonts w:hint="eastAsia"/>
                <w:szCs w:val="21"/>
              </w:rPr>
              <w:t>项目</w:t>
            </w:r>
          </w:p>
        </w:tc>
        <w:tc>
          <w:tcPr>
            <w:tcW w:w="5242"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基金赎回费收入</w:t>
            </w:r>
          </w:p>
        </w:tc>
        <w:tc>
          <w:tcPr>
            <w:tcW w:w="5242" w:type="dxa"/>
            <w:vAlign w:val="center"/>
          </w:tcPr>
          <w:p w:rsidR="00711C4C" w:rsidRPr="00D749D4" w:rsidRDefault="00711C4C" w:rsidP="004A4847">
            <w:pPr>
              <w:jc w:val="right"/>
              <w:rPr>
                <w:szCs w:val="21"/>
              </w:rPr>
            </w:pPr>
            <w:r w:rsidRPr="00D749D4">
              <w:rPr>
                <w:szCs w:val="21"/>
              </w:rPr>
              <w:t>755,026.58</w:t>
            </w:r>
          </w:p>
        </w:tc>
      </w:tr>
      <w:tr w:rsidR="00CF426B">
        <w:tc>
          <w:tcPr>
            <w:tcW w:w="3833" w:type="dxa"/>
            <w:vAlign w:val="center"/>
          </w:tcPr>
          <w:p w:rsidR="00CF426B" w:rsidRDefault="005F6DDD">
            <w:pPr>
              <w:jc w:val="left"/>
            </w:pPr>
            <w:r>
              <w:rPr>
                <w:szCs w:val="21"/>
              </w:rPr>
              <w:t>其他</w:t>
            </w:r>
          </w:p>
        </w:tc>
        <w:tc>
          <w:tcPr>
            <w:tcW w:w="5242" w:type="dxa"/>
            <w:vAlign w:val="center"/>
          </w:tcPr>
          <w:p w:rsidR="00CF426B" w:rsidRDefault="005F6DDD">
            <w:pPr>
              <w:jc w:val="right"/>
            </w:pPr>
            <w:r>
              <w:rPr>
                <w:szCs w:val="21"/>
              </w:rPr>
              <w:t>-</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合计</w:t>
            </w:r>
          </w:p>
        </w:tc>
        <w:tc>
          <w:tcPr>
            <w:tcW w:w="5242" w:type="dxa"/>
            <w:vAlign w:val="center"/>
          </w:tcPr>
          <w:p w:rsidR="00711C4C" w:rsidRPr="00D749D4" w:rsidRDefault="00711C4C" w:rsidP="004A4847">
            <w:pPr>
              <w:jc w:val="right"/>
              <w:rPr>
                <w:szCs w:val="21"/>
              </w:rPr>
            </w:pPr>
            <w:r w:rsidRPr="00D749D4">
              <w:rPr>
                <w:szCs w:val="21"/>
              </w:rPr>
              <w:t>755,026.58</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6.4.7.19</w:t>
      </w:r>
      <w:r w:rsidRPr="0087410D">
        <w:rPr>
          <w:rFonts w:ascii="宋体" w:hAnsi="宋体" w:hint="eastAsia"/>
          <w:b/>
          <w:szCs w:val="21"/>
        </w:rPr>
        <w:t>交易费用</w:t>
      </w:r>
    </w:p>
    <w:p w:rsidR="006B6171" w:rsidRDefault="006B6171" w:rsidP="006B6171">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244"/>
      </w:tblGrid>
      <w:tr w:rsidR="006B6171" w:rsidTr="00683B2A">
        <w:trPr>
          <w:trHeight w:val="285"/>
        </w:trPr>
        <w:tc>
          <w:tcPr>
            <w:tcW w:w="3828"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4"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6B6171" w:rsidRDefault="006B6171" w:rsidP="0021645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58,142.79</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616.30</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CF426B">
        <w:tc>
          <w:tcPr>
            <w:tcW w:w="3828" w:type="dxa"/>
            <w:vAlign w:val="center"/>
          </w:tcPr>
          <w:p w:rsidR="00CF426B" w:rsidRDefault="005F6DDD">
            <w:pPr>
              <w:jc w:val="center"/>
            </w:pPr>
            <w:r>
              <w:rPr>
                <w:rFonts w:eastAsiaTheme="minorEastAsia"/>
                <w:color w:val="000000" w:themeColor="text1"/>
                <w:kern w:val="0"/>
                <w:szCs w:val="21"/>
              </w:rPr>
              <w:t>其他</w:t>
            </w:r>
          </w:p>
        </w:tc>
        <w:tc>
          <w:tcPr>
            <w:tcW w:w="5244" w:type="dxa"/>
            <w:vAlign w:val="center"/>
          </w:tcPr>
          <w:p w:rsidR="00CF426B" w:rsidRDefault="005F6DDD">
            <w:pPr>
              <w:jc w:val="right"/>
            </w:pPr>
            <w:r>
              <w:rPr>
                <w:rFonts w:eastAsiaTheme="minorEastAsia"/>
                <w:color w:val="000000" w:themeColor="text1"/>
                <w:kern w:val="0"/>
                <w:szCs w:val="21"/>
              </w:rPr>
              <w:t>616.30</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58,759.09</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6.4.7.20</w:t>
      </w:r>
      <w:r w:rsidRPr="0087410D">
        <w:rPr>
          <w:rFonts w:ascii="宋体" w:hAnsi="宋体" w:hint="eastAsia"/>
          <w:b/>
          <w:szCs w:val="21"/>
        </w:rPr>
        <w:t>其他费用</w:t>
      </w:r>
    </w:p>
    <w:p w:rsidR="00711C4C" w:rsidRPr="00D749D4" w:rsidRDefault="00711C4C" w:rsidP="00DB1E0B">
      <w:pPr>
        <w:tabs>
          <w:tab w:val="left" w:pos="7200"/>
          <w:tab w:val="left" w:pos="8280"/>
          <w:tab w:val="left" w:pos="9000"/>
        </w:tabs>
        <w:ind w:rightChars="-52" w:right="-109"/>
        <w:jc w:val="right"/>
        <w:rPr>
          <w:bCs/>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5C1AF8">
        <w:trPr>
          <w:jc w:val="center"/>
        </w:trPr>
        <w:tc>
          <w:tcPr>
            <w:tcW w:w="3936" w:type="dxa"/>
            <w:vAlign w:val="center"/>
          </w:tcPr>
          <w:p w:rsidR="00711C4C" w:rsidRPr="00D749D4" w:rsidRDefault="00711C4C" w:rsidP="004A4847">
            <w:pPr>
              <w:jc w:val="center"/>
              <w:rPr>
                <w:szCs w:val="21"/>
              </w:rPr>
            </w:pPr>
            <w:r w:rsidRPr="00D749D4">
              <w:rPr>
                <w:rFonts w:hint="eastAsia"/>
                <w:szCs w:val="21"/>
              </w:rPr>
              <w:lastRenderedPageBreak/>
              <w:t>项目</w:t>
            </w:r>
          </w:p>
        </w:tc>
        <w:tc>
          <w:tcPr>
            <w:tcW w:w="5350"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审计费用</w:t>
            </w:r>
          </w:p>
        </w:tc>
        <w:tc>
          <w:tcPr>
            <w:tcW w:w="5350" w:type="dxa"/>
            <w:vAlign w:val="center"/>
          </w:tcPr>
          <w:p w:rsidR="00711C4C" w:rsidRPr="00D749D4" w:rsidRDefault="00711C4C" w:rsidP="004A4847">
            <w:pPr>
              <w:jc w:val="right"/>
              <w:rPr>
                <w:szCs w:val="21"/>
              </w:rPr>
            </w:pPr>
            <w:r w:rsidRPr="00D749D4">
              <w:rPr>
                <w:szCs w:val="21"/>
              </w:rPr>
              <w:t>14,918.54</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信息披露费</w:t>
            </w:r>
          </w:p>
        </w:tc>
        <w:tc>
          <w:tcPr>
            <w:tcW w:w="5350" w:type="dxa"/>
            <w:vAlign w:val="center"/>
          </w:tcPr>
          <w:p w:rsidR="00711C4C" w:rsidRPr="00D749D4" w:rsidRDefault="00711C4C" w:rsidP="004A4847">
            <w:pPr>
              <w:jc w:val="right"/>
              <w:rPr>
                <w:szCs w:val="21"/>
              </w:rPr>
            </w:pPr>
            <w:r w:rsidRPr="00D749D4">
              <w:rPr>
                <w:szCs w:val="21"/>
              </w:rPr>
              <w:t>59,672.34</w:t>
            </w:r>
          </w:p>
        </w:tc>
      </w:tr>
      <w:tr w:rsidR="00CF426B">
        <w:trPr>
          <w:jc w:val="center"/>
        </w:trPr>
        <w:tc>
          <w:tcPr>
            <w:tcW w:w="3936" w:type="dxa"/>
            <w:vAlign w:val="center"/>
          </w:tcPr>
          <w:p w:rsidR="00CF426B" w:rsidRDefault="005F6DDD">
            <w:pPr>
              <w:jc w:val="left"/>
            </w:pPr>
            <w:r>
              <w:rPr>
                <w:szCs w:val="21"/>
              </w:rPr>
              <w:t>银行汇划费</w:t>
            </w:r>
          </w:p>
        </w:tc>
        <w:tc>
          <w:tcPr>
            <w:tcW w:w="5350" w:type="dxa"/>
            <w:vAlign w:val="center"/>
          </w:tcPr>
          <w:p w:rsidR="00CF426B" w:rsidRDefault="005F6DDD">
            <w:pPr>
              <w:jc w:val="right"/>
            </w:pPr>
            <w:r>
              <w:rPr>
                <w:szCs w:val="21"/>
              </w:rPr>
              <w:t>-</w:t>
            </w:r>
          </w:p>
        </w:tc>
      </w:tr>
      <w:tr w:rsidR="00CF426B">
        <w:trPr>
          <w:jc w:val="center"/>
        </w:trPr>
        <w:tc>
          <w:tcPr>
            <w:tcW w:w="3936" w:type="dxa"/>
            <w:vAlign w:val="center"/>
          </w:tcPr>
          <w:p w:rsidR="00CF426B" w:rsidRDefault="005F6DDD">
            <w:pPr>
              <w:jc w:val="left"/>
            </w:pPr>
            <w:r>
              <w:rPr>
                <w:szCs w:val="21"/>
              </w:rPr>
              <w:t>上市费</w:t>
            </w:r>
          </w:p>
        </w:tc>
        <w:tc>
          <w:tcPr>
            <w:tcW w:w="5350" w:type="dxa"/>
            <w:vAlign w:val="center"/>
          </w:tcPr>
          <w:p w:rsidR="00CF426B" w:rsidRDefault="005F6DDD">
            <w:pPr>
              <w:jc w:val="right"/>
            </w:pPr>
            <w:r>
              <w:rPr>
                <w:szCs w:val="21"/>
              </w:rPr>
              <w:t>29,835.26</w:t>
            </w:r>
          </w:p>
        </w:tc>
      </w:tr>
      <w:tr w:rsidR="00CF426B">
        <w:trPr>
          <w:jc w:val="center"/>
        </w:trPr>
        <w:tc>
          <w:tcPr>
            <w:tcW w:w="3936" w:type="dxa"/>
            <w:vAlign w:val="center"/>
          </w:tcPr>
          <w:p w:rsidR="00CF426B" w:rsidRDefault="005F6DDD">
            <w:pPr>
              <w:jc w:val="left"/>
            </w:pPr>
            <w:r>
              <w:rPr>
                <w:szCs w:val="21"/>
              </w:rPr>
              <w:t>指数使用费</w:t>
            </w:r>
          </w:p>
        </w:tc>
        <w:tc>
          <w:tcPr>
            <w:tcW w:w="5350" w:type="dxa"/>
            <w:vAlign w:val="center"/>
          </w:tcPr>
          <w:p w:rsidR="00CF426B" w:rsidRDefault="005F6DDD">
            <w:pPr>
              <w:jc w:val="right"/>
            </w:pPr>
            <w:r>
              <w:rPr>
                <w:szCs w:val="21"/>
              </w:rPr>
              <w:t>23,394.41</w:t>
            </w:r>
          </w:p>
        </w:tc>
      </w:tr>
      <w:tr w:rsidR="00CF426B">
        <w:trPr>
          <w:jc w:val="center"/>
        </w:trPr>
        <w:tc>
          <w:tcPr>
            <w:tcW w:w="3936" w:type="dxa"/>
            <w:vAlign w:val="center"/>
          </w:tcPr>
          <w:p w:rsidR="00CF426B" w:rsidRDefault="005F6DDD">
            <w:pPr>
              <w:jc w:val="left"/>
            </w:pPr>
            <w:r>
              <w:rPr>
                <w:szCs w:val="21"/>
              </w:rPr>
              <w:t>其他</w:t>
            </w:r>
          </w:p>
        </w:tc>
        <w:tc>
          <w:tcPr>
            <w:tcW w:w="5350" w:type="dxa"/>
            <w:vAlign w:val="center"/>
          </w:tcPr>
          <w:p w:rsidR="00CF426B" w:rsidRDefault="005F6DDD">
            <w:pPr>
              <w:jc w:val="right"/>
            </w:pPr>
            <w:r>
              <w:rPr>
                <w:szCs w:val="21"/>
              </w:rPr>
              <w:t>597.42</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合计</w:t>
            </w:r>
          </w:p>
        </w:tc>
        <w:tc>
          <w:tcPr>
            <w:tcW w:w="5350" w:type="dxa"/>
            <w:vAlign w:val="center"/>
          </w:tcPr>
          <w:p w:rsidR="00711C4C" w:rsidRPr="00D749D4" w:rsidRDefault="00711C4C" w:rsidP="004A4847">
            <w:pPr>
              <w:jc w:val="right"/>
              <w:rPr>
                <w:szCs w:val="21"/>
              </w:rPr>
            </w:pPr>
            <w:r w:rsidRPr="00D749D4">
              <w:rPr>
                <w:szCs w:val="21"/>
              </w:rPr>
              <w:t>128,417.97</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 </w:t>
      </w:r>
      <w:r w:rsidRPr="0087410D">
        <w:rPr>
          <w:rFonts w:ascii="宋体" w:hAnsi="宋体" w:hint="eastAsia"/>
          <w:b/>
          <w:szCs w:val="21"/>
        </w:rPr>
        <w:t>或有事项、资产负债表日后事项的说明</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6.4.8.1 </w:t>
      </w:r>
      <w:r w:rsidRPr="0087410D">
        <w:rPr>
          <w:rFonts w:ascii="宋体" w:hAnsi="宋体" w:hint="eastAsia"/>
          <w:b/>
          <w:szCs w:val="21"/>
        </w:rPr>
        <w:t>或有事项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截至资产负债表日，本基金无须作披露的或有事项。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6.4.8.2 </w:t>
      </w:r>
      <w:r w:rsidRPr="0087410D">
        <w:rPr>
          <w:rFonts w:ascii="宋体" w:hAnsi="宋体" w:hint="eastAsia"/>
          <w:b/>
          <w:szCs w:val="21"/>
        </w:rPr>
        <w:t>资产负债表日后事项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截至本会计报表批准报出日，本基金无须作披露的资产负债表日后事项。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w:t>
      </w:r>
      <w:r w:rsidRPr="0087410D">
        <w:rPr>
          <w:rFonts w:ascii="宋体" w:hAnsi="宋体" w:hint="eastAsia"/>
          <w:b/>
          <w:szCs w:val="21"/>
        </w:rPr>
        <w:t>关联方关系</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6.4.9.1 </w:t>
      </w:r>
      <w:r w:rsidRPr="0087410D">
        <w:rPr>
          <w:rFonts w:ascii="宋体" w:hAnsi="宋体" w:hint="eastAsia"/>
          <w:b/>
          <w:szCs w:val="21"/>
        </w:rPr>
        <w:t>本报告期存在控制关系或其他重大利害关系的关联方发生变化的情况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本报告期内存在控制关系或其他重大利害关系的关联方未发生变化。</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6.4.9.2</w:t>
      </w:r>
      <w:r w:rsidRPr="0087410D">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11C4C" w:rsidRPr="00D749D4" w:rsidTr="00951E56">
        <w:tc>
          <w:tcPr>
            <w:tcW w:w="5220" w:type="dxa"/>
            <w:vAlign w:val="center"/>
          </w:tcPr>
          <w:p w:rsidR="00711C4C" w:rsidRPr="00D749D4" w:rsidRDefault="00711C4C" w:rsidP="004A4847">
            <w:pPr>
              <w:jc w:val="center"/>
              <w:rPr>
                <w:color w:val="000000"/>
                <w:szCs w:val="21"/>
              </w:rPr>
            </w:pPr>
            <w:r w:rsidRPr="00D749D4">
              <w:rPr>
                <w:rFonts w:hint="eastAsia"/>
                <w:color w:val="000000"/>
                <w:szCs w:val="21"/>
              </w:rPr>
              <w:t>关联方名称</w:t>
            </w:r>
          </w:p>
        </w:tc>
        <w:tc>
          <w:tcPr>
            <w:tcW w:w="3780" w:type="dxa"/>
            <w:vAlign w:val="center"/>
          </w:tcPr>
          <w:p w:rsidR="00711C4C" w:rsidRPr="00D749D4" w:rsidRDefault="00711C4C" w:rsidP="004A4847">
            <w:pPr>
              <w:jc w:val="center"/>
              <w:rPr>
                <w:color w:val="000000"/>
                <w:szCs w:val="21"/>
              </w:rPr>
            </w:pPr>
            <w:r w:rsidRPr="00D749D4">
              <w:rPr>
                <w:rFonts w:hint="eastAsia"/>
                <w:color w:val="000000"/>
                <w:szCs w:val="21"/>
              </w:rPr>
              <w:t>与本基金的关系</w:t>
            </w:r>
          </w:p>
        </w:tc>
      </w:tr>
      <w:tr w:rsidR="00CF426B">
        <w:tc>
          <w:tcPr>
            <w:tcW w:w="5220" w:type="dxa"/>
            <w:vAlign w:val="center"/>
          </w:tcPr>
          <w:p w:rsidR="00CF426B" w:rsidRDefault="005F6DDD">
            <w:pPr>
              <w:jc w:val="left"/>
            </w:pPr>
            <w:r>
              <w:rPr>
                <w:color w:val="000000"/>
                <w:szCs w:val="21"/>
              </w:rPr>
              <w:t>易方达基金管理有限公司</w:t>
            </w:r>
          </w:p>
        </w:tc>
        <w:tc>
          <w:tcPr>
            <w:tcW w:w="3780" w:type="dxa"/>
            <w:vAlign w:val="center"/>
          </w:tcPr>
          <w:p w:rsidR="00CF426B" w:rsidRDefault="005F6DDD">
            <w:pPr>
              <w:jc w:val="left"/>
            </w:pPr>
            <w:r>
              <w:rPr>
                <w:color w:val="000000"/>
                <w:szCs w:val="21"/>
              </w:rPr>
              <w:t>基金管理人、注册登记机构、基金销售机构</w:t>
            </w:r>
          </w:p>
        </w:tc>
      </w:tr>
      <w:tr w:rsidR="00CF426B">
        <w:tc>
          <w:tcPr>
            <w:tcW w:w="5220" w:type="dxa"/>
            <w:vAlign w:val="center"/>
          </w:tcPr>
          <w:p w:rsidR="00CF426B" w:rsidRDefault="005F6DDD">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CF426B" w:rsidRDefault="005F6DDD">
            <w:pPr>
              <w:jc w:val="left"/>
            </w:pPr>
            <w:r>
              <w:rPr>
                <w:color w:val="000000"/>
                <w:szCs w:val="21"/>
              </w:rPr>
              <w:t>基金托管人、基金销售机构</w:t>
            </w:r>
          </w:p>
        </w:tc>
      </w:tr>
      <w:tr w:rsidR="00CF426B">
        <w:tc>
          <w:tcPr>
            <w:tcW w:w="5220" w:type="dxa"/>
            <w:vAlign w:val="center"/>
          </w:tcPr>
          <w:p w:rsidR="00CF426B" w:rsidRDefault="005F6DDD">
            <w:pPr>
              <w:jc w:val="left"/>
            </w:pPr>
            <w:r>
              <w:rPr>
                <w:color w:val="000000"/>
                <w:szCs w:val="21"/>
              </w:rPr>
              <w:t>道富银行</w:t>
            </w:r>
          </w:p>
        </w:tc>
        <w:tc>
          <w:tcPr>
            <w:tcW w:w="3780" w:type="dxa"/>
            <w:vAlign w:val="center"/>
          </w:tcPr>
          <w:p w:rsidR="00CF426B" w:rsidRDefault="005F6DDD">
            <w:pPr>
              <w:jc w:val="left"/>
            </w:pPr>
            <w:r>
              <w:rPr>
                <w:color w:val="000000"/>
                <w:szCs w:val="21"/>
              </w:rPr>
              <w:t>境外资产托管人</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注：以下关联交易均在正常业务范围内按一般商业条款订立。</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 </w:t>
      </w:r>
      <w:r w:rsidRPr="0087410D">
        <w:rPr>
          <w:rFonts w:ascii="宋体" w:hAnsi="宋体" w:hint="eastAsia"/>
          <w:b/>
          <w:szCs w:val="21"/>
        </w:rPr>
        <w:t>本报告期及上年度可比期间的关联方交易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6.4.10.1 </w:t>
      </w:r>
      <w:r w:rsidRPr="0087410D">
        <w:rPr>
          <w:rFonts w:ascii="宋体" w:hAnsi="宋体" w:hint="eastAsia"/>
          <w:b/>
          <w:szCs w:val="21"/>
        </w:rPr>
        <w:t>通过关联方交易单元进行的交易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6.4.10.1.1</w:t>
      </w:r>
      <w:r w:rsidRPr="0087410D">
        <w:rPr>
          <w:rFonts w:ascii="宋体" w:hAnsi="宋体" w:hint="eastAsia"/>
          <w:b/>
          <w:szCs w:val="21"/>
        </w:rPr>
        <w:t>股票交易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本基金本报告期及上年度可比期间未发生通过关联方交易单元进行的股票交易。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6.4.10.1.2</w:t>
      </w:r>
      <w:r w:rsidRPr="0087410D">
        <w:rPr>
          <w:rFonts w:ascii="宋体" w:hAnsi="宋体" w:hint="eastAsia"/>
          <w:b/>
          <w:szCs w:val="21"/>
        </w:rPr>
        <w:t>权证交易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本基金本报告期及上年度可比期间未发生通过关联方交易单元进行的权证交易。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6.4.10.1.3</w:t>
      </w:r>
      <w:r w:rsidRPr="0087410D">
        <w:rPr>
          <w:rFonts w:ascii="宋体" w:hAnsi="宋体" w:hint="eastAsia"/>
          <w:b/>
          <w:szCs w:val="21"/>
        </w:rPr>
        <w:t>应支付关联方的佣金</w:t>
      </w:r>
    </w:p>
    <w:p w:rsidR="00711C4C" w:rsidRPr="00D749D4" w:rsidRDefault="00066860"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w:t>
      </w:r>
      <w:r w:rsidRPr="0087410D">
        <w:rPr>
          <w:rFonts w:ascii="宋体" w:hAnsi="宋体" w:hint="eastAsia"/>
          <w:b/>
          <w:szCs w:val="21"/>
        </w:rPr>
        <w:t>关联方报酬</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6.4.10.2.1</w:t>
      </w:r>
      <w:r w:rsidRPr="0087410D">
        <w:rPr>
          <w:rFonts w:ascii="宋体" w:hAnsi="宋体" w:hint="eastAsia"/>
          <w:b/>
          <w:szCs w:val="21"/>
        </w:rPr>
        <w:t>基金管理费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color w:val="000000"/>
          <w:szCs w:val="21"/>
        </w:rPr>
        <w:lastRenderedPageBreak/>
        <w:t>单位：</w:t>
      </w:r>
      <w:r w:rsidRPr="00D749D4">
        <w:rPr>
          <w:rFonts w:hint="eastAsia"/>
          <w:bCs/>
          <w:color w:val="000000"/>
          <w:szCs w:val="21"/>
        </w:rPr>
        <w:t>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7418FE">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当期发生的基金应支付的管理费</w:t>
            </w:r>
          </w:p>
        </w:tc>
        <w:tc>
          <w:tcPr>
            <w:tcW w:w="3111" w:type="dxa"/>
            <w:vAlign w:val="center"/>
          </w:tcPr>
          <w:p w:rsidR="00711C4C" w:rsidRPr="00D749D4" w:rsidRDefault="00711C4C" w:rsidP="004A4847">
            <w:pPr>
              <w:jc w:val="right"/>
              <w:rPr>
                <w:szCs w:val="21"/>
              </w:rPr>
            </w:pPr>
            <w:r w:rsidRPr="00D749D4">
              <w:rPr>
                <w:szCs w:val="21"/>
              </w:rPr>
              <w:t>2,002,418.68</w:t>
            </w:r>
          </w:p>
        </w:tc>
        <w:tc>
          <w:tcPr>
            <w:tcW w:w="3112" w:type="dxa"/>
            <w:vAlign w:val="center"/>
          </w:tcPr>
          <w:p w:rsidR="00711C4C" w:rsidRPr="00D749D4" w:rsidRDefault="00711C4C" w:rsidP="004A4847">
            <w:pPr>
              <w:jc w:val="right"/>
              <w:rPr>
                <w:szCs w:val="21"/>
              </w:rPr>
            </w:pPr>
            <w:r w:rsidRPr="00D749D4">
              <w:rPr>
                <w:szCs w:val="21"/>
              </w:rPr>
              <w:t>376,784.56</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其中：支付销售机构的客户维护费</w:t>
            </w:r>
          </w:p>
        </w:tc>
        <w:tc>
          <w:tcPr>
            <w:tcW w:w="3111" w:type="dxa"/>
            <w:vAlign w:val="center"/>
          </w:tcPr>
          <w:p w:rsidR="00711C4C" w:rsidRPr="00D749D4" w:rsidRDefault="00711C4C" w:rsidP="004A4847">
            <w:pPr>
              <w:jc w:val="right"/>
              <w:rPr>
                <w:szCs w:val="21"/>
              </w:rPr>
            </w:pPr>
            <w:r w:rsidRPr="00D749D4">
              <w:rPr>
                <w:szCs w:val="21"/>
              </w:rPr>
              <w:t>538,379.58</w:t>
            </w:r>
          </w:p>
        </w:tc>
        <w:tc>
          <w:tcPr>
            <w:tcW w:w="3112" w:type="dxa"/>
            <w:vAlign w:val="center"/>
          </w:tcPr>
          <w:p w:rsidR="00711C4C" w:rsidRPr="00D749D4" w:rsidRDefault="00711C4C" w:rsidP="004A4847">
            <w:pPr>
              <w:jc w:val="right"/>
              <w:rPr>
                <w:szCs w:val="21"/>
              </w:rPr>
            </w:pPr>
            <w:r w:rsidRPr="00D749D4">
              <w:rPr>
                <w:szCs w:val="21"/>
              </w:rPr>
              <w:t>93,970.66</w:t>
            </w:r>
          </w:p>
        </w:tc>
      </w:tr>
    </w:tbl>
    <w:p w:rsidR="00CF426B" w:rsidRDefault="005F6DDD">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0.80%</w:t>
      </w:r>
      <w:r>
        <w:rPr>
          <w:kern w:val="0"/>
          <w:szCs w:val="21"/>
        </w:rPr>
        <w:t>年费率计提。管理费的计算方法如下：</w:t>
      </w:r>
    </w:p>
    <w:p w:rsidR="00CF426B" w:rsidRDefault="005F6DDD">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E×0.80%÷</w:t>
      </w:r>
      <w:r>
        <w:rPr>
          <w:kern w:val="0"/>
          <w:szCs w:val="21"/>
        </w:rPr>
        <w:t>当年天数</w:t>
      </w:r>
    </w:p>
    <w:p w:rsidR="00CF426B" w:rsidRDefault="005F6DDD">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CF426B" w:rsidRDefault="005F6DDD">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基金管理费每日计提，按月支付。由基金管理人向基金托管人发送基金管理费划付指令，经基金托管人复核后于次月首日起</w:t>
      </w:r>
      <w:r w:rsidRPr="00D749D4">
        <w:rPr>
          <w:kern w:val="0"/>
          <w:szCs w:val="21"/>
        </w:rPr>
        <w:t>3</w:t>
      </w:r>
      <w:r w:rsidRPr="00D749D4">
        <w:rPr>
          <w:kern w:val="0"/>
          <w:szCs w:val="21"/>
        </w:rPr>
        <w:t>个工作日内从基金财产中一次性支付给基金管理人，若遇法定节假日、休息日或不可抗力致使无法按时支付的，支付日期顺延。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6.4.10.2.2</w:t>
      </w:r>
      <w:r w:rsidRPr="0087410D">
        <w:rPr>
          <w:rFonts w:ascii="宋体" w:hAnsi="宋体" w:hint="eastAsia"/>
          <w:b/>
          <w:szCs w:val="21"/>
        </w:rPr>
        <w:t>基金托管费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bCs/>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4A4847">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当期发生的基金应支付的托管费</w:t>
            </w:r>
          </w:p>
        </w:tc>
        <w:tc>
          <w:tcPr>
            <w:tcW w:w="3111" w:type="dxa"/>
            <w:vAlign w:val="center"/>
          </w:tcPr>
          <w:p w:rsidR="00711C4C" w:rsidRPr="00D749D4" w:rsidRDefault="00711C4C" w:rsidP="004A4847">
            <w:pPr>
              <w:jc w:val="right"/>
              <w:rPr>
                <w:color w:val="000000"/>
                <w:kern w:val="0"/>
                <w:szCs w:val="21"/>
              </w:rPr>
            </w:pPr>
            <w:r w:rsidRPr="00D749D4">
              <w:rPr>
                <w:szCs w:val="21"/>
              </w:rPr>
              <w:t>625,755.82</w:t>
            </w:r>
          </w:p>
        </w:tc>
        <w:tc>
          <w:tcPr>
            <w:tcW w:w="3112" w:type="dxa"/>
            <w:vAlign w:val="center"/>
          </w:tcPr>
          <w:p w:rsidR="00711C4C" w:rsidRPr="00D749D4" w:rsidRDefault="00711C4C" w:rsidP="00D07B2E">
            <w:pPr>
              <w:jc w:val="right"/>
              <w:rPr>
                <w:color w:val="000000"/>
                <w:szCs w:val="21"/>
              </w:rPr>
            </w:pPr>
            <w:r w:rsidRPr="00D749D4">
              <w:rPr>
                <w:szCs w:val="21"/>
              </w:rPr>
              <w:t>117,745.18</w:t>
            </w:r>
          </w:p>
        </w:tc>
      </w:tr>
    </w:tbl>
    <w:p w:rsidR="00CF426B" w:rsidRDefault="005F6DDD">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CF426B" w:rsidRDefault="005F6DDD">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p>
    <w:p w:rsidR="00CF426B" w:rsidRDefault="005F6DDD">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CF426B" w:rsidRDefault="005F6DDD">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基金托管费每日计提，按月支付。由基金管理人向基金托管人发送基金托管费划付指令，经基金托管人复核后于次月首日起</w:t>
      </w:r>
      <w:r w:rsidRPr="00D749D4">
        <w:rPr>
          <w:kern w:val="0"/>
          <w:szCs w:val="21"/>
        </w:rPr>
        <w:t>3</w:t>
      </w:r>
      <w:r w:rsidRPr="00D749D4">
        <w:rPr>
          <w:kern w:val="0"/>
          <w:szCs w:val="21"/>
        </w:rPr>
        <w:t>个工作日内从基金财产中一次性支付给基金托管人，若遇法定节假日、休息日或不可抗力致使无法按时支付的，支付日期顺延。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6.4.10.3</w:t>
      </w:r>
      <w:r w:rsidRPr="0087410D">
        <w:rPr>
          <w:rFonts w:ascii="宋体" w:hAnsi="宋体" w:hint="eastAsia"/>
          <w:b/>
          <w:szCs w:val="21"/>
        </w:rPr>
        <w:t>与关联方进行银行间同业市场的债券</w:t>
      </w:r>
      <w:r w:rsidRPr="0087410D">
        <w:rPr>
          <w:rFonts w:ascii="宋体" w:hAnsi="宋体"/>
          <w:b/>
          <w:szCs w:val="21"/>
        </w:rPr>
        <w:t>(</w:t>
      </w:r>
      <w:r w:rsidRPr="0087410D">
        <w:rPr>
          <w:rFonts w:ascii="宋体" w:hAnsi="宋体" w:hint="eastAsia"/>
          <w:b/>
          <w:szCs w:val="21"/>
        </w:rPr>
        <w:t>含回购</w:t>
      </w:r>
      <w:r w:rsidRPr="0087410D">
        <w:rPr>
          <w:rFonts w:ascii="宋体" w:hAnsi="宋体"/>
          <w:b/>
          <w:szCs w:val="21"/>
        </w:rPr>
        <w:t>)</w:t>
      </w:r>
      <w:r w:rsidRPr="0087410D">
        <w:rPr>
          <w:rFonts w:ascii="宋体" w:hAnsi="宋体" w:hint="eastAsia"/>
          <w:b/>
          <w:szCs w:val="21"/>
        </w:rPr>
        <w:t>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本基金本报告期及上年度可比期间未与关联方进行银行间同业市场债券（含回购）交易。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w:t>
      </w:r>
      <w:r w:rsidRPr="0087410D">
        <w:rPr>
          <w:rFonts w:ascii="宋体" w:hAnsi="宋体" w:hint="eastAsia"/>
          <w:b/>
          <w:szCs w:val="21"/>
        </w:rPr>
        <w:t>各关联方投资本基金的情况</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6.4.10.4.1</w:t>
      </w:r>
      <w:r w:rsidRPr="0087410D">
        <w:rPr>
          <w:rFonts w:ascii="宋体" w:hAnsi="宋体" w:hint="eastAsia"/>
          <w:b/>
          <w:szCs w:val="21"/>
        </w:rPr>
        <w:t>报告期内基金管理人运用固有资金投资本基金的情况</w:t>
      </w:r>
    </w:p>
    <w:p w:rsidR="00711C4C" w:rsidRPr="00D749D4" w:rsidRDefault="00390206" w:rsidP="00AB0FF3">
      <w:pPr>
        <w:tabs>
          <w:tab w:val="left" w:pos="426"/>
        </w:tabs>
        <w:spacing w:line="360" w:lineRule="auto"/>
        <w:ind w:firstLineChars="200" w:firstLine="420"/>
        <w:jc w:val="left"/>
        <w:rPr>
          <w:kern w:val="0"/>
          <w:szCs w:val="21"/>
        </w:rPr>
      </w:pPr>
      <w:r w:rsidRPr="00051C6E">
        <w:rPr>
          <w:color w:val="000000"/>
          <w:szCs w:val="21"/>
        </w:rPr>
        <w:t>本报告期内和上年度可比期间基金管理人未运用固有资金投资本基金。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6.4.10.4.2</w:t>
      </w:r>
      <w:r w:rsidRPr="0087410D">
        <w:rPr>
          <w:rFonts w:ascii="宋体" w:hAnsi="宋体" w:hint="eastAsia"/>
          <w:b/>
          <w:szCs w:val="21"/>
        </w:rPr>
        <w:t>报告期末除基金管理人之外的其他关联方投资本基金的情况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无。</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6.4.10.5</w:t>
      </w:r>
      <w:r w:rsidRPr="0087410D">
        <w:rPr>
          <w:rFonts w:ascii="宋体" w:hAnsi="宋体" w:hint="eastAsia"/>
          <w:b/>
          <w:szCs w:val="21"/>
        </w:rPr>
        <w:t>由关联方保管的银行存款余额及当期产生的利息收入</w:t>
      </w:r>
    </w:p>
    <w:p w:rsidR="00711C4C" w:rsidRPr="00D749D4" w:rsidRDefault="00711C4C" w:rsidP="002116B9">
      <w:pPr>
        <w:autoSpaceDE w:val="0"/>
        <w:autoSpaceDN w:val="0"/>
        <w:adjustRightInd w:val="0"/>
        <w:spacing w:before="29" w:line="288" w:lineRule="auto"/>
        <w:ind w:left="15" w:right="210"/>
        <w:jc w:val="right"/>
        <w:rPr>
          <w:bCs/>
          <w:color w:val="000000"/>
          <w:szCs w:val="21"/>
        </w:rPr>
      </w:pPr>
      <w:r w:rsidRPr="00D749D4">
        <w:rPr>
          <w:rFonts w:hint="eastAsia"/>
          <w:bCs/>
          <w:color w:val="000000"/>
          <w:szCs w:val="21"/>
        </w:rPr>
        <w:t>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851"/>
        <w:gridCol w:w="1851"/>
        <w:gridCol w:w="1851"/>
        <w:gridCol w:w="1960"/>
      </w:tblGrid>
      <w:tr w:rsidR="00711C4C" w:rsidRPr="00D749D4" w:rsidTr="00015ADB">
        <w:tc>
          <w:tcPr>
            <w:tcW w:w="1526" w:type="dxa"/>
            <w:vMerge w:val="restart"/>
            <w:vAlign w:val="center"/>
          </w:tcPr>
          <w:p w:rsidR="00711C4C" w:rsidRPr="00015ADB" w:rsidRDefault="00711C4C" w:rsidP="00015ADB">
            <w:pPr>
              <w:jc w:val="center"/>
              <w:rPr>
                <w:kern w:val="0"/>
                <w:szCs w:val="21"/>
              </w:rPr>
            </w:pPr>
            <w:r w:rsidRPr="00015ADB">
              <w:rPr>
                <w:rFonts w:hint="eastAsia"/>
                <w:color w:val="000000"/>
                <w:szCs w:val="21"/>
              </w:rPr>
              <w:t>关联方名称</w:t>
            </w:r>
          </w:p>
        </w:tc>
        <w:tc>
          <w:tcPr>
            <w:tcW w:w="3702" w:type="dxa"/>
            <w:gridSpan w:val="2"/>
            <w:vAlign w:val="center"/>
          </w:tcPr>
          <w:p w:rsidR="00711C4C" w:rsidRPr="00015ADB" w:rsidRDefault="00711C4C" w:rsidP="00015ADB">
            <w:pPr>
              <w:jc w:val="center"/>
              <w:rPr>
                <w:color w:val="000000"/>
                <w:szCs w:val="21"/>
              </w:rPr>
            </w:pPr>
            <w:r w:rsidRPr="00015ADB">
              <w:rPr>
                <w:rFonts w:hint="eastAsia"/>
                <w:color w:val="000000"/>
                <w:szCs w:val="21"/>
              </w:rPr>
              <w:t>本期</w:t>
            </w:r>
          </w:p>
          <w:p w:rsidR="00711C4C" w:rsidRPr="00015ADB" w:rsidRDefault="00711C4C" w:rsidP="00015ADB">
            <w:pPr>
              <w:jc w:val="left"/>
              <w:rPr>
                <w:kern w:val="0"/>
                <w:szCs w:val="21"/>
              </w:rPr>
            </w:pPr>
            <w:r w:rsidRPr="00015ADB">
              <w:rPr>
                <w:color w:val="000000"/>
                <w:szCs w:val="21"/>
              </w:rPr>
              <w:t>2020</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w:t>
            </w:r>
            <w:r w:rsidRPr="00015ADB">
              <w:rPr>
                <w:rFonts w:hint="eastAsia"/>
                <w:color w:val="000000"/>
                <w:szCs w:val="21"/>
              </w:rPr>
              <w:t>至</w:t>
            </w:r>
            <w:r w:rsidRPr="00015ADB">
              <w:rPr>
                <w:szCs w:val="21"/>
              </w:rPr>
              <w:t>2020</w:t>
            </w:r>
            <w:r w:rsidRPr="00015ADB">
              <w:rPr>
                <w:szCs w:val="21"/>
              </w:rPr>
              <w:t>年</w:t>
            </w:r>
            <w:r w:rsidRPr="00015ADB">
              <w:rPr>
                <w:szCs w:val="21"/>
              </w:rPr>
              <w:t>6</w:t>
            </w:r>
            <w:r w:rsidRPr="00015ADB">
              <w:rPr>
                <w:szCs w:val="21"/>
              </w:rPr>
              <w:t>月</w:t>
            </w:r>
            <w:r w:rsidRPr="00015ADB">
              <w:rPr>
                <w:szCs w:val="21"/>
              </w:rPr>
              <w:t>30</w:t>
            </w:r>
            <w:r w:rsidRPr="00015ADB">
              <w:rPr>
                <w:szCs w:val="21"/>
              </w:rPr>
              <w:t>日</w:t>
            </w:r>
          </w:p>
        </w:tc>
        <w:tc>
          <w:tcPr>
            <w:tcW w:w="3811" w:type="dxa"/>
            <w:gridSpan w:val="2"/>
            <w:vAlign w:val="center"/>
          </w:tcPr>
          <w:p w:rsidR="00711C4C" w:rsidRPr="00015ADB" w:rsidRDefault="00711C4C" w:rsidP="00015ADB">
            <w:pPr>
              <w:jc w:val="center"/>
              <w:rPr>
                <w:color w:val="000000"/>
                <w:szCs w:val="21"/>
              </w:rPr>
            </w:pPr>
            <w:r w:rsidRPr="00015ADB">
              <w:rPr>
                <w:rFonts w:hint="eastAsia"/>
                <w:color w:val="000000"/>
                <w:szCs w:val="21"/>
              </w:rPr>
              <w:t>上年度可比期间</w:t>
            </w:r>
          </w:p>
          <w:p w:rsidR="00711C4C" w:rsidRPr="00015ADB" w:rsidRDefault="00711C4C" w:rsidP="00015ADB">
            <w:pPr>
              <w:jc w:val="left"/>
              <w:rPr>
                <w:kern w:val="0"/>
                <w:szCs w:val="21"/>
              </w:rPr>
            </w:pPr>
            <w:r w:rsidRPr="00015ADB">
              <w:rPr>
                <w:color w:val="000000"/>
                <w:szCs w:val="21"/>
              </w:rPr>
              <w:t>2019</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日至</w:t>
            </w:r>
            <w:r w:rsidRPr="00015ADB">
              <w:rPr>
                <w:color w:val="000000"/>
                <w:szCs w:val="21"/>
              </w:rPr>
              <w:t>2019</w:t>
            </w:r>
            <w:r w:rsidRPr="00015ADB">
              <w:rPr>
                <w:color w:val="000000"/>
                <w:szCs w:val="21"/>
              </w:rPr>
              <w:t>年</w:t>
            </w:r>
            <w:r w:rsidRPr="00015ADB">
              <w:rPr>
                <w:color w:val="000000"/>
                <w:szCs w:val="21"/>
              </w:rPr>
              <w:t>6</w:t>
            </w:r>
            <w:r w:rsidRPr="00015ADB">
              <w:rPr>
                <w:color w:val="000000"/>
                <w:szCs w:val="21"/>
              </w:rPr>
              <w:t>月</w:t>
            </w:r>
            <w:r w:rsidRPr="00015ADB">
              <w:rPr>
                <w:color w:val="000000"/>
                <w:szCs w:val="21"/>
              </w:rPr>
              <w:t>30</w:t>
            </w:r>
            <w:r w:rsidRPr="00015ADB">
              <w:rPr>
                <w:color w:val="000000"/>
                <w:szCs w:val="21"/>
              </w:rPr>
              <w:t>日</w:t>
            </w:r>
          </w:p>
        </w:tc>
      </w:tr>
      <w:tr w:rsidR="00711C4C" w:rsidRPr="00D749D4" w:rsidTr="00015ADB">
        <w:tc>
          <w:tcPr>
            <w:tcW w:w="1526" w:type="dxa"/>
            <w:vMerge/>
            <w:vAlign w:val="center"/>
          </w:tcPr>
          <w:p w:rsidR="00711C4C" w:rsidRPr="00015ADB" w:rsidRDefault="00711C4C" w:rsidP="00015ADB">
            <w:pPr>
              <w:jc w:val="left"/>
              <w:rPr>
                <w:kern w:val="0"/>
                <w:szCs w:val="21"/>
              </w:rPr>
            </w:pP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960"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r>
      <w:tr w:rsidR="00CF426B">
        <w:tc>
          <w:tcPr>
            <w:tcW w:w="1526" w:type="dxa"/>
            <w:vAlign w:val="center"/>
          </w:tcPr>
          <w:p w:rsidR="00CF426B" w:rsidRDefault="005F6DDD">
            <w:pPr>
              <w:jc w:val="left"/>
            </w:pPr>
            <w:r>
              <w:rPr>
                <w:szCs w:val="21"/>
              </w:rPr>
              <w:t>中国建设银行</w:t>
            </w:r>
            <w:r>
              <w:rPr>
                <w:szCs w:val="21"/>
              </w:rPr>
              <w:t>-</w:t>
            </w:r>
            <w:r>
              <w:rPr>
                <w:szCs w:val="21"/>
              </w:rPr>
              <w:t>活期存款</w:t>
            </w:r>
          </w:p>
        </w:tc>
        <w:tc>
          <w:tcPr>
            <w:tcW w:w="1851" w:type="dxa"/>
            <w:vAlign w:val="center"/>
          </w:tcPr>
          <w:p w:rsidR="00CF426B" w:rsidRDefault="005F6DDD">
            <w:pPr>
              <w:jc w:val="right"/>
            </w:pPr>
            <w:r>
              <w:rPr>
                <w:szCs w:val="21"/>
              </w:rPr>
              <w:t>28,644,278.44</w:t>
            </w:r>
          </w:p>
        </w:tc>
        <w:tc>
          <w:tcPr>
            <w:tcW w:w="1851" w:type="dxa"/>
            <w:vAlign w:val="center"/>
          </w:tcPr>
          <w:p w:rsidR="00CF426B" w:rsidRDefault="005F6DDD">
            <w:pPr>
              <w:jc w:val="right"/>
            </w:pPr>
            <w:r>
              <w:rPr>
                <w:szCs w:val="21"/>
              </w:rPr>
              <w:t>103,537.07</w:t>
            </w:r>
          </w:p>
        </w:tc>
        <w:tc>
          <w:tcPr>
            <w:tcW w:w="1851" w:type="dxa"/>
            <w:vAlign w:val="center"/>
          </w:tcPr>
          <w:p w:rsidR="00CF426B" w:rsidRDefault="005F6DDD">
            <w:pPr>
              <w:jc w:val="right"/>
            </w:pPr>
            <w:r>
              <w:rPr>
                <w:szCs w:val="21"/>
              </w:rPr>
              <w:t>7,162,658.76</w:t>
            </w:r>
          </w:p>
        </w:tc>
        <w:tc>
          <w:tcPr>
            <w:tcW w:w="1960" w:type="dxa"/>
            <w:vAlign w:val="center"/>
          </w:tcPr>
          <w:p w:rsidR="00CF426B" w:rsidRDefault="005F6DDD">
            <w:pPr>
              <w:jc w:val="right"/>
            </w:pPr>
            <w:r>
              <w:rPr>
                <w:szCs w:val="21"/>
              </w:rPr>
              <w:t>14,264.82</w:t>
            </w:r>
          </w:p>
        </w:tc>
      </w:tr>
      <w:tr w:rsidR="00CF426B">
        <w:tc>
          <w:tcPr>
            <w:tcW w:w="1526" w:type="dxa"/>
            <w:vAlign w:val="center"/>
          </w:tcPr>
          <w:p w:rsidR="00CF426B" w:rsidRDefault="005F6DDD">
            <w:pPr>
              <w:jc w:val="left"/>
            </w:pPr>
            <w:r>
              <w:rPr>
                <w:szCs w:val="21"/>
              </w:rPr>
              <w:t>道富银行</w:t>
            </w:r>
            <w:r>
              <w:rPr>
                <w:szCs w:val="21"/>
              </w:rPr>
              <w:t>-</w:t>
            </w:r>
            <w:r>
              <w:rPr>
                <w:szCs w:val="21"/>
              </w:rPr>
              <w:t>活期存款</w:t>
            </w:r>
          </w:p>
        </w:tc>
        <w:tc>
          <w:tcPr>
            <w:tcW w:w="1851" w:type="dxa"/>
            <w:vAlign w:val="center"/>
          </w:tcPr>
          <w:p w:rsidR="00CF426B" w:rsidRDefault="005F6DDD">
            <w:pPr>
              <w:jc w:val="right"/>
            </w:pPr>
            <w:r>
              <w:rPr>
                <w:szCs w:val="21"/>
              </w:rPr>
              <w:t>10,273,875.18</w:t>
            </w:r>
          </w:p>
        </w:tc>
        <w:tc>
          <w:tcPr>
            <w:tcW w:w="1851" w:type="dxa"/>
            <w:vAlign w:val="center"/>
          </w:tcPr>
          <w:p w:rsidR="00CF426B" w:rsidRDefault="005F6DDD">
            <w:pPr>
              <w:jc w:val="right"/>
            </w:pPr>
            <w:r>
              <w:rPr>
                <w:szCs w:val="21"/>
              </w:rPr>
              <w:t>2,472.91</w:t>
            </w:r>
          </w:p>
        </w:tc>
        <w:tc>
          <w:tcPr>
            <w:tcW w:w="1851" w:type="dxa"/>
            <w:vAlign w:val="center"/>
          </w:tcPr>
          <w:p w:rsidR="00CF426B" w:rsidRDefault="005F6DDD">
            <w:pPr>
              <w:jc w:val="right"/>
            </w:pPr>
            <w:r>
              <w:rPr>
                <w:szCs w:val="21"/>
              </w:rPr>
              <w:t>895,670.22</w:t>
            </w:r>
          </w:p>
        </w:tc>
        <w:tc>
          <w:tcPr>
            <w:tcW w:w="1960" w:type="dxa"/>
            <w:vAlign w:val="center"/>
          </w:tcPr>
          <w:p w:rsidR="00CF426B" w:rsidRDefault="005F6DDD">
            <w:pPr>
              <w:jc w:val="right"/>
            </w:pPr>
            <w:r>
              <w:rPr>
                <w:szCs w:val="21"/>
              </w:rPr>
              <w:t>3,331.87</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注：本基金的上述银行存款由基金托管人中国建设银行股份有限公司和道富银行保管，按银行同业利率或约定利率计息。</w:t>
      </w:r>
    </w:p>
    <w:p w:rsidR="00711C4C" w:rsidRPr="000A6557" w:rsidRDefault="00711C4C" w:rsidP="00DB1E0B">
      <w:pPr>
        <w:spacing w:line="360" w:lineRule="auto"/>
        <w:ind w:firstLineChars="197" w:firstLine="415"/>
        <w:rPr>
          <w:b/>
          <w:bCs/>
          <w:color w:val="000000"/>
          <w:szCs w:val="21"/>
        </w:rPr>
      </w:pPr>
      <w:r w:rsidRPr="000A6557">
        <w:rPr>
          <w:b/>
          <w:bCs/>
          <w:color w:val="000000"/>
          <w:kern w:val="0"/>
          <w:szCs w:val="21"/>
        </w:rPr>
        <w:t>6.4.10.6</w:t>
      </w:r>
      <w:r w:rsidRPr="000A6557">
        <w:rPr>
          <w:rFonts w:hint="eastAsia"/>
          <w:b/>
          <w:bCs/>
          <w:color w:val="000000"/>
          <w:szCs w:val="21"/>
        </w:rPr>
        <w:t>本基金在承销期内参与关联方承销证券的情况</w:t>
      </w:r>
    </w:p>
    <w:p w:rsidR="00711C4C" w:rsidRPr="00D749D4" w:rsidRDefault="00711C4C"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本基金本报告期及上年度可比期间未在承销期内参与关联方承销证券。</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 其他关联交易事项的说明</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w:t>
      </w:r>
      <w:r w:rsidRPr="00E17AF8">
        <w:rPr>
          <w:rFonts w:ascii="宋体" w:hint="eastAsia"/>
          <w:b/>
          <w:szCs w:val="21"/>
        </w:rPr>
        <w:t xml:space="preserve">.1 </w:t>
      </w:r>
      <w:r w:rsidRPr="00E17AF8">
        <w:rPr>
          <w:rFonts w:ascii="宋体"/>
          <w:b/>
          <w:szCs w:val="21"/>
        </w:rPr>
        <w:t>其他关联交易事项的说明</w:t>
      </w:r>
    </w:p>
    <w:p w:rsidR="00E17AF8" w:rsidRPr="00AB0FF3" w:rsidRDefault="00E17AF8" w:rsidP="00AB0FF3">
      <w:pPr>
        <w:tabs>
          <w:tab w:val="left" w:pos="426"/>
        </w:tabs>
        <w:spacing w:line="360" w:lineRule="auto"/>
        <w:ind w:firstLineChars="200" w:firstLine="420"/>
        <w:jc w:val="left"/>
        <w:rPr>
          <w:kern w:val="0"/>
          <w:szCs w:val="21"/>
        </w:rPr>
      </w:pPr>
      <w:r w:rsidRPr="00AB0FF3">
        <w:rPr>
          <w:kern w:val="0"/>
          <w:szCs w:val="21"/>
        </w:rPr>
        <w:t>无。</w:t>
      </w:r>
    </w:p>
    <w:p w:rsidR="00711C4C" w:rsidRPr="0087410D" w:rsidRDefault="00711C4C" w:rsidP="006B33E1">
      <w:pPr>
        <w:spacing w:line="360" w:lineRule="auto"/>
        <w:ind w:firstLineChars="197" w:firstLine="415"/>
        <w:rPr>
          <w:rFonts w:ascii="宋体"/>
          <w:b/>
          <w:szCs w:val="21"/>
        </w:rPr>
      </w:pPr>
      <w:r w:rsidRPr="0087410D">
        <w:rPr>
          <w:rFonts w:ascii="宋体" w:hAnsi="宋体"/>
          <w:b/>
          <w:szCs w:val="21"/>
        </w:rPr>
        <w:t>6.4.11</w:t>
      </w:r>
      <w:r w:rsidRPr="0087410D">
        <w:rPr>
          <w:rFonts w:ascii="宋体" w:hAnsi="宋体" w:hint="eastAsia"/>
          <w:b/>
          <w:szCs w:val="21"/>
        </w:rPr>
        <w:t>利润分配情况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本基金本报告期内未发生利润分配。</w:t>
      </w:r>
      <w:r w:rsidRPr="00D749D4">
        <w:rPr>
          <w:kern w:val="0"/>
          <w:szCs w:val="21"/>
        </w:rPr>
        <w:t xml:space="preserve"> </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w:t>
      </w:r>
      <w:r w:rsidRPr="0087410D">
        <w:rPr>
          <w:rFonts w:ascii="宋体" w:hAnsi="宋体" w:hint="eastAsia"/>
          <w:b/>
          <w:szCs w:val="21"/>
        </w:rPr>
        <w:t>期末（</w:t>
      </w:r>
      <w:r w:rsidRPr="0087410D">
        <w:rPr>
          <w:rFonts w:ascii="宋体" w:hAnsi="宋体"/>
          <w:b/>
          <w:szCs w:val="21"/>
        </w:rPr>
        <w:t>2020年6月30日</w:t>
      </w:r>
      <w:r w:rsidRPr="0087410D">
        <w:rPr>
          <w:rFonts w:ascii="宋体" w:hAnsi="宋体" w:hint="eastAsia"/>
          <w:b/>
          <w:szCs w:val="21"/>
        </w:rPr>
        <w:t>）本基金持有的流通受限证券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6.4.12.1</w:t>
      </w:r>
      <w:r w:rsidRPr="0087410D">
        <w:rPr>
          <w:rFonts w:ascii="宋体" w:hAnsi="宋体" w:hint="eastAsia"/>
          <w:b/>
          <w:szCs w:val="21"/>
        </w:rPr>
        <w:t>因认购新发</w:t>
      </w:r>
      <w:r w:rsidRPr="0087410D">
        <w:rPr>
          <w:rFonts w:ascii="宋体" w:hAnsi="宋体"/>
          <w:b/>
          <w:szCs w:val="21"/>
        </w:rPr>
        <w:t>/</w:t>
      </w:r>
      <w:r w:rsidRPr="0087410D">
        <w:rPr>
          <w:rFonts w:ascii="宋体" w:hAnsi="宋体" w:hint="eastAsia"/>
          <w:b/>
          <w:szCs w:val="21"/>
        </w:rPr>
        <w:t>增发证券而于期末持有的流通受限证券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本基金无因认购新发</w:t>
      </w:r>
      <w:r w:rsidRPr="00D749D4">
        <w:rPr>
          <w:kern w:val="0"/>
          <w:szCs w:val="21"/>
        </w:rPr>
        <w:t>/</w:t>
      </w:r>
      <w:r w:rsidRPr="00D749D4">
        <w:rPr>
          <w:kern w:val="0"/>
          <w:szCs w:val="21"/>
        </w:rPr>
        <w:t>增发证券而于期末持有的流通受限证券。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6.4.12.2</w:t>
      </w:r>
      <w:r w:rsidRPr="0087410D">
        <w:rPr>
          <w:rFonts w:ascii="宋体" w:hAnsi="宋体" w:hint="eastAsia"/>
          <w:b/>
          <w:szCs w:val="21"/>
        </w:rPr>
        <w:t>期末持有的暂时停牌等流通受限股票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本基金本报告期末未持有暂时停牌等流通受限股票。</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6.4.12.3</w:t>
      </w:r>
      <w:r w:rsidRPr="0087410D">
        <w:rPr>
          <w:rFonts w:ascii="宋体" w:hAnsi="宋体" w:hint="eastAsia"/>
          <w:b/>
          <w:szCs w:val="21"/>
        </w:rPr>
        <w:t>期末债券正回购交易中作为抵押的债券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6.4.12.3.1</w:t>
      </w:r>
      <w:r w:rsidRPr="0087410D">
        <w:rPr>
          <w:rFonts w:ascii="宋体" w:hAnsi="宋体" w:hint="eastAsia"/>
          <w:b/>
          <w:szCs w:val="21"/>
        </w:rPr>
        <w:t>银行间市场债券正回购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日止，本基金从事银行间市场债券正回购交易形成的卖出回购证券款余额为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6.4.12.3.2</w:t>
      </w:r>
      <w:r w:rsidRPr="0087410D">
        <w:rPr>
          <w:rFonts w:ascii="宋体" w:hAnsi="宋体" w:hint="eastAsia"/>
          <w:b/>
          <w:szCs w:val="21"/>
        </w:rPr>
        <w:t>交易所市场债券正回购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日止，本基金从事证券交易所债券正回购交易形成的卖出回购证券款余额为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w:t>
      </w:r>
      <w:r w:rsidRPr="0087410D">
        <w:rPr>
          <w:rFonts w:ascii="宋体" w:hAnsi="宋体" w:hint="eastAsia"/>
          <w:b/>
          <w:szCs w:val="21"/>
        </w:rPr>
        <w:t>金融工具风险及管理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6.4.13.1</w:t>
      </w:r>
      <w:r w:rsidRPr="0087410D">
        <w:rPr>
          <w:rFonts w:ascii="宋体" w:hAnsi="宋体" w:hint="eastAsia"/>
          <w:b/>
          <w:szCs w:val="21"/>
        </w:rPr>
        <w:t>风险管理政策和组织架构</w:t>
      </w:r>
    </w:p>
    <w:p w:rsidR="00CF426B" w:rsidRDefault="005F6DDD">
      <w:pPr>
        <w:tabs>
          <w:tab w:val="left" w:pos="426"/>
        </w:tabs>
        <w:spacing w:line="360" w:lineRule="auto"/>
        <w:ind w:firstLineChars="200" w:firstLine="420"/>
        <w:jc w:val="left"/>
        <w:rPr>
          <w:kern w:val="0"/>
          <w:szCs w:val="21"/>
        </w:rPr>
      </w:pPr>
      <w:r>
        <w:rPr>
          <w:kern w:val="0"/>
          <w:szCs w:val="21"/>
        </w:rPr>
        <w:lastRenderedPageBreak/>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CF426B" w:rsidRDefault="005F6DDD">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本基金属股票指数基金，预期风险与收益水平高于混合基金、债券基金与货币市场基金。本基金主要采用完全复制法跟踪纳斯达克</w:t>
      </w:r>
      <w:r w:rsidRPr="00D749D4">
        <w:rPr>
          <w:kern w:val="0"/>
          <w:szCs w:val="21"/>
        </w:rPr>
        <w:t>100</w:t>
      </w:r>
      <w:r w:rsidRPr="00D749D4">
        <w:rPr>
          <w:kern w:val="0"/>
          <w:szCs w:val="21"/>
        </w:rPr>
        <w:t>指数的表现，具有与标的指数相似的风险收益特征。本基金主要投资境外市场上市的企业，需承担汇率风险以及境外市场的风险。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6.4.13.2</w:t>
      </w:r>
      <w:r w:rsidRPr="0087410D">
        <w:rPr>
          <w:rFonts w:ascii="宋体" w:hAnsi="宋体" w:hint="eastAsia"/>
          <w:b/>
          <w:szCs w:val="21"/>
        </w:rPr>
        <w:t>信用风险</w:t>
      </w:r>
    </w:p>
    <w:p w:rsidR="00CF426B" w:rsidRDefault="005F6DDD">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891933" w:rsidRDefault="00711C4C" w:rsidP="00891933">
      <w:pPr>
        <w:tabs>
          <w:tab w:val="left" w:pos="426"/>
        </w:tabs>
        <w:spacing w:line="360" w:lineRule="auto"/>
        <w:ind w:firstLineChars="200" w:firstLine="420"/>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日，本基金持有的除国债、央行票据和政策性金融债以外的债券占基金资产净值的比例为</w:t>
      </w:r>
      <w:r w:rsidRPr="00D749D4">
        <w:rPr>
          <w:kern w:val="0"/>
          <w:szCs w:val="21"/>
        </w:rPr>
        <w:t>0.00%(2019</w:t>
      </w:r>
      <w:r w:rsidRPr="00D749D4">
        <w:rPr>
          <w:kern w:val="0"/>
          <w:szCs w:val="21"/>
        </w:rPr>
        <w:t>年</w:t>
      </w:r>
      <w:r w:rsidRPr="00D749D4">
        <w:rPr>
          <w:kern w:val="0"/>
          <w:szCs w:val="21"/>
        </w:rPr>
        <w:t>12</w:t>
      </w:r>
      <w:r w:rsidRPr="00D749D4">
        <w:rPr>
          <w:kern w:val="0"/>
          <w:szCs w:val="21"/>
        </w:rPr>
        <w:t>月</w:t>
      </w:r>
      <w:r w:rsidRPr="00D749D4">
        <w:rPr>
          <w:kern w:val="0"/>
          <w:szCs w:val="21"/>
        </w:rPr>
        <w:t>31</w:t>
      </w:r>
      <w:r w:rsidRPr="00D749D4">
        <w:rPr>
          <w:kern w:val="0"/>
          <w:szCs w:val="21"/>
        </w:rPr>
        <w:t>日：</w:t>
      </w:r>
      <w:r w:rsidRPr="00D749D4">
        <w:rPr>
          <w:kern w:val="0"/>
          <w:szCs w:val="21"/>
        </w:rPr>
        <w:t>0.00%)</w:t>
      </w:r>
      <w:r w:rsidRPr="00D749D4">
        <w:rPr>
          <w:kern w:val="0"/>
          <w:szCs w:val="21"/>
        </w:rPr>
        <w:t>。</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6.4.13.2.1 按短期信用评级列示的债券投资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891933" w:rsidTr="00C33B4C">
        <w:trPr>
          <w:jc w:val="center"/>
        </w:trPr>
        <w:tc>
          <w:tcPr>
            <w:tcW w:w="2552" w:type="dxa"/>
            <w:vAlign w:val="center"/>
            <w:hideMark/>
          </w:tcPr>
          <w:p w:rsidR="00891933" w:rsidRDefault="00891933">
            <w:pPr>
              <w:jc w:val="center"/>
              <w:rPr>
                <w:szCs w:val="21"/>
              </w:rPr>
            </w:pPr>
            <w:r>
              <w:rPr>
                <w:rFonts w:hint="eastAsia"/>
                <w:szCs w:val="21"/>
              </w:rPr>
              <w:t>短期信用评级</w:t>
            </w:r>
          </w:p>
        </w:tc>
        <w:tc>
          <w:tcPr>
            <w:tcW w:w="3045"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rPr>
          <w:jc w:val="center"/>
        </w:trPr>
        <w:tc>
          <w:tcPr>
            <w:tcW w:w="2552" w:type="dxa"/>
            <w:vAlign w:val="center"/>
            <w:hideMark/>
          </w:tcPr>
          <w:p w:rsidR="00891933" w:rsidRDefault="00891933">
            <w:pPr>
              <w:rPr>
                <w:szCs w:val="21"/>
              </w:rPr>
            </w:pPr>
            <w:r>
              <w:rPr>
                <w:szCs w:val="21"/>
              </w:rPr>
              <w:t>A-1</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szCs w:val="21"/>
              </w:rPr>
              <w:t>A-1</w:t>
            </w:r>
            <w:r>
              <w:rPr>
                <w:rFonts w:hint="eastAsia"/>
                <w:szCs w:val="21"/>
              </w:rPr>
              <w:t>以下</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未评级</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合计</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bl>
    <w:p w:rsidR="00CF426B" w:rsidRDefault="005F6DD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CF426B" w:rsidRDefault="005F6DD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6.4.13.2.2 按短期信用评级列示的资产支持证券投资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891933" w:rsidTr="00C33B4C">
        <w:trPr>
          <w:jc w:val="center"/>
        </w:trPr>
        <w:tc>
          <w:tcPr>
            <w:tcW w:w="2552"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3049"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lastRenderedPageBreak/>
              <w:t>A-1</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6.4.13.2.3 按短期信用评级列示的同业存单投资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6.4.13.2.4 按长期信用评级列示的债券投资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891933" w:rsidTr="00C33B4C">
        <w:tc>
          <w:tcPr>
            <w:tcW w:w="2655" w:type="dxa"/>
            <w:vAlign w:val="center"/>
            <w:hideMark/>
          </w:tcPr>
          <w:p w:rsidR="00891933" w:rsidRDefault="00891933">
            <w:pPr>
              <w:jc w:val="center"/>
              <w:rPr>
                <w:szCs w:val="21"/>
              </w:rPr>
            </w:pPr>
            <w:r>
              <w:rPr>
                <w:rFonts w:hint="eastAsia"/>
                <w:szCs w:val="21"/>
              </w:rPr>
              <w:t>长期信用评级</w:t>
            </w:r>
          </w:p>
        </w:tc>
        <w:tc>
          <w:tcPr>
            <w:tcW w:w="2977"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c>
          <w:tcPr>
            <w:tcW w:w="2655" w:type="dxa"/>
            <w:vAlign w:val="center"/>
            <w:hideMark/>
          </w:tcPr>
          <w:p w:rsidR="00891933" w:rsidRDefault="00891933">
            <w:pPr>
              <w:rPr>
                <w:szCs w:val="21"/>
              </w:rPr>
            </w:pPr>
            <w:r>
              <w:rPr>
                <w:szCs w:val="21"/>
              </w:rPr>
              <w:t>AAA</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szCs w:val="21"/>
              </w:rPr>
              <w:t>AAA</w:t>
            </w:r>
            <w:r>
              <w:rPr>
                <w:rFonts w:hint="eastAsia"/>
                <w:szCs w:val="21"/>
              </w:rPr>
              <w:t>以下</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rFonts w:hint="eastAsia"/>
                <w:kern w:val="0"/>
                <w:szCs w:val="21"/>
              </w:rPr>
              <w:t>未评级</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kern w:val="0"/>
                <w:szCs w:val="21"/>
              </w:rPr>
            </w:pPr>
            <w:r>
              <w:rPr>
                <w:rFonts w:hint="eastAsia"/>
                <w:kern w:val="0"/>
                <w:szCs w:val="21"/>
              </w:rPr>
              <w:t>合计</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bl>
    <w:p w:rsidR="00CF426B" w:rsidRDefault="005F6DD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CF426B" w:rsidRDefault="005F6DD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6.4.13.2.5 按长期信用评级列示的资产支持证券投资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6.4.13.2.6按长期信用评级列示的同业存单投资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711C4C" w:rsidRPr="00D749D4" w:rsidRDefault="00711C4C" w:rsidP="00891933">
      <w:pPr>
        <w:tabs>
          <w:tab w:val="left" w:pos="426"/>
        </w:tabs>
        <w:spacing w:line="360" w:lineRule="auto"/>
        <w:ind w:firstLineChars="200" w:firstLine="422"/>
        <w:jc w:val="left"/>
        <w:rPr>
          <w:b/>
          <w:bCs/>
          <w:color w:val="000000"/>
          <w:szCs w:val="21"/>
        </w:rPr>
      </w:pPr>
      <w:r w:rsidRPr="0087410D">
        <w:rPr>
          <w:rFonts w:ascii="宋体" w:hAnsi="宋体"/>
          <w:b/>
          <w:szCs w:val="21"/>
        </w:rPr>
        <w:t>6.4.13.3</w:t>
      </w:r>
      <w:r w:rsidRPr="0087410D">
        <w:rPr>
          <w:rFonts w:ascii="宋体" w:hAnsi="宋体" w:hint="eastAsia"/>
          <w:b/>
          <w:szCs w:val="21"/>
        </w:rPr>
        <w:t>流动性风险</w:t>
      </w:r>
    </w:p>
    <w:p w:rsidR="00CF426B" w:rsidRDefault="005F6DDD">
      <w:pPr>
        <w:tabs>
          <w:tab w:val="left" w:pos="426"/>
        </w:tabs>
        <w:spacing w:line="360" w:lineRule="auto"/>
        <w:ind w:firstLineChars="200" w:firstLine="420"/>
        <w:jc w:val="left"/>
        <w:rPr>
          <w:kern w:val="0"/>
          <w:szCs w:val="21"/>
        </w:rPr>
      </w:pPr>
      <w:r>
        <w:rPr>
          <w:kern w:val="0"/>
          <w:szCs w:val="21"/>
        </w:rPr>
        <w:lastRenderedPageBreak/>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日，除卖出回购金融资产款余额</w:t>
      </w:r>
      <w:r w:rsidRPr="00D749D4">
        <w:rPr>
          <w:kern w:val="0"/>
          <w:szCs w:val="21"/>
        </w:rPr>
        <w:t>(</w:t>
      </w:r>
      <w:r w:rsidRPr="00D749D4">
        <w:rPr>
          <w:kern w:val="0"/>
          <w:szCs w:val="21"/>
        </w:rPr>
        <w:t>计息但该利息金额不重大</w:t>
      </w:r>
      <w:r w:rsidRPr="00D749D4">
        <w:rPr>
          <w:kern w:val="0"/>
          <w:szCs w:val="21"/>
        </w:rPr>
        <w:t>)</w:t>
      </w:r>
      <w:r w:rsidRPr="00D749D4">
        <w:rPr>
          <w:kern w:val="0"/>
          <w:szCs w:val="21"/>
        </w:rPr>
        <w:t>以外，本基金承担的其他金融负债的合约约定到期日均为一年以内且不计息，可赎回基金份额净值</w:t>
      </w:r>
      <w:r w:rsidRPr="00D749D4">
        <w:rPr>
          <w:kern w:val="0"/>
          <w:szCs w:val="21"/>
        </w:rPr>
        <w:t>(</w:t>
      </w:r>
      <w:r w:rsidRPr="00D749D4">
        <w:rPr>
          <w:kern w:val="0"/>
          <w:szCs w:val="21"/>
        </w:rPr>
        <w:t>所有者权益</w:t>
      </w:r>
      <w:r w:rsidRPr="00D749D4">
        <w:rPr>
          <w:kern w:val="0"/>
          <w:szCs w:val="21"/>
        </w:rPr>
        <w:t>)</w:t>
      </w:r>
      <w:r w:rsidRPr="00D749D4">
        <w:rPr>
          <w:kern w:val="0"/>
          <w:szCs w:val="21"/>
        </w:rPr>
        <w:t>无固定到期日且不计息，因此账面余额约为未折现的合约到期现金流量。</w:t>
      </w:r>
    </w:p>
    <w:p w:rsidR="00EB43CB" w:rsidRPr="00EB43CB" w:rsidRDefault="00EB43CB" w:rsidP="00EB43CB">
      <w:pPr>
        <w:spacing w:line="360" w:lineRule="auto"/>
        <w:ind w:firstLineChars="197" w:firstLine="415"/>
        <w:rPr>
          <w:rFonts w:ascii="宋体"/>
          <w:b/>
          <w:szCs w:val="21"/>
        </w:rPr>
      </w:pPr>
      <w:r w:rsidRPr="00EB43CB">
        <w:rPr>
          <w:rFonts w:ascii="宋体"/>
          <w:b/>
          <w:szCs w:val="21"/>
        </w:rPr>
        <w:t>6.4.13.3</w:t>
      </w:r>
      <w:r w:rsidRPr="00EB43CB">
        <w:rPr>
          <w:rFonts w:ascii="宋体" w:hint="eastAsia"/>
          <w:b/>
          <w:szCs w:val="21"/>
        </w:rPr>
        <w:t>.1</w:t>
      </w:r>
      <w:r w:rsidRPr="00EB43CB">
        <w:rPr>
          <w:rFonts w:ascii="宋体"/>
          <w:b/>
          <w:szCs w:val="21"/>
        </w:rPr>
        <w:t xml:space="preserve"> </w:t>
      </w:r>
      <w:r w:rsidRPr="00EB43CB">
        <w:rPr>
          <w:rFonts w:ascii="宋体" w:hint="eastAsia"/>
          <w:b/>
          <w:szCs w:val="21"/>
        </w:rPr>
        <w:t>报告期内本基金组合资产的流动性风险分析</w:t>
      </w:r>
    </w:p>
    <w:p w:rsidR="00CF426B" w:rsidRDefault="005F6DDD">
      <w:pPr>
        <w:tabs>
          <w:tab w:val="left" w:pos="426"/>
        </w:tabs>
        <w:spacing w:line="360" w:lineRule="auto"/>
        <w:ind w:firstLineChars="200" w:firstLine="420"/>
        <w:jc w:val="left"/>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EB43CB" w:rsidRPr="00D749D4" w:rsidRDefault="00EB43CB" w:rsidP="00AB0FF3">
      <w:pPr>
        <w:tabs>
          <w:tab w:val="left" w:pos="426"/>
        </w:tabs>
        <w:spacing w:line="360" w:lineRule="auto"/>
        <w:ind w:firstLineChars="200" w:firstLine="420"/>
        <w:jc w:val="left"/>
        <w:rPr>
          <w:kern w:val="0"/>
          <w:szCs w:val="21"/>
        </w:rPr>
      </w:pPr>
      <w:r w:rsidRPr="00AB0FF3">
        <w:rPr>
          <w:kern w:val="0"/>
          <w:szCs w:val="21"/>
        </w:rPr>
        <w:t>本基金的投资范围为具有良好流动性的金融工具，所持大部分证券在流动性良好的证券交易所或者银行间同业市场交易，期末除本报告</w:t>
      </w:r>
      <w:r w:rsidRPr="00AB0FF3">
        <w:rPr>
          <w:kern w:val="0"/>
          <w:szCs w:val="21"/>
        </w:rPr>
        <w:t>“</w:t>
      </w:r>
      <w:r w:rsidRPr="00AB0FF3">
        <w:rPr>
          <w:kern w:val="0"/>
          <w:szCs w:val="21"/>
        </w:rPr>
        <w:t>期末本基金持有的流通受限证券</w:t>
      </w:r>
      <w:r w:rsidRPr="00AB0FF3">
        <w:rPr>
          <w:kern w:val="0"/>
          <w:szCs w:val="21"/>
        </w:rPr>
        <w:t>”</w:t>
      </w:r>
      <w:r w:rsidRPr="00AB0FF3">
        <w:rPr>
          <w:kern w:val="0"/>
          <w:szCs w:val="21"/>
        </w:rPr>
        <w:t>章节中所列示券种流通暂时受限制不能自由转让外，其余均能及时变现。评估结果显示组合高流动性资产比重较高，组合变现比例能力较好。</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w:t>
      </w:r>
      <w:r w:rsidRPr="0087410D">
        <w:rPr>
          <w:rFonts w:ascii="宋体" w:hAnsi="宋体" w:hint="eastAsia"/>
          <w:b/>
          <w:szCs w:val="21"/>
        </w:rPr>
        <w:t>市场风险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市场风险是指基金所持金融工具的公允价值或未来现金流量因所处市场各类价格因素的变动而发生波动的风险，包括利率风险、外汇风险和其他价格风险。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w:t>
      </w:r>
      <w:r w:rsidRPr="0087410D">
        <w:rPr>
          <w:rFonts w:ascii="宋体" w:hAnsi="宋体" w:hint="eastAsia"/>
          <w:b/>
          <w:szCs w:val="21"/>
        </w:rPr>
        <w:t>利率风险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利率风险是指基金的财务状况和现金流量受市场利率变动而发生波动的风险。投资管理人通过久期、凸度、</w:t>
      </w:r>
      <w:r w:rsidRPr="00D749D4">
        <w:rPr>
          <w:kern w:val="0"/>
          <w:szCs w:val="21"/>
        </w:rPr>
        <w:t>VAR</w:t>
      </w:r>
      <w:r w:rsidRPr="00D749D4">
        <w:rPr>
          <w:kern w:val="0"/>
          <w:szCs w:val="21"/>
        </w:rPr>
        <w:t>等方法评估组合面临的利率风险敞口，并通过调整投资组合的久期等方法对上述利率风险进行管理。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6.4.13.4.1.1</w:t>
      </w:r>
      <w:r w:rsidRPr="0087410D">
        <w:rPr>
          <w:rFonts w:ascii="宋体" w:hAnsi="宋体" w:hint="eastAsia"/>
          <w:b/>
          <w:szCs w:val="21"/>
        </w:rPr>
        <w:t>利率风险敞口</w:t>
      </w:r>
    </w:p>
    <w:p w:rsidR="00711C4C" w:rsidRPr="00D749D4" w:rsidRDefault="00711C4C" w:rsidP="00A10C6C">
      <w:pPr>
        <w:autoSpaceDE w:val="0"/>
        <w:autoSpaceDN w:val="0"/>
        <w:adjustRightInd w:val="0"/>
        <w:spacing w:before="29" w:line="360" w:lineRule="auto"/>
        <w:ind w:left="15"/>
        <w:jc w:val="right"/>
        <w:rPr>
          <w:color w:val="000000"/>
          <w:szCs w:val="21"/>
        </w:rPr>
      </w:pPr>
      <w:r w:rsidRPr="00D749D4">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本期末</w:t>
            </w:r>
          </w:p>
          <w:p w:rsidR="00711C4C" w:rsidRPr="00D749D4" w:rsidRDefault="00711C4C" w:rsidP="00AB2FD1">
            <w:pPr>
              <w:spacing w:line="360" w:lineRule="auto"/>
              <w:jc w:val="center"/>
              <w:rPr>
                <w:b/>
                <w:szCs w:val="21"/>
              </w:rPr>
            </w:pPr>
            <w:r w:rsidRPr="00D749D4">
              <w:rPr>
                <w:b/>
                <w:color w:val="000000"/>
                <w:szCs w:val="21"/>
              </w:rPr>
              <w:t>2020</w:t>
            </w:r>
            <w:r w:rsidRPr="00D749D4">
              <w:rPr>
                <w:b/>
                <w:color w:val="000000"/>
                <w:szCs w:val="21"/>
              </w:rPr>
              <w:t>年</w:t>
            </w:r>
            <w:r w:rsidRPr="00D749D4">
              <w:rPr>
                <w:b/>
                <w:color w:val="000000"/>
                <w:szCs w:val="21"/>
              </w:rPr>
              <w:t>6</w:t>
            </w:r>
            <w:r w:rsidRPr="00D749D4">
              <w:rPr>
                <w:b/>
                <w:color w:val="000000"/>
                <w:szCs w:val="21"/>
              </w:rPr>
              <w:t>月</w:t>
            </w:r>
            <w:r w:rsidRPr="00D749D4">
              <w:rPr>
                <w:b/>
                <w:color w:val="000000"/>
                <w:szCs w:val="21"/>
              </w:rPr>
              <w:t>30</w:t>
            </w:r>
            <w:r w:rsidRPr="00D749D4">
              <w:rPr>
                <w:b/>
                <w:color w:val="000000"/>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CF426B">
        <w:trPr>
          <w:jc w:val="center"/>
        </w:trPr>
        <w:tc>
          <w:tcPr>
            <w:tcW w:w="1588" w:type="dxa"/>
            <w:vAlign w:val="center"/>
          </w:tcPr>
          <w:p w:rsidR="00CF426B" w:rsidRDefault="005F6DDD">
            <w:pPr>
              <w:jc w:val="center"/>
            </w:pPr>
            <w:r>
              <w:rPr>
                <w:color w:val="000000"/>
                <w:szCs w:val="21"/>
              </w:rPr>
              <w:t>银行存款</w:t>
            </w:r>
          </w:p>
        </w:tc>
        <w:tc>
          <w:tcPr>
            <w:tcW w:w="1701" w:type="dxa"/>
            <w:vAlign w:val="center"/>
          </w:tcPr>
          <w:p w:rsidR="00CF426B" w:rsidRDefault="005F6DDD">
            <w:pPr>
              <w:jc w:val="right"/>
            </w:pPr>
            <w:r>
              <w:rPr>
                <w:color w:val="000000"/>
                <w:szCs w:val="21"/>
              </w:rPr>
              <w:t>38,918,153.62</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38,918,153.62</w:t>
            </w:r>
          </w:p>
        </w:tc>
      </w:tr>
      <w:tr w:rsidR="00CF426B">
        <w:trPr>
          <w:jc w:val="center"/>
        </w:trPr>
        <w:tc>
          <w:tcPr>
            <w:tcW w:w="1588" w:type="dxa"/>
            <w:vAlign w:val="center"/>
          </w:tcPr>
          <w:p w:rsidR="00CF426B" w:rsidRDefault="005F6DDD">
            <w:pPr>
              <w:jc w:val="center"/>
            </w:pPr>
            <w:r>
              <w:rPr>
                <w:color w:val="000000"/>
                <w:szCs w:val="21"/>
              </w:rPr>
              <w:t>结算备付金</w:t>
            </w:r>
          </w:p>
        </w:tc>
        <w:tc>
          <w:tcPr>
            <w:tcW w:w="1701" w:type="dxa"/>
            <w:vAlign w:val="center"/>
          </w:tcPr>
          <w:p w:rsidR="00CF426B" w:rsidRDefault="005F6DDD">
            <w:pPr>
              <w:jc w:val="right"/>
            </w:pPr>
            <w:r>
              <w:rPr>
                <w:color w:val="000000"/>
                <w:szCs w:val="21"/>
              </w:rPr>
              <w:t>12,646,389.29</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12,646,389.29</w:t>
            </w:r>
          </w:p>
        </w:tc>
      </w:tr>
      <w:tr w:rsidR="00CF426B">
        <w:trPr>
          <w:jc w:val="center"/>
        </w:trPr>
        <w:tc>
          <w:tcPr>
            <w:tcW w:w="1588" w:type="dxa"/>
            <w:vAlign w:val="center"/>
          </w:tcPr>
          <w:p w:rsidR="00CF426B" w:rsidRDefault="005F6DDD">
            <w:pPr>
              <w:jc w:val="center"/>
            </w:pPr>
            <w:r>
              <w:rPr>
                <w:color w:val="000000"/>
                <w:szCs w:val="21"/>
              </w:rPr>
              <w:t>存出保证金</w:t>
            </w:r>
          </w:p>
        </w:tc>
        <w:tc>
          <w:tcPr>
            <w:tcW w:w="1701" w:type="dxa"/>
            <w:vAlign w:val="center"/>
          </w:tcPr>
          <w:p w:rsidR="00CF426B" w:rsidRDefault="005F6DDD">
            <w:pPr>
              <w:jc w:val="right"/>
            </w:pPr>
            <w:r>
              <w:rPr>
                <w:color w:val="000000"/>
                <w:szCs w:val="21"/>
              </w:rPr>
              <w:t>280,348.20</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280,348.20</w:t>
            </w:r>
          </w:p>
        </w:tc>
      </w:tr>
      <w:tr w:rsidR="00CF426B">
        <w:trPr>
          <w:jc w:val="center"/>
        </w:trPr>
        <w:tc>
          <w:tcPr>
            <w:tcW w:w="1588" w:type="dxa"/>
            <w:vAlign w:val="center"/>
          </w:tcPr>
          <w:p w:rsidR="00CF426B" w:rsidRDefault="005F6DDD">
            <w:pPr>
              <w:jc w:val="center"/>
            </w:pPr>
            <w:r>
              <w:rPr>
                <w:color w:val="000000"/>
                <w:szCs w:val="21"/>
              </w:rPr>
              <w:t>交易性金融资产</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588,488,753.30</w:t>
            </w:r>
          </w:p>
        </w:tc>
        <w:tc>
          <w:tcPr>
            <w:tcW w:w="1301" w:type="dxa"/>
            <w:vAlign w:val="center"/>
          </w:tcPr>
          <w:p w:rsidR="00CF426B" w:rsidRDefault="005F6DDD">
            <w:pPr>
              <w:jc w:val="right"/>
            </w:pPr>
            <w:r>
              <w:rPr>
                <w:color w:val="000000"/>
                <w:szCs w:val="21"/>
              </w:rPr>
              <w:t>588,488,753.30</w:t>
            </w:r>
          </w:p>
        </w:tc>
      </w:tr>
      <w:tr w:rsidR="00CF426B">
        <w:trPr>
          <w:jc w:val="center"/>
        </w:trPr>
        <w:tc>
          <w:tcPr>
            <w:tcW w:w="1588" w:type="dxa"/>
            <w:vAlign w:val="center"/>
          </w:tcPr>
          <w:p w:rsidR="00CF426B" w:rsidRDefault="005F6DDD">
            <w:pPr>
              <w:jc w:val="center"/>
            </w:pPr>
            <w:r>
              <w:rPr>
                <w:color w:val="000000"/>
                <w:szCs w:val="21"/>
              </w:rPr>
              <w:t>衍生金融资产</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买入返售金融资产</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应收证券清算款</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10,804,373.69</w:t>
            </w:r>
          </w:p>
        </w:tc>
        <w:tc>
          <w:tcPr>
            <w:tcW w:w="1301" w:type="dxa"/>
            <w:vAlign w:val="center"/>
          </w:tcPr>
          <w:p w:rsidR="00CF426B" w:rsidRDefault="005F6DDD">
            <w:pPr>
              <w:jc w:val="right"/>
            </w:pPr>
            <w:r>
              <w:rPr>
                <w:color w:val="000000"/>
                <w:szCs w:val="21"/>
              </w:rPr>
              <w:t>10,804,373.69</w:t>
            </w:r>
          </w:p>
        </w:tc>
      </w:tr>
      <w:tr w:rsidR="00CF426B">
        <w:trPr>
          <w:jc w:val="center"/>
        </w:trPr>
        <w:tc>
          <w:tcPr>
            <w:tcW w:w="1588" w:type="dxa"/>
            <w:vAlign w:val="center"/>
          </w:tcPr>
          <w:p w:rsidR="00CF426B" w:rsidRDefault="005F6DDD">
            <w:pPr>
              <w:jc w:val="center"/>
            </w:pPr>
            <w:r>
              <w:rPr>
                <w:color w:val="000000"/>
                <w:szCs w:val="21"/>
              </w:rPr>
              <w:t>应收利息</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3,307.75</w:t>
            </w:r>
          </w:p>
        </w:tc>
        <w:tc>
          <w:tcPr>
            <w:tcW w:w="1301" w:type="dxa"/>
            <w:vAlign w:val="center"/>
          </w:tcPr>
          <w:p w:rsidR="00CF426B" w:rsidRDefault="005F6DDD">
            <w:pPr>
              <w:jc w:val="right"/>
            </w:pPr>
            <w:r>
              <w:rPr>
                <w:color w:val="000000"/>
                <w:szCs w:val="21"/>
              </w:rPr>
              <w:t>3,307.75</w:t>
            </w:r>
          </w:p>
        </w:tc>
      </w:tr>
      <w:tr w:rsidR="00CF426B">
        <w:trPr>
          <w:jc w:val="center"/>
        </w:trPr>
        <w:tc>
          <w:tcPr>
            <w:tcW w:w="1588" w:type="dxa"/>
            <w:vAlign w:val="center"/>
          </w:tcPr>
          <w:p w:rsidR="00CF426B" w:rsidRDefault="005F6DDD">
            <w:pPr>
              <w:jc w:val="center"/>
            </w:pPr>
            <w:r>
              <w:rPr>
                <w:color w:val="000000"/>
                <w:szCs w:val="21"/>
              </w:rPr>
              <w:t>应收股利</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126,149.55</w:t>
            </w:r>
          </w:p>
        </w:tc>
        <w:tc>
          <w:tcPr>
            <w:tcW w:w="1301" w:type="dxa"/>
            <w:vAlign w:val="center"/>
          </w:tcPr>
          <w:p w:rsidR="00CF426B" w:rsidRDefault="005F6DDD">
            <w:pPr>
              <w:jc w:val="right"/>
            </w:pPr>
            <w:r>
              <w:rPr>
                <w:color w:val="000000"/>
                <w:szCs w:val="21"/>
              </w:rPr>
              <w:t>126,149.55</w:t>
            </w:r>
          </w:p>
        </w:tc>
      </w:tr>
      <w:tr w:rsidR="00CF426B">
        <w:trPr>
          <w:jc w:val="center"/>
        </w:trPr>
        <w:tc>
          <w:tcPr>
            <w:tcW w:w="1588" w:type="dxa"/>
            <w:vAlign w:val="center"/>
          </w:tcPr>
          <w:p w:rsidR="00CF426B" w:rsidRDefault="005F6DDD">
            <w:pPr>
              <w:jc w:val="center"/>
            </w:pPr>
            <w:r>
              <w:rPr>
                <w:color w:val="000000"/>
                <w:szCs w:val="21"/>
              </w:rPr>
              <w:t>应收申购款</w:t>
            </w:r>
          </w:p>
        </w:tc>
        <w:tc>
          <w:tcPr>
            <w:tcW w:w="1701" w:type="dxa"/>
            <w:vAlign w:val="center"/>
          </w:tcPr>
          <w:p w:rsidR="00CF426B" w:rsidRDefault="005F6DDD">
            <w:pPr>
              <w:jc w:val="right"/>
            </w:pPr>
            <w:r>
              <w:rPr>
                <w:color w:val="000000"/>
                <w:szCs w:val="21"/>
              </w:rPr>
              <w:t>434,430.16</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4,002,738.25</w:t>
            </w:r>
          </w:p>
        </w:tc>
        <w:tc>
          <w:tcPr>
            <w:tcW w:w="1301" w:type="dxa"/>
            <w:vAlign w:val="center"/>
          </w:tcPr>
          <w:p w:rsidR="00CF426B" w:rsidRDefault="005F6DDD">
            <w:pPr>
              <w:jc w:val="right"/>
            </w:pPr>
            <w:r>
              <w:rPr>
                <w:color w:val="000000"/>
                <w:szCs w:val="21"/>
              </w:rPr>
              <w:t>4,437,168.41</w:t>
            </w:r>
          </w:p>
        </w:tc>
      </w:tr>
      <w:tr w:rsidR="00CF426B">
        <w:trPr>
          <w:jc w:val="center"/>
        </w:trPr>
        <w:tc>
          <w:tcPr>
            <w:tcW w:w="1588" w:type="dxa"/>
            <w:vAlign w:val="center"/>
          </w:tcPr>
          <w:p w:rsidR="00CF426B" w:rsidRDefault="005F6DDD">
            <w:pPr>
              <w:jc w:val="center"/>
            </w:pPr>
            <w:r>
              <w:rPr>
                <w:color w:val="000000"/>
                <w:szCs w:val="21"/>
              </w:rPr>
              <w:t>递延所得税资产</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其他资产</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autoSpaceDE w:val="0"/>
              <w:autoSpaceDN w:val="0"/>
              <w:adjustRightInd w:val="0"/>
              <w:spacing w:before="29"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52,279,321.27</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603,425,322.54</w:t>
            </w:r>
          </w:p>
        </w:tc>
        <w:tc>
          <w:tcPr>
            <w:tcW w:w="13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655,704,643.81</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CF426B">
        <w:trPr>
          <w:jc w:val="center"/>
        </w:trPr>
        <w:tc>
          <w:tcPr>
            <w:tcW w:w="1588" w:type="dxa"/>
            <w:vAlign w:val="center"/>
          </w:tcPr>
          <w:p w:rsidR="00CF426B" w:rsidRDefault="005F6DDD">
            <w:pPr>
              <w:jc w:val="center"/>
            </w:pPr>
            <w:r>
              <w:rPr>
                <w:color w:val="000000"/>
                <w:szCs w:val="21"/>
              </w:rPr>
              <w:t>短期借款</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交易性金融负债</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衍生金融负债</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卖出回购金融资产款</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应付证券清算款</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应付赎回款</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29,285,116.41</w:t>
            </w:r>
          </w:p>
        </w:tc>
        <w:tc>
          <w:tcPr>
            <w:tcW w:w="1301" w:type="dxa"/>
            <w:vAlign w:val="center"/>
          </w:tcPr>
          <w:p w:rsidR="00CF426B" w:rsidRDefault="005F6DDD">
            <w:pPr>
              <w:jc w:val="right"/>
            </w:pPr>
            <w:r>
              <w:rPr>
                <w:color w:val="000000"/>
                <w:szCs w:val="21"/>
              </w:rPr>
              <w:t>29,285,116.41</w:t>
            </w:r>
          </w:p>
        </w:tc>
      </w:tr>
      <w:tr w:rsidR="00CF426B">
        <w:trPr>
          <w:jc w:val="center"/>
        </w:trPr>
        <w:tc>
          <w:tcPr>
            <w:tcW w:w="1588" w:type="dxa"/>
            <w:vAlign w:val="center"/>
          </w:tcPr>
          <w:p w:rsidR="00CF426B" w:rsidRDefault="005F6DDD">
            <w:pPr>
              <w:jc w:val="center"/>
            </w:pPr>
            <w:r>
              <w:rPr>
                <w:color w:val="000000"/>
                <w:szCs w:val="21"/>
              </w:rPr>
              <w:t>应付管理人报酬</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417,065.27</w:t>
            </w:r>
          </w:p>
        </w:tc>
        <w:tc>
          <w:tcPr>
            <w:tcW w:w="1301" w:type="dxa"/>
            <w:vAlign w:val="center"/>
          </w:tcPr>
          <w:p w:rsidR="00CF426B" w:rsidRDefault="005F6DDD">
            <w:pPr>
              <w:jc w:val="right"/>
            </w:pPr>
            <w:r>
              <w:rPr>
                <w:color w:val="000000"/>
                <w:szCs w:val="21"/>
              </w:rPr>
              <w:t>417,065.27</w:t>
            </w:r>
          </w:p>
        </w:tc>
      </w:tr>
      <w:tr w:rsidR="00CF426B">
        <w:trPr>
          <w:jc w:val="center"/>
        </w:trPr>
        <w:tc>
          <w:tcPr>
            <w:tcW w:w="1588" w:type="dxa"/>
            <w:vAlign w:val="center"/>
          </w:tcPr>
          <w:p w:rsidR="00CF426B" w:rsidRDefault="005F6DDD">
            <w:pPr>
              <w:jc w:val="center"/>
            </w:pPr>
            <w:r>
              <w:rPr>
                <w:color w:val="000000"/>
                <w:szCs w:val="21"/>
              </w:rPr>
              <w:t>应付托管费</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130,332.88</w:t>
            </w:r>
          </w:p>
        </w:tc>
        <w:tc>
          <w:tcPr>
            <w:tcW w:w="1301" w:type="dxa"/>
            <w:vAlign w:val="center"/>
          </w:tcPr>
          <w:p w:rsidR="00CF426B" w:rsidRDefault="005F6DDD">
            <w:pPr>
              <w:jc w:val="right"/>
            </w:pPr>
            <w:r>
              <w:rPr>
                <w:color w:val="000000"/>
                <w:szCs w:val="21"/>
              </w:rPr>
              <w:t>130,332.88</w:t>
            </w:r>
          </w:p>
        </w:tc>
      </w:tr>
      <w:tr w:rsidR="00CF426B">
        <w:trPr>
          <w:jc w:val="center"/>
        </w:trPr>
        <w:tc>
          <w:tcPr>
            <w:tcW w:w="1588" w:type="dxa"/>
            <w:vAlign w:val="center"/>
          </w:tcPr>
          <w:p w:rsidR="00CF426B" w:rsidRDefault="005F6DDD">
            <w:pPr>
              <w:jc w:val="center"/>
            </w:pPr>
            <w:r>
              <w:rPr>
                <w:color w:val="000000"/>
                <w:szCs w:val="21"/>
              </w:rPr>
              <w:t>应付销售服务费</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应付交易费用</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应交税费</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应付利息</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应付利润</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递延所得税负债</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其他负债</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316,819.32</w:t>
            </w:r>
          </w:p>
        </w:tc>
        <w:tc>
          <w:tcPr>
            <w:tcW w:w="1301" w:type="dxa"/>
            <w:vAlign w:val="center"/>
          </w:tcPr>
          <w:p w:rsidR="00CF426B" w:rsidRDefault="005F6DDD">
            <w:pPr>
              <w:jc w:val="right"/>
            </w:pPr>
            <w:r>
              <w:rPr>
                <w:color w:val="000000"/>
                <w:szCs w:val="21"/>
              </w:rPr>
              <w:t>316,819.32</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30,149,333.88</w:t>
            </w:r>
          </w:p>
        </w:tc>
        <w:tc>
          <w:tcPr>
            <w:tcW w:w="1301" w:type="dxa"/>
            <w:vAlign w:val="center"/>
          </w:tcPr>
          <w:p w:rsidR="00711C4C" w:rsidRPr="00D749D4" w:rsidRDefault="00711C4C" w:rsidP="00AB2FD1">
            <w:pPr>
              <w:spacing w:line="360" w:lineRule="auto"/>
              <w:ind w:right="210"/>
              <w:jc w:val="right"/>
              <w:rPr>
                <w:szCs w:val="21"/>
              </w:rPr>
            </w:pPr>
            <w:r w:rsidRPr="00D749D4">
              <w:rPr>
                <w:szCs w:val="21"/>
              </w:rPr>
              <w:t>30,149,333.88</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52,279,321.27</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573,275,988.66</w:t>
            </w:r>
          </w:p>
        </w:tc>
        <w:tc>
          <w:tcPr>
            <w:tcW w:w="1301" w:type="dxa"/>
            <w:vAlign w:val="center"/>
          </w:tcPr>
          <w:p w:rsidR="00711C4C" w:rsidRPr="00D749D4" w:rsidRDefault="00711C4C" w:rsidP="00AB2FD1">
            <w:pPr>
              <w:spacing w:line="360" w:lineRule="auto"/>
              <w:jc w:val="right"/>
              <w:rPr>
                <w:szCs w:val="21"/>
              </w:rPr>
            </w:pPr>
            <w:r w:rsidRPr="00D749D4">
              <w:rPr>
                <w:szCs w:val="21"/>
              </w:rPr>
              <w:t>625,555,309.93</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上年度末</w:t>
            </w:r>
          </w:p>
          <w:p w:rsidR="00711C4C" w:rsidRPr="00D749D4" w:rsidRDefault="00711C4C" w:rsidP="00AB2FD1">
            <w:pPr>
              <w:spacing w:line="360" w:lineRule="auto"/>
              <w:jc w:val="center"/>
              <w:rPr>
                <w:b/>
                <w:color w:val="00000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CF426B">
        <w:trPr>
          <w:jc w:val="center"/>
        </w:trPr>
        <w:tc>
          <w:tcPr>
            <w:tcW w:w="1588" w:type="dxa"/>
            <w:vAlign w:val="center"/>
          </w:tcPr>
          <w:p w:rsidR="00CF426B" w:rsidRDefault="005F6DDD">
            <w:pPr>
              <w:jc w:val="center"/>
            </w:pPr>
            <w:r>
              <w:rPr>
                <w:color w:val="000000"/>
                <w:szCs w:val="21"/>
              </w:rPr>
              <w:t>银行存款</w:t>
            </w:r>
          </w:p>
        </w:tc>
        <w:tc>
          <w:tcPr>
            <w:tcW w:w="1701" w:type="dxa"/>
            <w:vAlign w:val="center"/>
          </w:tcPr>
          <w:p w:rsidR="00CF426B" w:rsidRDefault="005F6DDD">
            <w:pPr>
              <w:jc w:val="right"/>
            </w:pPr>
            <w:r>
              <w:rPr>
                <w:color w:val="000000"/>
                <w:szCs w:val="21"/>
              </w:rPr>
              <w:t>8,861,033.98</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8,861,033.98</w:t>
            </w:r>
          </w:p>
        </w:tc>
      </w:tr>
      <w:tr w:rsidR="00CF426B">
        <w:trPr>
          <w:jc w:val="center"/>
        </w:trPr>
        <w:tc>
          <w:tcPr>
            <w:tcW w:w="1588" w:type="dxa"/>
            <w:vAlign w:val="center"/>
          </w:tcPr>
          <w:p w:rsidR="00CF426B" w:rsidRDefault="005F6DDD">
            <w:pPr>
              <w:jc w:val="center"/>
            </w:pPr>
            <w:r>
              <w:rPr>
                <w:color w:val="000000"/>
                <w:szCs w:val="21"/>
              </w:rPr>
              <w:t>结算备付金</w:t>
            </w:r>
          </w:p>
        </w:tc>
        <w:tc>
          <w:tcPr>
            <w:tcW w:w="1701" w:type="dxa"/>
            <w:vAlign w:val="center"/>
          </w:tcPr>
          <w:p w:rsidR="00CF426B" w:rsidRDefault="005F6DDD">
            <w:pPr>
              <w:jc w:val="right"/>
            </w:pPr>
            <w:r>
              <w:rPr>
                <w:color w:val="000000"/>
                <w:szCs w:val="21"/>
              </w:rPr>
              <w:t>567,662.67</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567,662.67</w:t>
            </w:r>
          </w:p>
        </w:tc>
      </w:tr>
      <w:tr w:rsidR="00CF426B">
        <w:trPr>
          <w:jc w:val="center"/>
        </w:trPr>
        <w:tc>
          <w:tcPr>
            <w:tcW w:w="1588" w:type="dxa"/>
            <w:vAlign w:val="center"/>
          </w:tcPr>
          <w:p w:rsidR="00CF426B" w:rsidRDefault="005F6DDD">
            <w:pPr>
              <w:jc w:val="center"/>
            </w:pPr>
            <w:r>
              <w:rPr>
                <w:color w:val="000000"/>
                <w:szCs w:val="21"/>
              </w:rPr>
              <w:t>存出保证金</w:t>
            </w:r>
          </w:p>
        </w:tc>
        <w:tc>
          <w:tcPr>
            <w:tcW w:w="1701" w:type="dxa"/>
            <w:vAlign w:val="center"/>
          </w:tcPr>
          <w:p w:rsidR="00CF426B" w:rsidRDefault="005F6DDD">
            <w:pPr>
              <w:jc w:val="right"/>
            </w:pPr>
            <w:r>
              <w:rPr>
                <w:color w:val="000000"/>
                <w:szCs w:val="21"/>
              </w:rPr>
              <w:t>221,006.02</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221,006.02</w:t>
            </w:r>
          </w:p>
        </w:tc>
      </w:tr>
      <w:tr w:rsidR="00CF426B">
        <w:trPr>
          <w:jc w:val="center"/>
        </w:trPr>
        <w:tc>
          <w:tcPr>
            <w:tcW w:w="1588" w:type="dxa"/>
            <w:vAlign w:val="center"/>
          </w:tcPr>
          <w:p w:rsidR="00CF426B" w:rsidRDefault="005F6DDD">
            <w:pPr>
              <w:jc w:val="center"/>
            </w:pPr>
            <w:r>
              <w:rPr>
                <w:color w:val="000000"/>
                <w:szCs w:val="21"/>
              </w:rPr>
              <w:t>交易性金融资产</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140,699,489.38</w:t>
            </w:r>
          </w:p>
        </w:tc>
        <w:tc>
          <w:tcPr>
            <w:tcW w:w="1301" w:type="dxa"/>
            <w:vAlign w:val="center"/>
          </w:tcPr>
          <w:p w:rsidR="00CF426B" w:rsidRDefault="005F6DDD">
            <w:pPr>
              <w:jc w:val="right"/>
            </w:pPr>
            <w:r>
              <w:rPr>
                <w:color w:val="000000"/>
                <w:szCs w:val="21"/>
              </w:rPr>
              <w:t>140,699,489.38</w:t>
            </w:r>
          </w:p>
        </w:tc>
      </w:tr>
      <w:tr w:rsidR="00CF426B">
        <w:trPr>
          <w:jc w:val="center"/>
        </w:trPr>
        <w:tc>
          <w:tcPr>
            <w:tcW w:w="1588" w:type="dxa"/>
            <w:vAlign w:val="center"/>
          </w:tcPr>
          <w:p w:rsidR="00CF426B" w:rsidRDefault="005F6DDD">
            <w:pPr>
              <w:jc w:val="center"/>
            </w:pPr>
            <w:r>
              <w:rPr>
                <w:color w:val="000000"/>
                <w:szCs w:val="21"/>
              </w:rPr>
              <w:t>衍生金融资产</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买入返售金融资产</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应收证券清算款</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应收利息</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799.60</w:t>
            </w:r>
          </w:p>
        </w:tc>
        <w:tc>
          <w:tcPr>
            <w:tcW w:w="1301" w:type="dxa"/>
            <w:vAlign w:val="center"/>
          </w:tcPr>
          <w:p w:rsidR="00CF426B" w:rsidRDefault="005F6DDD">
            <w:pPr>
              <w:jc w:val="right"/>
            </w:pPr>
            <w:r>
              <w:rPr>
                <w:color w:val="000000"/>
                <w:szCs w:val="21"/>
              </w:rPr>
              <w:t>799.60</w:t>
            </w:r>
          </w:p>
        </w:tc>
      </w:tr>
      <w:tr w:rsidR="00CF426B">
        <w:trPr>
          <w:jc w:val="center"/>
        </w:trPr>
        <w:tc>
          <w:tcPr>
            <w:tcW w:w="1588" w:type="dxa"/>
            <w:vAlign w:val="center"/>
          </w:tcPr>
          <w:p w:rsidR="00CF426B" w:rsidRDefault="005F6DDD">
            <w:pPr>
              <w:jc w:val="center"/>
            </w:pPr>
            <w:r>
              <w:rPr>
                <w:color w:val="000000"/>
                <w:szCs w:val="21"/>
              </w:rPr>
              <w:t>应收股利</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42,675.09</w:t>
            </w:r>
          </w:p>
        </w:tc>
        <w:tc>
          <w:tcPr>
            <w:tcW w:w="1301" w:type="dxa"/>
            <w:vAlign w:val="center"/>
          </w:tcPr>
          <w:p w:rsidR="00CF426B" w:rsidRDefault="005F6DDD">
            <w:pPr>
              <w:jc w:val="right"/>
            </w:pPr>
            <w:r>
              <w:rPr>
                <w:color w:val="000000"/>
                <w:szCs w:val="21"/>
              </w:rPr>
              <w:t>42,675.09</w:t>
            </w:r>
          </w:p>
        </w:tc>
      </w:tr>
      <w:tr w:rsidR="00CF426B">
        <w:trPr>
          <w:jc w:val="center"/>
        </w:trPr>
        <w:tc>
          <w:tcPr>
            <w:tcW w:w="1588" w:type="dxa"/>
            <w:vAlign w:val="center"/>
          </w:tcPr>
          <w:p w:rsidR="00CF426B" w:rsidRDefault="005F6DDD">
            <w:pPr>
              <w:jc w:val="center"/>
            </w:pPr>
            <w:r>
              <w:rPr>
                <w:color w:val="000000"/>
                <w:szCs w:val="21"/>
              </w:rPr>
              <w:t>应收申购款</w:t>
            </w:r>
          </w:p>
        </w:tc>
        <w:tc>
          <w:tcPr>
            <w:tcW w:w="1701" w:type="dxa"/>
            <w:vAlign w:val="center"/>
          </w:tcPr>
          <w:p w:rsidR="00CF426B" w:rsidRDefault="005F6DDD">
            <w:pPr>
              <w:jc w:val="right"/>
            </w:pPr>
            <w:r>
              <w:rPr>
                <w:color w:val="000000"/>
                <w:szCs w:val="21"/>
              </w:rPr>
              <w:t>860,619.61</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3,507,951.16</w:t>
            </w:r>
          </w:p>
        </w:tc>
        <w:tc>
          <w:tcPr>
            <w:tcW w:w="1301" w:type="dxa"/>
            <w:vAlign w:val="center"/>
          </w:tcPr>
          <w:p w:rsidR="00CF426B" w:rsidRDefault="005F6DDD">
            <w:pPr>
              <w:jc w:val="right"/>
            </w:pPr>
            <w:r>
              <w:rPr>
                <w:color w:val="000000"/>
                <w:szCs w:val="21"/>
              </w:rPr>
              <w:t>4,368,570.77</w:t>
            </w:r>
          </w:p>
        </w:tc>
      </w:tr>
      <w:tr w:rsidR="00CF426B">
        <w:trPr>
          <w:jc w:val="center"/>
        </w:trPr>
        <w:tc>
          <w:tcPr>
            <w:tcW w:w="1588" w:type="dxa"/>
            <w:vAlign w:val="center"/>
          </w:tcPr>
          <w:p w:rsidR="00CF426B" w:rsidRDefault="005F6DDD">
            <w:pPr>
              <w:jc w:val="center"/>
            </w:pPr>
            <w:r>
              <w:rPr>
                <w:color w:val="000000"/>
                <w:szCs w:val="21"/>
              </w:rPr>
              <w:t>递延所得税资产</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其他资产</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301" w:type="dxa"/>
            <w:vAlign w:val="center"/>
          </w:tcPr>
          <w:p w:rsidR="00CF426B" w:rsidRDefault="005F6DDD">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spacing w:line="360" w:lineRule="auto"/>
              <w:jc w:val="right"/>
              <w:rPr>
                <w:szCs w:val="21"/>
              </w:rPr>
            </w:pPr>
            <w:r w:rsidRPr="00D749D4">
              <w:rPr>
                <w:szCs w:val="21"/>
              </w:rPr>
              <w:t>10,510,322.28</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144,250,915.23</w:t>
            </w:r>
          </w:p>
        </w:tc>
        <w:tc>
          <w:tcPr>
            <w:tcW w:w="1301" w:type="dxa"/>
            <w:vAlign w:val="center"/>
          </w:tcPr>
          <w:p w:rsidR="00711C4C" w:rsidRPr="00D749D4" w:rsidRDefault="00711C4C" w:rsidP="00AB2FD1">
            <w:pPr>
              <w:spacing w:line="360" w:lineRule="auto"/>
              <w:jc w:val="right"/>
              <w:rPr>
                <w:szCs w:val="21"/>
              </w:rPr>
            </w:pPr>
            <w:r w:rsidRPr="00D749D4">
              <w:rPr>
                <w:szCs w:val="21"/>
              </w:rPr>
              <w:t>154,761,237.51</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CF426B">
        <w:trPr>
          <w:jc w:val="center"/>
        </w:trPr>
        <w:tc>
          <w:tcPr>
            <w:tcW w:w="1588" w:type="dxa"/>
            <w:vAlign w:val="center"/>
          </w:tcPr>
          <w:p w:rsidR="00CF426B" w:rsidRDefault="005F6DDD">
            <w:pPr>
              <w:jc w:val="center"/>
            </w:pPr>
            <w:r>
              <w:rPr>
                <w:color w:val="000000"/>
                <w:szCs w:val="21"/>
              </w:rPr>
              <w:t>短期借款</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center"/>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交易性金融负债</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center"/>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衍生金融负债</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center"/>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卖出回购金融资产款</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center"/>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应付证券清算款</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center"/>
            </w:pPr>
            <w:r>
              <w:rPr>
                <w:color w:val="000000"/>
                <w:szCs w:val="21"/>
              </w:rPr>
              <w:t>4,107,750.15</w:t>
            </w:r>
          </w:p>
        </w:tc>
        <w:tc>
          <w:tcPr>
            <w:tcW w:w="1301" w:type="dxa"/>
            <w:vAlign w:val="center"/>
          </w:tcPr>
          <w:p w:rsidR="00CF426B" w:rsidRDefault="005F6DDD">
            <w:pPr>
              <w:jc w:val="right"/>
            </w:pPr>
            <w:r>
              <w:rPr>
                <w:color w:val="000000"/>
                <w:szCs w:val="21"/>
              </w:rPr>
              <w:t>4,107,750.15</w:t>
            </w:r>
          </w:p>
        </w:tc>
      </w:tr>
      <w:tr w:rsidR="00CF426B">
        <w:trPr>
          <w:jc w:val="center"/>
        </w:trPr>
        <w:tc>
          <w:tcPr>
            <w:tcW w:w="1588" w:type="dxa"/>
            <w:vAlign w:val="center"/>
          </w:tcPr>
          <w:p w:rsidR="00CF426B" w:rsidRDefault="005F6DDD">
            <w:pPr>
              <w:jc w:val="center"/>
            </w:pPr>
            <w:r>
              <w:rPr>
                <w:color w:val="000000"/>
                <w:szCs w:val="21"/>
              </w:rPr>
              <w:t>应付赎回款</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center"/>
            </w:pPr>
            <w:r>
              <w:rPr>
                <w:color w:val="000000"/>
                <w:szCs w:val="21"/>
              </w:rPr>
              <w:t>1,248,949.84</w:t>
            </w:r>
          </w:p>
        </w:tc>
        <w:tc>
          <w:tcPr>
            <w:tcW w:w="1301" w:type="dxa"/>
            <w:vAlign w:val="center"/>
          </w:tcPr>
          <w:p w:rsidR="00CF426B" w:rsidRDefault="005F6DDD">
            <w:pPr>
              <w:jc w:val="right"/>
            </w:pPr>
            <w:r>
              <w:rPr>
                <w:color w:val="000000"/>
                <w:szCs w:val="21"/>
              </w:rPr>
              <w:t>1,248,949.84</w:t>
            </w:r>
          </w:p>
        </w:tc>
      </w:tr>
      <w:tr w:rsidR="00CF426B">
        <w:trPr>
          <w:jc w:val="center"/>
        </w:trPr>
        <w:tc>
          <w:tcPr>
            <w:tcW w:w="1588" w:type="dxa"/>
            <w:vAlign w:val="center"/>
          </w:tcPr>
          <w:p w:rsidR="00CF426B" w:rsidRDefault="005F6DDD">
            <w:pPr>
              <w:jc w:val="center"/>
            </w:pPr>
            <w:r>
              <w:rPr>
                <w:color w:val="000000"/>
                <w:szCs w:val="21"/>
              </w:rPr>
              <w:t>应付管理人报酬</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center"/>
            </w:pPr>
            <w:r>
              <w:rPr>
                <w:color w:val="000000"/>
                <w:szCs w:val="21"/>
              </w:rPr>
              <w:t>89,314.36</w:t>
            </w:r>
          </w:p>
        </w:tc>
        <w:tc>
          <w:tcPr>
            <w:tcW w:w="1301" w:type="dxa"/>
            <w:vAlign w:val="center"/>
          </w:tcPr>
          <w:p w:rsidR="00CF426B" w:rsidRDefault="005F6DDD">
            <w:pPr>
              <w:jc w:val="right"/>
            </w:pPr>
            <w:r>
              <w:rPr>
                <w:color w:val="000000"/>
                <w:szCs w:val="21"/>
              </w:rPr>
              <w:t>89,314.36</w:t>
            </w:r>
          </w:p>
        </w:tc>
      </w:tr>
      <w:tr w:rsidR="00CF426B">
        <w:trPr>
          <w:jc w:val="center"/>
        </w:trPr>
        <w:tc>
          <w:tcPr>
            <w:tcW w:w="1588" w:type="dxa"/>
            <w:vAlign w:val="center"/>
          </w:tcPr>
          <w:p w:rsidR="00CF426B" w:rsidRDefault="005F6DDD">
            <w:pPr>
              <w:jc w:val="center"/>
            </w:pPr>
            <w:r>
              <w:rPr>
                <w:color w:val="000000"/>
                <w:szCs w:val="21"/>
              </w:rPr>
              <w:t>应付托管费</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center"/>
            </w:pPr>
            <w:r>
              <w:rPr>
                <w:color w:val="000000"/>
                <w:szCs w:val="21"/>
              </w:rPr>
              <w:t>27,910.73</w:t>
            </w:r>
          </w:p>
        </w:tc>
        <w:tc>
          <w:tcPr>
            <w:tcW w:w="1301" w:type="dxa"/>
            <w:vAlign w:val="center"/>
          </w:tcPr>
          <w:p w:rsidR="00CF426B" w:rsidRDefault="005F6DDD">
            <w:pPr>
              <w:jc w:val="right"/>
            </w:pPr>
            <w:r>
              <w:rPr>
                <w:color w:val="000000"/>
                <w:szCs w:val="21"/>
              </w:rPr>
              <w:t>27,910.73</w:t>
            </w:r>
          </w:p>
        </w:tc>
      </w:tr>
      <w:tr w:rsidR="00CF426B">
        <w:trPr>
          <w:jc w:val="center"/>
        </w:trPr>
        <w:tc>
          <w:tcPr>
            <w:tcW w:w="1588" w:type="dxa"/>
            <w:vAlign w:val="center"/>
          </w:tcPr>
          <w:p w:rsidR="00CF426B" w:rsidRDefault="005F6DDD">
            <w:pPr>
              <w:jc w:val="center"/>
            </w:pPr>
            <w:r>
              <w:rPr>
                <w:color w:val="000000"/>
                <w:szCs w:val="21"/>
              </w:rPr>
              <w:t>应付销售服务费</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center"/>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应付交易费用</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center"/>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应交税费</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center"/>
            </w:pPr>
            <w:r>
              <w:rPr>
                <w:color w:val="000000"/>
                <w:szCs w:val="21"/>
              </w:rPr>
              <w:t>11,221.41</w:t>
            </w:r>
          </w:p>
        </w:tc>
        <w:tc>
          <w:tcPr>
            <w:tcW w:w="1301" w:type="dxa"/>
            <w:vAlign w:val="center"/>
          </w:tcPr>
          <w:p w:rsidR="00CF426B" w:rsidRDefault="005F6DDD">
            <w:pPr>
              <w:jc w:val="right"/>
            </w:pPr>
            <w:r>
              <w:rPr>
                <w:color w:val="000000"/>
                <w:szCs w:val="21"/>
              </w:rPr>
              <w:t>11,221.41</w:t>
            </w:r>
          </w:p>
        </w:tc>
      </w:tr>
      <w:tr w:rsidR="00CF426B">
        <w:trPr>
          <w:jc w:val="center"/>
        </w:trPr>
        <w:tc>
          <w:tcPr>
            <w:tcW w:w="1588" w:type="dxa"/>
            <w:vAlign w:val="center"/>
          </w:tcPr>
          <w:p w:rsidR="00CF426B" w:rsidRDefault="005F6DDD">
            <w:pPr>
              <w:jc w:val="center"/>
            </w:pPr>
            <w:r>
              <w:rPr>
                <w:color w:val="000000"/>
                <w:szCs w:val="21"/>
              </w:rPr>
              <w:t>应付利息</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center"/>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应付利润</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center"/>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递延所得税负债</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center"/>
            </w:pPr>
            <w:r>
              <w:rPr>
                <w:color w:val="000000"/>
                <w:szCs w:val="21"/>
              </w:rPr>
              <w:t>-</w:t>
            </w:r>
          </w:p>
        </w:tc>
        <w:tc>
          <w:tcPr>
            <w:tcW w:w="1301" w:type="dxa"/>
            <w:vAlign w:val="center"/>
          </w:tcPr>
          <w:p w:rsidR="00CF426B" w:rsidRDefault="005F6DDD">
            <w:pPr>
              <w:jc w:val="right"/>
            </w:pPr>
            <w:r>
              <w:rPr>
                <w:color w:val="000000"/>
                <w:szCs w:val="21"/>
              </w:rPr>
              <w:t>-</w:t>
            </w:r>
          </w:p>
        </w:tc>
      </w:tr>
      <w:tr w:rsidR="00CF426B">
        <w:trPr>
          <w:jc w:val="center"/>
        </w:trPr>
        <w:tc>
          <w:tcPr>
            <w:tcW w:w="1588" w:type="dxa"/>
            <w:vAlign w:val="center"/>
          </w:tcPr>
          <w:p w:rsidR="00CF426B" w:rsidRDefault="005F6DDD">
            <w:pPr>
              <w:jc w:val="center"/>
            </w:pPr>
            <w:r>
              <w:rPr>
                <w:color w:val="000000"/>
                <w:szCs w:val="21"/>
              </w:rPr>
              <w:t>其他负债</w:t>
            </w:r>
          </w:p>
        </w:tc>
        <w:tc>
          <w:tcPr>
            <w:tcW w:w="1701" w:type="dxa"/>
            <w:vAlign w:val="center"/>
          </w:tcPr>
          <w:p w:rsidR="00CF426B" w:rsidRDefault="005F6DDD">
            <w:pPr>
              <w:jc w:val="right"/>
            </w:pPr>
            <w:r>
              <w:rPr>
                <w:color w:val="000000"/>
                <w:szCs w:val="21"/>
              </w:rPr>
              <w:t>-</w:t>
            </w:r>
          </w:p>
        </w:tc>
        <w:tc>
          <w:tcPr>
            <w:tcW w:w="1701" w:type="dxa"/>
            <w:vAlign w:val="center"/>
          </w:tcPr>
          <w:p w:rsidR="00CF426B" w:rsidRDefault="005F6DDD">
            <w:pPr>
              <w:jc w:val="right"/>
            </w:pPr>
            <w:r>
              <w:rPr>
                <w:color w:val="000000"/>
                <w:szCs w:val="21"/>
              </w:rPr>
              <w:t>-</w:t>
            </w:r>
          </w:p>
        </w:tc>
        <w:tc>
          <w:tcPr>
            <w:tcW w:w="1559" w:type="dxa"/>
            <w:vAlign w:val="center"/>
          </w:tcPr>
          <w:p w:rsidR="00CF426B" w:rsidRDefault="005F6DDD">
            <w:pPr>
              <w:jc w:val="right"/>
            </w:pPr>
            <w:r>
              <w:rPr>
                <w:color w:val="000000"/>
                <w:szCs w:val="21"/>
              </w:rPr>
              <w:t>-</w:t>
            </w:r>
          </w:p>
        </w:tc>
        <w:tc>
          <w:tcPr>
            <w:tcW w:w="1559" w:type="dxa"/>
            <w:vAlign w:val="center"/>
          </w:tcPr>
          <w:p w:rsidR="00CF426B" w:rsidRDefault="005F6DDD">
            <w:pPr>
              <w:jc w:val="center"/>
            </w:pPr>
            <w:r>
              <w:rPr>
                <w:color w:val="000000"/>
                <w:szCs w:val="21"/>
              </w:rPr>
              <w:t>234,282.88</w:t>
            </w:r>
          </w:p>
        </w:tc>
        <w:tc>
          <w:tcPr>
            <w:tcW w:w="1301" w:type="dxa"/>
            <w:vAlign w:val="center"/>
          </w:tcPr>
          <w:p w:rsidR="00CF426B" w:rsidRDefault="005F6DDD">
            <w:pPr>
              <w:jc w:val="right"/>
            </w:pPr>
            <w:r>
              <w:rPr>
                <w:color w:val="000000"/>
                <w:szCs w:val="21"/>
              </w:rPr>
              <w:t>234,282.88</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5,719,429.37</w:t>
            </w:r>
          </w:p>
        </w:tc>
        <w:tc>
          <w:tcPr>
            <w:tcW w:w="1301" w:type="dxa"/>
            <w:vAlign w:val="center"/>
          </w:tcPr>
          <w:p w:rsidR="00711C4C" w:rsidRPr="00D749D4" w:rsidRDefault="00711C4C" w:rsidP="00AB2FD1">
            <w:pPr>
              <w:spacing w:line="360" w:lineRule="auto"/>
              <w:jc w:val="right"/>
              <w:rPr>
                <w:szCs w:val="21"/>
              </w:rPr>
            </w:pPr>
            <w:r w:rsidRPr="00D749D4">
              <w:rPr>
                <w:szCs w:val="21"/>
              </w:rPr>
              <w:t>5,719,429.37</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10,510,322.28</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138,531,485.86</w:t>
            </w:r>
          </w:p>
        </w:tc>
        <w:tc>
          <w:tcPr>
            <w:tcW w:w="1301" w:type="dxa"/>
            <w:vAlign w:val="center"/>
          </w:tcPr>
          <w:p w:rsidR="00711C4C" w:rsidRPr="00D749D4" w:rsidRDefault="00711C4C" w:rsidP="00AB2FD1">
            <w:pPr>
              <w:spacing w:line="360" w:lineRule="auto"/>
              <w:jc w:val="right"/>
              <w:rPr>
                <w:szCs w:val="21"/>
              </w:rPr>
            </w:pPr>
            <w:r w:rsidRPr="00D749D4">
              <w:rPr>
                <w:szCs w:val="21"/>
              </w:rPr>
              <w:t>149,041,808.14</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注：各期限分类的标准为按金融资产或金融负债的重新定价日或到期日孰早者进行分类。</w:t>
      </w:r>
    </w:p>
    <w:p w:rsidR="006D6ECF" w:rsidRPr="00862636" w:rsidRDefault="00711C4C" w:rsidP="003427BF">
      <w:pPr>
        <w:spacing w:beforeLines="100" w:before="312" w:line="360" w:lineRule="auto"/>
        <w:rPr>
          <w:rFonts w:eastAsiaTheme="minorEastAsia"/>
          <w:b/>
          <w:bCs/>
          <w:color w:val="000000"/>
          <w:szCs w:val="21"/>
        </w:rPr>
      </w:pPr>
      <w:r w:rsidRPr="0087410D">
        <w:rPr>
          <w:rFonts w:ascii="宋体" w:hAnsi="宋体"/>
          <w:b/>
          <w:szCs w:val="21"/>
        </w:rPr>
        <w:t>6.4.13.4.1.2</w:t>
      </w:r>
      <w:r w:rsidRPr="0087410D">
        <w:rPr>
          <w:rFonts w:ascii="宋体" w:hAnsi="宋体" w:hint="eastAsia"/>
          <w:b/>
          <w:szCs w:val="21"/>
        </w:rPr>
        <w:t>利率风险的敏感性分析</w:t>
      </w:r>
    </w:p>
    <w:p w:rsidR="00711C4C" w:rsidRPr="00D749D4" w:rsidRDefault="006D6ECF" w:rsidP="00AB0FF3">
      <w:pPr>
        <w:tabs>
          <w:tab w:val="left" w:pos="426"/>
        </w:tabs>
        <w:spacing w:line="360" w:lineRule="auto"/>
        <w:ind w:firstLineChars="200" w:firstLine="420"/>
        <w:jc w:val="left"/>
        <w:rPr>
          <w:kern w:val="0"/>
          <w:szCs w:val="21"/>
        </w:rPr>
      </w:pPr>
      <w:r w:rsidRPr="00AB0FF3">
        <w:rPr>
          <w:kern w:val="0"/>
          <w:szCs w:val="21"/>
        </w:rPr>
        <w:t>本期末本基金未持有交易性债券投资</w:t>
      </w:r>
      <w:r w:rsidRPr="00AB0FF3">
        <w:rPr>
          <w:kern w:val="0"/>
          <w:szCs w:val="21"/>
        </w:rPr>
        <w:t>(</w:t>
      </w:r>
      <w:r w:rsidRPr="00AB0FF3">
        <w:rPr>
          <w:kern w:val="0"/>
          <w:szCs w:val="21"/>
        </w:rPr>
        <w:t>不包括可转债），因此市场利率的变动对于本基金资产净值无重大影响。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6.4.13.4.2</w:t>
      </w:r>
      <w:r w:rsidRPr="0087410D">
        <w:rPr>
          <w:rFonts w:ascii="宋体" w:hAnsi="宋体" w:hint="eastAsia"/>
          <w:b/>
          <w:szCs w:val="21"/>
        </w:rPr>
        <w:t>外汇风险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6.4.13.4.2.1</w:t>
      </w:r>
      <w:r w:rsidRPr="0087410D">
        <w:rPr>
          <w:rFonts w:ascii="宋体" w:hAnsi="宋体" w:hint="eastAsia"/>
          <w:b/>
          <w:szCs w:val="21"/>
        </w:rPr>
        <w:t>外汇风险敞口</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980"/>
        <w:gridCol w:w="1440"/>
        <w:gridCol w:w="2160"/>
      </w:tblGrid>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本期末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美元</w:t>
            </w:r>
          </w:p>
          <w:p w:rsidR="00711C4C" w:rsidRPr="00D749D4" w:rsidRDefault="00711C4C" w:rsidP="003D5A2B">
            <w:pPr>
              <w:spacing w:line="360" w:lineRule="auto"/>
              <w:jc w:val="center"/>
              <w:rPr>
                <w:color w:val="000000"/>
                <w:szCs w:val="21"/>
              </w:rPr>
            </w:pPr>
            <w:r w:rsidRPr="00D749D4">
              <w:rPr>
                <w:rFonts w:hint="eastAsia"/>
                <w:color w:val="000000"/>
                <w:szCs w:val="21"/>
              </w:rPr>
              <w:t>折合人民币</w:t>
            </w:r>
          </w:p>
        </w:tc>
        <w:tc>
          <w:tcPr>
            <w:tcW w:w="198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港币</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144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其他币种</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216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CF426B">
        <w:tc>
          <w:tcPr>
            <w:tcW w:w="1477" w:type="dxa"/>
            <w:vAlign w:val="center"/>
          </w:tcPr>
          <w:p w:rsidR="00CF426B" w:rsidRDefault="005F6DDD">
            <w:pPr>
              <w:jc w:val="left"/>
            </w:pPr>
            <w:r>
              <w:rPr>
                <w:color w:val="000000"/>
                <w:szCs w:val="21"/>
              </w:rPr>
              <w:t>银行存款</w:t>
            </w:r>
          </w:p>
        </w:tc>
        <w:tc>
          <w:tcPr>
            <w:tcW w:w="1943" w:type="dxa"/>
            <w:vAlign w:val="center"/>
          </w:tcPr>
          <w:p w:rsidR="00CF426B" w:rsidRDefault="005F6DDD">
            <w:pPr>
              <w:jc w:val="right"/>
            </w:pPr>
            <w:r>
              <w:rPr>
                <w:color w:val="000000"/>
                <w:szCs w:val="21"/>
              </w:rPr>
              <w:t>13,049,969.57</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13,049,969.57</w:t>
            </w:r>
          </w:p>
        </w:tc>
      </w:tr>
      <w:tr w:rsidR="00CF426B">
        <w:tc>
          <w:tcPr>
            <w:tcW w:w="1477" w:type="dxa"/>
            <w:vAlign w:val="center"/>
          </w:tcPr>
          <w:p w:rsidR="00CF426B" w:rsidRDefault="005F6DDD">
            <w:pPr>
              <w:jc w:val="left"/>
            </w:pPr>
            <w:r>
              <w:rPr>
                <w:color w:val="000000"/>
                <w:szCs w:val="21"/>
              </w:rPr>
              <w:t>结算备付金</w:t>
            </w:r>
          </w:p>
        </w:tc>
        <w:tc>
          <w:tcPr>
            <w:tcW w:w="1943" w:type="dxa"/>
            <w:vAlign w:val="center"/>
          </w:tcPr>
          <w:p w:rsidR="00CF426B" w:rsidRDefault="005F6DDD">
            <w:pPr>
              <w:jc w:val="right"/>
            </w:pPr>
            <w:r>
              <w:rPr>
                <w:color w:val="000000"/>
                <w:szCs w:val="21"/>
              </w:rPr>
              <w:t>12,646,389.29</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12,646,389.29</w:t>
            </w:r>
          </w:p>
        </w:tc>
      </w:tr>
      <w:tr w:rsidR="00CF426B">
        <w:tc>
          <w:tcPr>
            <w:tcW w:w="1477" w:type="dxa"/>
            <w:vAlign w:val="center"/>
          </w:tcPr>
          <w:p w:rsidR="00CF426B" w:rsidRDefault="005F6DDD">
            <w:pPr>
              <w:jc w:val="left"/>
            </w:pPr>
            <w:r>
              <w:rPr>
                <w:color w:val="000000"/>
                <w:szCs w:val="21"/>
              </w:rPr>
              <w:t>存出保证金</w:t>
            </w:r>
          </w:p>
        </w:tc>
        <w:tc>
          <w:tcPr>
            <w:tcW w:w="1943" w:type="dxa"/>
            <w:vAlign w:val="center"/>
          </w:tcPr>
          <w:p w:rsidR="00CF426B" w:rsidRDefault="005F6DDD">
            <w:pPr>
              <w:jc w:val="right"/>
            </w:pPr>
            <w:r>
              <w:rPr>
                <w:color w:val="000000"/>
                <w:szCs w:val="21"/>
              </w:rPr>
              <w:t>280,348.20</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280,348.20</w:t>
            </w:r>
          </w:p>
        </w:tc>
      </w:tr>
      <w:tr w:rsidR="00CF426B">
        <w:tc>
          <w:tcPr>
            <w:tcW w:w="1477" w:type="dxa"/>
            <w:vAlign w:val="center"/>
          </w:tcPr>
          <w:p w:rsidR="00CF426B" w:rsidRDefault="005F6DDD">
            <w:pPr>
              <w:jc w:val="left"/>
            </w:pPr>
            <w:r>
              <w:rPr>
                <w:color w:val="000000"/>
                <w:szCs w:val="21"/>
              </w:rPr>
              <w:t>交易性金融资产</w:t>
            </w:r>
          </w:p>
        </w:tc>
        <w:tc>
          <w:tcPr>
            <w:tcW w:w="1943" w:type="dxa"/>
            <w:vAlign w:val="center"/>
          </w:tcPr>
          <w:p w:rsidR="00CF426B" w:rsidRDefault="005F6DDD">
            <w:pPr>
              <w:jc w:val="right"/>
            </w:pPr>
            <w:r>
              <w:rPr>
                <w:color w:val="000000"/>
                <w:szCs w:val="21"/>
              </w:rPr>
              <w:t>588,488,753.30</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588,488,753.30</w:t>
            </w:r>
          </w:p>
        </w:tc>
      </w:tr>
      <w:tr w:rsidR="00CF426B">
        <w:tc>
          <w:tcPr>
            <w:tcW w:w="1477" w:type="dxa"/>
            <w:vAlign w:val="center"/>
          </w:tcPr>
          <w:p w:rsidR="00CF426B" w:rsidRDefault="005F6DDD">
            <w:pPr>
              <w:jc w:val="left"/>
            </w:pPr>
            <w:r>
              <w:rPr>
                <w:color w:val="000000"/>
                <w:szCs w:val="21"/>
              </w:rPr>
              <w:t>衍生金融资产</w:t>
            </w:r>
          </w:p>
        </w:tc>
        <w:tc>
          <w:tcPr>
            <w:tcW w:w="1943" w:type="dxa"/>
            <w:vAlign w:val="center"/>
          </w:tcPr>
          <w:p w:rsidR="00CF426B" w:rsidRDefault="005F6DDD">
            <w:pPr>
              <w:jc w:val="right"/>
            </w:pPr>
            <w:r>
              <w:rPr>
                <w:color w:val="000000"/>
                <w:szCs w:val="21"/>
              </w:rPr>
              <w:t>-</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w:t>
            </w:r>
          </w:p>
        </w:tc>
      </w:tr>
      <w:tr w:rsidR="00CF426B">
        <w:tc>
          <w:tcPr>
            <w:tcW w:w="1477" w:type="dxa"/>
            <w:vAlign w:val="center"/>
          </w:tcPr>
          <w:p w:rsidR="00CF426B" w:rsidRDefault="005F6DDD">
            <w:pPr>
              <w:jc w:val="left"/>
            </w:pPr>
            <w:r>
              <w:rPr>
                <w:color w:val="000000"/>
                <w:szCs w:val="21"/>
              </w:rPr>
              <w:t>应收证券清算款</w:t>
            </w:r>
          </w:p>
        </w:tc>
        <w:tc>
          <w:tcPr>
            <w:tcW w:w="1943" w:type="dxa"/>
            <w:vAlign w:val="center"/>
          </w:tcPr>
          <w:p w:rsidR="00CF426B" w:rsidRDefault="005F6DDD">
            <w:pPr>
              <w:jc w:val="right"/>
            </w:pPr>
            <w:r>
              <w:rPr>
                <w:color w:val="000000"/>
                <w:szCs w:val="21"/>
              </w:rPr>
              <w:t>10,804,373.69</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10,804,373.69</w:t>
            </w:r>
          </w:p>
        </w:tc>
      </w:tr>
      <w:tr w:rsidR="00CF426B">
        <w:tc>
          <w:tcPr>
            <w:tcW w:w="1477" w:type="dxa"/>
            <w:vAlign w:val="center"/>
          </w:tcPr>
          <w:p w:rsidR="00CF426B" w:rsidRDefault="005F6DDD">
            <w:pPr>
              <w:jc w:val="left"/>
            </w:pPr>
            <w:r>
              <w:rPr>
                <w:color w:val="000000"/>
                <w:szCs w:val="21"/>
              </w:rPr>
              <w:t>应收利息</w:t>
            </w:r>
          </w:p>
        </w:tc>
        <w:tc>
          <w:tcPr>
            <w:tcW w:w="1943" w:type="dxa"/>
            <w:vAlign w:val="center"/>
          </w:tcPr>
          <w:p w:rsidR="00CF426B" w:rsidRDefault="005F6DDD">
            <w:pPr>
              <w:jc w:val="right"/>
            </w:pPr>
            <w:r>
              <w:rPr>
                <w:color w:val="000000"/>
                <w:szCs w:val="21"/>
              </w:rPr>
              <w:t>158.09</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158.09</w:t>
            </w:r>
          </w:p>
        </w:tc>
      </w:tr>
      <w:tr w:rsidR="00CF426B">
        <w:tc>
          <w:tcPr>
            <w:tcW w:w="1477" w:type="dxa"/>
            <w:vAlign w:val="center"/>
          </w:tcPr>
          <w:p w:rsidR="00CF426B" w:rsidRDefault="005F6DDD">
            <w:pPr>
              <w:jc w:val="left"/>
            </w:pPr>
            <w:r>
              <w:rPr>
                <w:color w:val="000000"/>
                <w:szCs w:val="21"/>
              </w:rPr>
              <w:t>应收股利</w:t>
            </w:r>
          </w:p>
        </w:tc>
        <w:tc>
          <w:tcPr>
            <w:tcW w:w="1943" w:type="dxa"/>
            <w:vAlign w:val="center"/>
          </w:tcPr>
          <w:p w:rsidR="00CF426B" w:rsidRDefault="005F6DDD">
            <w:pPr>
              <w:jc w:val="right"/>
            </w:pPr>
            <w:r>
              <w:rPr>
                <w:color w:val="000000"/>
                <w:szCs w:val="21"/>
              </w:rPr>
              <w:t>126,149.55</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126,149.55</w:t>
            </w:r>
          </w:p>
        </w:tc>
      </w:tr>
      <w:tr w:rsidR="00CF426B">
        <w:tc>
          <w:tcPr>
            <w:tcW w:w="1477" w:type="dxa"/>
            <w:vAlign w:val="center"/>
          </w:tcPr>
          <w:p w:rsidR="00CF426B" w:rsidRDefault="005F6DDD">
            <w:pPr>
              <w:jc w:val="left"/>
            </w:pPr>
            <w:r>
              <w:rPr>
                <w:color w:val="000000"/>
                <w:szCs w:val="21"/>
              </w:rPr>
              <w:t>应收申购款</w:t>
            </w:r>
          </w:p>
        </w:tc>
        <w:tc>
          <w:tcPr>
            <w:tcW w:w="1943" w:type="dxa"/>
            <w:vAlign w:val="center"/>
          </w:tcPr>
          <w:p w:rsidR="00CF426B" w:rsidRDefault="005F6DDD">
            <w:pPr>
              <w:jc w:val="right"/>
            </w:pPr>
            <w:r>
              <w:rPr>
                <w:color w:val="000000"/>
                <w:szCs w:val="21"/>
              </w:rPr>
              <w:t>120,583.00</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120,583.00</w:t>
            </w:r>
          </w:p>
        </w:tc>
      </w:tr>
      <w:tr w:rsidR="00CF426B">
        <w:tc>
          <w:tcPr>
            <w:tcW w:w="1477" w:type="dxa"/>
            <w:vAlign w:val="center"/>
          </w:tcPr>
          <w:p w:rsidR="00CF426B" w:rsidRDefault="005F6DDD">
            <w:pPr>
              <w:jc w:val="left"/>
            </w:pPr>
            <w:r>
              <w:rPr>
                <w:color w:val="000000"/>
                <w:szCs w:val="21"/>
              </w:rPr>
              <w:t>其他资产</w:t>
            </w:r>
          </w:p>
        </w:tc>
        <w:tc>
          <w:tcPr>
            <w:tcW w:w="1943" w:type="dxa"/>
            <w:vAlign w:val="center"/>
          </w:tcPr>
          <w:p w:rsidR="00CF426B" w:rsidRDefault="005F6DDD">
            <w:pPr>
              <w:jc w:val="right"/>
            </w:pPr>
            <w:r>
              <w:rPr>
                <w:color w:val="000000"/>
                <w:szCs w:val="21"/>
              </w:rPr>
              <w:t>-</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625,516,724.69</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625,516,724.69</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CF426B">
        <w:tc>
          <w:tcPr>
            <w:tcW w:w="1477" w:type="dxa"/>
            <w:vAlign w:val="center"/>
          </w:tcPr>
          <w:p w:rsidR="00CF426B" w:rsidRDefault="005F6DDD">
            <w:pPr>
              <w:jc w:val="left"/>
            </w:pPr>
            <w:r>
              <w:rPr>
                <w:color w:val="000000"/>
                <w:szCs w:val="21"/>
              </w:rPr>
              <w:t>应付证券清算款</w:t>
            </w:r>
          </w:p>
        </w:tc>
        <w:tc>
          <w:tcPr>
            <w:tcW w:w="1943" w:type="dxa"/>
            <w:vAlign w:val="center"/>
          </w:tcPr>
          <w:p w:rsidR="00CF426B" w:rsidRDefault="005F6DDD">
            <w:pPr>
              <w:jc w:val="right"/>
            </w:pPr>
            <w:r>
              <w:rPr>
                <w:color w:val="000000"/>
                <w:szCs w:val="21"/>
              </w:rPr>
              <w:t>-</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w:t>
            </w:r>
          </w:p>
        </w:tc>
      </w:tr>
      <w:tr w:rsidR="00CF426B">
        <w:tc>
          <w:tcPr>
            <w:tcW w:w="1477" w:type="dxa"/>
            <w:vAlign w:val="center"/>
          </w:tcPr>
          <w:p w:rsidR="00CF426B" w:rsidRDefault="005F6DDD">
            <w:pPr>
              <w:jc w:val="left"/>
            </w:pPr>
            <w:r>
              <w:rPr>
                <w:color w:val="000000"/>
                <w:szCs w:val="21"/>
              </w:rPr>
              <w:t>应付赎回款</w:t>
            </w:r>
          </w:p>
        </w:tc>
        <w:tc>
          <w:tcPr>
            <w:tcW w:w="1943" w:type="dxa"/>
            <w:vAlign w:val="center"/>
          </w:tcPr>
          <w:p w:rsidR="00CF426B" w:rsidRDefault="005F6DDD">
            <w:pPr>
              <w:jc w:val="right"/>
            </w:pPr>
            <w:r>
              <w:rPr>
                <w:color w:val="000000"/>
                <w:szCs w:val="21"/>
              </w:rPr>
              <w:t>847,191.16</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847,191.16</w:t>
            </w:r>
          </w:p>
        </w:tc>
      </w:tr>
      <w:tr w:rsidR="00CF426B">
        <w:tc>
          <w:tcPr>
            <w:tcW w:w="1477" w:type="dxa"/>
            <w:vAlign w:val="center"/>
          </w:tcPr>
          <w:p w:rsidR="00CF426B" w:rsidRDefault="005F6DDD">
            <w:pPr>
              <w:jc w:val="left"/>
            </w:pPr>
            <w:r>
              <w:rPr>
                <w:color w:val="000000"/>
                <w:szCs w:val="21"/>
              </w:rPr>
              <w:t>其他负债</w:t>
            </w:r>
          </w:p>
        </w:tc>
        <w:tc>
          <w:tcPr>
            <w:tcW w:w="1943" w:type="dxa"/>
            <w:vAlign w:val="center"/>
          </w:tcPr>
          <w:p w:rsidR="00CF426B" w:rsidRDefault="005F6DDD">
            <w:pPr>
              <w:jc w:val="right"/>
            </w:pPr>
            <w:r>
              <w:rPr>
                <w:color w:val="000000"/>
                <w:szCs w:val="21"/>
              </w:rPr>
              <w:t>2,857.29</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2,857.29</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850,048.45</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850,048.45</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624,666,676.24</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624,666,676.24</w:t>
            </w:r>
          </w:p>
        </w:tc>
      </w:tr>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上年度末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美元</w:t>
            </w:r>
          </w:p>
          <w:p w:rsidR="00711C4C" w:rsidRPr="00D749D4" w:rsidRDefault="00711C4C" w:rsidP="003D5A2B">
            <w:pPr>
              <w:spacing w:line="360" w:lineRule="auto"/>
              <w:jc w:val="center"/>
              <w:rPr>
                <w:b/>
                <w:color w:val="000000"/>
                <w:szCs w:val="21"/>
              </w:rPr>
            </w:pPr>
            <w:r w:rsidRPr="00D749D4">
              <w:rPr>
                <w:rFonts w:hint="eastAsia"/>
                <w:b/>
                <w:color w:val="000000"/>
                <w:szCs w:val="21"/>
              </w:rPr>
              <w:t>折合人民币</w:t>
            </w:r>
          </w:p>
        </w:tc>
        <w:tc>
          <w:tcPr>
            <w:tcW w:w="198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港币</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144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其他币种</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216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CF426B">
        <w:tc>
          <w:tcPr>
            <w:tcW w:w="1477" w:type="dxa"/>
            <w:vAlign w:val="center"/>
          </w:tcPr>
          <w:p w:rsidR="00CF426B" w:rsidRDefault="005F6DDD">
            <w:pPr>
              <w:jc w:val="left"/>
            </w:pPr>
            <w:r>
              <w:rPr>
                <w:color w:val="000000"/>
                <w:szCs w:val="21"/>
              </w:rPr>
              <w:t>银行存款</w:t>
            </w:r>
          </w:p>
        </w:tc>
        <w:tc>
          <w:tcPr>
            <w:tcW w:w="1943" w:type="dxa"/>
            <w:vAlign w:val="center"/>
          </w:tcPr>
          <w:p w:rsidR="00CF426B" w:rsidRDefault="005F6DDD">
            <w:pPr>
              <w:jc w:val="right"/>
            </w:pPr>
            <w:r>
              <w:rPr>
                <w:color w:val="000000"/>
                <w:szCs w:val="21"/>
              </w:rPr>
              <w:t>4,724,194.74</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4,724,194.74</w:t>
            </w:r>
          </w:p>
        </w:tc>
      </w:tr>
      <w:tr w:rsidR="00CF426B">
        <w:tc>
          <w:tcPr>
            <w:tcW w:w="1477" w:type="dxa"/>
            <w:vAlign w:val="center"/>
          </w:tcPr>
          <w:p w:rsidR="00CF426B" w:rsidRDefault="005F6DDD">
            <w:pPr>
              <w:jc w:val="left"/>
            </w:pPr>
            <w:r>
              <w:rPr>
                <w:color w:val="000000"/>
                <w:szCs w:val="21"/>
              </w:rPr>
              <w:t>结算备付金</w:t>
            </w:r>
          </w:p>
        </w:tc>
        <w:tc>
          <w:tcPr>
            <w:tcW w:w="1943" w:type="dxa"/>
            <w:vAlign w:val="center"/>
          </w:tcPr>
          <w:p w:rsidR="00CF426B" w:rsidRDefault="005F6DDD">
            <w:pPr>
              <w:jc w:val="right"/>
            </w:pPr>
            <w:r>
              <w:rPr>
                <w:color w:val="000000"/>
                <w:szCs w:val="21"/>
              </w:rPr>
              <w:t>567,662.67</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567,662.67</w:t>
            </w:r>
          </w:p>
        </w:tc>
      </w:tr>
      <w:tr w:rsidR="00CF426B">
        <w:tc>
          <w:tcPr>
            <w:tcW w:w="1477" w:type="dxa"/>
            <w:vAlign w:val="center"/>
          </w:tcPr>
          <w:p w:rsidR="00CF426B" w:rsidRDefault="005F6DDD">
            <w:pPr>
              <w:jc w:val="left"/>
            </w:pPr>
            <w:r>
              <w:rPr>
                <w:color w:val="000000"/>
                <w:szCs w:val="21"/>
              </w:rPr>
              <w:t>存出保证金</w:t>
            </w:r>
          </w:p>
        </w:tc>
        <w:tc>
          <w:tcPr>
            <w:tcW w:w="1943" w:type="dxa"/>
            <w:vAlign w:val="center"/>
          </w:tcPr>
          <w:p w:rsidR="00CF426B" w:rsidRDefault="005F6DDD">
            <w:pPr>
              <w:jc w:val="right"/>
            </w:pPr>
            <w:r>
              <w:rPr>
                <w:color w:val="000000"/>
                <w:szCs w:val="21"/>
              </w:rPr>
              <w:t>221,006.02</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221,006.02</w:t>
            </w:r>
          </w:p>
        </w:tc>
      </w:tr>
      <w:tr w:rsidR="00CF426B">
        <w:tc>
          <w:tcPr>
            <w:tcW w:w="1477" w:type="dxa"/>
            <w:vAlign w:val="center"/>
          </w:tcPr>
          <w:p w:rsidR="00CF426B" w:rsidRDefault="005F6DDD">
            <w:pPr>
              <w:jc w:val="left"/>
            </w:pPr>
            <w:r>
              <w:rPr>
                <w:color w:val="000000"/>
                <w:szCs w:val="21"/>
              </w:rPr>
              <w:t>交易性金融资产</w:t>
            </w:r>
          </w:p>
        </w:tc>
        <w:tc>
          <w:tcPr>
            <w:tcW w:w="1943" w:type="dxa"/>
            <w:vAlign w:val="center"/>
          </w:tcPr>
          <w:p w:rsidR="00CF426B" w:rsidRDefault="005F6DDD">
            <w:pPr>
              <w:jc w:val="right"/>
            </w:pPr>
            <w:r>
              <w:rPr>
                <w:color w:val="000000"/>
                <w:szCs w:val="21"/>
              </w:rPr>
              <w:t>140,699,489.38</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140,699,489.38</w:t>
            </w:r>
          </w:p>
        </w:tc>
      </w:tr>
      <w:tr w:rsidR="00CF426B">
        <w:tc>
          <w:tcPr>
            <w:tcW w:w="1477" w:type="dxa"/>
            <w:vAlign w:val="center"/>
          </w:tcPr>
          <w:p w:rsidR="00CF426B" w:rsidRDefault="005F6DDD">
            <w:pPr>
              <w:jc w:val="left"/>
            </w:pPr>
            <w:r>
              <w:rPr>
                <w:color w:val="000000"/>
                <w:szCs w:val="21"/>
              </w:rPr>
              <w:t>衍生金融资产</w:t>
            </w:r>
          </w:p>
        </w:tc>
        <w:tc>
          <w:tcPr>
            <w:tcW w:w="1943" w:type="dxa"/>
            <w:vAlign w:val="center"/>
          </w:tcPr>
          <w:p w:rsidR="00CF426B" w:rsidRDefault="005F6DDD">
            <w:pPr>
              <w:jc w:val="right"/>
            </w:pPr>
            <w:r>
              <w:rPr>
                <w:color w:val="000000"/>
                <w:szCs w:val="21"/>
              </w:rPr>
              <w:t>-</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w:t>
            </w:r>
          </w:p>
        </w:tc>
      </w:tr>
      <w:tr w:rsidR="00CF426B">
        <w:tc>
          <w:tcPr>
            <w:tcW w:w="1477" w:type="dxa"/>
            <w:vAlign w:val="center"/>
          </w:tcPr>
          <w:p w:rsidR="00CF426B" w:rsidRDefault="005F6DDD">
            <w:pPr>
              <w:jc w:val="left"/>
            </w:pPr>
            <w:r>
              <w:rPr>
                <w:color w:val="000000"/>
                <w:szCs w:val="21"/>
              </w:rPr>
              <w:t>应收证券清算款</w:t>
            </w:r>
          </w:p>
        </w:tc>
        <w:tc>
          <w:tcPr>
            <w:tcW w:w="1943" w:type="dxa"/>
            <w:vAlign w:val="center"/>
          </w:tcPr>
          <w:p w:rsidR="00CF426B" w:rsidRDefault="005F6DDD">
            <w:pPr>
              <w:jc w:val="right"/>
            </w:pPr>
            <w:r>
              <w:rPr>
                <w:color w:val="000000"/>
                <w:szCs w:val="21"/>
              </w:rPr>
              <w:t>-</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w:t>
            </w:r>
          </w:p>
        </w:tc>
      </w:tr>
      <w:tr w:rsidR="00CF426B">
        <w:tc>
          <w:tcPr>
            <w:tcW w:w="1477" w:type="dxa"/>
            <w:vAlign w:val="center"/>
          </w:tcPr>
          <w:p w:rsidR="00CF426B" w:rsidRDefault="005F6DDD">
            <w:pPr>
              <w:jc w:val="left"/>
            </w:pPr>
            <w:r>
              <w:rPr>
                <w:color w:val="000000"/>
                <w:szCs w:val="21"/>
              </w:rPr>
              <w:t>应收利息</w:t>
            </w:r>
          </w:p>
        </w:tc>
        <w:tc>
          <w:tcPr>
            <w:tcW w:w="1943" w:type="dxa"/>
            <w:vAlign w:val="center"/>
          </w:tcPr>
          <w:p w:rsidR="00CF426B" w:rsidRDefault="005F6DDD">
            <w:pPr>
              <w:jc w:val="right"/>
            </w:pPr>
            <w:r>
              <w:rPr>
                <w:color w:val="000000"/>
                <w:szCs w:val="21"/>
              </w:rPr>
              <w:t>217.73</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217.73</w:t>
            </w:r>
          </w:p>
        </w:tc>
      </w:tr>
      <w:tr w:rsidR="00CF426B">
        <w:tc>
          <w:tcPr>
            <w:tcW w:w="1477" w:type="dxa"/>
            <w:vAlign w:val="center"/>
          </w:tcPr>
          <w:p w:rsidR="00CF426B" w:rsidRDefault="005F6DDD">
            <w:pPr>
              <w:jc w:val="left"/>
            </w:pPr>
            <w:r>
              <w:rPr>
                <w:color w:val="000000"/>
                <w:szCs w:val="21"/>
              </w:rPr>
              <w:t>应收股利</w:t>
            </w:r>
          </w:p>
        </w:tc>
        <w:tc>
          <w:tcPr>
            <w:tcW w:w="1943" w:type="dxa"/>
            <w:vAlign w:val="center"/>
          </w:tcPr>
          <w:p w:rsidR="00CF426B" w:rsidRDefault="005F6DDD">
            <w:pPr>
              <w:jc w:val="right"/>
            </w:pPr>
            <w:r>
              <w:rPr>
                <w:color w:val="000000"/>
                <w:szCs w:val="21"/>
              </w:rPr>
              <w:t>42,675.09</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42,675.09</w:t>
            </w:r>
          </w:p>
        </w:tc>
      </w:tr>
      <w:tr w:rsidR="00CF426B">
        <w:tc>
          <w:tcPr>
            <w:tcW w:w="1477" w:type="dxa"/>
            <w:vAlign w:val="center"/>
          </w:tcPr>
          <w:p w:rsidR="00CF426B" w:rsidRDefault="005F6DDD">
            <w:pPr>
              <w:jc w:val="left"/>
            </w:pPr>
            <w:r>
              <w:rPr>
                <w:color w:val="000000"/>
                <w:szCs w:val="21"/>
              </w:rPr>
              <w:t>应收申购款</w:t>
            </w:r>
          </w:p>
        </w:tc>
        <w:tc>
          <w:tcPr>
            <w:tcW w:w="1943" w:type="dxa"/>
            <w:vAlign w:val="center"/>
          </w:tcPr>
          <w:p w:rsidR="00CF426B" w:rsidRDefault="005F6DDD">
            <w:pPr>
              <w:jc w:val="right"/>
            </w:pPr>
            <w:r>
              <w:rPr>
                <w:color w:val="000000"/>
                <w:szCs w:val="21"/>
              </w:rPr>
              <w:t>273,139.86</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273,139.86</w:t>
            </w:r>
          </w:p>
        </w:tc>
      </w:tr>
      <w:tr w:rsidR="00CF426B">
        <w:tc>
          <w:tcPr>
            <w:tcW w:w="1477" w:type="dxa"/>
            <w:vAlign w:val="center"/>
          </w:tcPr>
          <w:p w:rsidR="00CF426B" w:rsidRDefault="005F6DDD">
            <w:pPr>
              <w:jc w:val="left"/>
            </w:pPr>
            <w:r>
              <w:rPr>
                <w:color w:val="000000"/>
                <w:szCs w:val="21"/>
              </w:rPr>
              <w:t>其他资产</w:t>
            </w:r>
          </w:p>
        </w:tc>
        <w:tc>
          <w:tcPr>
            <w:tcW w:w="1943" w:type="dxa"/>
            <w:vAlign w:val="center"/>
          </w:tcPr>
          <w:p w:rsidR="00CF426B" w:rsidRDefault="005F6DDD">
            <w:pPr>
              <w:jc w:val="right"/>
            </w:pPr>
            <w:r>
              <w:rPr>
                <w:color w:val="000000"/>
                <w:szCs w:val="21"/>
              </w:rPr>
              <w:t>-</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146,528,385.49</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146,528,385.49</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CF426B">
        <w:tc>
          <w:tcPr>
            <w:tcW w:w="1477" w:type="dxa"/>
            <w:vAlign w:val="center"/>
          </w:tcPr>
          <w:p w:rsidR="00CF426B" w:rsidRDefault="005F6DDD">
            <w:pPr>
              <w:jc w:val="left"/>
            </w:pPr>
            <w:r>
              <w:rPr>
                <w:color w:val="000000"/>
                <w:szCs w:val="21"/>
              </w:rPr>
              <w:t>应付证券清算款</w:t>
            </w:r>
          </w:p>
        </w:tc>
        <w:tc>
          <w:tcPr>
            <w:tcW w:w="1943" w:type="dxa"/>
            <w:vAlign w:val="center"/>
          </w:tcPr>
          <w:p w:rsidR="00CF426B" w:rsidRDefault="005F6DDD">
            <w:pPr>
              <w:jc w:val="right"/>
            </w:pPr>
            <w:r>
              <w:rPr>
                <w:color w:val="000000"/>
                <w:szCs w:val="21"/>
              </w:rPr>
              <w:t>4,107,750.15</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4,107,750.15</w:t>
            </w:r>
          </w:p>
        </w:tc>
      </w:tr>
      <w:tr w:rsidR="00CF426B">
        <w:tc>
          <w:tcPr>
            <w:tcW w:w="1477" w:type="dxa"/>
            <w:vAlign w:val="center"/>
          </w:tcPr>
          <w:p w:rsidR="00CF426B" w:rsidRDefault="005F6DDD">
            <w:pPr>
              <w:jc w:val="left"/>
            </w:pPr>
            <w:r>
              <w:rPr>
                <w:color w:val="000000"/>
                <w:szCs w:val="21"/>
              </w:rPr>
              <w:t>应付赎回款</w:t>
            </w:r>
          </w:p>
        </w:tc>
        <w:tc>
          <w:tcPr>
            <w:tcW w:w="1943" w:type="dxa"/>
            <w:vAlign w:val="center"/>
          </w:tcPr>
          <w:p w:rsidR="00CF426B" w:rsidRDefault="005F6DDD">
            <w:pPr>
              <w:jc w:val="right"/>
            </w:pPr>
            <w:r>
              <w:rPr>
                <w:color w:val="000000"/>
                <w:szCs w:val="21"/>
              </w:rPr>
              <w:t>54,333.09</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54,333.09</w:t>
            </w:r>
          </w:p>
        </w:tc>
      </w:tr>
      <w:tr w:rsidR="00CF426B">
        <w:tc>
          <w:tcPr>
            <w:tcW w:w="1477" w:type="dxa"/>
            <w:vAlign w:val="center"/>
          </w:tcPr>
          <w:p w:rsidR="00CF426B" w:rsidRDefault="005F6DDD">
            <w:pPr>
              <w:jc w:val="left"/>
            </w:pPr>
            <w:r>
              <w:rPr>
                <w:color w:val="000000"/>
                <w:szCs w:val="21"/>
              </w:rPr>
              <w:t>其他负债</w:t>
            </w:r>
          </w:p>
        </w:tc>
        <w:tc>
          <w:tcPr>
            <w:tcW w:w="1943" w:type="dxa"/>
            <w:vAlign w:val="center"/>
          </w:tcPr>
          <w:p w:rsidR="00CF426B" w:rsidRDefault="005F6DDD">
            <w:pPr>
              <w:jc w:val="right"/>
            </w:pPr>
            <w:r>
              <w:rPr>
                <w:color w:val="000000"/>
                <w:szCs w:val="21"/>
              </w:rPr>
              <w:t>33.83</w:t>
            </w:r>
          </w:p>
        </w:tc>
        <w:tc>
          <w:tcPr>
            <w:tcW w:w="1980"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2160" w:type="dxa"/>
            <w:vAlign w:val="center"/>
          </w:tcPr>
          <w:p w:rsidR="00CF426B" w:rsidRDefault="005F6DDD">
            <w:pPr>
              <w:jc w:val="right"/>
            </w:pPr>
            <w:r>
              <w:rPr>
                <w:color w:val="000000"/>
                <w:szCs w:val="21"/>
              </w:rPr>
              <w:t>33.83</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4,162,117.07</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4,162,117.07</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142,366,268.42</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142,366,268.42</w:t>
            </w:r>
          </w:p>
        </w:tc>
      </w:tr>
    </w:tbl>
    <w:p w:rsidR="00733249" w:rsidRDefault="00711C4C" w:rsidP="00733249">
      <w:pPr>
        <w:spacing w:beforeLines="100" w:before="312" w:line="360" w:lineRule="auto"/>
        <w:rPr>
          <w:rFonts w:eastAsiaTheme="minorEastAsia"/>
          <w:b/>
          <w:bCs/>
          <w:color w:val="000000"/>
          <w:szCs w:val="21"/>
        </w:rPr>
      </w:pPr>
      <w:r w:rsidRPr="0087410D">
        <w:rPr>
          <w:rFonts w:ascii="宋体" w:hAnsi="宋体"/>
          <w:b/>
          <w:szCs w:val="21"/>
        </w:rPr>
        <w:t>6.4.13.4.2.2</w:t>
      </w:r>
      <w:r w:rsidRPr="0087410D">
        <w:rPr>
          <w:rFonts w:ascii="宋体" w:hAnsi="宋体" w:hint="eastAsia"/>
          <w:b/>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CF426B">
        <w:tc>
          <w:tcPr>
            <w:tcW w:w="993" w:type="dxa"/>
            <w:vAlign w:val="center"/>
          </w:tcPr>
          <w:p w:rsidR="00CF426B" w:rsidRDefault="005F6DDD">
            <w:pPr>
              <w:jc w:val="left"/>
            </w:pPr>
            <w:r>
              <w:rPr>
                <w:rFonts w:eastAsiaTheme="minorEastAsia"/>
                <w:color w:val="000000"/>
                <w:szCs w:val="21"/>
              </w:rPr>
              <w:t>假设</w:t>
            </w:r>
          </w:p>
        </w:tc>
        <w:tc>
          <w:tcPr>
            <w:tcW w:w="8007" w:type="dxa"/>
            <w:gridSpan w:val="3"/>
            <w:vAlign w:val="center"/>
          </w:tcPr>
          <w:p w:rsidR="00CF426B" w:rsidRDefault="005F6DDD">
            <w:pPr>
              <w:jc w:val="center"/>
            </w:pPr>
            <w:r>
              <w:rPr>
                <w:rFonts w:eastAsiaTheme="minorEastAsia"/>
                <w:color w:val="000000"/>
                <w:szCs w:val="21"/>
              </w:rPr>
              <w:t>除汇率外其他因素保持不变</w:t>
            </w:r>
          </w:p>
        </w:tc>
      </w:tr>
      <w:tr w:rsidR="00733249" w:rsidTr="00A62F1C">
        <w:tc>
          <w:tcPr>
            <w:tcW w:w="993" w:type="dxa"/>
            <w:vMerge w:val="restart"/>
            <w:vAlign w:val="center"/>
            <w:hideMark/>
          </w:tcPr>
          <w:p w:rsidR="00733249" w:rsidRDefault="00733249">
            <w:pPr>
              <w:pStyle w:val="ae"/>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733249" w:rsidRDefault="00733249">
            <w:pPr>
              <w:jc w:val="center"/>
              <w:rPr>
                <w:rFonts w:eastAsiaTheme="minorEastAsia"/>
                <w:color w:val="000000"/>
                <w:szCs w:val="21"/>
              </w:rPr>
            </w:pPr>
            <w:r>
              <w:rPr>
                <w:rFonts w:eastAsiaTheme="minorEastAsia" w:hint="eastAsia"/>
                <w:color w:val="000000"/>
                <w:szCs w:val="21"/>
              </w:rPr>
              <w:t>对资产负债表日基金资产净值的</w:t>
            </w:r>
          </w:p>
          <w:p w:rsidR="00733249" w:rsidRDefault="00733249">
            <w:pPr>
              <w:jc w:val="center"/>
              <w:rPr>
                <w:rFonts w:eastAsiaTheme="minorEastAsia"/>
                <w:color w:val="000000"/>
                <w:szCs w:val="21"/>
              </w:rPr>
            </w:pPr>
          </w:p>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733249" w:rsidTr="00A62F1C">
        <w:tc>
          <w:tcPr>
            <w:tcW w:w="993" w:type="dxa"/>
            <w:vMerge/>
            <w:vAlign w:val="center"/>
            <w:hideMark/>
          </w:tcPr>
          <w:p w:rsidR="00733249" w:rsidRDefault="00733249">
            <w:pPr>
              <w:widowControl/>
              <w:jc w:val="left"/>
              <w:rPr>
                <w:rFonts w:eastAsiaTheme="minorEastAsia"/>
                <w:color w:val="000000"/>
                <w:szCs w:val="21"/>
              </w:rPr>
            </w:pPr>
          </w:p>
        </w:tc>
        <w:tc>
          <w:tcPr>
            <w:tcW w:w="8007" w:type="dxa"/>
            <w:vMerge/>
            <w:vAlign w:val="center"/>
            <w:hideMark/>
          </w:tcPr>
          <w:p w:rsidR="00733249" w:rsidRDefault="00733249">
            <w:pPr>
              <w:widowControl/>
              <w:jc w:val="left"/>
              <w:rPr>
                <w:rFonts w:eastAsiaTheme="minorEastAsia"/>
                <w:color w:val="000000"/>
                <w:kern w:val="0"/>
                <w:szCs w:val="21"/>
              </w:rPr>
            </w:pPr>
          </w:p>
        </w:tc>
        <w:tc>
          <w:tcPr>
            <w:tcW w:w="2373"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本期末</w:t>
            </w:r>
          </w:p>
          <w:p w:rsidR="00733249" w:rsidRDefault="00733249">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上年度末</w:t>
            </w:r>
          </w:p>
          <w:p w:rsidR="00733249" w:rsidRDefault="00733249">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CF426B">
        <w:tc>
          <w:tcPr>
            <w:tcW w:w="993" w:type="dxa"/>
            <w:vMerge/>
          </w:tcPr>
          <w:p w:rsidR="00CF426B" w:rsidRDefault="00CF426B"/>
        </w:tc>
        <w:tc>
          <w:tcPr>
            <w:tcW w:w="3260" w:type="dxa"/>
            <w:vAlign w:val="center"/>
          </w:tcPr>
          <w:p w:rsidR="00CF426B" w:rsidRDefault="005F6DDD">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CF426B" w:rsidRDefault="005F6DDD">
            <w:pPr>
              <w:jc w:val="right"/>
            </w:pPr>
            <w:r>
              <w:rPr>
                <w:rFonts w:eastAsiaTheme="minorEastAsia"/>
                <w:color w:val="000000"/>
                <w:szCs w:val="21"/>
              </w:rPr>
              <w:t>-31,233,535.35</w:t>
            </w:r>
          </w:p>
        </w:tc>
        <w:tc>
          <w:tcPr>
            <w:tcW w:w="2374" w:type="dxa"/>
            <w:vAlign w:val="center"/>
          </w:tcPr>
          <w:p w:rsidR="00CF426B" w:rsidRDefault="005F6DDD">
            <w:pPr>
              <w:jc w:val="right"/>
            </w:pPr>
            <w:r>
              <w:rPr>
                <w:rFonts w:eastAsiaTheme="minorEastAsia"/>
                <w:color w:val="000000"/>
                <w:szCs w:val="21"/>
              </w:rPr>
              <w:t>-7,118,313.42</w:t>
            </w:r>
          </w:p>
        </w:tc>
      </w:tr>
      <w:tr w:rsidR="00CF426B">
        <w:tc>
          <w:tcPr>
            <w:tcW w:w="993" w:type="dxa"/>
            <w:vMerge/>
          </w:tcPr>
          <w:p w:rsidR="00CF426B" w:rsidRDefault="00CF426B"/>
        </w:tc>
        <w:tc>
          <w:tcPr>
            <w:tcW w:w="3260" w:type="dxa"/>
            <w:vAlign w:val="center"/>
          </w:tcPr>
          <w:p w:rsidR="00CF426B" w:rsidRDefault="005F6DDD">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CF426B" w:rsidRDefault="005F6DDD">
            <w:pPr>
              <w:jc w:val="right"/>
            </w:pPr>
            <w:r>
              <w:rPr>
                <w:rFonts w:eastAsiaTheme="minorEastAsia"/>
                <w:color w:val="000000"/>
                <w:szCs w:val="21"/>
              </w:rPr>
              <w:t>31,233,535.35</w:t>
            </w:r>
          </w:p>
        </w:tc>
        <w:tc>
          <w:tcPr>
            <w:tcW w:w="2374" w:type="dxa"/>
            <w:vAlign w:val="center"/>
          </w:tcPr>
          <w:p w:rsidR="00CF426B" w:rsidRDefault="005F6DDD">
            <w:pPr>
              <w:jc w:val="right"/>
            </w:pPr>
            <w:r>
              <w:rPr>
                <w:rFonts w:eastAsiaTheme="minorEastAsia"/>
                <w:color w:val="000000"/>
                <w:szCs w:val="21"/>
              </w:rPr>
              <w:t>7,118,313.42</w:t>
            </w:r>
          </w:p>
        </w:tc>
      </w:tr>
    </w:tbl>
    <w:p w:rsidR="00711C4C" w:rsidRPr="0087410D" w:rsidRDefault="00711C4C" w:rsidP="00733249">
      <w:pPr>
        <w:spacing w:line="360" w:lineRule="auto"/>
        <w:ind w:firstLineChars="197" w:firstLine="415"/>
        <w:rPr>
          <w:rFonts w:ascii="宋体"/>
          <w:b/>
          <w:szCs w:val="21"/>
        </w:rPr>
      </w:pPr>
      <w:r w:rsidRPr="0087410D">
        <w:rPr>
          <w:rFonts w:ascii="宋体" w:hAnsi="宋体"/>
          <w:b/>
          <w:szCs w:val="21"/>
        </w:rPr>
        <w:t>6.4.13.4.3</w:t>
      </w:r>
      <w:r w:rsidRPr="0087410D">
        <w:rPr>
          <w:rFonts w:ascii="宋体" w:hAnsi="宋体" w:hint="eastAsia"/>
          <w:b/>
          <w:szCs w:val="21"/>
        </w:rPr>
        <w:t>其他价格风险</w:t>
      </w:r>
    </w:p>
    <w:p w:rsidR="00CF426B" w:rsidRDefault="005F6DDD">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本基金的基金管理人采用</w:t>
      </w:r>
      <w:r w:rsidRPr="00D749D4">
        <w:rPr>
          <w:kern w:val="0"/>
          <w:szCs w:val="21"/>
        </w:rPr>
        <w:t>Barra</w:t>
      </w:r>
      <w:r w:rsidRPr="00D749D4">
        <w:rPr>
          <w:kern w:val="0"/>
          <w:szCs w:val="21"/>
        </w:rPr>
        <w:t>风险管理系统，通过标准差、跟踪误差、</w:t>
      </w:r>
      <w:r w:rsidRPr="00D749D4">
        <w:rPr>
          <w:kern w:val="0"/>
          <w:szCs w:val="21"/>
        </w:rPr>
        <w:t>beta</w:t>
      </w:r>
      <w:r w:rsidRPr="00D749D4">
        <w:rPr>
          <w:kern w:val="0"/>
          <w:szCs w:val="21"/>
        </w:rPr>
        <w:t>值、</w:t>
      </w:r>
      <w:r w:rsidRPr="00D749D4">
        <w:rPr>
          <w:kern w:val="0"/>
          <w:szCs w:val="21"/>
        </w:rPr>
        <w:t>VAR</w:t>
      </w:r>
      <w:r w:rsidRPr="00D749D4">
        <w:rPr>
          <w:kern w:val="0"/>
          <w:szCs w:val="21"/>
        </w:rPr>
        <w:t>等指标，监控投资组合面临的市场价格波动风险。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6.4.13.4.3.1</w:t>
      </w:r>
      <w:r w:rsidRPr="0087410D">
        <w:rPr>
          <w:rFonts w:ascii="宋体" w:hAnsi="宋体" w:hint="eastAsia"/>
          <w:b/>
          <w:szCs w:val="21"/>
        </w:rPr>
        <w:t>其他价格风险敞口</w:t>
      </w:r>
    </w:p>
    <w:p w:rsidR="00711C4C" w:rsidRPr="00D749D4" w:rsidRDefault="00711C4C" w:rsidP="004A2F25">
      <w:pPr>
        <w:spacing w:line="288" w:lineRule="auto"/>
        <w:ind w:firstLine="420"/>
        <w:jc w:val="right"/>
        <w:rPr>
          <w:bCs/>
          <w:color w:val="000000"/>
          <w:szCs w:val="21"/>
        </w:rPr>
      </w:pPr>
      <w:r w:rsidRPr="00D749D4">
        <w:rPr>
          <w:rFonts w:hint="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470"/>
        <w:gridCol w:w="1470"/>
        <w:gridCol w:w="1470"/>
        <w:gridCol w:w="1471"/>
      </w:tblGrid>
      <w:tr w:rsidR="00711C4C" w:rsidRPr="00D749D4" w:rsidTr="003D5A2B">
        <w:tc>
          <w:tcPr>
            <w:tcW w:w="3119" w:type="dxa"/>
            <w:vMerge w:val="restart"/>
            <w:vAlign w:val="center"/>
          </w:tcPr>
          <w:p w:rsidR="00711C4C" w:rsidRPr="00D749D4" w:rsidRDefault="00711C4C" w:rsidP="00F5070F">
            <w:pPr>
              <w:jc w:val="center"/>
              <w:rPr>
                <w:color w:val="000000"/>
                <w:szCs w:val="21"/>
              </w:rPr>
            </w:pPr>
            <w:r w:rsidRPr="00D749D4">
              <w:rPr>
                <w:rFonts w:hint="eastAsia"/>
                <w:color w:val="000000"/>
                <w:szCs w:val="21"/>
              </w:rPr>
              <w:t>项目</w:t>
            </w:r>
          </w:p>
        </w:tc>
        <w:tc>
          <w:tcPr>
            <w:tcW w:w="2940" w:type="dxa"/>
            <w:gridSpan w:val="2"/>
            <w:vAlign w:val="center"/>
          </w:tcPr>
          <w:p w:rsidR="00711C4C" w:rsidRPr="00D749D4" w:rsidRDefault="00711C4C" w:rsidP="004A4847">
            <w:pPr>
              <w:jc w:val="center"/>
              <w:rPr>
                <w:color w:val="000000"/>
                <w:szCs w:val="21"/>
              </w:rPr>
            </w:pPr>
            <w:r w:rsidRPr="00D749D4">
              <w:rPr>
                <w:rFonts w:hint="eastAsia"/>
                <w:color w:val="000000"/>
                <w:szCs w:val="21"/>
              </w:rPr>
              <w:t>本期末</w:t>
            </w:r>
          </w:p>
          <w:p w:rsidR="00711C4C" w:rsidRPr="00D749D4" w:rsidRDefault="00711C4C" w:rsidP="004A4847">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941" w:type="dxa"/>
            <w:gridSpan w:val="2"/>
            <w:vAlign w:val="center"/>
          </w:tcPr>
          <w:p w:rsidR="00711C4C" w:rsidRPr="00D749D4" w:rsidRDefault="00711C4C" w:rsidP="004A4847">
            <w:pPr>
              <w:jc w:val="center"/>
              <w:rPr>
                <w:color w:val="000000"/>
                <w:szCs w:val="21"/>
              </w:rPr>
            </w:pPr>
            <w:r w:rsidRPr="00D749D4">
              <w:rPr>
                <w:rFonts w:hint="eastAsia"/>
                <w:color w:val="000000"/>
                <w:szCs w:val="21"/>
              </w:rPr>
              <w:t>上年度末</w:t>
            </w:r>
          </w:p>
          <w:p w:rsidR="00711C4C" w:rsidRPr="00D749D4" w:rsidRDefault="00711C4C" w:rsidP="007418FE">
            <w:pPr>
              <w:jc w:val="center"/>
              <w:rPr>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711C4C" w:rsidRPr="00D749D4" w:rsidTr="003D5A2B">
        <w:tc>
          <w:tcPr>
            <w:tcW w:w="3119" w:type="dxa"/>
            <w:vMerge/>
            <w:vAlign w:val="center"/>
          </w:tcPr>
          <w:p w:rsidR="00711C4C" w:rsidRPr="00D749D4" w:rsidRDefault="00711C4C" w:rsidP="004A4847">
            <w:pPr>
              <w:widowControl/>
              <w:jc w:val="left"/>
              <w:rPr>
                <w:color w:val="000000"/>
                <w:szCs w:val="21"/>
              </w:rPr>
            </w:pPr>
          </w:p>
        </w:tc>
        <w:tc>
          <w:tcPr>
            <w:tcW w:w="1470" w:type="dxa"/>
            <w:vAlign w:val="center"/>
          </w:tcPr>
          <w:p w:rsidR="00711C4C" w:rsidRPr="00D749D4" w:rsidRDefault="00711C4C" w:rsidP="004A4847">
            <w:pPr>
              <w:ind w:right="142"/>
              <w:jc w:val="center"/>
              <w:rPr>
                <w:color w:val="000000"/>
                <w:szCs w:val="21"/>
              </w:rPr>
            </w:pPr>
            <w:r w:rsidRPr="00D749D4">
              <w:rPr>
                <w:rFonts w:hint="eastAsia"/>
                <w:color w:val="000000"/>
                <w:szCs w:val="21"/>
              </w:rPr>
              <w:t>公允价值</w:t>
            </w:r>
          </w:p>
        </w:tc>
        <w:tc>
          <w:tcPr>
            <w:tcW w:w="1470" w:type="dxa"/>
            <w:vAlign w:val="center"/>
          </w:tcPr>
          <w:p w:rsidR="00711C4C" w:rsidRPr="00D749D4" w:rsidRDefault="00711C4C" w:rsidP="004A4847">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c>
          <w:tcPr>
            <w:tcW w:w="1470" w:type="dxa"/>
            <w:vAlign w:val="center"/>
          </w:tcPr>
          <w:p w:rsidR="00711C4C" w:rsidRPr="00D749D4" w:rsidRDefault="00711C4C" w:rsidP="007418FE">
            <w:pPr>
              <w:ind w:right="113"/>
              <w:jc w:val="center"/>
              <w:rPr>
                <w:color w:val="000000"/>
                <w:szCs w:val="21"/>
              </w:rPr>
            </w:pPr>
            <w:r w:rsidRPr="00D749D4">
              <w:rPr>
                <w:rFonts w:hint="eastAsia"/>
                <w:color w:val="000000"/>
                <w:szCs w:val="21"/>
              </w:rPr>
              <w:t>公允价值</w:t>
            </w:r>
          </w:p>
        </w:tc>
        <w:tc>
          <w:tcPr>
            <w:tcW w:w="1471" w:type="dxa"/>
            <w:vAlign w:val="center"/>
          </w:tcPr>
          <w:p w:rsidR="00711C4C" w:rsidRPr="00D749D4" w:rsidRDefault="00711C4C" w:rsidP="007418FE">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rFonts w:hint="eastAsia"/>
                <w:szCs w:val="21"/>
              </w:rPr>
              <w:t>－</w:t>
            </w:r>
            <w:r w:rsidRPr="00D749D4">
              <w:rPr>
                <w:rFonts w:hint="eastAsia"/>
                <w:color w:val="000000"/>
                <w:szCs w:val="21"/>
              </w:rPr>
              <w:t>股票投资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588,488,753.30</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94.07</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137,733,069.62</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92.41</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color w:val="000000"/>
                <w:szCs w:val="21"/>
              </w:rPr>
              <w:t>—</w:t>
            </w:r>
            <w:r w:rsidRPr="00D749D4">
              <w:rPr>
                <w:rFonts w:hint="eastAsia"/>
                <w:color w:val="000000"/>
                <w:szCs w:val="21"/>
              </w:rPr>
              <w:t>基金投资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2,966,419.76</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1.99</w:t>
            </w:r>
          </w:p>
        </w:tc>
      </w:tr>
      <w:tr w:rsidR="0057658C" w:rsidRPr="00D749D4" w:rsidTr="003D5A2B">
        <w:tc>
          <w:tcPr>
            <w:tcW w:w="3119" w:type="dxa"/>
            <w:vAlign w:val="center"/>
          </w:tcPr>
          <w:p w:rsidR="0057658C" w:rsidRPr="00224952" w:rsidRDefault="0057658C" w:rsidP="0057658C">
            <w:pPr>
              <w:spacing w:line="360" w:lineRule="auto"/>
              <w:jc w:val="left"/>
              <w:rPr>
                <w:szCs w:val="21"/>
              </w:rPr>
            </w:pPr>
            <w:r w:rsidRPr="00224952">
              <w:rPr>
                <w:rFonts w:hint="eastAsia"/>
                <w:szCs w:val="21"/>
              </w:rPr>
              <w:t>交易性金融资产－贵金属投资</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1"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衍生金融资产－权证投资</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其他</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rPr>
                <w:color w:val="000000"/>
                <w:szCs w:val="21"/>
              </w:rPr>
            </w:pPr>
            <w:r w:rsidRPr="00D749D4">
              <w:rPr>
                <w:rFonts w:hint="eastAsia"/>
                <w:color w:val="000000"/>
                <w:szCs w:val="21"/>
              </w:rPr>
              <w:t>合计</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588,488,753.30</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94.07</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140,699,489.38</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94.40</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6.4.13.4.3.2</w:t>
      </w:r>
      <w:r w:rsidRPr="0087410D">
        <w:rPr>
          <w:rFonts w:ascii="宋体" w:hAnsi="宋体" w:hint="eastAsia"/>
          <w:b/>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CF426B">
        <w:tc>
          <w:tcPr>
            <w:tcW w:w="993" w:type="dxa"/>
            <w:vAlign w:val="center"/>
          </w:tcPr>
          <w:p w:rsidR="00CF426B" w:rsidRDefault="005F6DDD">
            <w:pPr>
              <w:jc w:val="left"/>
            </w:pPr>
            <w:r>
              <w:rPr>
                <w:color w:val="000000"/>
                <w:szCs w:val="21"/>
              </w:rPr>
              <w:t>假设</w:t>
            </w:r>
          </w:p>
        </w:tc>
        <w:tc>
          <w:tcPr>
            <w:tcW w:w="8079" w:type="dxa"/>
            <w:gridSpan w:val="4"/>
            <w:vAlign w:val="center"/>
          </w:tcPr>
          <w:p w:rsidR="00CF426B" w:rsidRDefault="005F6DDD">
            <w:pPr>
              <w:jc w:val="center"/>
            </w:pPr>
            <w:r>
              <w:rPr>
                <w:color w:val="000000"/>
                <w:szCs w:val="21"/>
              </w:rPr>
              <w:t>除业绩比较基准以外的其他市场变量保持不变</w:t>
            </w:r>
          </w:p>
        </w:tc>
      </w:tr>
      <w:tr w:rsidR="00711C4C" w:rsidRPr="00D749D4" w:rsidTr="003D5A2B">
        <w:trPr>
          <w:gridAfter w:val="1"/>
          <w:wAfter w:w="72" w:type="dxa"/>
        </w:trPr>
        <w:tc>
          <w:tcPr>
            <w:tcW w:w="993" w:type="dxa"/>
            <w:vMerge w:val="restart"/>
            <w:vAlign w:val="center"/>
          </w:tcPr>
          <w:p w:rsidR="00711C4C" w:rsidRPr="00FF0BB2" w:rsidRDefault="00711C4C" w:rsidP="004F6780">
            <w:pPr>
              <w:pStyle w:val="ae"/>
              <w:jc w:val="center"/>
              <w:rPr>
                <w:color w:val="000000"/>
                <w:sz w:val="21"/>
                <w:szCs w:val="21"/>
              </w:rPr>
            </w:pPr>
            <w:r w:rsidRPr="00CE7EE0">
              <w:rPr>
                <w:rFonts w:hint="eastAsia"/>
                <w:bCs/>
                <w:color w:val="000000"/>
                <w:sz w:val="21"/>
                <w:szCs w:val="21"/>
              </w:rPr>
              <w:t>分析</w:t>
            </w:r>
          </w:p>
        </w:tc>
        <w:tc>
          <w:tcPr>
            <w:tcW w:w="2448" w:type="dxa"/>
            <w:vMerge w:val="restart"/>
            <w:vAlign w:val="center"/>
          </w:tcPr>
          <w:p w:rsidR="00711C4C" w:rsidRPr="00D749D4" w:rsidRDefault="00711C4C" w:rsidP="007C6EA8">
            <w:pPr>
              <w:widowControl/>
              <w:autoSpaceDE w:val="0"/>
              <w:autoSpaceDN w:val="0"/>
              <w:ind w:right="-15"/>
              <w:jc w:val="center"/>
              <w:textAlignment w:val="bottom"/>
              <w:rPr>
                <w:color w:val="000000"/>
                <w:kern w:val="0"/>
                <w:szCs w:val="21"/>
              </w:rPr>
            </w:pPr>
            <w:r w:rsidRPr="00D749D4">
              <w:rPr>
                <w:rFonts w:hint="eastAsia"/>
                <w:bCs/>
                <w:color w:val="000000"/>
                <w:szCs w:val="21"/>
              </w:rPr>
              <w:t>相关风险变量的变动</w:t>
            </w:r>
          </w:p>
        </w:tc>
        <w:tc>
          <w:tcPr>
            <w:tcW w:w="5559" w:type="dxa"/>
            <w:gridSpan w:val="2"/>
            <w:vAlign w:val="center"/>
          </w:tcPr>
          <w:p w:rsidR="00711C4C" w:rsidRPr="00D749D4" w:rsidRDefault="00711C4C" w:rsidP="007C6EA8">
            <w:pPr>
              <w:jc w:val="center"/>
              <w:rPr>
                <w:color w:val="000000"/>
                <w:szCs w:val="21"/>
              </w:rPr>
            </w:pPr>
            <w:r w:rsidRPr="00D749D4">
              <w:rPr>
                <w:rFonts w:hint="eastAsia"/>
                <w:color w:val="000000"/>
                <w:szCs w:val="21"/>
              </w:rPr>
              <w:t>对资产负债表日基金资产净值的</w:t>
            </w:r>
          </w:p>
          <w:p w:rsidR="00711C4C" w:rsidRPr="00D749D4" w:rsidRDefault="00711C4C" w:rsidP="006E53C3">
            <w:pPr>
              <w:widowControl/>
              <w:autoSpaceDE w:val="0"/>
              <w:autoSpaceDN w:val="0"/>
              <w:ind w:right="-15"/>
              <w:jc w:val="center"/>
              <w:textAlignment w:val="bottom"/>
              <w:rPr>
                <w:color w:val="000000"/>
                <w:kern w:val="0"/>
                <w:szCs w:val="21"/>
              </w:rPr>
            </w:pPr>
            <w:r w:rsidRPr="00D749D4">
              <w:rPr>
                <w:rFonts w:hint="eastAsia"/>
                <w:color w:val="000000"/>
                <w:szCs w:val="21"/>
              </w:rPr>
              <w:t>影响金额（单位：人民币元）</w:t>
            </w:r>
          </w:p>
        </w:tc>
      </w:tr>
      <w:tr w:rsidR="00711C4C" w:rsidRPr="00D749D4" w:rsidTr="003D5A2B">
        <w:trPr>
          <w:gridAfter w:val="1"/>
          <w:wAfter w:w="72" w:type="dxa"/>
        </w:trPr>
        <w:tc>
          <w:tcPr>
            <w:tcW w:w="993" w:type="dxa"/>
            <w:vMerge/>
            <w:vAlign w:val="center"/>
          </w:tcPr>
          <w:p w:rsidR="00711C4C" w:rsidRPr="00D749D4" w:rsidRDefault="00711C4C" w:rsidP="007C6EA8">
            <w:pPr>
              <w:widowControl/>
              <w:jc w:val="left"/>
              <w:rPr>
                <w:color w:val="000000"/>
                <w:szCs w:val="21"/>
              </w:rPr>
            </w:pPr>
          </w:p>
        </w:tc>
        <w:tc>
          <w:tcPr>
            <w:tcW w:w="2448" w:type="dxa"/>
            <w:vMerge/>
            <w:vAlign w:val="center"/>
          </w:tcPr>
          <w:p w:rsidR="00711C4C" w:rsidRPr="00D749D4" w:rsidRDefault="00711C4C" w:rsidP="007C6EA8">
            <w:pPr>
              <w:widowControl/>
              <w:jc w:val="left"/>
              <w:rPr>
                <w:color w:val="000000"/>
                <w:kern w:val="0"/>
                <w:szCs w:val="21"/>
              </w:rPr>
            </w:pPr>
          </w:p>
        </w:tc>
        <w:tc>
          <w:tcPr>
            <w:tcW w:w="2880" w:type="dxa"/>
            <w:vAlign w:val="center"/>
          </w:tcPr>
          <w:p w:rsidR="00711C4C" w:rsidRPr="00D749D4" w:rsidRDefault="00711C4C" w:rsidP="00DB1E0B">
            <w:pPr>
              <w:spacing w:line="360" w:lineRule="auto"/>
              <w:ind w:firstLineChars="350" w:firstLine="735"/>
              <w:rPr>
                <w:color w:val="000000"/>
                <w:szCs w:val="21"/>
              </w:rPr>
            </w:pPr>
            <w:r w:rsidRPr="00D749D4">
              <w:rPr>
                <w:rFonts w:hint="eastAsia"/>
                <w:color w:val="000000"/>
                <w:szCs w:val="21"/>
              </w:rPr>
              <w:t>本期末</w:t>
            </w:r>
          </w:p>
          <w:p w:rsidR="00711C4C" w:rsidRPr="00D749D4" w:rsidRDefault="00711C4C" w:rsidP="007C6EA8">
            <w:pPr>
              <w:spacing w:line="360" w:lineRule="auto"/>
              <w:jc w:val="center"/>
              <w:rPr>
                <w:bCs/>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679" w:type="dxa"/>
            <w:vAlign w:val="center"/>
          </w:tcPr>
          <w:p w:rsidR="00711C4C" w:rsidRPr="00D749D4" w:rsidRDefault="00711C4C" w:rsidP="00DB1E0B">
            <w:pPr>
              <w:spacing w:line="360" w:lineRule="auto"/>
              <w:ind w:firstLineChars="300" w:firstLine="630"/>
              <w:rPr>
                <w:color w:val="000000"/>
                <w:szCs w:val="21"/>
              </w:rPr>
            </w:pPr>
            <w:r w:rsidRPr="00D749D4">
              <w:rPr>
                <w:rFonts w:hint="eastAsia"/>
                <w:color w:val="000000"/>
                <w:szCs w:val="21"/>
              </w:rPr>
              <w:t>上年度末</w:t>
            </w:r>
          </w:p>
          <w:p w:rsidR="00711C4C" w:rsidRPr="00D749D4" w:rsidRDefault="00711C4C" w:rsidP="007C6EA8">
            <w:pPr>
              <w:spacing w:line="360" w:lineRule="auto"/>
              <w:jc w:val="center"/>
              <w:rPr>
                <w:bCs/>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CF426B">
        <w:trPr>
          <w:gridAfter w:val="1"/>
          <w:wAfter w:w="72" w:type="dxa"/>
        </w:trPr>
        <w:tc>
          <w:tcPr>
            <w:tcW w:w="993" w:type="dxa"/>
            <w:vMerge/>
          </w:tcPr>
          <w:p w:rsidR="00CF426B" w:rsidRDefault="00CF426B"/>
        </w:tc>
        <w:tc>
          <w:tcPr>
            <w:tcW w:w="2448" w:type="dxa"/>
            <w:vAlign w:val="center"/>
          </w:tcPr>
          <w:p w:rsidR="00CF426B" w:rsidRDefault="005F6DDD">
            <w:r>
              <w:rPr>
                <w:color w:val="000000"/>
                <w:szCs w:val="21"/>
              </w:rPr>
              <w:t>1.</w:t>
            </w:r>
            <w:r>
              <w:rPr>
                <w:color w:val="000000"/>
                <w:szCs w:val="21"/>
              </w:rPr>
              <w:t>业绩比较基准上升</w:t>
            </w:r>
            <w:r>
              <w:rPr>
                <w:color w:val="000000"/>
                <w:szCs w:val="21"/>
              </w:rPr>
              <w:t>5%</w:t>
            </w:r>
          </w:p>
        </w:tc>
        <w:tc>
          <w:tcPr>
            <w:tcW w:w="2880" w:type="dxa"/>
            <w:vAlign w:val="center"/>
          </w:tcPr>
          <w:p w:rsidR="00CF426B" w:rsidRDefault="005F6DDD">
            <w:pPr>
              <w:jc w:val="right"/>
            </w:pPr>
            <w:r>
              <w:rPr>
                <w:color w:val="000000"/>
                <w:szCs w:val="21"/>
              </w:rPr>
              <w:t>29,424,437.51</w:t>
            </w:r>
          </w:p>
        </w:tc>
        <w:tc>
          <w:tcPr>
            <w:tcW w:w="2679" w:type="dxa"/>
            <w:vAlign w:val="center"/>
          </w:tcPr>
          <w:p w:rsidR="00CF426B" w:rsidRDefault="005F6DDD">
            <w:pPr>
              <w:jc w:val="right"/>
            </w:pPr>
            <w:r>
              <w:rPr>
                <w:color w:val="000000"/>
                <w:szCs w:val="21"/>
              </w:rPr>
              <w:t>7,034,974.43</w:t>
            </w:r>
          </w:p>
        </w:tc>
      </w:tr>
      <w:tr w:rsidR="00CF426B">
        <w:trPr>
          <w:gridAfter w:val="1"/>
          <w:wAfter w:w="72" w:type="dxa"/>
        </w:trPr>
        <w:tc>
          <w:tcPr>
            <w:tcW w:w="993" w:type="dxa"/>
            <w:vMerge/>
          </w:tcPr>
          <w:p w:rsidR="00CF426B" w:rsidRDefault="00CF426B"/>
        </w:tc>
        <w:tc>
          <w:tcPr>
            <w:tcW w:w="2448" w:type="dxa"/>
            <w:vAlign w:val="center"/>
          </w:tcPr>
          <w:p w:rsidR="00CF426B" w:rsidRDefault="005F6DDD">
            <w:r>
              <w:rPr>
                <w:color w:val="000000"/>
                <w:szCs w:val="21"/>
              </w:rPr>
              <w:t>2.</w:t>
            </w:r>
            <w:r>
              <w:rPr>
                <w:color w:val="000000"/>
                <w:szCs w:val="21"/>
              </w:rPr>
              <w:t>业绩比较基准下降</w:t>
            </w:r>
            <w:r>
              <w:rPr>
                <w:color w:val="000000"/>
                <w:szCs w:val="21"/>
              </w:rPr>
              <w:t>5%</w:t>
            </w:r>
          </w:p>
        </w:tc>
        <w:tc>
          <w:tcPr>
            <w:tcW w:w="2880" w:type="dxa"/>
            <w:vAlign w:val="center"/>
          </w:tcPr>
          <w:p w:rsidR="00CF426B" w:rsidRDefault="005F6DDD">
            <w:pPr>
              <w:jc w:val="right"/>
            </w:pPr>
            <w:r>
              <w:rPr>
                <w:color w:val="000000"/>
                <w:szCs w:val="21"/>
              </w:rPr>
              <w:t>-29,424,437.51</w:t>
            </w:r>
          </w:p>
        </w:tc>
        <w:tc>
          <w:tcPr>
            <w:tcW w:w="2679" w:type="dxa"/>
            <w:vAlign w:val="center"/>
          </w:tcPr>
          <w:p w:rsidR="00CF426B" w:rsidRDefault="005F6DDD">
            <w:pPr>
              <w:jc w:val="right"/>
            </w:pPr>
            <w:r>
              <w:rPr>
                <w:color w:val="000000"/>
                <w:szCs w:val="21"/>
              </w:rPr>
              <w:t>-7,034,974.43</w:t>
            </w:r>
          </w:p>
        </w:tc>
      </w:tr>
    </w:tbl>
    <w:p w:rsidR="00711C4C" w:rsidRPr="00D749D4" w:rsidRDefault="00711C4C" w:rsidP="00DB1E0B">
      <w:pPr>
        <w:spacing w:line="360" w:lineRule="auto"/>
        <w:ind w:firstLineChars="197" w:firstLine="415"/>
        <w:rPr>
          <w:b/>
          <w:color w:val="000000"/>
          <w:szCs w:val="21"/>
        </w:rPr>
      </w:pPr>
      <w:r w:rsidRPr="00D749D4">
        <w:rPr>
          <w:b/>
          <w:bCs/>
          <w:color w:val="000000"/>
          <w:kern w:val="0"/>
          <w:szCs w:val="21"/>
        </w:rPr>
        <w:t>6.4.14</w:t>
      </w:r>
      <w:r w:rsidRPr="00D749D4">
        <w:rPr>
          <w:rFonts w:hint="eastAsia"/>
          <w:b/>
          <w:color w:val="000000"/>
          <w:szCs w:val="21"/>
        </w:rPr>
        <w:t>有助于理解和分析</w:t>
      </w:r>
      <w:r w:rsidRPr="00D749D4">
        <w:rPr>
          <w:rFonts w:hint="eastAsia"/>
          <w:b/>
          <w:szCs w:val="21"/>
        </w:rPr>
        <w:t>会计报表</w:t>
      </w:r>
      <w:r w:rsidRPr="00D749D4">
        <w:rPr>
          <w:rFonts w:hint="eastAsia"/>
          <w:b/>
          <w:color w:val="000000"/>
          <w:szCs w:val="21"/>
        </w:rPr>
        <w:t>需要说明的其他事项</w:t>
      </w:r>
    </w:p>
    <w:p w:rsidR="00CF426B" w:rsidRDefault="005F6DDD">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CF426B" w:rsidRDefault="005F6DDD">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CF426B" w:rsidRDefault="005F6DDD">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CF426B" w:rsidRDefault="005F6DDD">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CF426B" w:rsidRDefault="005F6DDD">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CF426B" w:rsidRDefault="005F6DDD">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CF426B" w:rsidRDefault="005F6DDD">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CF426B" w:rsidRDefault="005F6DDD">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CF426B" w:rsidRDefault="005F6DDD">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588,488,753.30</w:t>
      </w:r>
      <w:r>
        <w:rPr>
          <w:kern w:val="0"/>
          <w:szCs w:val="21"/>
        </w:rPr>
        <w:t>元，无属于第二层次的余额，无属于第三层次的余额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140,699,489.38</w:t>
      </w:r>
      <w:r>
        <w:rPr>
          <w:kern w:val="0"/>
          <w:szCs w:val="21"/>
        </w:rPr>
        <w:t>元，无属于第二层次的余额，无属于第三层次的余额</w:t>
      </w:r>
      <w:r>
        <w:rPr>
          <w:kern w:val="0"/>
          <w:szCs w:val="21"/>
        </w:rPr>
        <w:t xml:space="preserve">) </w:t>
      </w:r>
      <w:r>
        <w:rPr>
          <w:kern w:val="0"/>
          <w:szCs w:val="21"/>
        </w:rPr>
        <w:t>。</w:t>
      </w:r>
    </w:p>
    <w:p w:rsidR="00CF426B" w:rsidRDefault="005F6DDD">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CF426B" w:rsidRDefault="005F6DDD">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CF426B" w:rsidRDefault="005F6DDD">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p>
    <w:p w:rsidR="00CF426B" w:rsidRDefault="005F6DDD">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CF426B" w:rsidRDefault="005F6DDD">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CF426B" w:rsidRDefault="005F6DDD">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CF426B" w:rsidRDefault="005F6DDD">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CF426B" w:rsidRDefault="005F6DDD">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除公允价值外，截至资产负债表日本基金无需要说明的其他重要事项。</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90" w:name="_Toc225498272"/>
      <w:bookmarkStart w:id="191" w:name="_Toc352255995"/>
      <w:bookmarkStart w:id="192" w:name="_Toc352256063"/>
      <w:bookmarkStart w:id="193" w:name="_Toc352331241"/>
      <w:bookmarkStart w:id="194" w:name="_Toc374611666"/>
      <w:bookmarkStart w:id="195" w:name="_Toc48664236"/>
      <w:r w:rsidRPr="00964699">
        <w:rPr>
          <w:rFonts w:ascii="宋体" w:hAnsi="宋体" w:cs="Arial"/>
          <w:color w:val="000000"/>
          <w:sz w:val="21"/>
          <w:szCs w:val="21"/>
        </w:rPr>
        <w:t>7</w:t>
      </w:r>
      <w:r w:rsidR="006B4E2C" w:rsidRPr="006B4E2C">
        <w:rPr>
          <w:rFonts w:ascii="宋体" w:hAnsi="宋体" w:cs="Arial"/>
          <w:color w:val="000000"/>
          <w:sz w:val="21"/>
          <w:szCs w:val="21"/>
        </w:rPr>
        <w:tab/>
      </w:r>
      <w:r w:rsidRPr="00964699">
        <w:rPr>
          <w:rFonts w:ascii="宋体" w:hAnsi="宋体" w:cs="Arial" w:hint="eastAsia"/>
          <w:color w:val="000000"/>
          <w:sz w:val="21"/>
          <w:szCs w:val="21"/>
        </w:rPr>
        <w:t>投资组合报告</w:t>
      </w:r>
      <w:bookmarkEnd w:id="190"/>
      <w:bookmarkEnd w:id="191"/>
      <w:bookmarkEnd w:id="192"/>
      <w:bookmarkEnd w:id="193"/>
      <w:bookmarkEnd w:id="194"/>
      <w:bookmarkEnd w:id="19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96" w:name="_Toc225498273"/>
      <w:bookmarkStart w:id="197" w:name="_Toc352255996"/>
      <w:bookmarkStart w:id="198" w:name="_Toc352256064"/>
      <w:bookmarkStart w:id="199" w:name="_Toc352331242"/>
      <w:bookmarkStart w:id="200" w:name="_Toc374611667"/>
      <w:bookmarkStart w:id="201" w:name="_Toc48664237"/>
      <w:r w:rsidRPr="0087410D">
        <w:rPr>
          <w:rFonts w:ascii="宋体" w:hAnsi="宋体"/>
          <w:kern w:val="0"/>
          <w:sz w:val="21"/>
          <w:szCs w:val="21"/>
        </w:rPr>
        <w:t>7.1</w:t>
      </w:r>
      <w:r w:rsidR="00BE2F8C" w:rsidRPr="006B4E2C">
        <w:rPr>
          <w:rFonts w:ascii="宋体" w:hAnsi="宋体"/>
          <w:kern w:val="0"/>
          <w:sz w:val="21"/>
          <w:szCs w:val="21"/>
        </w:rPr>
        <w:tab/>
      </w:r>
      <w:r w:rsidRPr="0087410D">
        <w:rPr>
          <w:rFonts w:ascii="宋体" w:hAnsi="宋体" w:hint="eastAsia"/>
          <w:kern w:val="0"/>
          <w:sz w:val="21"/>
          <w:szCs w:val="21"/>
        </w:rPr>
        <w:t>期末基金资产组合情况</w:t>
      </w:r>
      <w:bookmarkEnd w:id="196"/>
      <w:bookmarkEnd w:id="197"/>
      <w:bookmarkEnd w:id="198"/>
      <w:bookmarkEnd w:id="199"/>
      <w:bookmarkEnd w:id="200"/>
      <w:bookmarkEnd w:id="201"/>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711C4C" w:rsidRPr="00D749D4" w:rsidTr="00FF338B">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342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520" w:type="dxa"/>
            <w:vAlign w:val="center"/>
          </w:tcPr>
          <w:p w:rsidR="00711C4C" w:rsidRPr="00D749D4" w:rsidRDefault="00711C4C" w:rsidP="004A4847">
            <w:pPr>
              <w:jc w:val="center"/>
              <w:rPr>
                <w:color w:val="000000"/>
                <w:szCs w:val="21"/>
              </w:rPr>
            </w:pPr>
            <w:r w:rsidRPr="00D749D4">
              <w:rPr>
                <w:rFonts w:hint="eastAsia"/>
                <w:color w:val="000000"/>
                <w:szCs w:val="21"/>
              </w:rPr>
              <w:t>金额</w:t>
            </w:r>
          </w:p>
        </w:tc>
        <w:tc>
          <w:tcPr>
            <w:tcW w:w="2052" w:type="dxa"/>
            <w:vAlign w:val="center"/>
          </w:tcPr>
          <w:p w:rsidR="00711C4C" w:rsidRPr="00D749D4" w:rsidRDefault="00711C4C" w:rsidP="004A4847">
            <w:pPr>
              <w:jc w:val="center"/>
              <w:rPr>
                <w:color w:val="000000"/>
                <w:szCs w:val="21"/>
              </w:rPr>
            </w:pPr>
            <w:r w:rsidRPr="00D749D4">
              <w:rPr>
                <w:rFonts w:hint="eastAsia"/>
                <w:color w:val="000000"/>
                <w:szCs w:val="21"/>
              </w:rPr>
              <w:t>占基金总资产的比例（</w:t>
            </w:r>
            <w:r w:rsidRPr="00D749D4">
              <w:rPr>
                <w:color w:val="000000"/>
                <w:szCs w:val="21"/>
              </w:rPr>
              <w:t>%</w:t>
            </w:r>
            <w:r w:rsidRPr="00D749D4">
              <w:rPr>
                <w:rFonts w:hint="eastAsia"/>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1</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权益投资</w:t>
            </w:r>
          </w:p>
        </w:tc>
        <w:tc>
          <w:tcPr>
            <w:tcW w:w="2520" w:type="dxa"/>
            <w:vAlign w:val="center"/>
          </w:tcPr>
          <w:p w:rsidR="00711C4C" w:rsidRPr="00D749D4" w:rsidRDefault="00711C4C" w:rsidP="00B9702A">
            <w:pPr>
              <w:jc w:val="right"/>
              <w:rPr>
                <w:szCs w:val="21"/>
              </w:rPr>
            </w:pPr>
            <w:r w:rsidRPr="00D749D4">
              <w:rPr>
                <w:szCs w:val="21"/>
              </w:rPr>
              <w:t>588,488,753.30</w:t>
            </w:r>
          </w:p>
        </w:tc>
        <w:tc>
          <w:tcPr>
            <w:tcW w:w="2052" w:type="dxa"/>
            <w:vAlign w:val="center"/>
          </w:tcPr>
          <w:p w:rsidR="00711C4C" w:rsidRPr="00D749D4" w:rsidRDefault="00711C4C" w:rsidP="00B9702A">
            <w:pPr>
              <w:jc w:val="right"/>
              <w:rPr>
                <w:szCs w:val="21"/>
              </w:rPr>
            </w:pPr>
            <w:r w:rsidRPr="00D749D4">
              <w:rPr>
                <w:szCs w:val="21"/>
              </w:rPr>
              <w:t>89.75</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其中：普通股</w:t>
            </w:r>
          </w:p>
        </w:tc>
        <w:tc>
          <w:tcPr>
            <w:tcW w:w="2520" w:type="dxa"/>
            <w:vAlign w:val="center"/>
          </w:tcPr>
          <w:p w:rsidR="00711C4C" w:rsidRPr="00D749D4" w:rsidRDefault="00711C4C" w:rsidP="00B9702A">
            <w:pPr>
              <w:jc w:val="right"/>
              <w:rPr>
                <w:szCs w:val="21"/>
              </w:rPr>
            </w:pPr>
            <w:r w:rsidRPr="00D749D4">
              <w:rPr>
                <w:szCs w:val="21"/>
              </w:rPr>
              <w:t>579,243,952.05</w:t>
            </w:r>
          </w:p>
        </w:tc>
        <w:tc>
          <w:tcPr>
            <w:tcW w:w="2052" w:type="dxa"/>
            <w:vAlign w:val="center"/>
          </w:tcPr>
          <w:p w:rsidR="00711C4C" w:rsidRPr="00D749D4" w:rsidRDefault="00711C4C" w:rsidP="00B9702A">
            <w:pPr>
              <w:jc w:val="right"/>
              <w:rPr>
                <w:szCs w:val="21"/>
              </w:rPr>
            </w:pPr>
            <w:r w:rsidRPr="00D749D4">
              <w:rPr>
                <w:szCs w:val="21"/>
              </w:rPr>
              <w:t>88.34</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firstLineChars="300" w:firstLine="630"/>
              <w:rPr>
                <w:color w:val="000000"/>
                <w:szCs w:val="21"/>
              </w:rPr>
            </w:pPr>
            <w:r w:rsidRPr="00D749D4">
              <w:rPr>
                <w:rFonts w:hint="eastAsia"/>
                <w:szCs w:val="21"/>
              </w:rPr>
              <w:t>存托凭证</w:t>
            </w:r>
          </w:p>
        </w:tc>
        <w:tc>
          <w:tcPr>
            <w:tcW w:w="2520" w:type="dxa"/>
            <w:vAlign w:val="center"/>
          </w:tcPr>
          <w:p w:rsidR="00711C4C" w:rsidRPr="00D749D4" w:rsidRDefault="00711C4C" w:rsidP="00B9702A">
            <w:pPr>
              <w:jc w:val="right"/>
              <w:rPr>
                <w:szCs w:val="21"/>
              </w:rPr>
            </w:pPr>
            <w:r w:rsidRPr="00D749D4">
              <w:rPr>
                <w:szCs w:val="21"/>
              </w:rPr>
              <w:t>9,244,801.25</w:t>
            </w:r>
          </w:p>
        </w:tc>
        <w:tc>
          <w:tcPr>
            <w:tcW w:w="2052" w:type="dxa"/>
            <w:vAlign w:val="center"/>
          </w:tcPr>
          <w:p w:rsidR="00711C4C" w:rsidRPr="00D749D4" w:rsidRDefault="00711C4C" w:rsidP="00B9702A">
            <w:pPr>
              <w:jc w:val="right"/>
              <w:rPr>
                <w:szCs w:val="21"/>
              </w:rPr>
            </w:pPr>
            <w:r w:rsidRPr="00D749D4">
              <w:rPr>
                <w:szCs w:val="21"/>
              </w:rPr>
              <w:t>1.41</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优先股</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房地产信托凭证</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2</w:t>
            </w:r>
          </w:p>
        </w:tc>
        <w:tc>
          <w:tcPr>
            <w:tcW w:w="3420" w:type="dxa"/>
            <w:vAlign w:val="center"/>
          </w:tcPr>
          <w:p w:rsidR="00711C4C" w:rsidRPr="00D749D4" w:rsidRDefault="00711C4C" w:rsidP="00DB1E0B">
            <w:pPr>
              <w:ind w:leftChars="49" w:left="103"/>
              <w:rPr>
                <w:color w:val="000000"/>
                <w:szCs w:val="21"/>
              </w:rPr>
            </w:pPr>
            <w:r w:rsidRPr="00D749D4">
              <w:rPr>
                <w:rFonts w:hint="eastAsia"/>
                <w:szCs w:val="21"/>
              </w:rPr>
              <w:t>基金投资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3</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固定收益投资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其中：债券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资产支持证券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4</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金融衍生品投资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其中：远期</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期权</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5</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其中：买断式回购的买入返售金融资产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6</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货币市场工具</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7</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银行存款和结算备付金合计</w:t>
            </w:r>
          </w:p>
        </w:tc>
        <w:tc>
          <w:tcPr>
            <w:tcW w:w="2520" w:type="dxa"/>
            <w:vAlign w:val="center"/>
          </w:tcPr>
          <w:p w:rsidR="00711C4C" w:rsidRPr="00D749D4" w:rsidRDefault="00711C4C" w:rsidP="00B9702A">
            <w:pPr>
              <w:jc w:val="right"/>
              <w:rPr>
                <w:szCs w:val="21"/>
              </w:rPr>
            </w:pPr>
            <w:r w:rsidRPr="00D749D4">
              <w:rPr>
                <w:szCs w:val="21"/>
              </w:rPr>
              <w:t>51,564,542.91</w:t>
            </w:r>
          </w:p>
        </w:tc>
        <w:tc>
          <w:tcPr>
            <w:tcW w:w="2052" w:type="dxa"/>
            <w:vAlign w:val="center"/>
          </w:tcPr>
          <w:p w:rsidR="00711C4C" w:rsidRPr="00D749D4" w:rsidRDefault="00711C4C" w:rsidP="00B9702A">
            <w:pPr>
              <w:jc w:val="right"/>
              <w:rPr>
                <w:szCs w:val="21"/>
              </w:rPr>
            </w:pPr>
            <w:r w:rsidRPr="00D749D4">
              <w:rPr>
                <w:szCs w:val="21"/>
              </w:rPr>
              <w:t>7.86</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8</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其他各项资产</w:t>
            </w:r>
          </w:p>
        </w:tc>
        <w:tc>
          <w:tcPr>
            <w:tcW w:w="2520" w:type="dxa"/>
            <w:vAlign w:val="center"/>
          </w:tcPr>
          <w:p w:rsidR="00711C4C" w:rsidRPr="00D749D4" w:rsidRDefault="00711C4C" w:rsidP="004A4847">
            <w:pPr>
              <w:jc w:val="right"/>
              <w:rPr>
                <w:szCs w:val="21"/>
              </w:rPr>
            </w:pPr>
            <w:r w:rsidRPr="00D749D4">
              <w:rPr>
                <w:szCs w:val="21"/>
              </w:rPr>
              <w:t>15,651,347.60</w:t>
            </w:r>
          </w:p>
        </w:tc>
        <w:tc>
          <w:tcPr>
            <w:tcW w:w="2052" w:type="dxa"/>
            <w:vAlign w:val="center"/>
          </w:tcPr>
          <w:p w:rsidR="00711C4C" w:rsidRPr="00D749D4" w:rsidRDefault="00711C4C" w:rsidP="004A4847">
            <w:pPr>
              <w:jc w:val="right"/>
              <w:rPr>
                <w:szCs w:val="21"/>
              </w:rPr>
            </w:pPr>
            <w:r w:rsidRPr="00D749D4">
              <w:rPr>
                <w:szCs w:val="21"/>
              </w:rPr>
              <w:t>2.39</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9</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合计</w:t>
            </w:r>
          </w:p>
        </w:tc>
        <w:tc>
          <w:tcPr>
            <w:tcW w:w="2520" w:type="dxa"/>
            <w:vAlign w:val="center"/>
          </w:tcPr>
          <w:p w:rsidR="00711C4C" w:rsidRPr="00D749D4" w:rsidRDefault="00711C4C" w:rsidP="004A4847">
            <w:pPr>
              <w:jc w:val="right"/>
              <w:rPr>
                <w:szCs w:val="21"/>
              </w:rPr>
            </w:pPr>
            <w:r w:rsidRPr="00D749D4">
              <w:rPr>
                <w:szCs w:val="21"/>
              </w:rPr>
              <w:t>655,704,643.81</w:t>
            </w:r>
          </w:p>
        </w:tc>
        <w:tc>
          <w:tcPr>
            <w:tcW w:w="2052" w:type="dxa"/>
            <w:vAlign w:val="center"/>
          </w:tcPr>
          <w:p w:rsidR="00711C4C" w:rsidRPr="00D749D4" w:rsidRDefault="00711C4C" w:rsidP="004A4847">
            <w:pPr>
              <w:jc w:val="right"/>
              <w:rPr>
                <w:szCs w:val="21"/>
              </w:rPr>
            </w:pPr>
            <w:r w:rsidRPr="00D749D4">
              <w:rPr>
                <w:szCs w:val="21"/>
              </w:rPr>
              <w:t>100.00</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02" w:name="_Toc374611668"/>
      <w:bookmarkStart w:id="203" w:name="_Toc48664238"/>
      <w:r w:rsidRPr="0087410D">
        <w:rPr>
          <w:rFonts w:ascii="宋体" w:hAnsi="宋体"/>
          <w:kern w:val="0"/>
          <w:sz w:val="21"/>
          <w:szCs w:val="21"/>
        </w:rPr>
        <w:t>7.2</w:t>
      </w:r>
      <w:r w:rsidR="00BE2F8C" w:rsidRPr="006B4E2C">
        <w:rPr>
          <w:rFonts w:ascii="宋体" w:hAnsi="宋体"/>
          <w:kern w:val="0"/>
          <w:sz w:val="21"/>
          <w:szCs w:val="21"/>
        </w:rPr>
        <w:tab/>
      </w:r>
      <w:r w:rsidRPr="0087410D">
        <w:rPr>
          <w:rFonts w:ascii="宋体" w:hAnsi="宋体" w:hint="eastAsia"/>
          <w:kern w:val="0"/>
          <w:sz w:val="21"/>
          <w:szCs w:val="21"/>
        </w:rPr>
        <w:t>期末在各个国家（地区）证券市场的权益投资分布</w:t>
      </w:r>
      <w:bookmarkEnd w:id="202"/>
      <w:bookmarkEnd w:id="203"/>
    </w:p>
    <w:p w:rsidR="00711C4C" w:rsidRPr="00D749D4" w:rsidRDefault="00711C4C" w:rsidP="00FF06C4">
      <w:pPr>
        <w:spacing w:line="360" w:lineRule="auto"/>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3598"/>
        <w:gridCol w:w="3684"/>
      </w:tblGrid>
      <w:tr w:rsidR="00711C4C" w:rsidRPr="00D749D4" w:rsidTr="00EE5197">
        <w:trPr>
          <w:jc w:val="center"/>
        </w:trPr>
        <w:tc>
          <w:tcPr>
            <w:tcW w:w="2074" w:type="dxa"/>
            <w:vAlign w:val="center"/>
          </w:tcPr>
          <w:p w:rsidR="00711C4C" w:rsidRPr="00D749D4" w:rsidRDefault="00711C4C" w:rsidP="004A4847">
            <w:pPr>
              <w:jc w:val="center"/>
              <w:rPr>
                <w:color w:val="000000"/>
                <w:szCs w:val="21"/>
              </w:rPr>
            </w:pPr>
            <w:r w:rsidRPr="00D749D4">
              <w:rPr>
                <w:rFonts w:hint="eastAsia"/>
                <w:color w:val="000000"/>
                <w:szCs w:val="21"/>
              </w:rPr>
              <w:t>国家（地区）</w:t>
            </w:r>
          </w:p>
        </w:tc>
        <w:tc>
          <w:tcPr>
            <w:tcW w:w="3598" w:type="dxa"/>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3684" w:type="dxa"/>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CF426B">
        <w:trPr>
          <w:jc w:val="center"/>
        </w:trPr>
        <w:tc>
          <w:tcPr>
            <w:tcW w:w="2074" w:type="dxa"/>
            <w:vAlign w:val="center"/>
          </w:tcPr>
          <w:p w:rsidR="00CF426B" w:rsidRDefault="005F6DDD">
            <w:pPr>
              <w:jc w:val="left"/>
            </w:pPr>
            <w:r>
              <w:rPr>
                <w:color w:val="000000"/>
                <w:szCs w:val="21"/>
              </w:rPr>
              <w:t>美国</w:t>
            </w:r>
          </w:p>
        </w:tc>
        <w:tc>
          <w:tcPr>
            <w:tcW w:w="3598" w:type="dxa"/>
            <w:vAlign w:val="center"/>
          </w:tcPr>
          <w:p w:rsidR="00CF426B" w:rsidRDefault="005F6DDD">
            <w:pPr>
              <w:jc w:val="right"/>
            </w:pPr>
            <w:r>
              <w:rPr>
                <w:color w:val="000000"/>
                <w:szCs w:val="21"/>
              </w:rPr>
              <w:t>588,488,753.30</w:t>
            </w:r>
          </w:p>
        </w:tc>
        <w:tc>
          <w:tcPr>
            <w:tcW w:w="3684" w:type="dxa"/>
            <w:vAlign w:val="center"/>
          </w:tcPr>
          <w:p w:rsidR="00CF426B" w:rsidRDefault="005F6DDD">
            <w:pPr>
              <w:jc w:val="right"/>
            </w:pPr>
            <w:r>
              <w:rPr>
                <w:color w:val="000000"/>
                <w:szCs w:val="21"/>
              </w:rPr>
              <w:t>94.07</w:t>
            </w:r>
          </w:p>
        </w:tc>
      </w:tr>
      <w:tr w:rsidR="00711C4C" w:rsidRPr="00D749D4" w:rsidTr="00EE5197">
        <w:trPr>
          <w:jc w:val="center"/>
        </w:trPr>
        <w:tc>
          <w:tcPr>
            <w:tcW w:w="2074" w:type="dxa"/>
            <w:vAlign w:val="center"/>
          </w:tcPr>
          <w:p w:rsidR="00711C4C" w:rsidRPr="00FF0BB2" w:rsidRDefault="00711C4C" w:rsidP="00AB7D15">
            <w:pPr>
              <w:pStyle w:val="ae"/>
              <w:rPr>
                <w:color w:val="000000"/>
                <w:sz w:val="21"/>
                <w:szCs w:val="21"/>
              </w:rPr>
            </w:pPr>
            <w:r w:rsidRPr="00CE7EE0">
              <w:rPr>
                <w:rFonts w:hint="eastAsia"/>
                <w:sz w:val="21"/>
                <w:szCs w:val="21"/>
              </w:rPr>
              <w:t>合计</w:t>
            </w:r>
          </w:p>
        </w:tc>
        <w:tc>
          <w:tcPr>
            <w:tcW w:w="3598" w:type="dxa"/>
            <w:vAlign w:val="center"/>
          </w:tcPr>
          <w:p w:rsidR="00711C4C" w:rsidRPr="00D749D4" w:rsidRDefault="00711C4C" w:rsidP="004A4847">
            <w:pPr>
              <w:jc w:val="right"/>
              <w:rPr>
                <w:color w:val="000000"/>
                <w:szCs w:val="21"/>
              </w:rPr>
            </w:pPr>
            <w:r w:rsidRPr="00D749D4">
              <w:rPr>
                <w:szCs w:val="21"/>
              </w:rPr>
              <w:t>588,488,753.30</w:t>
            </w:r>
          </w:p>
        </w:tc>
        <w:tc>
          <w:tcPr>
            <w:tcW w:w="3684" w:type="dxa"/>
            <w:vAlign w:val="center"/>
          </w:tcPr>
          <w:p w:rsidR="00711C4C" w:rsidRPr="00D749D4" w:rsidRDefault="00711C4C" w:rsidP="004A4847">
            <w:pPr>
              <w:jc w:val="right"/>
              <w:rPr>
                <w:color w:val="000000"/>
                <w:szCs w:val="21"/>
              </w:rPr>
            </w:pPr>
            <w:r w:rsidRPr="00D749D4">
              <w:rPr>
                <w:szCs w:val="21"/>
              </w:rPr>
              <w:t>94.07</w:t>
            </w:r>
          </w:p>
        </w:tc>
      </w:tr>
    </w:tbl>
    <w:p w:rsidR="00CF426B" w:rsidRDefault="005F6DDD">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国家（地区）类别根据其所在的证券交易所确定。</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2.ADR</w:t>
      </w:r>
      <w:r w:rsidRPr="00D749D4">
        <w:rPr>
          <w:kern w:val="0"/>
          <w:szCs w:val="21"/>
        </w:rPr>
        <w:t>、</w:t>
      </w:r>
      <w:r w:rsidRPr="00D749D4">
        <w:rPr>
          <w:kern w:val="0"/>
          <w:szCs w:val="21"/>
        </w:rPr>
        <w:t>GDR</w:t>
      </w:r>
      <w:r w:rsidRPr="00D749D4">
        <w:rPr>
          <w:kern w:val="0"/>
          <w:szCs w:val="21"/>
        </w:rPr>
        <w:t>按照存托凭证本身挂牌的证券交易所确定。</w:t>
      </w:r>
    </w:p>
    <w:p w:rsidR="005839A2" w:rsidRPr="005839A2" w:rsidRDefault="005839A2" w:rsidP="003427BF">
      <w:pPr>
        <w:pStyle w:val="20"/>
        <w:spacing w:beforeLines="100" w:before="312" w:afterLines="100" w:after="312"/>
        <w:ind w:firstLineChars="200" w:firstLine="422"/>
        <w:rPr>
          <w:rFonts w:ascii="宋体"/>
          <w:kern w:val="0"/>
          <w:sz w:val="21"/>
          <w:szCs w:val="21"/>
        </w:rPr>
      </w:pPr>
      <w:bookmarkStart w:id="204" w:name="_Toc224618378"/>
      <w:bookmarkStart w:id="205" w:name="_Toc248233025"/>
      <w:bookmarkStart w:id="206" w:name="_Toc249790557"/>
      <w:bookmarkStart w:id="207" w:name="_Toc286929758"/>
      <w:bookmarkStart w:id="208" w:name="_Toc352255997"/>
      <w:bookmarkStart w:id="209" w:name="_Toc352256065"/>
      <w:bookmarkStart w:id="210" w:name="_Toc352331243"/>
      <w:bookmarkStart w:id="211" w:name="_Toc390164823"/>
      <w:bookmarkStart w:id="212" w:name="_Toc48664239"/>
      <w:r w:rsidRPr="005839A2">
        <w:rPr>
          <w:rFonts w:ascii="宋体"/>
          <w:kern w:val="0"/>
          <w:sz w:val="21"/>
          <w:szCs w:val="21"/>
        </w:rPr>
        <w:t>7.3</w:t>
      </w:r>
      <w:r w:rsidR="00940DFB" w:rsidRPr="006B4E2C">
        <w:rPr>
          <w:rFonts w:ascii="宋体" w:hAnsi="宋体"/>
          <w:kern w:val="0"/>
          <w:sz w:val="21"/>
          <w:szCs w:val="21"/>
        </w:rPr>
        <w:tab/>
      </w:r>
      <w:r w:rsidRPr="005839A2">
        <w:rPr>
          <w:rFonts w:ascii="宋体"/>
          <w:kern w:val="0"/>
          <w:sz w:val="21"/>
          <w:szCs w:val="21"/>
        </w:rPr>
        <w:t>期末按行业分类的权益投资组合</w:t>
      </w:r>
      <w:bookmarkEnd w:id="204"/>
      <w:bookmarkEnd w:id="205"/>
      <w:bookmarkEnd w:id="206"/>
      <w:bookmarkEnd w:id="207"/>
      <w:bookmarkEnd w:id="208"/>
      <w:bookmarkEnd w:id="209"/>
      <w:bookmarkEnd w:id="210"/>
      <w:bookmarkEnd w:id="211"/>
      <w:bookmarkEnd w:id="212"/>
    </w:p>
    <w:p w:rsidR="005839A2" w:rsidRPr="00742AB8" w:rsidRDefault="005839A2" w:rsidP="005839A2">
      <w:pPr>
        <w:autoSpaceDE w:val="0"/>
        <w:autoSpaceDN w:val="0"/>
        <w:adjustRightInd w:val="0"/>
        <w:spacing w:before="29" w:line="360" w:lineRule="auto"/>
        <w:ind w:left="15"/>
        <w:jc w:val="right"/>
        <w:rPr>
          <w:color w:val="000000"/>
          <w:szCs w:val="21"/>
        </w:rPr>
      </w:pPr>
      <w:r w:rsidRPr="00742AB8">
        <w:rPr>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03"/>
        <w:gridCol w:w="3119"/>
        <w:gridCol w:w="2534"/>
      </w:tblGrid>
      <w:tr w:rsidR="005839A2" w:rsidRPr="00742AB8" w:rsidTr="0021645F">
        <w:trPr>
          <w:trHeight w:val="285"/>
          <w:jc w:val="center"/>
        </w:trPr>
        <w:tc>
          <w:tcPr>
            <w:tcW w:w="3703"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行业类别</w:t>
            </w:r>
          </w:p>
        </w:tc>
        <w:tc>
          <w:tcPr>
            <w:tcW w:w="3119"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公允价值</w:t>
            </w:r>
          </w:p>
        </w:tc>
        <w:tc>
          <w:tcPr>
            <w:tcW w:w="2534"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占基金资产净值比例（％）</w:t>
            </w:r>
          </w:p>
        </w:tc>
      </w:tr>
      <w:tr w:rsidR="00CF426B">
        <w:trPr>
          <w:jc w:val="center"/>
        </w:trPr>
        <w:tc>
          <w:tcPr>
            <w:tcW w:w="3703" w:type="dxa"/>
            <w:vAlign w:val="center"/>
          </w:tcPr>
          <w:p w:rsidR="00CF426B" w:rsidRDefault="005F6DDD">
            <w:pPr>
              <w:jc w:val="left"/>
            </w:pPr>
            <w:r>
              <w:rPr>
                <w:szCs w:val="21"/>
              </w:rPr>
              <w:t>能源</w:t>
            </w:r>
          </w:p>
        </w:tc>
        <w:tc>
          <w:tcPr>
            <w:tcW w:w="3119" w:type="dxa"/>
            <w:vAlign w:val="center"/>
          </w:tcPr>
          <w:p w:rsidR="00CF426B" w:rsidRDefault="005F6DDD">
            <w:pPr>
              <w:jc w:val="right"/>
            </w:pPr>
            <w:r>
              <w:rPr>
                <w:szCs w:val="21"/>
              </w:rPr>
              <w:t>-</w:t>
            </w:r>
          </w:p>
        </w:tc>
        <w:tc>
          <w:tcPr>
            <w:tcW w:w="2534" w:type="dxa"/>
            <w:vAlign w:val="center"/>
          </w:tcPr>
          <w:p w:rsidR="00CF426B" w:rsidRDefault="005F6DDD">
            <w:pPr>
              <w:jc w:val="right"/>
            </w:pPr>
            <w:r>
              <w:rPr>
                <w:szCs w:val="21"/>
              </w:rPr>
              <w:t>-</w:t>
            </w:r>
          </w:p>
        </w:tc>
      </w:tr>
      <w:tr w:rsidR="00CF426B">
        <w:trPr>
          <w:jc w:val="center"/>
        </w:trPr>
        <w:tc>
          <w:tcPr>
            <w:tcW w:w="3703" w:type="dxa"/>
            <w:vAlign w:val="center"/>
          </w:tcPr>
          <w:p w:rsidR="00CF426B" w:rsidRDefault="005F6DDD">
            <w:pPr>
              <w:jc w:val="left"/>
            </w:pPr>
            <w:r>
              <w:rPr>
                <w:szCs w:val="21"/>
              </w:rPr>
              <w:t>材料</w:t>
            </w:r>
          </w:p>
        </w:tc>
        <w:tc>
          <w:tcPr>
            <w:tcW w:w="3119" w:type="dxa"/>
            <w:vAlign w:val="center"/>
          </w:tcPr>
          <w:p w:rsidR="00CF426B" w:rsidRDefault="005F6DDD">
            <w:pPr>
              <w:jc w:val="right"/>
            </w:pPr>
            <w:r>
              <w:rPr>
                <w:szCs w:val="21"/>
              </w:rPr>
              <w:t>-</w:t>
            </w:r>
          </w:p>
        </w:tc>
        <w:tc>
          <w:tcPr>
            <w:tcW w:w="2534" w:type="dxa"/>
            <w:vAlign w:val="center"/>
          </w:tcPr>
          <w:p w:rsidR="00CF426B" w:rsidRDefault="005F6DDD">
            <w:pPr>
              <w:jc w:val="right"/>
            </w:pPr>
            <w:r>
              <w:rPr>
                <w:szCs w:val="21"/>
              </w:rPr>
              <w:t>-</w:t>
            </w:r>
          </w:p>
        </w:tc>
      </w:tr>
      <w:tr w:rsidR="00CF426B">
        <w:trPr>
          <w:jc w:val="center"/>
        </w:trPr>
        <w:tc>
          <w:tcPr>
            <w:tcW w:w="3703" w:type="dxa"/>
            <w:vAlign w:val="center"/>
          </w:tcPr>
          <w:p w:rsidR="00CF426B" w:rsidRDefault="005F6DDD">
            <w:pPr>
              <w:jc w:val="left"/>
            </w:pPr>
            <w:r>
              <w:rPr>
                <w:szCs w:val="21"/>
              </w:rPr>
              <w:t>工业</w:t>
            </w:r>
          </w:p>
        </w:tc>
        <w:tc>
          <w:tcPr>
            <w:tcW w:w="3119" w:type="dxa"/>
            <w:vAlign w:val="center"/>
          </w:tcPr>
          <w:p w:rsidR="00CF426B" w:rsidRDefault="005F6DDD">
            <w:pPr>
              <w:jc w:val="right"/>
            </w:pPr>
            <w:r>
              <w:rPr>
                <w:szCs w:val="21"/>
              </w:rPr>
              <w:t>12,018,537.96</w:t>
            </w:r>
          </w:p>
        </w:tc>
        <w:tc>
          <w:tcPr>
            <w:tcW w:w="2534" w:type="dxa"/>
            <w:vAlign w:val="center"/>
          </w:tcPr>
          <w:p w:rsidR="00CF426B" w:rsidRDefault="005F6DDD">
            <w:pPr>
              <w:jc w:val="right"/>
            </w:pPr>
            <w:r>
              <w:rPr>
                <w:szCs w:val="21"/>
              </w:rPr>
              <w:t>1.92</w:t>
            </w:r>
          </w:p>
        </w:tc>
      </w:tr>
      <w:tr w:rsidR="00CF426B">
        <w:trPr>
          <w:jc w:val="center"/>
        </w:trPr>
        <w:tc>
          <w:tcPr>
            <w:tcW w:w="3703" w:type="dxa"/>
            <w:vAlign w:val="center"/>
          </w:tcPr>
          <w:p w:rsidR="00CF426B" w:rsidRDefault="005F6DDD">
            <w:pPr>
              <w:jc w:val="left"/>
            </w:pPr>
            <w:r>
              <w:rPr>
                <w:szCs w:val="21"/>
              </w:rPr>
              <w:t>非必需消费品</w:t>
            </w:r>
          </w:p>
        </w:tc>
        <w:tc>
          <w:tcPr>
            <w:tcW w:w="3119" w:type="dxa"/>
            <w:vAlign w:val="center"/>
          </w:tcPr>
          <w:p w:rsidR="00CF426B" w:rsidRDefault="005F6DDD">
            <w:pPr>
              <w:jc w:val="right"/>
            </w:pPr>
            <w:r>
              <w:rPr>
                <w:szCs w:val="21"/>
              </w:rPr>
              <w:t>100,751,576.39</w:t>
            </w:r>
          </w:p>
        </w:tc>
        <w:tc>
          <w:tcPr>
            <w:tcW w:w="2534" w:type="dxa"/>
            <w:vAlign w:val="center"/>
          </w:tcPr>
          <w:p w:rsidR="00CF426B" w:rsidRDefault="005F6DDD">
            <w:pPr>
              <w:jc w:val="right"/>
            </w:pPr>
            <w:r>
              <w:rPr>
                <w:szCs w:val="21"/>
              </w:rPr>
              <w:t>16.11</w:t>
            </w:r>
          </w:p>
        </w:tc>
      </w:tr>
      <w:tr w:rsidR="00CF426B">
        <w:trPr>
          <w:jc w:val="center"/>
        </w:trPr>
        <w:tc>
          <w:tcPr>
            <w:tcW w:w="3703" w:type="dxa"/>
            <w:vAlign w:val="center"/>
          </w:tcPr>
          <w:p w:rsidR="00CF426B" w:rsidRDefault="005F6DDD">
            <w:pPr>
              <w:jc w:val="left"/>
            </w:pPr>
            <w:r>
              <w:rPr>
                <w:szCs w:val="21"/>
              </w:rPr>
              <w:t>必需消费品</w:t>
            </w:r>
          </w:p>
        </w:tc>
        <w:tc>
          <w:tcPr>
            <w:tcW w:w="3119" w:type="dxa"/>
            <w:vAlign w:val="center"/>
          </w:tcPr>
          <w:p w:rsidR="00CF426B" w:rsidRDefault="005F6DDD">
            <w:pPr>
              <w:jc w:val="right"/>
            </w:pPr>
            <w:r>
              <w:rPr>
                <w:szCs w:val="21"/>
              </w:rPr>
              <w:t>28,738,656.38</w:t>
            </w:r>
          </w:p>
        </w:tc>
        <w:tc>
          <w:tcPr>
            <w:tcW w:w="2534" w:type="dxa"/>
            <w:vAlign w:val="center"/>
          </w:tcPr>
          <w:p w:rsidR="00CF426B" w:rsidRDefault="005F6DDD">
            <w:pPr>
              <w:jc w:val="right"/>
            </w:pPr>
            <w:r>
              <w:rPr>
                <w:szCs w:val="21"/>
              </w:rPr>
              <w:t>4.59</w:t>
            </w:r>
          </w:p>
        </w:tc>
      </w:tr>
      <w:tr w:rsidR="00CF426B">
        <w:trPr>
          <w:jc w:val="center"/>
        </w:trPr>
        <w:tc>
          <w:tcPr>
            <w:tcW w:w="3703" w:type="dxa"/>
            <w:vAlign w:val="center"/>
          </w:tcPr>
          <w:p w:rsidR="00CF426B" w:rsidRDefault="005F6DDD">
            <w:pPr>
              <w:jc w:val="left"/>
            </w:pPr>
            <w:r>
              <w:rPr>
                <w:szCs w:val="21"/>
              </w:rPr>
              <w:t>保健</w:t>
            </w:r>
          </w:p>
        </w:tc>
        <w:tc>
          <w:tcPr>
            <w:tcW w:w="3119" w:type="dxa"/>
            <w:vAlign w:val="center"/>
          </w:tcPr>
          <w:p w:rsidR="00CF426B" w:rsidRDefault="005F6DDD">
            <w:pPr>
              <w:jc w:val="right"/>
            </w:pPr>
            <w:r>
              <w:rPr>
                <w:szCs w:val="21"/>
              </w:rPr>
              <w:t>42,741,275.13</w:t>
            </w:r>
          </w:p>
        </w:tc>
        <w:tc>
          <w:tcPr>
            <w:tcW w:w="2534" w:type="dxa"/>
            <w:vAlign w:val="center"/>
          </w:tcPr>
          <w:p w:rsidR="00CF426B" w:rsidRDefault="005F6DDD">
            <w:pPr>
              <w:jc w:val="right"/>
            </w:pPr>
            <w:r>
              <w:rPr>
                <w:szCs w:val="21"/>
              </w:rPr>
              <w:t>6.83</w:t>
            </w:r>
          </w:p>
        </w:tc>
      </w:tr>
      <w:tr w:rsidR="00CF426B">
        <w:trPr>
          <w:jc w:val="center"/>
        </w:trPr>
        <w:tc>
          <w:tcPr>
            <w:tcW w:w="3703" w:type="dxa"/>
            <w:vAlign w:val="center"/>
          </w:tcPr>
          <w:p w:rsidR="00CF426B" w:rsidRDefault="005F6DDD">
            <w:pPr>
              <w:jc w:val="left"/>
            </w:pPr>
            <w:r>
              <w:rPr>
                <w:szCs w:val="21"/>
              </w:rPr>
              <w:t>金融</w:t>
            </w:r>
          </w:p>
        </w:tc>
        <w:tc>
          <w:tcPr>
            <w:tcW w:w="3119" w:type="dxa"/>
            <w:vAlign w:val="center"/>
          </w:tcPr>
          <w:p w:rsidR="00CF426B" w:rsidRDefault="005F6DDD">
            <w:pPr>
              <w:jc w:val="right"/>
            </w:pPr>
            <w:r>
              <w:rPr>
                <w:szCs w:val="21"/>
              </w:rPr>
              <w:t>-</w:t>
            </w:r>
          </w:p>
        </w:tc>
        <w:tc>
          <w:tcPr>
            <w:tcW w:w="2534" w:type="dxa"/>
            <w:vAlign w:val="center"/>
          </w:tcPr>
          <w:p w:rsidR="00CF426B" w:rsidRDefault="005F6DDD">
            <w:pPr>
              <w:jc w:val="right"/>
            </w:pPr>
            <w:r>
              <w:rPr>
                <w:szCs w:val="21"/>
              </w:rPr>
              <w:t>-</w:t>
            </w:r>
          </w:p>
        </w:tc>
      </w:tr>
      <w:tr w:rsidR="00CF426B">
        <w:trPr>
          <w:jc w:val="center"/>
        </w:trPr>
        <w:tc>
          <w:tcPr>
            <w:tcW w:w="3703" w:type="dxa"/>
            <w:vAlign w:val="center"/>
          </w:tcPr>
          <w:p w:rsidR="00CF426B" w:rsidRDefault="005F6DDD">
            <w:pPr>
              <w:jc w:val="left"/>
            </w:pPr>
            <w:r>
              <w:rPr>
                <w:szCs w:val="21"/>
              </w:rPr>
              <w:t>信息技术</w:t>
            </w:r>
          </w:p>
        </w:tc>
        <w:tc>
          <w:tcPr>
            <w:tcW w:w="3119" w:type="dxa"/>
            <w:vAlign w:val="center"/>
          </w:tcPr>
          <w:p w:rsidR="00CF426B" w:rsidRDefault="005F6DDD">
            <w:pPr>
              <w:jc w:val="right"/>
            </w:pPr>
            <w:r>
              <w:rPr>
                <w:szCs w:val="21"/>
              </w:rPr>
              <w:t>284,271,313.36</w:t>
            </w:r>
          </w:p>
        </w:tc>
        <w:tc>
          <w:tcPr>
            <w:tcW w:w="2534" w:type="dxa"/>
            <w:vAlign w:val="center"/>
          </w:tcPr>
          <w:p w:rsidR="00CF426B" w:rsidRDefault="005F6DDD">
            <w:pPr>
              <w:jc w:val="right"/>
            </w:pPr>
            <w:r>
              <w:rPr>
                <w:szCs w:val="21"/>
              </w:rPr>
              <w:t>45.44</w:t>
            </w:r>
          </w:p>
        </w:tc>
      </w:tr>
      <w:tr w:rsidR="00CF426B">
        <w:trPr>
          <w:jc w:val="center"/>
        </w:trPr>
        <w:tc>
          <w:tcPr>
            <w:tcW w:w="3703" w:type="dxa"/>
            <w:vAlign w:val="center"/>
          </w:tcPr>
          <w:p w:rsidR="00CF426B" w:rsidRDefault="005F6DDD">
            <w:pPr>
              <w:jc w:val="left"/>
            </w:pPr>
            <w:r>
              <w:rPr>
                <w:szCs w:val="21"/>
              </w:rPr>
              <w:t>电信服务</w:t>
            </w:r>
          </w:p>
        </w:tc>
        <w:tc>
          <w:tcPr>
            <w:tcW w:w="3119" w:type="dxa"/>
            <w:vAlign w:val="center"/>
          </w:tcPr>
          <w:p w:rsidR="00CF426B" w:rsidRDefault="005F6DDD">
            <w:pPr>
              <w:jc w:val="right"/>
            </w:pPr>
            <w:r>
              <w:rPr>
                <w:szCs w:val="21"/>
              </w:rPr>
              <w:t>116,021,004.75</w:t>
            </w:r>
          </w:p>
        </w:tc>
        <w:tc>
          <w:tcPr>
            <w:tcW w:w="2534" w:type="dxa"/>
            <w:vAlign w:val="center"/>
          </w:tcPr>
          <w:p w:rsidR="00CF426B" w:rsidRDefault="005F6DDD">
            <w:pPr>
              <w:jc w:val="right"/>
            </w:pPr>
            <w:r>
              <w:rPr>
                <w:szCs w:val="21"/>
              </w:rPr>
              <w:t>18.55</w:t>
            </w:r>
          </w:p>
        </w:tc>
      </w:tr>
      <w:tr w:rsidR="00CF426B">
        <w:trPr>
          <w:jc w:val="center"/>
        </w:trPr>
        <w:tc>
          <w:tcPr>
            <w:tcW w:w="3703" w:type="dxa"/>
            <w:vAlign w:val="center"/>
          </w:tcPr>
          <w:p w:rsidR="00CF426B" w:rsidRDefault="005F6DDD">
            <w:pPr>
              <w:jc w:val="left"/>
            </w:pPr>
            <w:r>
              <w:rPr>
                <w:szCs w:val="21"/>
              </w:rPr>
              <w:t>公用事业</w:t>
            </w:r>
          </w:p>
        </w:tc>
        <w:tc>
          <w:tcPr>
            <w:tcW w:w="3119" w:type="dxa"/>
            <w:vAlign w:val="center"/>
          </w:tcPr>
          <w:p w:rsidR="00CF426B" w:rsidRDefault="005F6DDD">
            <w:pPr>
              <w:jc w:val="right"/>
            </w:pPr>
            <w:r>
              <w:rPr>
                <w:szCs w:val="21"/>
              </w:rPr>
              <w:t>3,946,389.33</w:t>
            </w:r>
          </w:p>
        </w:tc>
        <w:tc>
          <w:tcPr>
            <w:tcW w:w="2534" w:type="dxa"/>
            <w:vAlign w:val="center"/>
          </w:tcPr>
          <w:p w:rsidR="00CF426B" w:rsidRDefault="005F6DDD">
            <w:pPr>
              <w:jc w:val="right"/>
            </w:pPr>
            <w:r>
              <w:rPr>
                <w:szCs w:val="21"/>
              </w:rPr>
              <w:t>0.63</w:t>
            </w:r>
          </w:p>
        </w:tc>
      </w:tr>
      <w:tr w:rsidR="00CF426B">
        <w:trPr>
          <w:jc w:val="center"/>
        </w:trPr>
        <w:tc>
          <w:tcPr>
            <w:tcW w:w="3703" w:type="dxa"/>
            <w:vAlign w:val="center"/>
          </w:tcPr>
          <w:p w:rsidR="00CF426B" w:rsidRDefault="005F6DDD">
            <w:pPr>
              <w:jc w:val="left"/>
            </w:pPr>
            <w:r>
              <w:rPr>
                <w:szCs w:val="21"/>
              </w:rPr>
              <w:t>房地产</w:t>
            </w:r>
          </w:p>
        </w:tc>
        <w:tc>
          <w:tcPr>
            <w:tcW w:w="3119" w:type="dxa"/>
            <w:vAlign w:val="center"/>
          </w:tcPr>
          <w:p w:rsidR="00CF426B" w:rsidRDefault="005F6DDD">
            <w:pPr>
              <w:jc w:val="right"/>
            </w:pPr>
            <w:r>
              <w:rPr>
                <w:szCs w:val="21"/>
              </w:rPr>
              <w:t>-</w:t>
            </w:r>
          </w:p>
        </w:tc>
        <w:tc>
          <w:tcPr>
            <w:tcW w:w="2534" w:type="dxa"/>
            <w:vAlign w:val="center"/>
          </w:tcPr>
          <w:p w:rsidR="00CF426B" w:rsidRDefault="005F6DDD">
            <w:pPr>
              <w:jc w:val="right"/>
            </w:pPr>
            <w:r>
              <w:rPr>
                <w:szCs w:val="21"/>
              </w:rPr>
              <w:t>-</w:t>
            </w:r>
          </w:p>
        </w:tc>
      </w:tr>
      <w:tr w:rsidR="005839A2" w:rsidRPr="00742AB8" w:rsidTr="0021645F">
        <w:trPr>
          <w:trHeight w:val="285"/>
          <w:jc w:val="center"/>
        </w:trPr>
        <w:tc>
          <w:tcPr>
            <w:tcW w:w="3703" w:type="dxa"/>
            <w:vAlign w:val="center"/>
          </w:tcPr>
          <w:p w:rsidR="005839A2" w:rsidRPr="00742AB8" w:rsidRDefault="005839A2" w:rsidP="0021645F">
            <w:pPr>
              <w:pStyle w:val="ae"/>
              <w:spacing w:line="360" w:lineRule="auto"/>
              <w:rPr>
                <w:color w:val="000000"/>
                <w:sz w:val="21"/>
                <w:szCs w:val="21"/>
              </w:rPr>
            </w:pPr>
            <w:r w:rsidRPr="00742AB8">
              <w:rPr>
                <w:sz w:val="21"/>
                <w:szCs w:val="21"/>
              </w:rPr>
              <w:t>合计</w:t>
            </w:r>
          </w:p>
        </w:tc>
        <w:tc>
          <w:tcPr>
            <w:tcW w:w="3119" w:type="dxa"/>
            <w:vAlign w:val="center"/>
          </w:tcPr>
          <w:p w:rsidR="005839A2" w:rsidRPr="00742AB8" w:rsidRDefault="005839A2" w:rsidP="0021645F">
            <w:pPr>
              <w:spacing w:line="360" w:lineRule="auto"/>
              <w:jc w:val="right"/>
              <w:rPr>
                <w:szCs w:val="21"/>
              </w:rPr>
            </w:pPr>
            <w:r w:rsidRPr="00742AB8">
              <w:rPr>
                <w:szCs w:val="21"/>
              </w:rPr>
              <w:t>588,488,753.30</w:t>
            </w:r>
          </w:p>
        </w:tc>
        <w:tc>
          <w:tcPr>
            <w:tcW w:w="2534" w:type="dxa"/>
            <w:vAlign w:val="center"/>
          </w:tcPr>
          <w:p w:rsidR="005839A2" w:rsidRPr="00742AB8" w:rsidRDefault="005839A2" w:rsidP="0021645F">
            <w:pPr>
              <w:spacing w:line="360" w:lineRule="auto"/>
              <w:jc w:val="right"/>
              <w:rPr>
                <w:szCs w:val="21"/>
              </w:rPr>
            </w:pPr>
            <w:r w:rsidRPr="00742AB8">
              <w:rPr>
                <w:szCs w:val="21"/>
              </w:rPr>
              <w:t>94.07</w:t>
            </w:r>
          </w:p>
        </w:tc>
      </w:tr>
    </w:tbl>
    <w:p w:rsidR="005839A2" w:rsidRPr="005839A2" w:rsidRDefault="005839A2" w:rsidP="00AB0FF3">
      <w:pPr>
        <w:tabs>
          <w:tab w:val="left" w:pos="426"/>
        </w:tabs>
        <w:spacing w:line="360" w:lineRule="auto"/>
        <w:ind w:firstLineChars="200" w:firstLine="420"/>
        <w:jc w:val="left"/>
        <w:rPr>
          <w:kern w:val="0"/>
          <w:szCs w:val="21"/>
        </w:rPr>
      </w:pPr>
      <w:r w:rsidRPr="005839A2">
        <w:rPr>
          <w:kern w:val="0"/>
          <w:szCs w:val="21"/>
        </w:rPr>
        <w:t>注：以上分类采用全球行业分类标准</w:t>
      </w:r>
      <w:r w:rsidRPr="005839A2">
        <w:rPr>
          <w:kern w:val="0"/>
          <w:szCs w:val="21"/>
        </w:rPr>
        <w:t>(GICS)</w:t>
      </w:r>
      <w:r w:rsidRPr="005839A2">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3" w:name="_Toc352255998"/>
      <w:bookmarkStart w:id="214" w:name="_Toc352256066"/>
      <w:bookmarkStart w:id="215" w:name="_Toc352331244"/>
      <w:bookmarkStart w:id="216" w:name="_Toc374611670"/>
      <w:bookmarkStart w:id="217" w:name="_Toc48664240"/>
      <w:r w:rsidRPr="0087410D">
        <w:rPr>
          <w:rFonts w:ascii="宋体" w:hAnsi="宋体"/>
          <w:kern w:val="0"/>
          <w:sz w:val="21"/>
          <w:szCs w:val="21"/>
        </w:rPr>
        <w:t>7.4</w:t>
      </w:r>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期末按公允价值占基金资产净值比例大小排序的所有权益投资明细</w:t>
      </w:r>
      <w:bookmarkEnd w:id="213"/>
      <w:bookmarkEnd w:id="214"/>
      <w:bookmarkEnd w:id="215"/>
      <w:bookmarkEnd w:id="216"/>
      <w:bookmarkEnd w:id="217"/>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78"/>
        <w:gridCol w:w="905"/>
        <w:gridCol w:w="1015"/>
        <w:gridCol w:w="1184"/>
        <w:gridCol w:w="847"/>
        <w:gridCol w:w="1025"/>
        <w:gridCol w:w="1015"/>
        <w:gridCol w:w="1690"/>
        <w:gridCol w:w="997"/>
      </w:tblGrid>
      <w:tr w:rsidR="00711C4C" w:rsidRPr="00D749D4" w:rsidTr="004A4847">
        <w:trPr>
          <w:trHeight w:val="315"/>
          <w:jc w:val="center"/>
        </w:trPr>
        <w:tc>
          <w:tcPr>
            <w:tcW w:w="6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9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英文</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中文</w:t>
            </w:r>
            <w:r w:rsidRPr="00D749D4">
              <w:rPr>
                <w:color w:val="000000"/>
                <w:szCs w:val="21"/>
              </w:rPr>
              <w:t>)</w:t>
            </w:r>
          </w:p>
        </w:tc>
        <w:tc>
          <w:tcPr>
            <w:tcW w:w="1184"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84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所在证券市场</w:t>
            </w:r>
          </w:p>
        </w:tc>
        <w:tc>
          <w:tcPr>
            <w:tcW w:w="102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所属国家</w:t>
            </w:r>
            <w:r w:rsidRPr="00D749D4">
              <w:rPr>
                <w:color w:val="000000"/>
                <w:szCs w:val="21"/>
              </w:rPr>
              <w:t>(</w:t>
            </w:r>
            <w:r w:rsidRPr="00D749D4">
              <w:rPr>
                <w:rFonts w:hint="eastAsia"/>
                <w:color w:val="000000"/>
                <w:szCs w:val="21"/>
              </w:rPr>
              <w:t>地区</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数量（股）</w:t>
            </w:r>
          </w:p>
        </w:tc>
        <w:tc>
          <w:tcPr>
            <w:tcW w:w="169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99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CF426B">
        <w:trPr>
          <w:jc w:val="center"/>
        </w:trPr>
        <w:tc>
          <w:tcPr>
            <w:tcW w:w="678" w:type="dxa"/>
            <w:vAlign w:val="center"/>
          </w:tcPr>
          <w:p w:rsidR="00CF426B" w:rsidRDefault="005F6DDD">
            <w:pPr>
              <w:jc w:val="center"/>
            </w:pPr>
            <w:r>
              <w:rPr>
                <w:color w:val="000000"/>
                <w:szCs w:val="21"/>
              </w:rPr>
              <w:t>1</w:t>
            </w:r>
          </w:p>
        </w:tc>
        <w:tc>
          <w:tcPr>
            <w:tcW w:w="905" w:type="dxa"/>
            <w:vAlign w:val="center"/>
          </w:tcPr>
          <w:p w:rsidR="00CF426B" w:rsidRDefault="005F6DDD">
            <w:pPr>
              <w:jc w:val="center"/>
            </w:pPr>
            <w:r>
              <w:rPr>
                <w:color w:val="000000"/>
                <w:szCs w:val="21"/>
              </w:rPr>
              <w:t>Apple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AAPL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27,456</w:t>
            </w:r>
          </w:p>
        </w:tc>
        <w:tc>
          <w:tcPr>
            <w:tcW w:w="1690" w:type="dxa"/>
            <w:vAlign w:val="center"/>
          </w:tcPr>
          <w:p w:rsidR="00CF426B" w:rsidRDefault="005F6DDD">
            <w:pPr>
              <w:jc w:val="right"/>
            </w:pPr>
            <w:r>
              <w:rPr>
                <w:color w:val="000000"/>
                <w:szCs w:val="21"/>
              </w:rPr>
              <w:t>70,907,909.53</w:t>
            </w:r>
          </w:p>
        </w:tc>
        <w:tc>
          <w:tcPr>
            <w:tcW w:w="997" w:type="dxa"/>
            <w:vAlign w:val="center"/>
          </w:tcPr>
          <w:p w:rsidR="00CF426B" w:rsidRDefault="005F6DDD">
            <w:pPr>
              <w:jc w:val="right"/>
            </w:pPr>
            <w:r>
              <w:rPr>
                <w:color w:val="000000"/>
                <w:szCs w:val="21"/>
              </w:rPr>
              <w:t>11.34</w:t>
            </w:r>
          </w:p>
        </w:tc>
      </w:tr>
      <w:tr w:rsidR="00CF426B">
        <w:trPr>
          <w:jc w:val="center"/>
        </w:trPr>
        <w:tc>
          <w:tcPr>
            <w:tcW w:w="678" w:type="dxa"/>
            <w:vAlign w:val="center"/>
          </w:tcPr>
          <w:p w:rsidR="00CF426B" w:rsidRDefault="005F6DDD">
            <w:pPr>
              <w:jc w:val="center"/>
            </w:pPr>
            <w:r>
              <w:rPr>
                <w:color w:val="000000"/>
                <w:szCs w:val="21"/>
              </w:rPr>
              <w:t>2</w:t>
            </w:r>
          </w:p>
        </w:tc>
        <w:tc>
          <w:tcPr>
            <w:tcW w:w="905" w:type="dxa"/>
            <w:vAlign w:val="center"/>
          </w:tcPr>
          <w:p w:rsidR="00CF426B" w:rsidRDefault="005F6DDD">
            <w:pPr>
              <w:jc w:val="center"/>
            </w:pPr>
            <w:r>
              <w:rPr>
                <w:color w:val="000000"/>
                <w:szCs w:val="21"/>
              </w:rPr>
              <w:t>Microsoft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MSFT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48,077</w:t>
            </w:r>
          </w:p>
        </w:tc>
        <w:tc>
          <w:tcPr>
            <w:tcW w:w="1690" w:type="dxa"/>
            <w:vAlign w:val="center"/>
          </w:tcPr>
          <w:p w:rsidR="00CF426B" w:rsidRDefault="005F6DDD">
            <w:pPr>
              <w:jc w:val="right"/>
            </w:pPr>
            <w:r>
              <w:rPr>
                <w:color w:val="000000"/>
                <w:szCs w:val="21"/>
              </w:rPr>
              <w:t>69,266,891.84</w:t>
            </w:r>
          </w:p>
        </w:tc>
        <w:tc>
          <w:tcPr>
            <w:tcW w:w="997" w:type="dxa"/>
            <w:vAlign w:val="center"/>
          </w:tcPr>
          <w:p w:rsidR="00CF426B" w:rsidRDefault="005F6DDD">
            <w:pPr>
              <w:jc w:val="right"/>
            </w:pPr>
            <w:r>
              <w:rPr>
                <w:color w:val="000000"/>
                <w:szCs w:val="21"/>
              </w:rPr>
              <w:t>11.07</w:t>
            </w:r>
          </w:p>
        </w:tc>
      </w:tr>
      <w:tr w:rsidR="00CF426B">
        <w:trPr>
          <w:jc w:val="center"/>
        </w:trPr>
        <w:tc>
          <w:tcPr>
            <w:tcW w:w="678" w:type="dxa"/>
            <w:vAlign w:val="center"/>
          </w:tcPr>
          <w:p w:rsidR="00CF426B" w:rsidRDefault="005F6DDD">
            <w:pPr>
              <w:jc w:val="center"/>
            </w:pPr>
            <w:r>
              <w:rPr>
                <w:color w:val="000000"/>
                <w:szCs w:val="21"/>
              </w:rPr>
              <w:t>3</w:t>
            </w:r>
          </w:p>
        </w:tc>
        <w:tc>
          <w:tcPr>
            <w:tcW w:w="905" w:type="dxa"/>
            <w:vAlign w:val="center"/>
          </w:tcPr>
          <w:p w:rsidR="00CF426B" w:rsidRDefault="005F6DDD">
            <w:pPr>
              <w:jc w:val="center"/>
            </w:pPr>
            <w:r>
              <w:rPr>
                <w:color w:val="000000"/>
                <w:szCs w:val="21"/>
              </w:rPr>
              <w:t>Amazon.com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AMZN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3,160</w:t>
            </w:r>
          </w:p>
        </w:tc>
        <w:tc>
          <w:tcPr>
            <w:tcW w:w="1690" w:type="dxa"/>
            <w:vAlign w:val="center"/>
          </w:tcPr>
          <w:p w:rsidR="00CF426B" w:rsidRDefault="005F6DDD">
            <w:pPr>
              <w:jc w:val="right"/>
            </w:pPr>
            <w:r>
              <w:rPr>
                <w:color w:val="000000"/>
                <w:szCs w:val="21"/>
              </w:rPr>
              <w:t>61,718,169.16</w:t>
            </w:r>
          </w:p>
        </w:tc>
        <w:tc>
          <w:tcPr>
            <w:tcW w:w="997" w:type="dxa"/>
            <w:vAlign w:val="center"/>
          </w:tcPr>
          <w:p w:rsidR="00CF426B" w:rsidRDefault="005F6DDD">
            <w:pPr>
              <w:jc w:val="right"/>
            </w:pPr>
            <w:r>
              <w:rPr>
                <w:color w:val="000000"/>
                <w:szCs w:val="21"/>
              </w:rPr>
              <w:t>9.87</w:t>
            </w:r>
          </w:p>
        </w:tc>
      </w:tr>
      <w:tr w:rsidR="00CF426B">
        <w:trPr>
          <w:jc w:val="center"/>
        </w:trPr>
        <w:tc>
          <w:tcPr>
            <w:tcW w:w="678" w:type="dxa"/>
            <w:vMerge w:val="restart"/>
            <w:vAlign w:val="center"/>
          </w:tcPr>
          <w:p w:rsidR="00CF426B" w:rsidRDefault="005F6DDD">
            <w:pPr>
              <w:jc w:val="center"/>
            </w:pPr>
            <w:r>
              <w:rPr>
                <w:color w:val="000000"/>
                <w:szCs w:val="21"/>
              </w:rPr>
              <w:t>4</w:t>
            </w:r>
          </w:p>
        </w:tc>
        <w:tc>
          <w:tcPr>
            <w:tcW w:w="905" w:type="dxa"/>
            <w:vMerge w:val="restart"/>
            <w:vAlign w:val="center"/>
          </w:tcPr>
          <w:p w:rsidR="00CF426B" w:rsidRDefault="005F6DDD">
            <w:pPr>
              <w:jc w:val="center"/>
            </w:pPr>
            <w:r>
              <w:rPr>
                <w:color w:val="000000"/>
                <w:szCs w:val="21"/>
              </w:rPr>
              <w:t>Alphabet Inc</w:t>
            </w:r>
          </w:p>
        </w:tc>
        <w:tc>
          <w:tcPr>
            <w:tcW w:w="1015" w:type="dxa"/>
            <w:vMerge w:val="restart"/>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GOOGL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2,181</w:t>
            </w:r>
          </w:p>
        </w:tc>
        <w:tc>
          <w:tcPr>
            <w:tcW w:w="1690" w:type="dxa"/>
            <w:vAlign w:val="center"/>
          </w:tcPr>
          <w:p w:rsidR="00CF426B" w:rsidRDefault="005F6DDD">
            <w:pPr>
              <w:jc w:val="right"/>
            </w:pPr>
            <w:r>
              <w:rPr>
                <w:color w:val="000000"/>
                <w:szCs w:val="21"/>
              </w:rPr>
              <w:t>21,895,244.33</w:t>
            </w:r>
          </w:p>
        </w:tc>
        <w:tc>
          <w:tcPr>
            <w:tcW w:w="997" w:type="dxa"/>
            <w:vAlign w:val="center"/>
          </w:tcPr>
          <w:p w:rsidR="00CF426B" w:rsidRDefault="005F6DDD">
            <w:pPr>
              <w:jc w:val="right"/>
            </w:pPr>
            <w:r>
              <w:rPr>
                <w:color w:val="000000"/>
                <w:szCs w:val="21"/>
              </w:rPr>
              <w:t>3.50</w:t>
            </w:r>
          </w:p>
        </w:tc>
      </w:tr>
      <w:tr w:rsidR="00CF426B">
        <w:trPr>
          <w:jc w:val="center"/>
        </w:trPr>
        <w:tc>
          <w:tcPr>
            <w:tcW w:w="678" w:type="dxa"/>
            <w:vMerge/>
          </w:tcPr>
          <w:p w:rsidR="00CF426B" w:rsidRDefault="00CF426B"/>
        </w:tc>
        <w:tc>
          <w:tcPr>
            <w:tcW w:w="905" w:type="dxa"/>
            <w:vMerge/>
          </w:tcPr>
          <w:p w:rsidR="00CF426B" w:rsidRDefault="00CF426B"/>
        </w:tc>
        <w:tc>
          <w:tcPr>
            <w:tcW w:w="1015" w:type="dxa"/>
            <w:vMerge/>
          </w:tcPr>
          <w:p w:rsidR="00CF426B" w:rsidRDefault="00CF426B"/>
        </w:tc>
        <w:tc>
          <w:tcPr>
            <w:tcW w:w="1184" w:type="dxa"/>
            <w:vAlign w:val="center"/>
          </w:tcPr>
          <w:p w:rsidR="00CF426B" w:rsidRDefault="005F6DDD">
            <w:pPr>
              <w:jc w:val="center"/>
            </w:pPr>
            <w:r>
              <w:rPr>
                <w:color w:val="000000"/>
                <w:szCs w:val="21"/>
              </w:rPr>
              <w:t>GOOG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2,130</w:t>
            </w:r>
          </w:p>
        </w:tc>
        <w:tc>
          <w:tcPr>
            <w:tcW w:w="1690" w:type="dxa"/>
            <w:vAlign w:val="center"/>
          </w:tcPr>
          <w:p w:rsidR="00CF426B" w:rsidRDefault="005F6DDD">
            <w:pPr>
              <w:jc w:val="right"/>
            </w:pPr>
            <w:r>
              <w:rPr>
                <w:color w:val="000000"/>
                <w:szCs w:val="21"/>
              </w:rPr>
              <w:t>21,316,298.75</w:t>
            </w:r>
          </w:p>
        </w:tc>
        <w:tc>
          <w:tcPr>
            <w:tcW w:w="997" w:type="dxa"/>
            <w:vAlign w:val="center"/>
          </w:tcPr>
          <w:p w:rsidR="00CF426B" w:rsidRDefault="005F6DDD">
            <w:pPr>
              <w:jc w:val="right"/>
            </w:pPr>
            <w:r>
              <w:rPr>
                <w:color w:val="000000"/>
                <w:szCs w:val="21"/>
              </w:rPr>
              <w:t>3.41</w:t>
            </w:r>
          </w:p>
        </w:tc>
      </w:tr>
      <w:tr w:rsidR="00CF426B">
        <w:trPr>
          <w:jc w:val="center"/>
        </w:trPr>
        <w:tc>
          <w:tcPr>
            <w:tcW w:w="678" w:type="dxa"/>
            <w:vAlign w:val="center"/>
          </w:tcPr>
          <w:p w:rsidR="00CF426B" w:rsidRDefault="005F6DDD">
            <w:pPr>
              <w:jc w:val="center"/>
            </w:pPr>
            <w:r>
              <w:rPr>
                <w:color w:val="000000"/>
                <w:szCs w:val="21"/>
              </w:rPr>
              <w:t>5</w:t>
            </w:r>
          </w:p>
        </w:tc>
        <w:tc>
          <w:tcPr>
            <w:tcW w:w="905" w:type="dxa"/>
            <w:vAlign w:val="center"/>
          </w:tcPr>
          <w:p w:rsidR="00CF426B" w:rsidRDefault="005F6DDD">
            <w:pPr>
              <w:jc w:val="center"/>
            </w:pPr>
            <w:r>
              <w:rPr>
                <w:color w:val="000000"/>
                <w:szCs w:val="21"/>
              </w:rPr>
              <w:t>Facebook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FB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15,232</w:t>
            </w:r>
          </w:p>
        </w:tc>
        <w:tc>
          <w:tcPr>
            <w:tcW w:w="1690" w:type="dxa"/>
            <w:vAlign w:val="center"/>
          </w:tcPr>
          <w:p w:rsidR="00CF426B" w:rsidRDefault="005F6DDD">
            <w:pPr>
              <w:jc w:val="right"/>
            </w:pPr>
            <w:r>
              <w:rPr>
                <w:color w:val="000000"/>
                <w:szCs w:val="21"/>
              </w:rPr>
              <w:t>24,486,080.73</w:t>
            </w:r>
          </w:p>
        </w:tc>
        <w:tc>
          <w:tcPr>
            <w:tcW w:w="997" w:type="dxa"/>
            <w:vAlign w:val="center"/>
          </w:tcPr>
          <w:p w:rsidR="00CF426B" w:rsidRDefault="005F6DDD">
            <w:pPr>
              <w:jc w:val="right"/>
            </w:pPr>
            <w:r>
              <w:rPr>
                <w:color w:val="000000"/>
                <w:szCs w:val="21"/>
              </w:rPr>
              <w:t>3.91</w:t>
            </w:r>
          </w:p>
        </w:tc>
      </w:tr>
      <w:tr w:rsidR="00CF426B">
        <w:trPr>
          <w:jc w:val="center"/>
        </w:trPr>
        <w:tc>
          <w:tcPr>
            <w:tcW w:w="678" w:type="dxa"/>
            <w:vAlign w:val="center"/>
          </w:tcPr>
          <w:p w:rsidR="00CF426B" w:rsidRDefault="005F6DDD">
            <w:pPr>
              <w:jc w:val="center"/>
            </w:pPr>
            <w:r>
              <w:rPr>
                <w:color w:val="000000"/>
                <w:szCs w:val="21"/>
              </w:rPr>
              <w:t>6</w:t>
            </w:r>
          </w:p>
        </w:tc>
        <w:tc>
          <w:tcPr>
            <w:tcW w:w="905" w:type="dxa"/>
            <w:vAlign w:val="center"/>
          </w:tcPr>
          <w:p w:rsidR="00CF426B" w:rsidRDefault="005F6DDD">
            <w:pPr>
              <w:jc w:val="center"/>
            </w:pPr>
            <w:r>
              <w:rPr>
                <w:color w:val="000000"/>
                <w:szCs w:val="21"/>
              </w:rPr>
              <w:t>Intel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INTC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34,145</w:t>
            </w:r>
          </w:p>
        </w:tc>
        <w:tc>
          <w:tcPr>
            <w:tcW w:w="1690" w:type="dxa"/>
            <w:vAlign w:val="center"/>
          </w:tcPr>
          <w:p w:rsidR="00CF426B" w:rsidRDefault="005F6DDD">
            <w:pPr>
              <w:jc w:val="right"/>
            </w:pPr>
            <w:r>
              <w:rPr>
                <w:color w:val="000000"/>
                <w:szCs w:val="21"/>
              </w:rPr>
              <w:t>14,462,677.63</w:t>
            </w:r>
          </w:p>
        </w:tc>
        <w:tc>
          <w:tcPr>
            <w:tcW w:w="997" w:type="dxa"/>
            <w:vAlign w:val="center"/>
          </w:tcPr>
          <w:p w:rsidR="00CF426B" w:rsidRDefault="005F6DDD">
            <w:pPr>
              <w:jc w:val="right"/>
            </w:pPr>
            <w:r>
              <w:rPr>
                <w:color w:val="000000"/>
                <w:szCs w:val="21"/>
              </w:rPr>
              <w:t>2.31</w:t>
            </w:r>
          </w:p>
        </w:tc>
      </w:tr>
      <w:tr w:rsidR="00CF426B">
        <w:trPr>
          <w:jc w:val="center"/>
        </w:trPr>
        <w:tc>
          <w:tcPr>
            <w:tcW w:w="678" w:type="dxa"/>
            <w:vAlign w:val="center"/>
          </w:tcPr>
          <w:p w:rsidR="00CF426B" w:rsidRDefault="005F6DDD">
            <w:pPr>
              <w:jc w:val="center"/>
            </w:pPr>
            <w:r>
              <w:rPr>
                <w:color w:val="000000"/>
                <w:szCs w:val="21"/>
              </w:rPr>
              <w:t>7</w:t>
            </w:r>
          </w:p>
        </w:tc>
        <w:tc>
          <w:tcPr>
            <w:tcW w:w="905" w:type="dxa"/>
            <w:vAlign w:val="center"/>
          </w:tcPr>
          <w:p w:rsidR="00CF426B" w:rsidRDefault="005F6DDD">
            <w:pPr>
              <w:jc w:val="center"/>
            </w:pPr>
            <w:r>
              <w:rPr>
                <w:color w:val="000000"/>
                <w:szCs w:val="21"/>
              </w:rPr>
              <w:t>NVIDIA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NVDA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4,970</w:t>
            </w:r>
          </w:p>
        </w:tc>
        <w:tc>
          <w:tcPr>
            <w:tcW w:w="1690" w:type="dxa"/>
            <w:vAlign w:val="center"/>
          </w:tcPr>
          <w:p w:rsidR="00CF426B" w:rsidRDefault="005F6DDD">
            <w:pPr>
              <w:jc w:val="right"/>
            </w:pPr>
            <w:r>
              <w:rPr>
                <w:color w:val="000000"/>
                <w:szCs w:val="21"/>
              </w:rPr>
              <w:t>13,367,177.04</w:t>
            </w:r>
          </w:p>
        </w:tc>
        <w:tc>
          <w:tcPr>
            <w:tcW w:w="997" w:type="dxa"/>
            <w:vAlign w:val="center"/>
          </w:tcPr>
          <w:p w:rsidR="00CF426B" w:rsidRDefault="005F6DDD">
            <w:pPr>
              <w:jc w:val="right"/>
            </w:pPr>
            <w:r>
              <w:rPr>
                <w:color w:val="000000"/>
                <w:szCs w:val="21"/>
              </w:rPr>
              <w:t>2.14</w:t>
            </w:r>
          </w:p>
        </w:tc>
      </w:tr>
      <w:tr w:rsidR="00CF426B">
        <w:trPr>
          <w:jc w:val="center"/>
        </w:trPr>
        <w:tc>
          <w:tcPr>
            <w:tcW w:w="678" w:type="dxa"/>
            <w:vAlign w:val="center"/>
          </w:tcPr>
          <w:p w:rsidR="00CF426B" w:rsidRDefault="005F6DDD">
            <w:pPr>
              <w:jc w:val="center"/>
            </w:pPr>
            <w:r>
              <w:rPr>
                <w:color w:val="000000"/>
                <w:szCs w:val="21"/>
              </w:rPr>
              <w:t>8</w:t>
            </w:r>
          </w:p>
        </w:tc>
        <w:tc>
          <w:tcPr>
            <w:tcW w:w="905" w:type="dxa"/>
            <w:vAlign w:val="center"/>
          </w:tcPr>
          <w:p w:rsidR="00CF426B" w:rsidRDefault="005F6DDD">
            <w:pPr>
              <w:jc w:val="center"/>
            </w:pPr>
            <w:r>
              <w:rPr>
                <w:color w:val="000000"/>
                <w:szCs w:val="21"/>
              </w:rPr>
              <w:t>Adobe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ADBE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3,899</w:t>
            </w:r>
          </w:p>
        </w:tc>
        <w:tc>
          <w:tcPr>
            <w:tcW w:w="1690" w:type="dxa"/>
            <w:vAlign w:val="center"/>
          </w:tcPr>
          <w:p w:rsidR="00CF426B" w:rsidRDefault="005F6DDD">
            <w:pPr>
              <w:jc w:val="right"/>
            </w:pPr>
            <w:r>
              <w:rPr>
                <w:color w:val="000000"/>
                <w:szCs w:val="21"/>
              </w:rPr>
              <w:t>12,015,849.09</w:t>
            </w:r>
          </w:p>
        </w:tc>
        <w:tc>
          <w:tcPr>
            <w:tcW w:w="997" w:type="dxa"/>
            <w:vAlign w:val="center"/>
          </w:tcPr>
          <w:p w:rsidR="00CF426B" w:rsidRDefault="005F6DDD">
            <w:pPr>
              <w:jc w:val="right"/>
            </w:pPr>
            <w:r>
              <w:rPr>
                <w:color w:val="000000"/>
                <w:szCs w:val="21"/>
              </w:rPr>
              <w:t>1.92</w:t>
            </w:r>
          </w:p>
        </w:tc>
      </w:tr>
      <w:tr w:rsidR="00CF426B">
        <w:trPr>
          <w:jc w:val="center"/>
        </w:trPr>
        <w:tc>
          <w:tcPr>
            <w:tcW w:w="678" w:type="dxa"/>
            <w:vAlign w:val="center"/>
          </w:tcPr>
          <w:p w:rsidR="00CF426B" w:rsidRDefault="005F6DDD">
            <w:pPr>
              <w:jc w:val="center"/>
            </w:pPr>
            <w:r>
              <w:rPr>
                <w:color w:val="000000"/>
                <w:szCs w:val="21"/>
              </w:rPr>
              <w:t>9</w:t>
            </w:r>
          </w:p>
        </w:tc>
        <w:tc>
          <w:tcPr>
            <w:tcW w:w="905" w:type="dxa"/>
            <w:vAlign w:val="center"/>
          </w:tcPr>
          <w:p w:rsidR="00CF426B" w:rsidRDefault="005F6DDD">
            <w:pPr>
              <w:jc w:val="center"/>
            </w:pPr>
            <w:r>
              <w:rPr>
                <w:color w:val="000000"/>
                <w:szCs w:val="21"/>
              </w:rPr>
              <w:t>PayPal Holdings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PYPL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9,487</w:t>
            </w:r>
          </w:p>
        </w:tc>
        <w:tc>
          <w:tcPr>
            <w:tcW w:w="1690" w:type="dxa"/>
            <w:vAlign w:val="center"/>
          </w:tcPr>
          <w:p w:rsidR="00CF426B" w:rsidRDefault="005F6DDD">
            <w:pPr>
              <w:jc w:val="right"/>
            </w:pPr>
            <w:r>
              <w:rPr>
                <w:color w:val="000000"/>
                <w:szCs w:val="21"/>
              </w:rPr>
              <w:t>11,701,847.21</w:t>
            </w:r>
          </w:p>
        </w:tc>
        <w:tc>
          <w:tcPr>
            <w:tcW w:w="997" w:type="dxa"/>
            <w:vAlign w:val="center"/>
          </w:tcPr>
          <w:p w:rsidR="00CF426B" w:rsidRDefault="005F6DDD">
            <w:pPr>
              <w:jc w:val="right"/>
            </w:pPr>
            <w:r>
              <w:rPr>
                <w:color w:val="000000"/>
                <w:szCs w:val="21"/>
              </w:rPr>
              <w:t>1.87</w:t>
            </w:r>
          </w:p>
        </w:tc>
      </w:tr>
      <w:tr w:rsidR="00CF426B">
        <w:trPr>
          <w:jc w:val="center"/>
        </w:trPr>
        <w:tc>
          <w:tcPr>
            <w:tcW w:w="678" w:type="dxa"/>
            <w:vAlign w:val="center"/>
          </w:tcPr>
          <w:p w:rsidR="00CF426B" w:rsidRDefault="005F6DDD">
            <w:pPr>
              <w:jc w:val="center"/>
            </w:pPr>
            <w:r>
              <w:rPr>
                <w:color w:val="000000"/>
                <w:szCs w:val="21"/>
              </w:rPr>
              <w:t>10</w:t>
            </w:r>
          </w:p>
        </w:tc>
        <w:tc>
          <w:tcPr>
            <w:tcW w:w="905" w:type="dxa"/>
            <w:vAlign w:val="center"/>
          </w:tcPr>
          <w:p w:rsidR="00CF426B" w:rsidRDefault="005F6DDD">
            <w:pPr>
              <w:jc w:val="center"/>
            </w:pPr>
            <w:r>
              <w:rPr>
                <w:color w:val="000000"/>
                <w:szCs w:val="21"/>
              </w:rPr>
              <w:t>Tesla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TSLA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1,498</w:t>
            </w:r>
          </w:p>
        </w:tc>
        <w:tc>
          <w:tcPr>
            <w:tcW w:w="1690" w:type="dxa"/>
            <w:vAlign w:val="center"/>
          </w:tcPr>
          <w:p w:rsidR="00CF426B" w:rsidRDefault="005F6DDD">
            <w:pPr>
              <w:jc w:val="right"/>
            </w:pPr>
            <w:r>
              <w:rPr>
                <w:color w:val="000000"/>
                <w:szCs w:val="21"/>
              </w:rPr>
              <w:t>11,451,483.31</w:t>
            </w:r>
          </w:p>
        </w:tc>
        <w:tc>
          <w:tcPr>
            <w:tcW w:w="997" w:type="dxa"/>
            <w:vAlign w:val="center"/>
          </w:tcPr>
          <w:p w:rsidR="00CF426B" w:rsidRDefault="005F6DDD">
            <w:pPr>
              <w:jc w:val="right"/>
            </w:pPr>
            <w:r>
              <w:rPr>
                <w:color w:val="000000"/>
                <w:szCs w:val="21"/>
              </w:rPr>
              <w:t>1.83</w:t>
            </w:r>
          </w:p>
        </w:tc>
      </w:tr>
      <w:tr w:rsidR="00CF426B">
        <w:trPr>
          <w:jc w:val="center"/>
        </w:trPr>
        <w:tc>
          <w:tcPr>
            <w:tcW w:w="678" w:type="dxa"/>
            <w:vAlign w:val="center"/>
          </w:tcPr>
          <w:p w:rsidR="00CF426B" w:rsidRDefault="005F6DDD">
            <w:pPr>
              <w:jc w:val="center"/>
            </w:pPr>
            <w:r>
              <w:rPr>
                <w:color w:val="000000"/>
                <w:szCs w:val="21"/>
              </w:rPr>
              <w:t>11</w:t>
            </w:r>
          </w:p>
        </w:tc>
        <w:tc>
          <w:tcPr>
            <w:tcW w:w="905" w:type="dxa"/>
            <w:vAlign w:val="center"/>
          </w:tcPr>
          <w:p w:rsidR="00CF426B" w:rsidRDefault="005F6DDD">
            <w:pPr>
              <w:jc w:val="center"/>
            </w:pPr>
            <w:r>
              <w:rPr>
                <w:color w:val="000000"/>
                <w:szCs w:val="21"/>
              </w:rPr>
              <w:t>Netflix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NFLX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3,554</w:t>
            </w:r>
          </w:p>
        </w:tc>
        <w:tc>
          <w:tcPr>
            <w:tcW w:w="1690" w:type="dxa"/>
            <w:vAlign w:val="center"/>
          </w:tcPr>
          <w:p w:rsidR="00CF426B" w:rsidRDefault="005F6DDD">
            <w:pPr>
              <w:jc w:val="right"/>
            </w:pPr>
            <w:r>
              <w:rPr>
                <w:color w:val="000000"/>
                <w:szCs w:val="21"/>
              </w:rPr>
              <w:t>11,449,053.49</w:t>
            </w:r>
          </w:p>
        </w:tc>
        <w:tc>
          <w:tcPr>
            <w:tcW w:w="997" w:type="dxa"/>
            <w:vAlign w:val="center"/>
          </w:tcPr>
          <w:p w:rsidR="00CF426B" w:rsidRDefault="005F6DDD">
            <w:pPr>
              <w:jc w:val="right"/>
            </w:pPr>
            <w:r>
              <w:rPr>
                <w:color w:val="000000"/>
                <w:szCs w:val="21"/>
              </w:rPr>
              <w:t>1.83</w:t>
            </w:r>
          </w:p>
        </w:tc>
      </w:tr>
      <w:tr w:rsidR="00CF426B">
        <w:trPr>
          <w:jc w:val="center"/>
        </w:trPr>
        <w:tc>
          <w:tcPr>
            <w:tcW w:w="678" w:type="dxa"/>
            <w:vAlign w:val="center"/>
          </w:tcPr>
          <w:p w:rsidR="00CF426B" w:rsidRDefault="005F6DDD">
            <w:pPr>
              <w:jc w:val="center"/>
            </w:pPr>
            <w:r>
              <w:rPr>
                <w:color w:val="000000"/>
                <w:szCs w:val="21"/>
              </w:rPr>
              <w:t>12</w:t>
            </w:r>
          </w:p>
        </w:tc>
        <w:tc>
          <w:tcPr>
            <w:tcW w:w="905" w:type="dxa"/>
            <w:vAlign w:val="center"/>
          </w:tcPr>
          <w:p w:rsidR="00CF426B" w:rsidRDefault="005F6DDD">
            <w:pPr>
              <w:jc w:val="center"/>
            </w:pPr>
            <w:r>
              <w:rPr>
                <w:color w:val="000000"/>
                <w:szCs w:val="21"/>
              </w:rPr>
              <w:t>Cisco Systems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CSCO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34,116</w:t>
            </w:r>
          </w:p>
        </w:tc>
        <w:tc>
          <w:tcPr>
            <w:tcW w:w="1690" w:type="dxa"/>
            <w:vAlign w:val="center"/>
          </w:tcPr>
          <w:p w:rsidR="00CF426B" w:rsidRDefault="005F6DDD">
            <w:pPr>
              <w:jc w:val="right"/>
            </w:pPr>
            <w:r>
              <w:rPr>
                <w:color w:val="000000"/>
                <w:szCs w:val="21"/>
              </w:rPr>
              <w:t>11,264,689.71</w:t>
            </w:r>
          </w:p>
        </w:tc>
        <w:tc>
          <w:tcPr>
            <w:tcW w:w="997" w:type="dxa"/>
            <w:vAlign w:val="center"/>
          </w:tcPr>
          <w:p w:rsidR="00CF426B" w:rsidRDefault="005F6DDD">
            <w:pPr>
              <w:jc w:val="right"/>
            </w:pPr>
            <w:r>
              <w:rPr>
                <w:color w:val="000000"/>
                <w:szCs w:val="21"/>
              </w:rPr>
              <w:t>1.80</w:t>
            </w:r>
          </w:p>
        </w:tc>
      </w:tr>
      <w:tr w:rsidR="00CF426B">
        <w:trPr>
          <w:jc w:val="center"/>
        </w:trPr>
        <w:tc>
          <w:tcPr>
            <w:tcW w:w="678" w:type="dxa"/>
            <w:vAlign w:val="center"/>
          </w:tcPr>
          <w:p w:rsidR="00CF426B" w:rsidRDefault="005F6DDD">
            <w:pPr>
              <w:jc w:val="center"/>
            </w:pPr>
            <w:r>
              <w:rPr>
                <w:color w:val="000000"/>
                <w:szCs w:val="21"/>
              </w:rPr>
              <w:t>13</w:t>
            </w:r>
          </w:p>
        </w:tc>
        <w:tc>
          <w:tcPr>
            <w:tcW w:w="905" w:type="dxa"/>
            <w:vAlign w:val="center"/>
          </w:tcPr>
          <w:p w:rsidR="00CF426B" w:rsidRDefault="005F6DDD">
            <w:pPr>
              <w:jc w:val="center"/>
            </w:pPr>
            <w:r>
              <w:rPr>
                <w:color w:val="000000"/>
                <w:szCs w:val="21"/>
              </w:rPr>
              <w:t>PepsiCo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PEP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11,208</w:t>
            </w:r>
          </w:p>
        </w:tc>
        <w:tc>
          <w:tcPr>
            <w:tcW w:w="1690" w:type="dxa"/>
            <w:vAlign w:val="center"/>
          </w:tcPr>
          <w:p w:rsidR="00CF426B" w:rsidRDefault="005F6DDD">
            <w:pPr>
              <w:jc w:val="right"/>
            </w:pPr>
            <w:r>
              <w:rPr>
                <w:color w:val="000000"/>
                <w:szCs w:val="21"/>
              </w:rPr>
              <w:t>10,494,438.98</w:t>
            </w:r>
          </w:p>
        </w:tc>
        <w:tc>
          <w:tcPr>
            <w:tcW w:w="997" w:type="dxa"/>
            <w:vAlign w:val="center"/>
          </w:tcPr>
          <w:p w:rsidR="00CF426B" w:rsidRDefault="005F6DDD">
            <w:pPr>
              <w:jc w:val="right"/>
            </w:pPr>
            <w:r>
              <w:rPr>
                <w:color w:val="000000"/>
                <w:szCs w:val="21"/>
              </w:rPr>
              <w:t>1.68</w:t>
            </w:r>
          </w:p>
        </w:tc>
      </w:tr>
      <w:tr w:rsidR="00CF426B">
        <w:trPr>
          <w:jc w:val="center"/>
        </w:trPr>
        <w:tc>
          <w:tcPr>
            <w:tcW w:w="678" w:type="dxa"/>
            <w:vAlign w:val="center"/>
          </w:tcPr>
          <w:p w:rsidR="00CF426B" w:rsidRDefault="005F6DDD">
            <w:pPr>
              <w:jc w:val="center"/>
            </w:pPr>
            <w:r>
              <w:rPr>
                <w:color w:val="000000"/>
                <w:szCs w:val="21"/>
              </w:rPr>
              <w:t>14</w:t>
            </w:r>
          </w:p>
        </w:tc>
        <w:tc>
          <w:tcPr>
            <w:tcW w:w="905" w:type="dxa"/>
            <w:vAlign w:val="center"/>
          </w:tcPr>
          <w:p w:rsidR="00CF426B" w:rsidRDefault="005F6DDD">
            <w:pPr>
              <w:jc w:val="center"/>
            </w:pPr>
            <w:r>
              <w:rPr>
                <w:color w:val="000000"/>
                <w:szCs w:val="21"/>
              </w:rPr>
              <w:t>Comcast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CMCSA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36,802</w:t>
            </w:r>
          </w:p>
        </w:tc>
        <w:tc>
          <w:tcPr>
            <w:tcW w:w="1690" w:type="dxa"/>
            <w:vAlign w:val="center"/>
          </w:tcPr>
          <w:p w:rsidR="00CF426B" w:rsidRDefault="005F6DDD">
            <w:pPr>
              <w:jc w:val="right"/>
            </w:pPr>
            <w:r>
              <w:rPr>
                <w:color w:val="000000"/>
                <w:szCs w:val="21"/>
              </w:rPr>
              <w:t>10,155,839.81</w:t>
            </w:r>
          </w:p>
        </w:tc>
        <w:tc>
          <w:tcPr>
            <w:tcW w:w="997" w:type="dxa"/>
            <w:vAlign w:val="center"/>
          </w:tcPr>
          <w:p w:rsidR="00CF426B" w:rsidRDefault="005F6DDD">
            <w:pPr>
              <w:jc w:val="right"/>
            </w:pPr>
            <w:r>
              <w:rPr>
                <w:color w:val="000000"/>
                <w:szCs w:val="21"/>
              </w:rPr>
              <w:t>1.62</w:t>
            </w:r>
          </w:p>
        </w:tc>
      </w:tr>
      <w:tr w:rsidR="00CF426B">
        <w:trPr>
          <w:jc w:val="center"/>
        </w:trPr>
        <w:tc>
          <w:tcPr>
            <w:tcW w:w="678" w:type="dxa"/>
            <w:vAlign w:val="center"/>
          </w:tcPr>
          <w:p w:rsidR="00CF426B" w:rsidRDefault="005F6DDD">
            <w:pPr>
              <w:jc w:val="center"/>
            </w:pPr>
            <w:r>
              <w:rPr>
                <w:color w:val="000000"/>
                <w:szCs w:val="21"/>
              </w:rPr>
              <w:t>15</w:t>
            </w:r>
          </w:p>
        </w:tc>
        <w:tc>
          <w:tcPr>
            <w:tcW w:w="905" w:type="dxa"/>
            <w:vAlign w:val="center"/>
          </w:tcPr>
          <w:p w:rsidR="00CF426B" w:rsidRDefault="005F6DDD">
            <w:pPr>
              <w:jc w:val="center"/>
            </w:pPr>
            <w:r>
              <w:rPr>
                <w:color w:val="000000"/>
                <w:szCs w:val="21"/>
              </w:rPr>
              <w:t>Amgen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AMGN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4,753</w:t>
            </w:r>
          </w:p>
        </w:tc>
        <w:tc>
          <w:tcPr>
            <w:tcW w:w="1690" w:type="dxa"/>
            <w:vAlign w:val="center"/>
          </w:tcPr>
          <w:p w:rsidR="00CF426B" w:rsidRDefault="005F6DDD">
            <w:pPr>
              <w:jc w:val="right"/>
            </w:pPr>
            <w:r>
              <w:rPr>
                <w:color w:val="000000"/>
                <w:szCs w:val="21"/>
              </w:rPr>
              <w:t>7,936,420.95</w:t>
            </w:r>
          </w:p>
        </w:tc>
        <w:tc>
          <w:tcPr>
            <w:tcW w:w="997" w:type="dxa"/>
            <w:vAlign w:val="center"/>
          </w:tcPr>
          <w:p w:rsidR="00CF426B" w:rsidRDefault="005F6DDD">
            <w:pPr>
              <w:jc w:val="right"/>
            </w:pPr>
            <w:r>
              <w:rPr>
                <w:color w:val="000000"/>
                <w:szCs w:val="21"/>
              </w:rPr>
              <w:t>1.27</w:t>
            </w:r>
          </w:p>
        </w:tc>
      </w:tr>
      <w:tr w:rsidR="00CF426B">
        <w:trPr>
          <w:jc w:val="center"/>
        </w:trPr>
        <w:tc>
          <w:tcPr>
            <w:tcW w:w="678" w:type="dxa"/>
            <w:vAlign w:val="center"/>
          </w:tcPr>
          <w:p w:rsidR="00CF426B" w:rsidRDefault="005F6DDD">
            <w:pPr>
              <w:jc w:val="center"/>
            </w:pPr>
            <w:r>
              <w:rPr>
                <w:color w:val="000000"/>
                <w:szCs w:val="21"/>
              </w:rPr>
              <w:t>16</w:t>
            </w:r>
          </w:p>
        </w:tc>
        <w:tc>
          <w:tcPr>
            <w:tcW w:w="905" w:type="dxa"/>
            <w:vAlign w:val="center"/>
          </w:tcPr>
          <w:p w:rsidR="00CF426B" w:rsidRDefault="005F6DDD">
            <w:pPr>
              <w:jc w:val="center"/>
            </w:pPr>
            <w:r>
              <w:rPr>
                <w:color w:val="000000"/>
                <w:szCs w:val="21"/>
              </w:rPr>
              <w:t>Costco Wholesale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COST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3,547</w:t>
            </w:r>
          </w:p>
        </w:tc>
        <w:tc>
          <w:tcPr>
            <w:tcW w:w="1690" w:type="dxa"/>
            <w:vAlign w:val="center"/>
          </w:tcPr>
          <w:p w:rsidR="00CF426B" w:rsidRDefault="005F6DDD">
            <w:pPr>
              <w:jc w:val="right"/>
            </w:pPr>
            <w:r>
              <w:rPr>
                <w:color w:val="000000"/>
                <w:szCs w:val="21"/>
              </w:rPr>
              <w:t>7,613,902.22</w:t>
            </w:r>
          </w:p>
        </w:tc>
        <w:tc>
          <w:tcPr>
            <w:tcW w:w="997" w:type="dxa"/>
            <w:vAlign w:val="center"/>
          </w:tcPr>
          <w:p w:rsidR="00CF426B" w:rsidRDefault="005F6DDD">
            <w:pPr>
              <w:jc w:val="right"/>
            </w:pPr>
            <w:r>
              <w:rPr>
                <w:color w:val="000000"/>
                <w:szCs w:val="21"/>
              </w:rPr>
              <w:t>1.22</w:t>
            </w:r>
          </w:p>
        </w:tc>
      </w:tr>
      <w:tr w:rsidR="00CF426B">
        <w:trPr>
          <w:jc w:val="center"/>
        </w:trPr>
        <w:tc>
          <w:tcPr>
            <w:tcW w:w="678" w:type="dxa"/>
            <w:vAlign w:val="center"/>
          </w:tcPr>
          <w:p w:rsidR="00CF426B" w:rsidRDefault="005F6DDD">
            <w:pPr>
              <w:jc w:val="center"/>
            </w:pPr>
            <w:r>
              <w:rPr>
                <w:color w:val="000000"/>
                <w:szCs w:val="21"/>
              </w:rPr>
              <w:t>17</w:t>
            </w:r>
          </w:p>
        </w:tc>
        <w:tc>
          <w:tcPr>
            <w:tcW w:w="905" w:type="dxa"/>
            <w:vAlign w:val="center"/>
          </w:tcPr>
          <w:p w:rsidR="00CF426B" w:rsidRDefault="005F6DDD">
            <w:pPr>
              <w:jc w:val="center"/>
            </w:pPr>
            <w:r>
              <w:rPr>
                <w:color w:val="000000"/>
                <w:szCs w:val="21"/>
              </w:rPr>
              <w:t>T-Mobile US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TMUS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9,986</w:t>
            </w:r>
          </w:p>
        </w:tc>
        <w:tc>
          <w:tcPr>
            <w:tcW w:w="1690" w:type="dxa"/>
            <w:vAlign w:val="center"/>
          </w:tcPr>
          <w:p w:rsidR="00CF426B" w:rsidRDefault="005F6DDD">
            <w:pPr>
              <w:jc w:val="right"/>
            </w:pPr>
            <w:r>
              <w:rPr>
                <w:color w:val="000000"/>
                <w:szCs w:val="21"/>
              </w:rPr>
              <w:t>7,362,976.63</w:t>
            </w:r>
          </w:p>
        </w:tc>
        <w:tc>
          <w:tcPr>
            <w:tcW w:w="997" w:type="dxa"/>
            <w:vAlign w:val="center"/>
          </w:tcPr>
          <w:p w:rsidR="00CF426B" w:rsidRDefault="005F6DDD">
            <w:pPr>
              <w:jc w:val="right"/>
            </w:pPr>
            <w:r>
              <w:rPr>
                <w:color w:val="000000"/>
                <w:szCs w:val="21"/>
              </w:rPr>
              <w:t>1.18</w:t>
            </w:r>
          </w:p>
        </w:tc>
      </w:tr>
      <w:tr w:rsidR="00CF426B">
        <w:trPr>
          <w:jc w:val="center"/>
        </w:trPr>
        <w:tc>
          <w:tcPr>
            <w:tcW w:w="678" w:type="dxa"/>
            <w:vAlign w:val="center"/>
          </w:tcPr>
          <w:p w:rsidR="00CF426B" w:rsidRDefault="005F6DDD">
            <w:pPr>
              <w:jc w:val="center"/>
            </w:pPr>
            <w:r>
              <w:rPr>
                <w:color w:val="000000"/>
                <w:szCs w:val="21"/>
              </w:rPr>
              <w:t>18</w:t>
            </w:r>
          </w:p>
        </w:tc>
        <w:tc>
          <w:tcPr>
            <w:tcW w:w="905" w:type="dxa"/>
            <w:vAlign w:val="center"/>
          </w:tcPr>
          <w:p w:rsidR="00CF426B" w:rsidRDefault="005F6DDD">
            <w:pPr>
              <w:jc w:val="center"/>
            </w:pPr>
            <w:r>
              <w:rPr>
                <w:color w:val="000000"/>
                <w:szCs w:val="21"/>
              </w:rPr>
              <w:t>Broadcom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AVGO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3,230</w:t>
            </w:r>
          </w:p>
        </w:tc>
        <w:tc>
          <w:tcPr>
            <w:tcW w:w="1690" w:type="dxa"/>
            <w:vAlign w:val="center"/>
          </w:tcPr>
          <w:p w:rsidR="00CF426B" w:rsidRDefault="005F6DDD">
            <w:pPr>
              <w:jc w:val="right"/>
            </w:pPr>
            <w:r>
              <w:rPr>
                <w:color w:val="000000"/>
                <w:szCs w:val="21"/>
              </w:rPr>
              <w:t>7,216,986.01</w:t>
            </w:r>
          </w:p>
        </w:tc>
        <w:tc>
          <w:tcPr>
            <w:tcW w:w="997" w:type="dxa"/>
            <w:vAlign w:val="center"/>
          </w:tcPr>
          <w:p w:rsidR="00CF426B" w:rsidRDefault="005F6DDD">
            <w:pPr>
              <w:jc w:val="right"/>
            </w:pPr>
            <w:r>
              <w:rPr>
                <w:color w:val="000000"/>
                <w:szCs w:val="21"/>
              </w:rPr>
              <w:t>1.15</w:t>
            </w:r>
          </w:p>
        </w:tc>
      </w:tr>
      <w:tr w:rsidR="00CF426B">
        <w:trPr>
          <w:jc w:val="center"/>
        </w:trPr>
        <w:tc>
          <w:tcPr>
            <w:tcW w:w="678" w:type="dxa"/>
            <w:vAlign w:val="center"/>
          </w:tcPr>
          <w:p w:rsidR="00CF426B" w:rsidRDefault="005F6DDD">
            <w:pPr>
              <w:jc w:val="center"/>
            </w:pPr>
            <w:r>
              <w:rPr>
                <w:color w:val="000000"/>
                <w:szCs w:val="21"/>
              </w:rPr>
              <w:t>19</w:t>
            </w:r>
          </w:p>
        </w:tc>
        <w:tc>
          <w:tcPr>
            <w:tcW w:w="905" w:type="dxa"/>
            <w:vAlign w:val="center"/>
          </w:tcPr>
          <w:p w:rsidR="00CF426B" w:rsidRDefault="005F6DDD">
            <w:pPr>
              <w:jc w:val="center"/>
            </w:pPr>
            <w:r>
              <w:rPr>
                <w:color w:val="000000"/>
                <w:szCs w:val="21"/>
              </w:rPr>
              <w:t>Texas Instruments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TXN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7,374</w:t>
            </w:r>
          </w:p>
        </w:tc>
        <w:tc>
          <w:tcPr>
            <w:tcW w:w="1690" w:type="dxa"/>
            <w:vAlign w:val="center"/>
          </w:tcPr>
          <w:p w:rsidR="00CF426B" w:rsidRDefault="005F6DDD">
            <w:pPr>
              <w:jc w:val="right"/>
            </w:pPr>
            <w:r>
              <w:rPr>
                <w:color w:val="000000"/>
                <w:szCs w:val="21"/>
              </w:rPr>
              <w:t>6,628,371.46</w:t>
            </w:r>
          </w:p>
        </w:tc>
        <w:tc>
          <w:tcPr>
            <w:tcW w:w="997" w:type="dxa"/>
            <w:vAlign w:val="center"/>
          </w:tcPr>
          <w:p w:rsidR="00CF426B" w:rsidRDefault="005F6DDD">
            <w:pPr>
              <w:jc w:val="right"/>
            </w:pPr>
            <w:r>
              <w:rPr>
                <w:color w:val="000000"/>
                <w:szCs w:val="21"/>
              </w:rPr>
              <w:t>1.06</w:t>
            </w:r>
          </w:p>
        </w:tc>
      </w:tr>
      <w:tr w:rsidR="00CF426B">
        <w:trPr>
          <w:jc w:val="center"/>
        </w:trPr>
        <w:tc>
          <w:tcPr>
            <w:tcW w:w="678" w:type="dxa"/>
            <w:vAlign w:val="center"/>
          </w:tcPr>
          <w:p w:rsidR="00CF426B" w:rsidRDefault="005F6DDD">
            <w:pPr>
              <w:jc w:val="center"/>
            </w:pPr>
            <w:r>
              <w:rPr>
                <w:color w:val="000000"/>
                <w:szCs w:val="21"/>
              </w:rPr>
              <w:t>20</w:t>
            </w:r>
          </w:p>
        </w:tc>
        <w:tc>
          <w:tcPr>
            <w:tcW w:w="905" w:type="dxa"/>
            <w:vAlign w:val="center"/>
          </w:tcPr>
          <w:p w:rsidR="00CF426B" w:rsidRDefault="005F6DDD">
            <w:pPr>
              <w:jc w:val="center"/>
            </w:pPr>
            <w:r>
              <w:rPr>
                <w:color w:val="000000"/>
                <w:szCs w:val="21"/>
              </w:rPr>
              <w:t>Charter Communications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CHTR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1,662</w:t>
            </w:r>
          </w:p>
        </w:tc>
        <w:tc>
          <w:tcPr>
            <w:tcW w:w="1690" w:type="dxa"/>
            <w:vAlign w:val="center"/>
          </w:tcPr>
          <w:p w:rsidR="00CF426B" w:rsidRDefault="005F6DDD">
            <w:pPr>
              <w:jc w:val="right"/>
            </w:pPr>
            <w:r>
              <w:rPr>
                <w:color w:val="000000"/>
                <w:szCs w:val="21"/>
              </w:rPr>
              <w:t>6,001,196.44</w:t>
            </w:r>
          </w:p>
        </w:tc>
        <w:tc>
          <w:tcPr>
            <w:tcW w:w="997" w:type="dxa"/>
            <w:vAlign w:val="center"/>
          </w:tcPr>
          <w:p w:rsidR="00CF426B" w:rsidRDefault="005F6DDD">
            <w:pPr>
              <w:jc w:val="right"/>
            </w:pPr>
            <w:r>
              <w:rPr>
                <w:color w:val="000000"/>
                <w:szCs w:val="21"/>
              </w:rPr>
              <w:t>0.96</w:t>
            </w:r>
          </w:p>
        </w:tc>
      </w:tr>
      <w:tr w:rsidR="00CF426B">
        <w:trPr>
          <w:jc w:val="center"/>
        </w:trPr>
        <w:tc>
          <w:tcPr>
            <w:tcW w:w="678" w:type="dxa"/>
            <w:vAlign w:val="center"/>
          </w:tcPr>
          <w:p w:rsidR="00CF426B" w:rsidRDefault="005F6DDD">
            <w:pPr>
              <w:jc w:val="center"/>
            </w:pPr>
            <w:r>
              <w:rPr>
                <w:color w:val="000000"/>
                <w:szCs w:val="21"/>
              </w:rPr>
              <w:t>21</w:t>
            </w:r>
          </w:p>
        </w:tc>
        <w:tc>
          <w:tcPr>
            <w:tcW w:w="905" w:type="dxa"/>
            <w:vAlign w:val="center"/>
          </w:tcPr>
          <w:p w:rsidR="00CF426B" w:rsidRDefault="005F6DDD">
            <w:pPr>
              <w:jc w:val="center"/>
            </w:pPr>
            <w:r>
              <w:rPr>
                <w:color w:val="000000"/>
                <w:szCs w:val="21"/>
              </w:rPr>
              <w:t>QUALCOMM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QCOM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9,011</w:t>
            </w:r>
          </w:p>
        </w:tc>
        <w:tc>
          <w:tcPr>
            <w:tcW w:w="1690" w:type="dxa"/>
            <w:vAlign w:val="center"/>
          </w:tcPr>
          <w:p w:rsidR="00CF426B" w:rsidRDefault="005F6DDD">
            <w:pPr>
              <w:jc w:val="right"/>
            </w:pPr>
            <w:r>
              <w:rPr>
                <w:color w:val="000000"/>
                <w:szCs w:val="21"/>
              </w:rPr>
              <w:t>5,818,593.69</w:t>
            </w:r>
          </w:p>
        </w:tc>
        <w:tc>
          <w:tcPr>
            <w:tcW w:w="997" w:type="dxa"/>
            <w:vAlign w:val="center"/>
          </w:tcPr>
          <w:p w:rsidR="00CF426B" w:rsidRDefault="005F6DDD">
            <w:pPr>
              <w:jc w:val="right"/>
            </w:pPr>
            <w:r>
              <w:rPr>
                <w:color w:val="000000"/>
                <w:szCs w:val="21"/>
              </w:rPr>
              <w:t>0.93</w:t>
            </w:r>
          </w:p>
        </w:tc>
      </w:tr>
      <w:tr w:rsidR="00CF426B">
        <w:trPr>
          <w:jc w:val="center"/>
        </w:trPr>
        <w:tc>
          <w:tcPr>
            <w:tcW w:w="678" w:type="dxa"/>
            <w:vAlign w:val="center"/>
          </w:tcPr>
          <w:p w:rsidR="00CF426B" w:rsidRDefault="005F6DDD">
            <w:pPr>
              <w:jc w:val="center"/>
            </w:pPr>
            <w:r>
              <w:rPr>
                <w:color w:val="000000"/>
                <w:szCs w:val="21"/>
              </w:rPr>
              <w:t>22</w:t>
            </w:r>
          </w:p>
        </w:tc>
        <w:tc>
          <w:tcPr>
            <w:tcW w:w="905" w:type="dxa"/>
            <w:vAlign w:val="center"/>
          </w:tcPr>
          <w:p w:rsidR="00CF426B" w:rsidRDefault="005F6DDD">
            <w:pPr>
              <w:jc w:val="center"/>
            </w:pPr>
            <w:r>
              <w:rPr>
                <w:color w:val="000000"/>
                <w:szCs w:val="21"/>
              </w:rPr>
              <w:t>Gilead Sciences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GILD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10,063</w:t>
            </w:r>
          </w:p>
        </w:tc>
        <w:tc>
          <w:tcPr>
            <w:tcW w:w="1690" w:type="dxa"/>
            <w:vAlign w:val="center"/>
          </w:tcPr>
          <w:p w:rsidR="00CF426B" w:rsidRDefault="005F6DDD">
            <w:pPr>
              <w:jc w:val="right"/>
            </w:pPr>
            <w:r>
              <w:rPr>
                <w:color w:val="000000"/>
                <w:szCs w:val="21"/>
              </w:rPr>
              <w:t>5,481,283.19</w:t>
            </w:r>
          </w:p>
        </w:tc>
        <w:tc>
          <w:tcPr>
            <w:tcW w:w="997" w:type="dxa"/>
            <w:vAlign w:val="center"/>
          </w:tcPr>
          <w:p w:rsidR="00CF426B" w:rsidRDefault="005F6DDD">
            <w:pPr>
              <w:jc w:val="right"/>
            </w:pPr>
            <w:r>
              <w:rPr>
                <w:color w:val="000000"/>
                <w:szCs w:val="21"/>
              </w:rPr>
              <w:t>0.88</w:t>
            </w:r>
          </w:p>
        </w:tc>
      </w:tr>
      <w:tr w:rsidR="00CF426B">
        <w:trPr>
          <w:jc w:val="center"/>
        </w:trPr>
        <w:tc>
          <w:tcPr>
            <w:tcW w:w="678" w:type="dxa"/>
            <w:vAlign w:val="center"/>
          </w:tcPr>
          <w:p w:rsidR="00CF426B" w:rsidRDefault="005F6DDD">
            <w:pPr>
              <w:jc w:val="center"/>
            </w:pPr>
            <w:r>
              <w:rPr>
                <w:color w:val="000000"/>
                <w:szCs w:val="21"/>
              </w:rPr>
              <w:t>23</w:t>
            </w:r>
          </w:p>
        </w:tc>
        <w:tc>
          <w:tcPr>
            <w:tcW w:w="905" w:type="dxa"/>
            <w:vAlign w:val="center"/>
          </w:tcPr>
          <w:p w:rsidR="00CF426B" w:rsidRDefault="005F6DDD">
            <w:pPr>
              <w:jc w:val="center"/>
            </w:pPr>
            <w:r>
              <w:rPr>
                <w:color w:val="000000"/>
                <w:szCs w:val="21"/>
              </w:rPr>
              <w:t>Starbucks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SBUX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9,554</w:t>
            </w:r>
          </w:p>
        </w:tc>
        <w:tc>
          <w:tcPr>
            <w:tcW w:w="1690" w:type="dxa"/>
            <w:vAlign w:val="center"/>
          </w:tcPr>
          <w:p w:rsidR="00CF426B" w:rsidRDefault="005F6DDD">
            <w:pPr>
              <w:jc w:val="right"/>
            </w:pPr>
            <w:r>
              <w:rPr>
                <w:color w:val="000000"/>
                <w:szCs w:val="21"/>
              </w:rPr>
              <w:t>4,977,446.79</w:t>
            </w:r>
          </w:p>
        </w:tc>
        <w:tc>
          <w:tcPr>
            <w:tcW w:w="997" w:type="dxa"/>
            <w:vAlign w:val="center"/>
          </w:tcPr>
          <w:p w:rsidR="00CF426B" w:rsidRDefault="005F6DDD">
            <w:pPr>
              <w:jc w:val="right"/>
            </w:pPr>
            <w:r>
              <w:rPr>
                <w:color w:val="000000"/>
                <w:szCs w:val="21"/>
              </w:rPr>
              <w:t>0.80</w:t>
            </w:r>
          </w:p>
        </w:tc>
      </w:tr>
      <w:tr w:rsidR="00CF426B">
        <w:trPr>
          <w:jc w:val="center"/>
        </w:trPr>
        <w:tc>
          <w:tcPr>
            <w:tcW w:w="678" w:type="dxa"/>
            <w:vAlign w:val="center"/>
          </w:tcPr>
          <w:p w:rsidR="00CF426B" w:rsidRDefault="005F6DDD">
            <w:pPr>
              <w:jc w:val="center"/>
            </w:pPr>
            <w:r>
              <w:rPr>
                <w:color w:val="000000"/>
                <w:szCs w:val="21"/>
              </w:rPr>
              <w:t>24</w:t>
            </w:r>
          </w:p>
        </w:tc>
        <w:tc>
          <w:tcPr>
            <w:tcW w:w="905" w:type="dxa"/>
            <w:vAlign w:val="center"/>
          </w:tcPr>
          <w:p w:rsidR="00CF426B" w:rsidRDefault="005F6DDD">
            <w:pPr>
              <w:jc w:val="center"/>
            </w:pPr>
            <w:r>
              <w:rPr>
                <w:color w:val="000000"/>
                <w:szCs w:val="21"/>
              </w:rPr>
              <w:t>Intuit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INTU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2,083</w:t>
            </w:r>
          </w:p>
        </w:tc>
        <w:tc>
          <w:tcPr>
            <w:tcW w:w="1690" w:type="dxa"/>
            <w:vAlign w:val="center"/>
          </w:tcPr>
          <w:p w:rsidR="00CF426B" w:rsidRDefault="005F6DDD">
            <w:pPr>
              <w:jc w:val="right"/>
            </w:pPr>
            <w:r>
              <w:rPr>
                <w:color w:val="000000"/>
                <w:szCs w:val="21"/>
              </w:rPr>
              <w:t>4,367,795.01</w:t>
            </w:r>
          </w:p>
        </w:tc>
        <w:tc>
          <w:tcPr>
            <w:tcW w:w="997" w:type="dxa"/>
            <w:vAlign w:val="center"/>
          </w:tcPr>
          <w:p w:rsidR="00CF426B" w:rsidRDefault="005F6DDD">
            <w:pPr>
              <w:jc w:val="right"/>
            </w:pPr>
            <w:r>
              <w:rPr>
                <w:color w:val="000000"/>
                <w:szCs w:val="21"/>
              </w:rPr>
              <w:t>0.70</w:t>
            </w:r>
          </w:p>
        </w:tc>
      </w:tr>
      <w:tr w:rsidR="00CF426B">
        <w:trPr>
          <w:jc w:val="center"/>
        </w:trPr>
        <w:tc>
          <w:tcPr>
            <w:tcW w:w="678" w:type="dxa"/>
            <w:vAlign w:val="center"/>
          </w:tcPr>
          <w:p w:rsidR="00CF426B" w:rsidRDefault="005F6DDD">
            <w:pPr>
              <w:jc w:val="center"/>
            </w:pPr>
            <w:r>
              <w:rPr>
                <w:color w:val="000000"/>
                <w:szCs w:val="21"/>
              </w:rPr>
              <w:t>25</w:t>
            </w:r>
          </w:p>
        </w:tc>
        <w:tc>
          <w:tcPr>
            <w:tcW w:w="905" w:type="dxa"/>
            <w:vAlign w:val="center"/>
          </w:tcPr>
          <w:p w:rsidR="00CF426B" w:rsidRDefault="005F6DDD">
            <w:pPr>
              <w:jc w:val="center"/>
            </w:pPr>
            <w:r>
              <w:rPr>
                <w:color w:val="000000"/>
                <w:szCs w:val="21"/>
              </w:rPr>
              <w:t>Vertex Pharmaceuticals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VRTX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2,119</w:t>
            </w:r>
          </w:p>
        </w:tc>
        <w:tc>
          <w:tcPr>
            <w:tcW w:w="1690" w:type="dxa"/>
            <w:vAlign w:val="center"/>
          </w:tcPr>
          <w:p w:rsidR="00CF426B" w:rsidRDefault="005F6DDD">
            <w:pPr>
              <w:jc w:val="right"/>
            </w:pPr>
            <w:r>
              <w:rPr>
                <w:color w:val="000000"/>
                <w:szCs w:val="21"/>
              </w:rPr>
              <w:t>4,355,074.00</w:t>
            </w:r>
          </w:p>
        </w:tc>
        <w:tc>
          <w:tcPr>
            <w:tcW w:w="997" w:type="dxa"/>
            <w:vAlign w:val="center"/>
          </w:tcPr>
          <w:p w:rsidR="00CF426B" w:rsidRDefault="005F6DDD">
            <w:pPr>
              <w:jc w:val="right"/>
            </w:pPr>
            <w:r>
              <w:rPr>
                <w:color w:val="000000"/>
                <w:szCs w:val="21"/>
              </w:rPr>
              <w:t>0.70</w:t>
            </w:r>
          </w:p>
        </w:tc>
      </w:tr>
      <w:tr w:rsidR="00CF426B">
        <w:trPr>
          <w:jc w:val="center"/>
        </w:trPr>
        <w:tc>
          <w:tcPr>
            <w:tcW w:w="678" w:type="dxa"/>
            <w:vAlign w:val="center"/>
          </w:tcPr>
          <w:p w:rsidR="00CF426B" w:rsidRDefault="005F6DDD">
            <w:pPr>
              <w:jc w:val="center"/>
            </w:pPr>
            <w:r>
              <w:rPr>
                <w:color w:val="000000"/>
                <w:szCs w:val="21"/>
              </w:rPr>
              <w:t>26</w:t>
            </w:r>
          </w:p>
        </w:tc>
        <w:tc>
          <w:tcPr>
            <w:tcW w:w="905" w:type="dxa"/>
            <w:vAlign w:val="center"/>
          </w:tcPr>
          <w:p w:rsidR="00CF426B" w:rsidRDefault="005F6DDD">
            <w:pPr>
              <w:jc w:val="center"/>
            </w:pPr>
            <w:r>
              <w:rPr>
                <w:color w:val="000000"/>
                <w:szCs w:val="21"/>
              </w:rPr>
              <w:t>Mondelez International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MDLZ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11,483</w:t>
            </w:r>
          </w:p>
        </w:tc>
        <w:tc>
          <w:tcPr>
            <w:tcW w:w="1690" w:type="dxa"/>
            <w:vAlign w:val="center"/>
          </w:tcPr>
          <w:p w:rsidR="00CF426B" w:rsidRDefault="005F6DDD">
            <w:pPr>
              <w:jc w:val="right"/>
            </w:pPr>
            <w:r>
              <w:rPr>
                <w:color w:val="000000"/>
                <w:szCs w:val="21"/>
              </w:rPr>
              <w:t>4,156,557.03</w:t>
            </w:r>
          </w:p>
        </w:tc>
        <w:tc>
          <w:tcPr>
            <w:tcW w:w="997" w:type="dxa"/>
            <w:vAlign w:val="center"/>
          </w:tcPr>
          <w:p w:rsidR="00CF426B" w:rsidRDefault="005F6DDD">
            <w:pPr>
              <w:jc w:val="right"/>
            </w:pPr>
            <w:r>
              <w:rPr>
                <w:color w:val="000000"/>
                <w:szCs w:val="21"/>
              </w:rPr>
              <w:t>0.66</w:t>
            </w:r>
          </w:p>
        </w:tc>
      </w:tr>
      <w:tr w:rsidR="00CF426B">
        <w:trPr>
          <w:jc w:val="center"/>
        </w:trPr>
        <w:tc>
          <w:tcPr>
            <w:tcW w:w="678" w:type="dxa"/>
            <w:vAlign w:val="center"/>
          </w:tcPr>
          <w:p w:rsidR="00CF426B" w:rsidRDefault="005F6DDD">
            <w:pPr>
              <w:jc w:val="center"/>
            </w:pPr>
            <w:r>
              <w:rPr>
                <w:color w:val="000000"/>
                <w:szCs w:val="21"/>
              </w:rPr>
              <w:t>27</w:t>
            </w:r>
          </w:p>
        </w:tc>
        <w:tc>
          <w:tcPr>
            <w:tcW w:w="905" w:type="dxa"/>
            <w:vAlign w:val="center"/>
          </w:tcPr>
          <w:p w:rsidR="00CF426B" w:rsidRDefault="005F6DDD">
            <w:pPr>
              <w:jc w:val="center"/>
            </w:pPr>
            <w:r>
              <w:rPr>
                <w:color w:val="000000"/>
                <w:szCs w:val="21"/>
              </w:rPr>
              <w:t>Intuitive Surgical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ISRG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950</w:t>
            </w:r>
          </w:p>
        </w:tc>
        <w:tc>
          <w:tcPr>
            <w:tcW w:w="1690" w:type="dxa"/>
            <w:vAlign w:val="center"/>
          </w:tcPr>
          <w:p w:rsidR="00CF426B" w:rsidRDefault="005F6DDD">
            <w:pPr>
              <w:jc w:val="right"/>
            </w:pPr>
            <w:r>
              <w:rPr>
                <w:color w:val="000000"/>
                <w:szCs w:val="21"/>
              </w:rPr>
              <w:t>3,832,405.91</w:t>
            </w:r>
          </w:p>
        </w:tc>
        <w:tc>
          <w:tcPr>
            <w:tcW w:w="997" w:type="dxa"/>
            <w:vAlign w:val="center"/>
          </w:tcPr>
          <w:p w:rsidR="00CF426B" w:rsidRDefault="005F6DDD">
            <w:pPr>
              <w:jc w:val="right"/>
            </w:pPr>
            <w:r>
              <w:rPr>
                <w:color w:val="000000"/>
                <w:szCs w:val="21"/>
              </w:rPr>
              <w:t>0.61</w:t>
            </w:r>
          </w:p>
        </w:tc>
      </w:tr>
      <w:tr w:rsidR="00CF426B">
        <w:trPr>
          <w:jc w:val="center"/>
        </w:trPr>
        <w:tc>
          <w:tcPr>
            <w:tcW w:w="678" w:type="dxa"/>
            <w:vAlign w:val="center"/>
          </w:tcPr>
          <w:p w:rsidR="00CF426B" w:rsidRDefault="005F6DDD">
            <w:pPr>
              <w:jc w:val="center"/>
            </w:pPr>
            <w:r>
              <w:rPr>
                <w:color w:val="000000"/>
                <w:szCs w:val="21"/>
              </w:rPr>
              <w:t>28</w:t>
            </w:r>
          </w:p>
        </w:tc>
        <w:tc>
          <w:tcPr>
            <w:tcW w:w="905" w:type="dxa"/>
            <w:vAlign w:val="center"/>
          </w:tcPr>
          <w:p w:rsidR="00CF426B" w:rsidRDefault="005F6DDD">
            <w:pPr>
              <w:jc w:val="center"/>
            </w:pPr>
            <w:r>
              <w:rPr>
                <w:color w:val="000000"/>
                <w:szCs w:val="21"/>
              </w:rPr>
              <w:t>Fiserv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FISV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5,447</w:t>
            </w:r>
          </w:p>
        </w:tc>
        <w:tc>
          <w:tcPr>
            <w:tcW w:w="1690" w:type="dxa"/>
            <w:vAlign w:val="center"/>
          </w:tcPr>
          <w:p w:rsidR="00CF426B" w:rsidRDefault="005F6DDD">
            <w:pPr>
              <w:jc w:val="right"/>
            </w:pPr>
            <w:r>
              <w:rPr>
                <w:color w:val="000000"/>
                <w:szCs w:val="21"/>
              </w:rPr>
              <w:t>3,764,426.00</w:t>
            </w:r>
          </w:p>
        </w:tc>
        <w:tc>
          <w:tcPr>
            <w:tcW w:w="997" w:type="dxa"/>
            <w:vAlign w:val="center"/>
          </w:tcPr>
          <w:p w:rsidR="00CF426B" w:rsidRDefault="005F6DDD">
            <w:pPr>
              <w:jc w:val="right"/>
            </w:pPr>
            <w:r>
              <w:rPr>
                <w:color w:val="000000"/>
                <w:szCs w:val="21"/>
              </w:rPr>
              <w:t>0.60</w:t>
            </w:r>
          </w:p>
        </w:tc>
      </w:tr>
      <w:tr w:rsidR="00CF426B">
        <w:trPr>
          <w:jc w:val="center"/>
        </w:trPr>
        <w:tc>
          <w:tcPr>
            <w:tcW w:w="678" w:type="dxa"/>
            <w:vAlign w:val="center"/>
          </w:tcPr>
          <w:p w:rsidR="00CF426B" w:rsidRDefault="005F6DDD">
            <w:pPr>
              <w:jc w:val="center"/>
            </w:pPr>
            <w:r>
              <w:rPr>
                <w:color w:val="000000"/>
                <w:szCs w:val="21"/>
              </w:rPr>
              <w:t>29</w:t>
            </w:r>
          </w:p>
        </w:tc>
        <w:tc>
          <w:tcPr>
            <w:tcW w:w="905" w:type="dxa"/>
            <w:vAlign w:val="center"/>
          </w:tcPr>
          <w:p w:rsidR="00CF426B" w:rsidRDefault="005F6DDD">
            <w:pPr>
              <w:jc w:val="center"/>
            </w:pPr>
            <w:r>
              <w:rPr>
                <w:color w:val="000000"/>
                <w:szCs w:val="21"/>
              </w:rPr>
              <w:t>Booking Holdings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BKNG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331</w:t>
            </w:r>
          </w:p>
        </w:tc>
        <w:tc>
          <w:tcPr>
            <w:tcW w:w="1690" w:type="dxa"/>
            <w:vAlign w:val="center"/>
          </w:tcPr>
          <w:p w:rsidR="00CF426B" w:rsidRDefault="005F6DDD">
            <w:pPr>
              <w:jc w:val="right"/>
            </w:pPr>
            <w:r>
              <w:rPr>
                <w:color w:val="000000"/>
                <w:szCs w:val="21"/>
              </w:rPr>
              <w:t>3,731,353.41</w:t>
            </w:r>
          </w:p>
        </w:tc>
        <w:tc>
          <w:tcPr>
            <w:tcW w:w="997" w:type="dxa"/>
            <w:vAlign w:val="center"/>
          </w:tcPr>
          <w:p w:rsidR="00CF426B" w:rsidRDefault="005F6DDD">
            <w:pPr>
              <w:jc w:val="right"/>
            </w:pPr>
            <w:r>
              <w:rPr>
                <w:color w:val="000000"/>
                <w:szCs w:val="21"/>
              </w:rPr>
              <w:t>0.60</w:t>
            </w:r>
          </w:p>
        </w:tc>
      </w:tr>
      <w:tr w:rsidR="00CF426B">
        <w:trPr>
          <w:jc w:val="center"/>
        </w:trPr>
        <w:tc>
          <w:tcPr>
            <w:tcW w:w="678" w:type="dxa"/>
            <w:vAlign w:val="center"/>
          </w:tcPr>
          <w:p w:rsidR="00CF426B" w:rsidRDefault="005F6DDD">
            <w:pPr>
              <w:jc w:val="center"/>
            </w:pPr>
            <w:r>
              <w:rPr>
                <w:color w:val="000000"/>
                <w:szCs w:val="21"/>
              </w:rPr>
              <w:t>30</w:t>
            </w:r>
          </w:p>
        </w:tc>
        <w:tc>
          <w:tcPr>
            <w:tcW w:w="905" w:type="dxa"/>
            <w:vAlign w:val="center"/>
          </w:tcPr>
          <w:p w:rsidR="00CF426B" w:rsidRDefault="005F6DDD">
            <w:pPr>
              <w:jc w:val="center"/>
            </w:pPr>
            <w:r>
              <w:rPr>
                <w:color w:val="000000"/>
                <w:szCs w:val="21"/>
              </w:rPr>
              <w:t>Automatic Data Processing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ADP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3,471</w:t>
            </w:r>
          </w:p>
        </w:tc>
        <w:tc>
          <w:tcPr>
            <w:tcW w:w="1690" w:type="dxa"/>
            <w:vAlign w:val="center"/>
          </w:tcPr>
          <w:p w:rsidR="00CF426B" w:rsidRDefault="005F6DDD">
            <w:pPr>
              <w:jc w:val="right"/>
            </w:pPr>
            <w:r>
              <w:rPr>
                <w:color w:val="000000"/>
                <w:szCs w:val="21"/>
              </w:rPr>
              <w:t>3,658,665.71</w:t>
            </w:r>
          </w:p>
        </w:tc>
        <w:tc>
          <w:tcPr>
            <w:tcW w:w="997" w:type="dxa"/>
            <w:vAlign w:val="center"/>
          </w:tcPr>
          <w:p w:rsidR="00CF426B" w:rsidRDefault="005F6DDD">
            <w:pPr>
              <w:jc w:val="right"/>
            </w:pPr>
            <w:r>
              <w:rPr>
                <w:color w:val="000000"/>
                <w:szCs w:val="21"/>
              </w:rPr>
              <w:t>0.58</w:t>
            </w:r>
          </w:p>
        </w:tc>
      </w:tr>
      <w:tr w:rsidR="00CF426B">
        <w:trPr>
          <w:jc w:val="center"/>
        </w:trPr>
        <w:tc>
          <w:tcPr>
            <w:tcW w:w="678" w:type="dxa"/>
            <w:vAlign w:val="center"/>
          </w:tcPr>
          <w:p w:rsidR="00CF426B" w:rsidRDefault="005F6DDD">
            <w:pPr>
              <w:jc w:val="center"/>
            </w:pPr>
            <w:r>
              <w:rPr>
                <w:color w:val="000000"/>
                <w:szCs w:val="21"/>
              </w:rPr>
              <w:t>31</w:t>
            </w:r>
          </w:p>
        </w:tc>
        <w:tc>
          <w:tcPr>
            <w:tcW w:w="905" w:type="dxa"/>
            <w:vAlign w:val="center"/>
          </w:tcPr>
          <w:p w:rsidR="00CF426B" w:rsidRDefault="005F6DDD">
            <w:pPr>
              <w:jc w:val="center"/>
            </w:pPr>
            <w:r>
              <w:rPr>
                <w:color w:val="000000"/>
                <w:szCs w:val="21"/>
              </w:rPr>
              <w:t>Regeneron Pharmaceuticals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REGN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825</w:t>
            </w:r>
          </w:p>
        </w:tc>
        <w:tc>
          <w:tcPr>
            <w:tcW w:w="1690" w:type="dxa"/>
            <w:vAlign w:val="center"/>
          </w:tcPr>
          <w:p w:rsidR="00CF426B" w:rsidRDefault="005F6DDD">
            <w:pPr>
              <w:jc w:val="right"/>
            </w:pPr>
            <w:r>
              <w:rPr>
                <w:color w:val="000000"/>
                <w:szCs w:val="21"/>
              </w:rPr>
              <w:t>3,642,482.39</w:t>
            </w:r>
          </w:p>
        </w:tc>
        <w:tc>
          <w:tcPr>
            <w:tcW w:w="997" w:type="dxa"/>
            <w:vAlign w:val="center"/>
          </w:tcPr>
          <w:p w:rsidR="00CF426B" w:rsidRDefault="005F6DDD">
            <w:pPr>
              <w:jc w:val="right"/>
            </w:pPr>
            <w:r>
              <w:rPr>
                <w:color w:val="000000"/>
                <w:szCs w:val="21"/>
              </w:rPr>
              <w:t>0.58</w:t>
            </w:r>
          </w:p>
        </w:tc>
      </w:tr>
      <w:tr w:rsidR="00CF426B">
        <w:trPr>
          <w:jc w:val="center"/>
        </w:trPr>
        <w:tc>
          <w:tcPr>
            <w:tcW w:w="678" w:type="dxa"/>
            <w:vAlign w:val="center"/>
          </w:tcPr>
          <w:p w:rsidR="00CF426B" w:rsidRDefault="005F6DDD">
            <w:pPr>
              <w:jc w:val="center"/>
            </w:pPr>
            <w:r>
              <w:rPr>
                <w:color w:val="000000"/>
                <w:szCs w:val="21"/>
              </w:rPr>
              <w:t>32</w:t>
            </w:r>
          </w:p>
        </w:tc>
        <w:tc>
          <w:tcPr>
            <w:tcW w:w="905" w:type="dxa"/>
            <w:vAlign w:val="center"/>
          </w:tcPr>
          <w:p w:rsidR="00CF426B" w:rsidRDefault="005F6DDD">
            <w:pPr>
              <w:jc w:val="center"/>
            </w:pPr>
            <w:r>
              <w:rPr>
                <w:color w:val="000000"/>
                <w:szCs w:val="21"/>
              </w:rPr>
              <w:t>Advanced Micro Devices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AMD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9,572</w:t>
            </w:r>
          </w:p>
        </w:tc>
        <w:tc>
          <w:tcPr>
            <w:tcW w:w="1690" w:type="dxa"/>
            <w:vAlign w:val="center"/>
          </w:tcPr>
          <w:p w:rsidR="00CF426B" w:rsidRDefault="005F6DDD">
            <w:pPr>
              <w:jc w:val="right"/>
            </w:pPr>
            <w:r>
              <w:rPr>
                <w:color w:val="000000"/>
                <w:szCs w:val="21"/>
              </w:rPr>
              <w:t>3,565,115.28</w:t>
            </w:r>
          </w:p>
        </w:tc>
        <w:tc>
          <w:tcPr>
            <w:tcW w:w="997" w:type="dxa"/>
            <w:vAlign w:val="center"/>
          </w:tcPr>
          <w:p w:rsidR="00CF426B" w:rsidRDefault="005F6DDD">
            <w:pPr>
              <w:jc w:val="right"/>
            </w:pPr>
            <w:r>
              <w:rPr>
                <w:color w:val="000000"/>
                <w:szCs w:val="21"/>
              </w:rPr>
              <w:t>0.57</w:t>
            </w:r>
          </w:p>
        </w:tc>
      </w:tr>
      <w:tr w:rsidR="00CF426B">
        <w:trPr>
          <w:jc w:val="center"/>
        </w:trPr>
        <w:tc>
          <w:tcPr>
            <w:tcW w:w="678" w:type="dxa"/>
            <w:vAlign w:val="center"/>
          </w:tcPr>
          <w:p w:rsidR="00CF426B" w:rsidRDefault="005F6DDD">
            <w:pPr>
              <w:jc w:val="center"/>
            </w:pPr>
            <w:r>
              <w:rPr>
                <w:color w:val="000000"/>
                <w:szCs w:val="21"/>
              </w:rPr>
              <w:t>33</w:t>
            </w:r>
          </w:p>
        </w:tc>
        <w:tc>
          <w:tcPr>
            <w:tcW w:w="905" w:type="dxa"/>
            <w:vAlign w:val="center"/>
          </w:tcPr>
          <w:p w:rsidR="00CF426B" w:rsidRDefault="005F6DDD">
            <w:pPr>
              <w:jc w:val="center"/>
            </w:pPr>
            <w:r>
              <w:rPr>
                <w:color w:val="000000"/>
                <w:szCs w:val="21"/>
              </w:rPr>
              <w:t>Activision Blizzard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ATVI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6,197</w:t>
            </w:r>
          </w:p>
        </w:tc>
        <w:tc>
          <w:tcPr>
            <w:tcW w:w="1690" w:type="dxa"/>
            <w:vAlign w:val="center"/>
          </w:tcPr>
          <w:p w:rsidR="00CF426B" w:rsidRDefault="005F6DDD">
            <w:pPr>
              <w:jc w:val="right"/>
            </w:pPr>
            <w:r>
              <w:rPr>
                <w:color w:val="000000"/>
                <w:szCs w:val="21"/>
              </w:rPr>
              <w:t>3,329,859.11</w:t>
            </w:r>
          </w:p>
        </w:tc>
        <w:tc>
          <w:tcPr>
            <w:tcW w:w="997" w:type="dxa"/>
            <w:vAlign w:val="center"/>
          </w:tcPr>
          <w:p w:rsidR="00CF426B" w:rsidRDefault="005F6DDD">
            <w:pPr>
              <w:jc w:val="right"/>
            </w:pPr>
            <w:r>
              <w:rPr>
                <w:color w:val="000000"/>
                <w:szCs w:val="21"/>
              </w:rPr>
              <w:t>0.53</w:t>
            </w:r>
          </w:p>
        </w:tc>
      </w:tr>
      <w:tr w:rsidR="00CF426B">
        <w:trPr>
          <w:jc w:val="center"/>
        </w:trPr>
        <w:tc>
          <w:tcPr>
            <w:tcW w:w="678" w:type="dxa"/>
            <w:vAlign w:val="center"/>
          </w:tcPr>
          <w:p w:rsidR="00CF426B" w:rsidRDefault="005F6DDD">
            <w:pPr>
              <w:jc w:val="center"/>
            </w:pPr>
            <w:r>
              <w:rPr>
                <w:color w:val="000000"/>
                <w:szCs w:val="21"/>
              </w:rPr>
              <w:t>34</w:t>
            </w:r>
          </w:p>
        </w:tc>
        <w:tc>
          <w:tcPr>
            <w:tcW w:w="905" w:type="dxa"/>
            <w:vAlign w:val="center"/>
          </w:tcPr>
          <w:p w:rsidR="00CF426B" w:rsidRDefault="005F6DDD">
            <w:pPr>
              <w:jc w:val="center"/>
            </w:pPr>
            <w:r>
              <w:rPr>
                <w:color w:val="000000"/>
                <w:szCs w:val="21"/>
              </w:rPr>
              <w:t>Micron Technology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MU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9,060</w:t>
            </w:r>
          </w:p>
        </w:tc>
        <w:tc>
          <w:tcPr>
            <w:tcW w:w="1690" w:type="dxa"/>
            <w:vAlign w:val="center"/>
          </w:tcPr>
          <w:p w:rsidR="00CF426B" w:rsidRDefault="005F6DDD">
            <w:pPr>
              <w:jc w:val="right"/>
            </w:pPr>
            <w:r>
              <w:rPr>
                <w:color w:val="000000"/>
                <w:szCs w:val="21"/>
              </w:rPr>
              <w:t>3,304,506.71</w:t>
            </w:r>
          </w:p>
        </w:tc>
        <w:tc>
          <w:tcPr>
            <w:tcW w:w="997" w:type="dxa"/>
            <w:vAlign w:val="center"/>
          </w:tcPr>
          <w:p w:rsidR="00CF426B" w:rsidRDefault="005F6DDD">
            <w:pPr>
              <w:jc w:val="right"/>
            </w:pPr>
            <w:r>
              <w:rPr>
                <w:color w:val="000000"/>
                <w:szCs w:val="21"/>
              </w:rPr>
              <w:t>0.53</w:t>
            </w:r>
          </w:p>
        </w:tc>
      </w:tr>
      <w:tr w:rsidR="00CF426B">
        <w:trPr>
          <w:jc w:val="center"/>
        </w:trPr>
        <w:tc>
          <w:tcPr>
            <w:tcW w:w="678" w:type="dxa"/>
            <w:vAlign w:val="center"/>
          </w:tcPr>
          <w:p w:rsidR="00CF426B" w:rsidRDefault="005F6DDD">
            <w:pPr>
              <w:jc w:val="center"/>
            </w:pPr>
            <w:r>
              <w:rPr>
                <w:color w:val="000000"/>
                <w:szCs w:val="21"/>
              </w:rPr>
              <w:t>35</w:t>
            </w:r>
          </w:p>
        </w:tc>
        <w:tc>
          <w:tcPr>
            <w:tcW w:w="905" w:type="dxa"/>
            <w:vAlign w:val="center"/>
          </w:tcPr>
          <w:p w:rsidR="00CF426B" w:rsidRDefault="005F6DDD">
            <w:pPr>
              <w:jc w:val="center"/>
            </w:pPr>
            <w:r>
              <w:rPr>
                <w:color w:val="000000"/>
                <w:szCs w:val="21"/>
              </w:rPr>
              <w:t>Applied Materials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AMAT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7,468</w:t>
            </w:r>
          </w:p>
        </w:tc>
        <w:tc>
          <w:tcPr>
            <w:tcW w:w="1690" w:type="dxa"/>
            <w:vAlign w:val="center"/>
          </w:tcPr>
          <w:p w:rsidR="00CF426B" w:rsidRDefault="005F6DDD">
            <w:pPr>
              <w:jc w:val="right"/>
            </w:pPr>
            <w:r>
              <w:rPr>
                <w:color w:val="000000"/>
                <w:szCs w:val="21"/>
              </w:rPr>
              <w:t>3,195,973.73</w:t>
            </w:r>
          </w:p>
        </w:tc>
        <w:tc>
          <w:tcPr>
            <w:tcW w:w="997" w:type="dxa"/>
            <w:vAlign w:val="center"/>
          </w:tcPr>
          <w:p w:rsidR="00CF426B" w:rsidRDefault="005F6DDD">
            <w:pPr>
              <w:jc w:val="right"/>
            </w:pPr>
            <w:r>
              <w:rPr>
                <w:color w:val="000000"/>
                <w:szCs w:val="21"/>
              </w:rPr>
              <w:t>0.51</w:t>
            </w:r>
          </w:p>
        </w:tc>
      </w:tr>
      <w:tr w:rsidR="00CF426B">
        <w:trPr>
          <w:jc w:val="center"/>
        </w:trPr>
        <w:tc>
          <w:tcPr>
            <w:tcW w:w="678" w:type="dxa"/>
            <w:vAlign w:val="center"/>
          </w:tcPr>
          <w:p w:rsidR="00CF426B" w:rsidRDefault="005F6DDD">
            <w:pPr>
              <w:jc w:val="center"/>
            </w:pPr>
            <w:r>
              <w:rPr>
                <w:color w:val="000000"/>
                <w:szCs w:val="21"/>
              </w:rPr>
              <w:t>36</w:t>
            </w:r>
          </w:p>
        </w:tc>
        <w:tc>
          <w:tcPr>
            <w:tcW w:w="905" w:type="dxa"/>
            <w:vAlign w:val="center"/>
          </w:tcPr>
          <w:p w:rsidR="00CF426B" w:rsidRDefault="005F6DDD">
            <w:pPr>
              <w:jc w:val="center"/>
            </w:pPr>
            <w:r>
              <w:rPr>
                <w:color w:val="000000"/>
                <w:szCs w:val="21"/>
              </w:rPr>
              <w:t>JD.com Inc</w:t>
            </w:r>
          </w:p>
        </w:tc>
        <w:tc>
          <w:tcPr>
            <w:tcW w:w="1015" w:type="dxa"/>
            <w:vAlign w:val="center"/>
          </w:tcPr>
          <w:p w:rsidR="00CF426B" w:rsidRDefault="005F6DDD">
            <w:pPr>
              <w:jc w:val="center"/>
            </w:pPr>
            <w:r>
              <w:rPr>
                <w:color w:val="000000"/>
                <w:szCs w:val="21"/>
              </w:rPr>
              <w:t>京东商城电子商务有限公司</w:t>
            </w:r>
          </w:p>
        </w:tc>
        <w:tc>
          <w:tcPr>
            <w:tcW w:w="1184" w:type="dxa"/>
            <w:vAlign w:val="center"/>
          </w:tcPr>
          <w:p w:rsidR="00CF426B" w:rsidRDefault="005F6DDD">
            <w:pPr>
              <w:jc w:val="center"/>
            </w:pPr>
            <w:r>
              <w:rPr>
                <w:color w:val="000000"/>
                <w:szCs w:val="21"/>
              </w:rPr>
              <w:t>JD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7,464</w:t>
            </w:r>
          </w:p>
        </w:tc>
        <w:tc>
          <w:tcPr>
            <w:tcW w:w="1690" w:type="dxa"/>
            <w:vAlign w:val="center"/>
          </w:tcPr>
          <w:p w:rsidR="00CF426B" w:rsidRDefault="005F6DDD">
            <w:pPr>
              <w:jc w:val="right"/>
            </w:pPr>
            <w:r>
              <w:rPr>
                <w:color w:val="000000"/>
                <w:szCs w:val="21"/>
              </w:rPr>
              <w:t>3,179,994.73</w:t>
            </w:r>
          </w:p>
        </w:tc>
        <w:tc>
          <w:tcPr>
            <w:tcW w:w="997" w:type="dxa"/>
            <w:vAlign w:val="center"/>
          </w:tcPr>
          <w:p w:rsidR="00CF426B" w:rsidRDefault="005F6DDD">
            <w:pPr>
              <w:jc w:val="right"/>
            </w:pPr>
            <w:r>
              <w:rPr>
                <w:color w:val="000000"/>
                <w:szCs w:val="21"/>
              </w:rPr>
              <w:t>0.51</w:t>
            </w:r>
          </w:p>
        </w:tc>
      </w:tr>
      <w:tr w:rsidR="00CF426B">
        <w:trPr>
          <w:jc w:val="center"/>
        </w:trPr>
        <w:tc>
          <w:tcPr>
            <w:tcW w:w="678" w:type="dxa"/>
            <w:vAlign w:val="center"/>
          </w:tcPr>
          <w:p w:rsidR="00CF426B" w:rsidRDefault="005F6DDD">
            <w:pPr>
              <w:jc w:val="center"/>
            </w:pPr>
            <w:r>
              <w:rPr>
                <w:color w:val="000000"/>
                <w:szCs w:val="21"/>
              </w:rPr>
              <w:t>37</w:t>
            </w:r>
          </w:p>
        </w:tc>
        <w:tc>
          <w:tcPr>
            <w:tcW w:w="905" w:type="dxa"/>
            <w:vAlign w:val="center"/>
          </w:tcPr>
          <w:p w:rsidR="00CF426B" w:rsidRDefault="005F6DDD">
            <w:pPr>
              <w:jc w:val="center"/>
            </w:pPr>
            <w:r>
              <w:rPr>
                <w:color w:val="000000"/>
                <w:szCs w:val="21"/>
              </w:rPr>
              <w:t>Illumina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ILMN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1,207</w:t>
            </w:r>
          </w:p>
        </w:tc>
        <w:tc>
          <w:tcPr>
            <w:tcW w:w="1690" w:type="dxa"/>
            <w:vAlign w:val="center"/>
          </w:tcPr>
          <w:p w:rsidR="00CF426B" w:rsidRDefault="005F6DDD">
            <w:pPr>
              <w:jc w:val="right"/>
            </w:pPr>
            <w:r>
              <w:rPr>
                <w:color w:val="000000"/>
                <w:szCs w:val="21"/>
              </w:rPr>
              <w:t>3,164,624.64</w:t>
            </w:r>
          </w:p>
        </w:tc>
        <w:tc>
          <w:tcPr>
            <w:tcW w:w="997" w:type="dxa"/>
            <w:vAlign w:val="center"/>
          </w:tcPr>
          <w:p w:rsidR="00CF426B" w:rsidRDefault="005F6DDD">
            <w:pPr>
              <w:jc w:val="right"/>
            </w:pPr>
            <w:r>
              <w:rPr>
                <w:color w:val="000000"/>
                <w:szCs w:val="21"/>
              </w:rPr>
              <w:t>0.51</w:t>
            </w:r>
          </w:p>
        </w:tc>
      </w:tr>
      <w:tr w:rsidR="00CF426B">
        <w:trPr>
          <w:jc w:val="center"/>
        </w:trPr>
        <w:tc>
          <w:tcPr>
            <w:tcW w:w="678" w:type="dxa"/>
            <w:vAlign w:val="center"/>
          </w:tcPr>
          <w:p w:rsidR="00CF426B" w:rsidRDefault="005F6DDD">
            <w:pPr>
              <w:jc w:val="center"/>
            </w:pPr>
            <w:r>
              <w:rPr>
                <w:color w:val="000000"/>
                <w:szCs w:val="21"/>
              </w:rPr>
              <w:t>38</w:t>
            </w:r>
          </w:p>
        </w:tc>
        <w:tc>
          <w:tcPr>
            <w:tcW w:w="905" w:type="dxa"/>
            <w:vAlign w:val="center"/>
          </w:tcPr>
          <w:p w:rsidR="00CF426B" w:rsidRDefault="005F6DDD">
            <w:pPr>
              <w:jc w:val="center"/>
            </w:pPr>
            <w:r>
              <w:rPr>
                <w:color w:val="000000"/>
                <w:szCs w:val="21"/>
              </w:rPr>
              <w:t>CSX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CSX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6,279</w:t>
            </w:r>
          </w:p>
        </w:tc>
        <w:tc>
          <w:tcPr>
            <w:tcW w:w="1690" w:type="dxa"/>
            <w:vAlign w:val="center"/>
          </w:tcPr>
          <w:p w:rsidR="00CF426B" w:rsidRDefault="005F6DDD">
            <w:pPr>
              <w:jc w:val="right"/>
            </w:pPr>
            <w:r>
              <w:rPr>
                <w:color w:val="000000"/>
                <w:szCs w:val="21"/>
              </w:rPr>
              <w:t>3,100,095.07</w:t>
            </w:r>
          </w:p>
        </w:tc>
        <w:tc>
          <w:tcPr>
            <w:tcW w:w="997" w:type="dxa"/>
            <w:vAlign w:val="center"/>
          </w:tcPr>
          <w:p w:rsidR="00CF426B" w:rsidRDefault="005F6DDD">
            <w:pPr>
              <w:jc w:val="right"/>
            </w:pPr>
            <w:r>
              <w:rPr>
                <w:color w:val="000000"/>
                <w:szCs w:val="21"/>
              </w:rPr>
              <w:t>0.50</w:t>
            </w:r>
          </w:p>
        </w:tc>
      </w:tr>
      <w:tr w:rsidR="00CF426B">
        <w:trPr>
          <w:jc w:val="center"/>
        </w:trPr>
        <w:tc>
          <w:tcPr>
            <w:tcW w:w="678" w:type="dxa"/>
            <w:vAlign w:val="center"/>
          </w:tcPr>
          <w:p w:rsidR="00CF426B" w:rsidRDefault="005F6DDD">
            <w:pPr>
              <w:jc w:val="center"/>
            </w:pPr>
            <w:r>
              <w:rPr>
                <w:color w:val="000000"/>
                <w:szCs w:val="21"/>
              </w:rPr>
              <w:t>39</w:t>
            </w:r>
          </w:p>
        </w:tc>
        <w:tc>
          <w:tcPr>
            <w:tcW w:w="905" w:type="dxa"/>
            <w:vAlign w:val="center"/>
          </w:tcPr>
          <w:p w:rsidR="00CF426B" w:rsidRDefault="005F6DDD">
            <w:pPr>
              <w:jc w:val="center"/>
            </w:pPr>
            <w:r>
              <w:rPr>
                <w:color w:val="000000"/>
                <w:szCs w:val="21"/>
              </w:rPr>
              <w:t>Autodesk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ADSK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1,750</w:t>
            </w:r>
          </w:p>
        </w:tc>
        <w:tc>
          <w:tcPr>
            <w:tcW w:w="1690" w:type="dxa"/>
            <w:vAlign w:val="center"/>
          </w:tcPr>
          <w:p w:rsidR="00CF426B" w:rsidRDefault="005F6DDD">
            <w:pPr>
              <w:jc w:val="right"/>
            </w:pPr>
            <w:r>
              <w:rPr>
                <w:color w:val="000000"/>
                <w:szCs w:val="21"/>
              </w:rPr>
              <w:t>2,963,354.81</w:t>
            </w:r>
          </w:p>
        </w:tc>
        <w:tc>
          <w:tcPr>
            <w:tcW w:w="997" w:type="dxa"/>
            <w:vAlign w:val="center"/>
          </w:tcPr>
          <w:p w:rsidR="00CF426B" w:rsidRDefault="005F6DDD">
            <w:pPr>
              <w:jc w:val="right"/>
            </w:pPr>
            <w:r>
              <w:rPr>
                <w:color w:val="000000"/>
                <w:szCs w:val="21"/>
              </w:rPr>
              <w:t>0.47</w:t>
            </w:r>
          </w:p>
        </w:tc>
      </w:tr>
      <w:tr w:rsidR="00CF426B">
        <w:trPr>
          <w:jc w:val="center"/>
        </w:trPr>
        <w:tc>
          <w:tcPr>
            <w:tcW w:w="678" w:type="dxa"/>
            <w:vAlign w:val="center"/>
          </w:tcPr>
          <w:p w:rsidR="00CF426B" w:rsidRDefault="005F6DDD">
            <w:pPr>
              <w:jc w:val="center"/>
            </w:pPr>
            <w:r>
              <w:rPr>
                <w:color w:val="000000"/>
                <w:szCs w:val="21"/>
              </w:rPr>
              <w:t>40</w:t>
            </w:r>
          </w:p>
        </w:tc>
        <w:tc>
          <w:tcPr>
            <w:tcW w:w="905" w:type="dxa"/>
            <w:vAlign w:val="center"/>
          </w:tcPr>
          <w:p w:rsidR="00CF426B" w:rsidRDefault="005F6DDD">
            <w:pPr>
              <w:jc w:val="center"/>
            </w:pPr>
            <w:r>
              <w:rPr>
                <w:color w:val="000000"/>
                <w:szCs w:val="21"/>
              </w:rPr>
              <w:t>MercadoLibre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MELI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397</w:t>
            </w:r>
          </w:p>
        </w:tc>
        <w:tc>
          <w:tcPr>
            <w:tcW w:w="1690" w:type="dxa"/>
            <w:vAlign w:val="center"/>
          </w:tcPr>
          <w:p w:rsidR="00CF426B" w:rsidRDefault="005F6DDD">
            <w:pPr>
              <w:jc w:val="right"/>
            </w:pPr>
            <w:r>
              <w:rPr>
                <w:color w:val="000000"/>
                <w:szCs w:val="21"/>
              </w:rPr>
              <w:t>2,770,567.21</w:t>
            </w:r>
          </w:p>
        </w:tc>
        <w:tc>
          <w:tcPr>
            <w:tcW w:w="997" w:type="dxa"/>
            <w:vAlign w:val="center"/>
          </w:tcPr>
          <w:p w:rsidR="00CF426B" w:rsidRDefault="005F6DDD">
            <w:pPr>
              <w:jc w:val="right"/>
            </w:pPr>
            <w:r>
              <w:rPr>
                <w:color w:val="000000"/>
                <w:szCs w:val="21"/>
              </w:rPr>
              <w:t>0.44</w:t>
            </w:r>
          </w:p>
        </w:tc>
      </w:tr>
      <w:tr w:rsidR="00CF426B">
        <w:trPr>
          <w:jc w:val="center"/>
        </w:trPr>
        <w:tc>
          <w:tcPr>
            <w:tcW w:w="678" w:type="dxa"/>
            <w:vAlign w:val="center"/>
          </w:tcPr>
          <w:p w:rsidR="00CF426B" w:rsidRDefault="005F6DDD">
            <w:pPr>
              <w:jc w:val="center"/>
            </w:pPr>
            <w:r>
              <w:rPr>
                <w:color w:val="000000"/>
                <w:szCs w:val="21"/>
              </w:rPr>
              <w:t>41</w:t>
            </w:r>
          </w:p>
        </w:tc>
        <w:tc>
          <w:tcPr>
            <w:tcW w:w="905" w:type="dxa"/>
            <w:vAlign w:val="center"/>
          </w:tcPr>
          <w:p w:rsidR="00CF426B" w:rsidRDefault="005F6DDD">
            <w:pPr>
              <w:jc w:val="center"/>
            </w:pPr>
            <w:r>
              <w:rPr>
                <w:color w:val="000000"/>
                <w:szCs w:val="21"/>
              </w:rPr>
              <w:t>Lam Research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LRCX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1,181</w:t>
            </w:r>
          </w:p>
        </w:tc>
        <w:tc>
          <w:tcPr>
            <w:tcW w:w="1690" w:type="dxa"/>
            <w:vAlign w:val="center"/>
          </w:tcPr>
          <w:p w:rsidR="00CF426B" w:rsidRDefault="005F6DDD">
            <w:pPr>
              <w:jc w:val="right"/>
            </w:pPr>
            <w:r>
              <w:rPr>
                <w:color w:val="000000"/>
                <w:szCs w:val="21"/>
              </w:rPr>
              <w:t>2,704,413.32</w:t>
            </w:r>
          </w:p>
        </w:tc>
        <w:tc>
          <w:tcPr>
            <w:tcW w:w="997" w:type="dxa"/>
            <w:vAlign w:val="center"/>
          </w:tcPr>
          <w:p w:rsidR="00CF426B" w:rsidRDefault="005F6DDD">
            <w:pPr>
              <w:jc w:val="right"/>
            </w:pPr>
            <w:r>
              <w:rPr>
                <w:color w:val="000000"/>
                <w:szCs w:val="21"/>
              </w:rPr>
              <w:t>0.43</w:t>
            </w:r>
          </w:p>
        </w:tc>
      </w:tr>
      <w:tr w:rsidR="00CF426B">
        <w:trPr>
          <w:jc w:val="center"/>
        </w:trPr>
        <w:tc>
          <w:tcPr>
            <w:tcW w:w="678" w:type="dxa"/>
            <w:vAlign w:val="center"/>
          </w:tcPr>
          <w:p w:rsidR="00CF426B" w:rsidRDefault="005F6DDD">
            <w:pPr>
              <w:jc w:val="center"/>
            </w:pPr>
            <w:r>
              <w:rPr>
                <w:color w:val="000000"/>
                <w:szCs w:val="21"/>
              </w:rPr>
              <w:t>42</w:t>
            </w:r>
          </w:p>
        </w:tc>
        <w:tc>
          <w:tcPr>
            <w:tcW w:w="905" w:type="dxa"/>
            <w:vAlign w:val="center"/>
          </w:tcPr>
          <w:p w:rsidR="00CF426B" w:rsidRDefault="005F6DDD">
            <w:pPr>
              <w:jc w:val="center"/>
            </w:pPr>
            <w:r>
              <w:rPr>
                <w:color w:val="000000"/>
                <w:szCs w:val="21"/>
              </w:rPr>
              <w:t>Analog Devices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ADI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2,976</w:t>
            </w:r>
          </w:p>
        </w:tc>
        <w:tc>
          <w:tcPr>
            <w:tcW w:w="1690" w:type="dxa"/>
            <w:vAlign w:val="center"/>
          </w:tcPr>
          <w:p w:rsidR="00CF426B" w:rsidRDefault="005F6DDD">
            <w:pPr>
              <w:jc w:val="right"/>
            </w:pPr>
            <w:r>
              <w:rPr>
                <w:color w:val="000000"/>
                <w:szCs w:val="21"/>
              </w:rPr>
              <w:t>2,583,852.12</w:t>
            </w:r>
          </w:p>
        </w:tc>
        <w:tc>
          <w:tcPr>
            <w:tcW w:w="997" w:type="dxa"/>
            <w:vAlign w:val="center"/>
          </w:tcPr>
          <w:p w:rsidR="00CF426B" w:rsidRDefault="005F6DDD">
            <w:pPr>
              <w:jc w:val="right"/>
            </w:pPr>
            <w:r>
              <w:rPr>
                <w:color w:val="000000"/>
                <w:szCs w:val="21"/>
              </w:rPr>
              <w:t>0.41</w:t>
            </w:r>
          </w:p>
        </w:tc>
      </w:tr>
      <w:tr w:rsidR="00CF426B">
        <w:trPr>
          <w:jc w:val="center"/>
        </w:trPr>
        <w:tc>
          <w:tcPr>
            <w:tcW w:w="678" w:type="dxa"/>
            <w:vAlign w:val="center"/>
          </w:tcPr>
          <w:p w:rsidR="00CF426B" w:rsidRDefault="005F6DDD">
            <w:pPr>
              <w:jc w:val="center"/>
            </w:pPr>
            <w:r>
              <w:rPr>
                <w:color w:val="000000"/>
                <w:szCs w:val="21"/>
              </w:rPr>
              <w:t>43</w:t>
            </w:r>
          </w:p>
        </w:tc>
        <w:tc>
          <w:tcPr>
            <w:tcW w:w="905" w:type="dxa"/>
            <w:vAlign w:val="center"/>
          </w:tcPr>
          <w:p w:rsidR="00CF426B" w:rsidRDefault="005F6DDD">
            <w:pPr>
              <w:jc w:val="center"/>
            </w:pPr>
            <w:r>
              <w:rPr>
                <w:color w:val="000000"/>
                <w:szCs w:val="21"/>
              </w:rPr>
              <w:t>Biogen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BIIB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1,314</w:t>
            </w:r>
          </w:p>
        </w:tc>
        <w:tc>
          <w:tcPr>
            <w:tcW w:w="1690" w:type="dxa"/>
            <w:vAlign w:val="center"/>
          </w:tcPr>
          <w:p w:rsidR="00CF426B" w:rsidRDefault="005F6DDD">
            <w:pPr>
              <w:jc w:val="right"/>
            </w:pPr>
            <w:r>
              <w:rPr>
                <w:color w:val="000000"/>
                <w:szCs w:val="21"/>
              </w:rPr>
              <w:t>2,488,873.98</w:t>
            </w:r>
          </w:p>
        </w:tc>
        <w:tc>
          <w:tcPr>
            <w:tcW w:w="997" w:type="dxa"/>
            <w:vAlign w:val="center"/>
          </w:tcPr>
          <w:p w:rsidR="00CF426B" w:rsidRDefault="005F6DDD">
            <w:pPr>
              <w:jc w:val="right"/>
            </w:pPr>
            <w:r>
              <w:rPr>
                <w:color w:val="000000"/>
                <w:szCs w:val="21"/>
              </w:rPr>
              <w:t>0.40</w:t>
            </w:r>
          </w:p>
        </w:tc>
      </w:tr>
      <w:tr w:rsidR="00CF426B">
        <w:trPr>
          <w:jc w:val="center"/>
        </w:trPr>
        <w:tc>
          <w:tcPr>
            <w:tcW w:w="678" w:type="dxa"/>
            <w:vAlign w:val="center"/>
          </w:tcPr>
          <w:p w:rsidR="00CF426B" w:rsidRDefault="005F6DDD">
            <w:pPr>
              <w:jc w:val="center"/>
            </w:pPr>
            <w:r>
              <w:rPr>
                <w:color w:val="000000"/>
                <w:szCs w:val="21"/>
              </w:rPr>
              <w:t>44</w:t>
            </w:r>
          </w:p>
        </w:tc>
        <w:tc>
          <w:tcPr>
            <w:tcW w:w="905" w:type="dxa"/>
            <w:vAlign w:val="center"/>
          </w:tcPr>
          <w:p w:rsidR="00CF426B" w:rsidRDefault="005F6DDD">
            <w:pPr>
              <w:jc w:val="center"/>
            </w:pPr>
            <w:r>
              <w:rPr>
                <w:color w:val="000000"/>
                <w:szCs w:val="21"/>
              </w:rPr>
              <w:t>Zoom Video Communications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ZM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1,366</w:t>
            </w:r>
          </w:p>
        </w:tc>
        <w:tc>
          <w:tcPr>
            <w:tcW w:w="1690" w:type="dxa"/>
            <w:vAlign w:val="center"/>
          </w:tcPr>
          <w:p w:rsidR="00CF426B" w:rsidRDefault="005F6DDD">
            <w:pPr>
              <w:jc w:val="right"/>
            </w:pPr>
            <w:r>
              <w:rPr>
                <w:color w:val="000000"/>
                <w:szCs w:val="21"/>
              </w:rPr>
              <w:t>2,451,883.16</w:t>
            </w:r>
          </w:p>
        </w:tc>
        <w:tc>
          <w:tcPr>
            <w:tcW w:w="997" w:type="dxa"/>
            <w:vAlign w:val="center"/>
          </w:tcPr>
          <w:p w:rsidR="00CF426B" w:rsidRDefault="005F6DDD">
            <w:pPr>
              <w:jc w:val="right"/>
            </w:pPr>
            <w:r>
              <w:rPr>
                <w:color w:val="000000"/>
                <w:szCs w:val="21"/>
              </w:rPr>
              <w:t>0.39</w:t>
            </w:r>
          </w:p>
        </w:tc>
      </w:tr>
      <w:tr w:rsidR="00CF426B">
        <w:trPr>
          <w:jc w:val="center"/>
        </w:trPr>
        <w:tc>
          <w:tcPr>
            <w:tcW w:w="678" w:type="dxa"/>
            <w:vAlign w:val="center"/>
          </w:tcPr>
          <w:p w:rsidR="00CF426B" w:rsidRDefault="005F6DDD">
            <w:pPr>
              <w:jc w:val="center"/>
            </w:pPr>
            <w:r>
              <w:rPr>
                <w:color w:val="000000"/>
                <w:szCs w:val="21"/>
              </w:rPr>
              <w:t>45</w:t>
            </w:r>
          </w:p>
        </w:tc>
        <w:tc>
          <w:tcPr>
            <w:tcW w:w="905" w:type="dxa"/>
            <w:vAlign w:val="center"/>
          </w:tcPr>
          <w:p w:rsidR="00CF426B" w:rsidRDefault="005F6DDD">
            <w:pPr>
              <w:jc w:val="center"/>
            </w:pPr>
            <w:r>
              <w:rPr>
                <w:color w:val="000000"/>
                <w:szCs w:val="21"/>
              </w:rPr>
              <w:t>Lululemon Athletica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LULU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1,032</w:t>
            </w:r>
          </w:p>
        </w:tc>
        <w:tc>
          <w:tcPr>
            <w:tcW w:w="1690" w:type="dxa"/>
            <w:vAlign w:val="center"/>
          </w:tcPr>
          <w:p w:rsidR="00CF426B" w:rsidRDefault="005F6DDD">
            <w:pPr>
              <w:jc w:val="right"/>
            </w:pPr>
            <w:r>
              <w:rPr>
                <w:color w:val="000000"/>
                <w:szCs w:val="21"/>
              </w:rPr>
              <w:t>2,279,558.79</w:t>
            </w:r>
          </w:p>
        </w:tc>
        <w:tc>
          <w:tcPr>
            <w:tcW w:w="997" w:type="dxa"/>
            <w:vAlign w:val="center"/>
          </w:tcPr>
          <w:p w:rsidR="00CF426B" w:rsidRDefault="005F6DDD">
            <w:pPr>
              <w:jc w:val="right"/>
            </w:pPr>
            <w:r>
              <w:rPr>
                <w:color w:val="000000"/>
                <w:szCs w:val="21"/>
              </w:rPr>
              <w:t>0.36</w:t>
            </w:r>
          </w:p>
        </w:tc>
      </w:tr>
      <w:tr w:rsidR="00CF426B">
        <w:trPr>
          <w:jc w:val="center"/>
        </w:trPr>
        <w:tc>
          <w:tcPr>
            <w:tcW w:w="678" w:type="dxa"/>
            <w:vAlign w:val="center"/>
          </w:tcPr>
          <w:p w:rsidR="00CF426B" w:rsidRDefault="005F6DDD">
            <w:pPr>
              <w:jc w:val="center"/>
            </w:pPr>
            <w:r>
              <w:rPr>
                <w:color w:val="000000"/>
                <w:szCs w:val="21"/>
              </w:rPr>
              <w:t>46</w:t>
            </w:r>
          </w:p>
        </w:tc>
        <w:tc>
          <w:tcPr>
            <w:tcW w:w="905" w:type="dxa"/>
            <w:vAlign w:val="center"/>
          </w:tcPr>
          <w:p w:rsidR="00CF426B" w:rsidRDefault="005F6DDD">
            <w:pPr>
              <w:jc w:val="center"/>
            </w:pPr>
            <w:r>
              <w:rPr>
                <w:color w:val="000000"/>
                <w:szCs w:val="21"/>
              </w:rPr>
              <w:t>Kraft Heinz Co/The</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KHC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9,941</w:t>
            </w:r>
          </w:p>
        </w:tc>
        <w:tc>
          <w:tcPr>
            <w:tcW w:w="1690" w:type="dxa"/>
            <w:vAlign w:val="center"/>
          </w:tcPr>
          <w:p w:rsidR="00CF426B" w:rsidRDefault="005F6DDD">
            <w:pPr>
              <w:jc w:val="right"/>
            </w:pPr>
            <w:r>
              <w:rPr>
                <w:color w:val="000000"/>
                <w:szCs w:val="21"/>
              </w:rPr>
              <w:t>2,244,332.40</w:t>
            </w:r>
          </w:p>
        </w:tc>
        <w:tc>
          <w:tcPr>
            <w:tcW w:w="997" w:type="dxa"/>
            <w:vAlign w:val="center"/>
          </w:tcPr>
          <w:p w:rsidR="00CF426B" w:rsidRDefault="005F6DDD">
            <w:pPr>
              <w:jc w:val="right"/>
            </w:pPr>
            <w:r>
              <w:rPr>
                <w:color w:val="000000"/>
                <w:szCs w:val="21"/>
              </w:rPr>
              <w:t>0.36</w:t>
            </w:r>
          </w:p>
        </w:tc>
      </w:tr>
      <w:tr w:rsidR="00CF426B">
        <w:trPr>
          <w:jc w:val="center"/>
        </w:trPr>
        <w:tc>
          <w:tcPr>
            <w:tcW w:w="678" w:type="dxa"/>
            <w:vAlign w:val="center"/>
          </w:tcPr>
          <w:p w:rsidR="00CF426B" w:rsidRDefault="005F6DDD">
            <w:pPr>
              <w:jc w:val="center"/>
            </w:pPr>
            <w:r>
              <w:rPr>
                <w:color w:val="000000"/>
                <w:szCs w:val="21"/>
              </w:rPr>
              <w:t>47</w:t>
            </w:r>
          </w:p>
        </w:tc>
        <w:tc>
          <w:tcPr>
            <w:tcW w:w="905" w:type="dxa"/>
            <w:vAlign w:val="center"/>
          </w:tcPr>
          <w:p w:rsidR="00CF426B" w:rsidRDefault="005F6DDD">
            <w:pPr>
              <w:jc w:val="center"/>
            </w:pPr>
            <w:r>
              <w:rPr>
                <w:color w:val="000000"/>
                <w:szCs w:val="21"/>
              </w:rPr>
              <w:t>Monster Beverage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MNST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4,386</w:t>
            </w:r>
          </w:p>
        </w:tc>
        <w:tc>
          <w:tcPr>
            <w:tcW w:w="1690" w:type="dxa"/>
            <w:vAlign w:val="center"/>
          </w:tcPr>
          <w:p w:rsidR="00CF426B" w:rsidRDefault="005F6DDD">
            <w:pPr>
              <w:jc w:val="right"/>
            </w:pPr>
            <w:r>
              <w:rPr>
                <w:color w:val="000000"/>
                <w:szCs w:val="21"/>
              </w:rPr>
              <w:t>2,152,433.62</w:t>
            </w:r>
          </w:p>
        </w:tc>
        <w:tc>
          <w:tcPr>
            <w:tcW w:w="997" w:type="dxa"/>
            <w:vAlign w:val="center"/>
          </w:tcPr>
          <w:p w:rsidR="00CF426B" w:rsidRDefault="005F6DDD">
            <w:pPr>
              <w:jc w:val="right"/>
            </w:pPr>
            <w:r>
              <w:rPr>
                <w:color w:val="000000"/>
                <w:szCs w:val="21"/>
              </w:rPr>
              <w:t>0.34</w:t>
            </w:r>
          </w:p>
        </w:tc>
      </w:tr>
      <w:tr w:rsidR="00CF426B">
        <w:trPr>
          <w:jc w:val="center"/>
        </w:trPr>
        <w:tc>
          <w:tcPr>
            <w:tcW w:w="678" w:type="dxa"/>
            <w:vAlign w:val="center"/>
          </w:tcPr>
          <w:p w:rsidR="00CF426B" w:rsidRDefault="005F6DDD">
            <w:pPr>
              <w:jc w:val="center"/>
            </w:pPr>
            <w:r>
              <w:rPr>
                <w:color w:val="000000"/>
                <w:szCs w:val="21"/>
              </w:rPr>
              <w:t>48</w:t>
            </w:r>
          </w:p>
        </w:tc>
        <w:tc>
          <w:tcPr>
            <w:tcW w:w="905" w:type="dxa"/>
            <w:vAlign w:val="center"/>
          </w:tcPr>
          <w:p w:rsidR="00CF426B" w:rsidRDefault="005F6DDD">
            <w:pPr>
              <w:jc w:val="center"/>
            </w:pPr>
            <w:r>
              <w:rPr>
                <w:color w:val="000000"/>
                <w:szCs w:val="21"/>
              </w:rPr>
              <w:t>DexCom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DXCM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745</w:t>
            </w:r>
          </w:p>
        </w:tc>
        <w:tc>
          <w:tcPr>
            <w:tcW w:w="1690" w:type="dxa"/>
            <w:vAlign w:val="center"/>
          </w:tcPr>
          <w:p w:rsidR="00CF426B" w:rsidRDefault="005F6DDD">
            <w:pPr>
              <w:jc w:val="right"/>
            </w:pPr>
            <w:r>
              <w:rPr>
                <w:color w:val="000000"/>
                <w:szCs w:val="21"/>
              </w:rPr>
              <w:t>2,138,171.83</w:t>
            </w:r>
          </w:p>
        </w:tc>
        <w:tc>
          <w:tcPr>
            <w:tcW w:w="997" w:type="dxa"/>
            <w:vAlign w:val="center"/>
          </w:tcPr>
          <w:p w:rsidR="00CF426B" w:rsidRDefault="005F6DDD">
            <w:pPr>
              <w:jc w:val="right"/>
            </w:pPr>
            <w:r>
              <w:rPr>
                <w:color w:val="000000"/>
                <w:szCs w:val="21"/>
              </w:rPr>
              <w:t>0.34</w:t>
            </w:r>
          </w:p>
        </w:tc>
      </w:tr>
      <w:tr w:rsidR="00CF426B">
        <w:trPr>
          <w:jc w:val="center"/>
        </w:trPr>
        <w:tc>
          <w:tcPr>
            <w:tcW w:w="678" w:type="dxa"/>
            <w:vAlign w:val="center"/>
          </w:tcPr>
          <w:p w:rsidR="00CF426B" w:rsidRDefault="005F6DDD">
            <w:pPr>
              <w:jc w:val="center"/>
            </w:pPr>
            <w:r>
              <w:rPr>
                <w:color w:val="000000"/>
                <w:szCs w:val="21"/>
              </w:rPr>
              <w:t>49</w:t>
            </w:r>
          </w:p>
        </w:tc>
        <w:tc>
          <w:tcPr>
            <w:tcW w:w="905" w:type="dxa"/>
            <w:vAlign w:val="center"/>
          </w:tcPr>
          <w:p w:rsidR="00CF426B" w:rsidRDefault="005F6DDD">
            <w:pPr>
              <w:jc w:val="center"/>
            </w:pPr>
            <w:r>
              <w:rPr>
                <w:color w:val="000000"/>
                <w:szCs w:val="21"/>
              </w:rPr>
              <w:t>Electronic Arts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EA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2,285</w:t>
            </w:r>
          </w:p>
        </w:tc>
        <w:tc>
          <w:tcPr>
            <w:tcW w:w="1690" w:type="dxa"/>
            <w:vAlign w:val="center"/>
          </w:tcPr>
          <w:p w:rsidR="00CF426B" w:rsidRDefault="005F6DDD">
            <w:pPr>
              <w:jc w:val="right"/>
            </w:pPr>
            <w:r>
              <w:rPr>
                <w:color w:val="000000"/>
                <w:szCs w:val="21"/>
              </w:rPr>
              <w:t>2,136,127.62</w:t>
            </w:r>
          </w:p>
        </w:tc>
        <w:tc>
          <w:tcPr>
            <w:tcW w:w="997" w:type="dxa"/>
            <w:vAlign w:val="center"/>
          </w:tcPr>
          <w:p w:rsidR="00CF426B" w:rsidRDefault="005F6DDD">
            <w:pPr>
              <w:jc w:val="right"/>
            </w:pPr>
            <w:r>
              <w:rPr>
                <w:color w:val="000000"/>
                <w:szCs w:val="21"/>
              </w:rPr>
              <w:t>0.34</w:t>
            </w:r>
          </w:p>
        </w:tc>
      </w:tr>
      <w:tr w:rsidR="00CF426B">
        <w:trPr>
          <w:jc w:val="center"/>
        </w:trPr>
        <w:tc>
          <w:tcPr>
            <w:tcW w:w="678" w:type="dxa"/>
            <w:vAlign w:val="center"/>
          </w:tcPr>
          <w:p w:rsidR="00CF426B" w:rsidRDefault="005F6DDD">
            <w:pPr>
              <w:jc w:val="center"/>
            </w:pPr>
            <w:r>
              <w:rPr>
                <w:color w:val="000000"/>
                <w:szCs w:val="21"/>
              </w:rPr>
              <w:t>50</w:t>
            </w:r>
          </w:p>
        </w:tc>
        <w:tc>
          <w:tcPr>
            <w:tcW w:w="905" w:type="dxa"/>
            <w:vAlign w:val="center"/>
          </w:tcPr>
          <w:p w:rsidR="00CF426B" w:rsidRDefault="005F6DDD">
            <w:pPr>
              <w:jc w:val="center"/>
            </w:pPr>
            <w:r>
              <w:rPr>
                <w:color w:val="000000"/>
                <w:szCs w:val="21"/>
              </w:rPr>
              <w:t>eBay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EBAY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5,677</w:t>
            </w:r>
          </w:p>
        </w:tc>
        <w:tc>
          <w:tcPr>
            <w:tcW w:w="1690" w:type="dxa"/>
            <w:vAlign w:val="center"/>
          </w:tcPr>
          <w:p w:rsidR="00CF426B" w:rsidRDefault="005F6DDD">
            <w:pPr>
              <w:jc w:val="right"/>
            </w:pPr>
            <w:r>
              <w:rPr>
                <w:color w:val="000000"/>
                <w:szCs w:val="21"/>
              </w:rPr>
              <w:t>2,107,982.36</w:t>
            </w:r>
          </w:p>
        </w:tc>
        <w:tc>
          <w:tcPr>
            <w:tcW w:w="997" w:type="dxa"/>
            <w:vAlign w:val="center"/>
          </w:tcPr>
          <w:p w:rsidR="00CF426B" w:rsidRDefault="005F6DDD">
            <w:pPr>
              <w:jc w:val="right"/>
            </w:pPr>
            <w:r>
              <w:rPr>
                <w:color w:val="000000"/>
                <w:szCs w:val="21"/>
              </w:rPr>
              <w:t>0.34</w:t>
            </w:r>
          </w:p>
        </w:tc>
      </w:tr>
      <w:tr w:rsidR="00CF426B">
        <w:trPr>
          <w:jc w:val="center"/>
        </w:trPr>
        <w:tc>
          <w:tcPr>
            <w:tcW w:w="678" w:type="dxa"/>
            <w:vAlign w:val="center"/>
          </w:tcPr>
          <w:p w:rsidR="00CF426B" w:rsidRDefault="005F6DDD">
            <w:pPr>
              <w:jc w:val="center"/>
            </w:pPr>
            <w:r>
              <w:rPr>
                <w:color w:val="000000"/>
                <w:szCs w:val="21"/>
              </w:rPr>
              <w:t>51</w:t>
            </w:r>
          </w:p>
        </w:tc>
        <w:tc>
          <w:tcPr>
            <w:tcW w:w="905" w:type="dxa"/>
            <w:vAlign w:val="center"/>
          </w:tcPr>
          <w:p w:rsidR="00CF426B" w:rsidRDefault="005F6DDD">
            <w:pPr>
              <w:jc w:val="center"/>
            </w:pPr>
            <w:r>
              <w:rPr>
                <w:color w:val="000000"/>
                <w:szCs w:val="21"/>
              </w:rPr>
              <w:t>Walgreens Boots Alliance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WBA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6,921</w:t>
            </w:r>
          </w:p>
        </w:tc>
        <w:tc>
          <w:tcPr>
            <w:tcW w:w="1690" w:type="dxa"/>
            <w:vAlign w:val="center"/>
          </w:tcPr>
          <w:p w:rsidR="00CF426B" w:rsidRDefault="005F6DDD">
            <w:pPr>
              <w:jc w:val="right"/>
            </w:pPr>
            <w:r>
              <w:rPr>
                <w:color w:val="000000"/>
                <w:szCs w:val="21"/>
              </w:rPr>
              <w:t>2,076,992.13</w:t>
            </w:r>
          </w:p>
        </w:tc>
        <w:tc>
          <w:tcPr>
            <w:tcW w:w="997" w:type="dxa"/>
            <w:vAlign w:val="center"/>
          </w:tcPr>
          <w:p w:rsidR="00CF426B" w:rsidRDefault="005F6DDD">
            <w:pPr>
              <w:jc w:val="right"/>
            </w:pPr>
            <w:r>
              <w:rPr>
                <w:color w:val="000000"/>
                <w:szCs w:val="21"/>
              </w:rPr>
              <w:t>0.33</w:t>
            </w:r>
          </w:p>
        </w:tc>
      </w:tr>
      <w:tr w:rsidR="00CF426B">
        <w:trPr>
          <w:jc w:val="center"/>
        </w:trPr>
        <w:tc>
          <w:tcPr>
            <w:tcW w:w="678" w:type="dxa"/>
            <w:vAlign w:val="center"/>
          </w:tcPr>
          <w:p w:rsidR="00CF426B" w:rsidRDefault="005F6DDD">
            <w:pPr>
              <w:jc w:val="center"/>
            </w:pPr>
            <w:r>
              <w:rPr>
                <w:color w:val="000000"/>
                <w:szCs w:val="21"/>
              </w:rPr>
              <w:t>52</w:t>
            </w:r>
          </w:p>
        </w:tc>
        <w:tc>
          <w:tcPr>
            <w:tcW w:w="905" w:type="dxa"/>
            <w:vAlign w:val="center"/>
          </w:tcPr>
          <w:p w:rsidR="00CF426B" w:rsidRDefault="005F6DDD">
            <w:pPr>
              <w:jc w:val="center"/>
            </w:pPr>
            <w:r>
              <w:rPr>
                <w:color w:val="000000"/>
                <w:szCs w:val="21"/>
              </w:rPr>
              <w:t>Exelon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EXC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7,881</w:t>
            </w:r>
          </w:p>
        </w:tc>
        <w:tc>
          <w:tcPr>
            <w:tcW w:w="1690" w:type="dxa"/>
            <w:vAlign w:val="center"/>
          </w:tcPr>
          <w:p w:rsidR="00CF426B" w:rsidRDefault="005F6DDD">
            <w:pPr>
              <w:jc w:val="right"/>
            </w:pPr>
            <w:r>
              <w:rPr>
                <w:color w:val="000000"/>
                <w:szCs w:val="21"/>
              </w:rPr>
              <w:t>2,024,747.55</w:t>
            </w:r>
          </w:p>
        </w:tc>
        <w:tc>
          <w:tcPr>
            <w:tcW w:w="997" w:type="dxa"/>
            <w:vAlign w:val="center"/>
          </w:tcPr>
          <w:p w:rsidR="00CF426B" w:rsidRDefault="005F6DDD">
            <w:pPr>
              <w:jc w:val="right"/>
            </w:pPr>
            <w:r>
              <w:rPr>
                <w:color w:val="000000"/>
                <w:szCs w:val="21"/>
              </w:rPr>
              <w:t>0.32</w:t>
            </w:r>
          </w:p>
        </w:tc>
      </w:tr>
      <w:tr w:rsidR="00CF426B">
        <w:trPr>
          <w:jc w:val="center"/>
        </w:trPr>
        <w:tc>
          <w:tcPr>
            <w:tcW w:w="678" w:type="dxa"/>
            <w:vAlign w:val="center"/>
          </w:tcPr>
          <w:p w:rsidR="00CF426B" w:rsidRDefault="005F6DDD">
            <w:pPr>
              <w:jc w:val="center"/>
            </w:pPr>
            <w:r>
              <w:rPr>
                <w:color w:val="000000"/>
                <w:szCs w:val="21"/>
              </w:rPr>
              <w:t>53</w:t>
            </w:r>
          </w:p>
        </w:tc>
        <w:tc>
          <w:tcPr>
            <w:tcW w:w="905" w:type="dxa"/>
            <w:vAlign w:val="center"/>
          </w:tcPr>
          <w:p w:rsidR="00CF426B" w:rsidRDefault="005F6DDD">
            <w:pPr>
              <w:jc w:val="center"/>
            </w:pPr>
            <w:r>
              <w:rPr>
                <w:color w:val="000000"/>
                <w:szCs w:val="21"/>
              </w:rPr>
              <w:t>Baidu Inc</w:t>
            </w:r>
          </w:p>
        </w:tc>
        <w:tc>
          <w:tcPr>
            <w:tcW w:w="1015" w:type="dxa"/>
            <w:vAlign w:val="center"/>
          </w:tcPr>
          <w:p w:rsidR="00CF426B" w:rsidRDefault="005F6DDD">
            <w:pPr>
              <w:jc w:val="center"/>
            </w:pPr>
            <w:r>
              <w:rPr>
                <w:color w:val="000000"/>
                <w:szCs w:val="21"/>
              </w:rPr>
              <w:t>百度股份有限公司</w:t>
            </w:r>
          </w:p>
        </w:tc>
        <w:tc>
          <w:tcPr>
            <w:tcW w:w="1184" w:type="dxa"/>
            <w:vAlign w:val="center"/>
          </w:tcPr>
          <w:p w:rsidR="00CF426B" w:rsidRDefault="005F6DDD">
            <w:pPr>
              <w:jc w:val="center"/>
            </w:pPr>
            <w:r>
              <w:rPr>
                <w:color w:val="000000"/>
                <w:szCs w:val="21"/>
              </w:rPr>
              <w:t>BIDU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2,278</w:t>
            </w:r>
          </w:p>
        </w:tc>
        <w:tc>
          <w:tcPr>
            <w:tcW w:w="1690" w:type="dxa"/>
            <w:vAlign w:val="center"/>
          </w:tcPr>
          <w:p w:rsidR="00CF426B" w:rsidRDefault="005F6DDD">
            <w:pPr>
              <w:jc w:val="right"/>
            </w:pPr>
            <w:r>
              <w:rPr>
                <w:color w:val="000000"/>
                <w:szCs w:val="21"/>
              </w:rPr>
              <w:t>1,933,478.14</w:t>
            </w:r>
          </w:p>
        </w:tc>
        <w:tc>
          <w:tcPr>
            <w:tcW w:w="997" w:type="dxa"/>
            <w:vAlign w:val="center"/>
          </w:tcPr>
          <w:p w:rsidR="00CF426B" w:rsidRDefault="005F6DDD">
            <w:pPr>
              <w:jc w:val="right"/>
            </w:pPr>
            <w:r>
              <w:rPr>
                <w:color w:val="000000"/>
                <w:szCs w:val="21"/>
              </w:rPr>
              <w:t>0.31</w:t>
            </w:r>
          </w:p>
        </w:tc>
      </w:tr>
      <w:tr w:rsidR="00CF426B">
        <w:trPr>
          <w:jc w:val="center"/>
        </w:trPr>
        <w:tc>
          <w:tcPr>
            <w:tcW w:w="678" w:type="dxa"/>
            <w:vAlign w:val="center"/>
          </w:tcPr>
          <w:p w:rsidR="00CF426B" w:rsidRDefault="005F6DDD">
            <w:pPr>
              <w:jc w:val="center"/>
            </w:pPr>
            <w:r>
              <w:rPr>
                <w:color w:val="000000"/>
                <w:szCs w:val="21"/>
              </w:rPr>
              <w:t>54</w:t>
            </w:r>
          </w:p>
        </w:tc>
        <w:tc>
          <w:tcPr>
            <w:tcW w:w="905" w:type="dxa"/>
            <w:vAlign w:val="center"/>
          </w:tcPr>
          <w:p w:rsidR="00CF426B" w:rsidRDefault="005F6DDD">
            <w:pPr>
              <w:jc w:val="center"/>
            </w:pPr>
            <w:r>
              <w:rPr>
                <w:color w:val="000000"/>
                <w:szCs w:val="21"/>
              </w:rPr>
              <w:t>Xcel Energy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XEL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4,343</w:t>
            </w:r>
          </w:p>
        </w:tc>
        <w:tc>
          <w:tcPr>
            <w:tcW w:w="1690" w:type="dxa"/>
            <w:vAlign w:val="center"/>
          </w:tcPr>
          <w:p w:rsidR="00CF426B" w:rsidRDefault="005F6DDD">
            <w:pPr>
              <w:jc w:val="right"/>
            </w:pPr>
            <w:r>
              <w:rPr>
                <w:color w:val="000000"/>
                <w:szCs w:val="21"/>
              </w:rPr>
              <w:t>1,921,641.78</w:t>
            </w:r>
          </w:p>
        </w:tc>
        <w:tc>
          <w:tcPr>
            <w:tcW w:w="997" w:type="dxa"/>
            <w:vAlign w:val="center"/>
          </w:tcPr>
          <w:p w:rsidR="00CF426B" w:rsidRDefault="005F6DDD">
            <w:pPr>
              <w:jc w:val="right"/>
            </w:pPr>
            <w:r>
              <w:rPr>
                <w:color w:val="000000"/>
                <w:szCs w:val="21"/>
              </w:rPr>
              <w:t>0.31</w:t>
            </w:r>
          </w:p>
        </w:tc>
      </w:tr>
      <w:tr w:rsidR="00CF426B">
        <w:trPr>
          <w:jc w:val="center"/>
        </w:trPr>
        <w:tc>
          <w:tcPr>
            <w:tcW w:w="678" w:type="dxa"/>
            <w:vAlign w:val="center"/>
          </w:tcPr>
          <w:p w:rsidR="00CF426B" w:rsidRDefault="005F6DDD">
            <w:pPr>
              <w:jc w:val="center"/>
            </w:pPr>
            <w:r>
              <w:rPr>
                <w:color w:val="000000"/>
                <w:szCs w:val="21"/>
              </w:rPr>
              <w:t>55</w:t>
            </w:r>
          </w:p>
        </w:tc>
        <w:tc>
          <w:tcPr>
            <w:tcW w:w="905" w:type="dxa"/>
            <w:vAlign w:val="center"/>
          </w:tcPr>
          <w:p w:rsidR="00CF426B" w:rsidRDefault="005F6DDD">
            <w:pPr>
              <w:jc w:val="center"/>
            </w:pPr>
            <w:r>
              <w:rPr>
                <w:color w:val="000000"/>
                <w:szCs w:val="21"/>
              </w:rPr>
              <w:t>Workday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WDAY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1,382</w:t>
            </w:r>
          </w:p>
        </w:tc>
        <w:tc>
          <w:tcPr>
            <w:tcW w:w="1690" w:type="dxa"/>
            <w:vAlign w:val="center"/>
          </w:tcPr>
          <w:p w:rsidR="00CF426B" w:rsidRDefault="005F6DDD">
            <w:pPr>
              <w:jc w:val="right"/>
            </w:pPr>
            <w:r>
              <w:rPr>
                <w:color w:val="000000"/>
                <w:szCs w:val="21"/>
              </w:rPr>
              <w:t>1,833,105.70</w:t>
            </w:r>
          </w:p>
        </w:tc>
        <w:tc>
          <w:tcPr>
            <w:tcW w:w="997" w:type="dxa"/>
            <w:vAlign w:val="center"/>
          </w:tcPr>
          <w:p w:rsidR="00CF426B" w:rsidRDefault="005F6DDD">
            <w:pPr>
              <w:jc w:val="right"/>
            </w:pPr>
            <w:r>
              <w:rPr>
                <w:color w:val="000000"/>
                <w:szCs w:val="21"/>
              </w:rPr>
              <w:t>0.29</w:t>
            </w:r>
          </w:p>
        </w:tc>
      </w:tr>
      <w:tr w:rsidR="00CF426B">
        <w:trPr>
          <w:jc w:val="center"/>
        </w:trPr>
        <w:tc>
          <w:tcPr>
            <w:tcW w:w="678" w:type="dxa"/>
            <w:vAlign w:val="center"/>
          </w:tcPr>
          <w:p w:rsidR="00CF426B" w:rsidRDefault="005F6DDD">
            <w:pPr>
              <w:jc w:val="center"/>
            </w:pPr>
            <w:r>
              <w:rPr>
                <w:color w:val="000000"/>
                <w:szCs w:val="21"/>
              </w:rPr>
              <w:t>56</w:t>
            </w:r>
          </w:p>
        </w:tc>
        <w:tc>
          <w:tcPr>
            <w:tcW w:w="905" w:type="dxa"/>
            <w:vAlign w:val="center"/>
          </w:tcPr>
          <w:p w:rsidR="00CF426B" w:rsidRDefault="005F6DDD">
            <w:pPr>
              <w:jc w:val="center"/>
            </w:pPr>
            <w:r>
              <w:rPr>
                <w:color w:val="000000"/>
                <w:szCs w:val="21"/>
              </w:rPr>
              <w:t>NXP Semiconductors NV</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NXPI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2,262</w:t>
            </w:r>
          </w:p>
        </w:tc>
        <w:tc>
          <w:tcPr>
            <w:tcW w:w="1690" w:type="dxa"/>
            <w:vAlign w:val="center"/>
          </w:tcPr>
          <w:p w:rsidR="00CF426B" w:rsidRDefault="005F6DDD">
            <w:pPr>
              <w:jc w:val="right"/>
            </w:pPr>
            <w:r>
              <w:rPr>
                <w:color w:val="000000"/>
                <w:szCs w:val="21"/>
              </w:rPr>
              <w:t>1,826,217.06</w:t>
            </w:r>
          </w:p>
        </w:tc>
        <w:tc>
          <w:tcPr>
            <w:tcW w:w="997" w:type="dxa"/>
            <w:vAlign w:val="center"/>
          </w:tcPr>
          <w:p w:rsidR="00CF426B" w:rsidRDefault="005F6DDD">
            <w:pPr>
              <w:jc w:val="right"/>
            </w:pPr>
            <w:r>
              <w:rPr>
                <w:color w:val="000000"/>
                <w:szCs w:val="21"/>
              </w:rPr>
              <w:t>0.29</w:t>
            </w:r>
          </w:p>
        </w:tc>
      </w:tr>
      <w:tr w:rsidR="00CF426B">
        <w:trPr>
          <w:jc w:val="center"/>
        </w:trPr>
        <w:tc>
          <w:tcPr>
            <w:tcW w:w="678" w:type="dxa"/>
            <w:vAlign w:val="center"/>
          </w:tcPr>
          <w:p w:rsidR="00CF426B" w:rsidRDefault="005F6DDD">
            <w:pPr>
              <w:jc w:val="center"/>
            </w:pPr>
            <w:r>
              <w:rPr>
                <w:color w:val="000000"/>
                <w:szCs w:val="21"/>
              </w:rPr>
              <w:t>57</w:t>
            </w:r>
          </w:p>
        </w:tc>
        <w:tc>
          <w:tcPr>
            <w:tcW w:w="905" w:type="dxa"/>
            <w:vAlign w:val="center"/>
          </w:tcPr>
          <w:p w:rsidR="00CF426B" w:rsidRDefault="005F6DDD">
            <w:pPr>
              <w:jc w:val="center"/>
            </w:pPr>
            <w:r>
              <w:rPr>
                <w:color w:val="000000"/>
                <w:szCs w:val="21"/>
              </w:rPr>
              <w:t>NetEase Inc</w:t>
            </w:r>
          </w:p>
        </w:tc>
        <w:tc>
          <w:tcPr>
            <w:tcW w:w="1015" w:type="dxa"/>
            <w:vAlign w:val="center"/>
          </w:tcPr>
          <w:p w:rsidR="00CF426B" w:rsidRDefault="005F6DDD">
            <w:pPr>
              <w:jc w:val="center"/>
            </w:pPr>
            <w:r>
              <w:rPr>
                <w:color w:val="000000"/>
                <w:szCs w:val="21"/>
              </w:rPr>
              <w:t>网易公司</w:t>
            </w:r>
          </w:p>
        </w:tc>
        <w:tc>
          <w:tcPr>
            <w:tcW w:w="1184" w:type="dxa"/>
            <w:vAlign w:val="center"/>
          </w:tcPr>
          <w:p w:rsidR="00CF426B" w:rsidRDefault="005F6DDD">
            <w:pPr>
              <w:jc w:val="center"/>
            </w:pPr>
            <w:r>
              <w:rPr>
                <w:color w:val="000000"/>
                <w:szCs w:val="21"/>
              </w:rPr>
              <w:t>NTES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594</w:t>
            </w:r>
          </w:p>
        </w:tc>
        <w:tc>
          <w:tcPr>
            <w:tcW w:w="1690" w:type="dxa"/>
            <w:vAlign w:val="center"/>
          </w:tcPr>
          <w:p w:rsidR="00CF426B" w:rsidRDefault="005F6DDD">
            <w:pPr>
              <w:jc w:val="right"/>
            </w:pPr>
            <w:r>
              <w:rPr>
                <w:color w:val="000000"/>
                <w:szCs w:val="21"/>
              </w:rPr>
              <w:t>1,805,638.65</w:t>
            </w:r>
          </w:p>
        </w:tc>
        <w:tc>
          <w:tcPr>
            <w:tcW w:w="997" w:type="dxa"/>
            <w:vAlign w:val="center"/>
          </w:tcPr>
          <w:p w:rsidR="00CF426B" w:rsidRDefault="005F6DDD">
            <w:pPr>
              <w:jc w:val="right"/>
            </w:pPr>
            <w:r>
              <w:rPr>
                <w:color w:val="000000"/>
                <w:szCs w:val="21"/>
              </w:rPr>
              <w:t>0.29</w:t>
            </w:r>
          </w:p>
        </w:tc>
      </w:tr>
      <w:tr w:rsidR="00CF426B">
        <w:trPr>
          <w:jc w:val="center"/>
        </w:trPr>
        <w:tc>
          <w:tcPr>
            <w:tcW w:w="678" w:type="dxa"/>
            <w:vAlign w:val="center"/>
          </w:tcPr>
          <w:p w:rsidR="00CF426B" w:rsidRDefault="005F6DDD">
            <w:pPr>
              <w:jc w:val="center"/>
            </w:pPr>
            <w:r>
              <w:rPr>
                <w:color w:val="000000"/>
                <w:szCs w:val="21"/>
              </w:rPr>
              <w:t>58</w:t>
            </w:r>
          </w:p>
        </w:tc>
        <w:tc>
          <w:tcPr>
            <w:tcW w:w="905" w:type="dxa"/>
            <w:vAlign w:val="center"/>
          </w:tcPr>
          <w:p w:rsidR="00CF426B" w:rsidRDefault="005F6DDD">
            <w:pPr>
              <w:jc w:val="center"/>
            </w:pPr>
            <w:r>
              <w:rPr>
                <w:color w:val="000000"/>
                <w:szCs w:val="21"/>
              </w:rPr>
              <w:t>DocuSign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DOCU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1,479</w:t>
            </w:r>
          </w:p>
        </w:tc>
        <w:tc>
          <w:tcPr>
            <w:tcW w:w="1690" w:type="dxa"/>
            <w:vAlign w:val="center"/>
          </w:tcPr>
          <w:p w:rsidR="00CF426B" w:rsidRDefault="005F6DDD">
            <w:pPr>
              <w:jc w:val="right"/>
            </w:pPr>
            <w:r>
              <w:rPr>
                <w:color w:val="000000"/>
                <w:szCs w:val="21"/>
              </w:rPr>
              <w:t>1,803,138.67</w:t>
            </w:r>
          </w:p>
        </w:tc>
        <w:tc>
          <w:tcPr>
            <w:tcW w:w="997" w:type="dxa"/>
            <w:vAlign w:val="center"/>
          </w:tcPr>
          <w:p w:rsidR="00CF426B" w:rsidRDefault="005F6DDD">
            <w:pPr>
              <w:jc w:val="right"/>
            </w:pPr>
            <w:r>
              <w:rPr>
                <w:color w:val="000000"/>
                <w:szCs w:val="21"/>
              </w:rPr>
              <w:t>0.29</w:t>
            </w:r>
          </w:p>
        </w:tc>
      </w:tr>
      <w:tr w:rsidR="00CF426B">
        <w:trPr>
          <w:jc w:val="center"/>
        </w:trPr>
        <w:tc>
          <w:tcPr>
            <w:tcW w:w="678" w:type="dxa"/>
            <w:vAlign w:val="center"/>
          </w:tcPr>
          <w:p w:rsidR="00CF426B" w:rsidRDefault="005F6DDD">
            <w:pPr>
              <w:jc w:val="center"/>
            </w:pPr>
            <w:r>
              <w:rPr>
                <w:color w:val="000000"/>
                <w:szCs w:val="21"/>
              </w:rPr>
              <w:t>59</w:t>
            </w:r>
          </w:p>
        </w:tc>
        <w:tc>
          <w:tcPr>
            <w:tcW w:w="905" w:type="dxa"/>
            <w:vAlign w:val="center"/>
          </w:tcPr>
          <w:p w:rsidR="00CF426B" w:rsidRDefault="005F6DDD">
            <w:pPr>
              <w:jc w:val="center"/>
            </w:pPr>
            <w:r>
              <w:rPr>
                <w:color w:val="000000"/>
                <w:szCs w:val="21"/>
              </w:rPr>
              <w:t>Splunk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SPLK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1,275</w:t>
            </w:r>
          </w:p>
        </w:tc>
        <w:tc>
          <w:tcPr>
            <w:tcW w:w="1690" w:type="dxa"/>
            <w:vAlign w:val="center"/>
          </w:tcPr>
          <w:p w:rsidR="00CF426B" w:rsidRDefault="005F6DDD">
            <w:pPr>
              <w:jc w:val="right"/>
            </w:pPr>
            <w:r>
              <w:rPr>
                <w:color w:val="000000"/>
                <w:szCs w:val="21"/>
              </w:rPr>
              <w:t>1,793,538.23</w:t>
            </w:r>
          </w:p>
        </w:tc>
        <w:tc>
          <w:tcPr>
            <w:tcW w:w="997" w:type="dxa"/>
            <w:vAlign w:val="center"/>
          </w:tcPr>
          <w:p w:rsidR="00CF426B" w:rsidRDefault="005F6DDD">
            <w:pPr>
              <w:jc w:val="right"/>
            </w:pPr>
            <w:r>
              <w:rPr>
                <w:color w:val="000000"/>
                <w:szCs w:val="21"/>
              </w:rPr>
              <w:t>0.29</w:t>
            </w:r>
          </w:p>
        </w:tc>
      </w:tr>
      <w:tr w:rsidR="00CF426B">
        <w:trPr>
          <w:jc w:val="center"/>
        </w:trPr>
        <w:tc>
          <w:tcPr>
            <w:tcW w:w="678" w:type="dxa"/>
            <w:vAlign w:val="center"/>
          </w:tcPr>
          <w:p w:rsidR="00CF426B" w:rsidRDefault="005F6DDD">
            <w:pPr>
              <w:jc w:val="center"/>
            </w:pPr>
            <w:r>
              <w:rPr>
                <w:color w:val="000000"/>
                <w:szCs w:val="21"/>
              </w:rPr>
              <w:t>60</w:t>
            </w:r>
          </w:p>
        </w:tc>
        <w:tc>
          <w:tcPr>
            <w:tcW w:w="905" w:type="dxa"/>
            <w:vAlign w:val="center"/>
          </w:tcPr>
          <w:p w:rsidR="00CF426B" w:rsidRDefault="005F6DDD">
            <w:pPr>
              <w:jc w:val="center"/>
            </w:pPr>
            <w:r>
              <w:rPr>
                <w:color w:val="000000"/>
                <w:szCs w:val="21"/>
              </w:rPr>
              <w:t>KLA-Tencor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KLAC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1,292</w:t>
            </w:r>
          </w:p>
        </w:tc>
        <w:tc>
          <w:tcPr>
            <w:tcW w:w="1690" w:type="dxa"/>
            <w:vAlign w:val="center"/>
          </w:tcPr>
          <w:p w:rsidR="00CF426B" w:rsidRDefault="005F6DDD">
            <w:pPr>
              <w:jc w:val="right"/>
            </w:pPr>
            <w:r>
              <w:rPr>
                <w:color w:val="000000"/>
                <w:szCs w:val="21"/>
              </w:rPr>
              <w:t>1,778,852.94</w:t>
            </w:r>
          </w:p>
        </w:tc>
        <w:tc>
          <w:tcPr>
            <w:tcW w:w="997" w:type="dxa"/>
            <w:vAlign w:val="center"/>
          </w:tcPr>
          <w:p w:rsidR="00CF426B" w:rsidRDefault="005F6DDD">
            <w:pPr>
              <w:jc w:val="right"/>
            </w:pPr>
            <w:r>
              <w:rPr>
                <w:color w:val="000000"/>
                <w:szCs w:val="21"/>
              </w:rPr>
              <w:t>0.28</w:t>
            </w:r>
          </w:p>
        </w:tc>
      </w:tr>
      <w:tr w:rsidR="00CF426B">
        <w:trPr>
          <w:jc w:val="center"/>
        </w:trPr>
        <w:tc>
          <w:tcPr>
            <w:tcW w:w="678" w:type="dxa"/>
            <w:vAlign w:val="center"/>
          </w:tcPr>
          <w:p w:rsidR="00CF426B" w:rsidRDefault="005F6DDD">
            <w:pPr>
              <w:jc w:val="center"/>
            </w:pPr>
            <w:r>
              <w:rPr>
                <w:color w:val="000000"/>
                <w:szCs w:val="21"/>
              </w:rPr>
              <w:t>61</w:t>
            </w:r>
          </w:p>
        </w:tc>
        <w:tc>
          <w:tcPr>
            <w:tcW w:w="905" w:type="dxa"/>
            <w:vAlign w:val="center"/>
          </w:tcPr>
          <w:p w:rsidR="00CF426B" w:rsidRDefault="005F6DDD">
            <w:pPr>
              <w:jc w:val="center"/>
            </w:pPr>
            <w:r>
              <w:rPr>
                <w:color w:val="000000"/>
                <w:szCs w:val="21"/>
              </w:rPr>
              <w:t>O'Reilly Automotive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ORLY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592</w:t>
            </w:r>
          </w:p>
        </w:tc>
        <w:tc>
          <w:tcPr>
            <w:tcW w:w="1690" w:type="dxa"/>
            <w:vAlign w:val="center"/>
          </w:tcPr>
          <w:p w:rsidR="00CF426B" w:rsidRDefault="005F6DDD">
            <w:pPr>
              <w:jc w:val="right"/>
            </w:pPr>
            <w:r>
              <w:rPr>
                <w:color w:val="000000"/>
                <w:szCs w:val="21"/>
              </w:rPr>
              <w:t>1,767,245.96</w:t>
            </w:r>
          </w:p>
        </w:tc>
        <w:tc>
          <w:tcPr>
            <w:tcW w:w="997" w:type="dxa"/>
            <w:vAlign w:val="center"/>
          </w:tcPr>
          <w:p w:rsidR="00CF426B" w:rsidRDefault="005F6DDD">
            <w:pPr>
              <w:jc w:val="right"/>
            </w:pPr>
            <w:r>
              <w:rPr>
                <w:color w:val="000000"/>
                <w:szCs w:val="21"/>
              </w:rPr>
              <w:t>0.28</w:t>
            </w:r>
          </w:p>
        </w:tc>
      </w:tr>
      <w:tr w:rsidR="00CF426B">
        <w:trPr>
          <w:jc w:val="center"/>
        </w:trPr>
        <w:tc>
          <w:tcPr>
            <w:tcW w:w="678" w:type="dxa"/>
            <w:vAlign w:val="center"/>
          </w:tcPr>
          <w:p w:rsidR="00CF426B" w:rsidRDefault="005F6DDD">
            <w:pPr>
              <w:jc w:val="center"/>
            </w:pPr>
            <w:r>
              <w:rPr>
                <w:color w:val="000000"/>
                <w:szCs w:val="21"/>
              </w:rPr>
              <w:t>62</w:t>
            </w:r>
          </w:p>
        </w:tc>
        <w:tc>
          <w:tcPr>
            <w:tcW w:w="905" w:type="dxa"/>
            <w:vAlign w:val="center"/>
          </w:tcPr>
          <w:p w:rsidR="00CF426B" w:rsidRDefault="005F6DDD">
            <w:pPr>
              <w:jc w:val="center"/>
            </w:pPr>
            <w:r>
              <w:rPr>
                <w:color w:val="000000"/>
                <w:szCs w:val="21"/>
              </w:rPr>
              <w:t>Ross Stores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ROST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2,918</w:t>
            </w:r>
          </w:p>
        </w:tc>
        <w:tc>
          <w:tcPr>
            <w:tcW w:w="1690" w:type="dxa"/>
            <w:vAlign w:val="center"/>
          </w:tcPr>
          <w:p w:rsidR="00CF426B" w:rsidRDefault="005F6DDD">
            <w:pPr>
              <w:jc w:val="right"/>
            </w:pPr>
            <w:r>
              <w:rPr>
                <w:color w:val="000000"/>
                <w:szCs w:val="21"/>
              </w:rPr>
              <w:t>1,760,886.30</w:t>
            </w:r>
          </w:p>
        </w:tc>
        <w:tc>
          <w:tcPr>
            <w:tcW w:w="997" w:type="dxa"/>
            <w:vAlign w:val="center"/>
          </w:tcPr>
          <w:p w:rsidR="00CF426B" w:rsidRDefault="005F6DDD">
            <w:pPr>
              <w:jc w:val="right"/>
            </w:pPr>
            <w:r>
              <w:rPr>
                <w:color w:val="000000"/>
                <w:szCs w:val="21"/>
              </w:rPr>
              <w:t>0.28</w:t>
            </w:r>
          </w:p>
        </w:tc>
      </w:tr>
      <w:tr w:rsidR="00CF426B">
        <w:trPr>
          <w:jc w:val="center"/>
        </w:trPr>
        <w:tc>
          <w:tcPr>
            <w:tcW w:w="678" w:type="dxa"/>
            <w:vAlign w:val="center"/>
          </w:tcPr>
          <w:p w:rsidR="00CF426B" w:rsidRDefault="005F6DDD">
            <w:pPr>
              <w:jc w:val="center"/>
            </w:pPr>
            <w:r>
              <w:rPr>
                <w:color w:val="000000"/>
                <w:szCs w:val="21"/>
              </w:rPr>
              <w:t>63</w:t>
            </w:r>
          </w:p>
        </w:tc>
        <w:tc>
          <w:tcPr>
            <w:tcW w:w="905" w:type="dxa"/>
            <w:vAlign w:val="center"/>
          </w:tcPr>
          <w:p w:rsidR="00CF426B" w:rsidRDefault="005F6DDD">
            <w:pPr>
              <w:jc w:val="center"/>
            </w:pPr>
            <w:r>
              <w:rPr>
                <w:color w:val="000000"/>
                <w:szCs w:val="21"/>
              </w:rPr>
              <w:t>Cognizant Technology Solutions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CTSH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4,314</w:t>
            </w:r>
          </w:p>
        </w:tc>
        <w:tc>
          <w:tcPr>
            <w:tcW w:w="1690" w:type="dxa"/>
            <w:vAlign w:val="center"/>
          </w:tcPr>
          <w:p w:rsidR="00CF426B" w:rsidRDefault="005F6DDD">
            <w:pPr>
              <w:jc w:val="right"/>
            </w:pPr>
            <w:r>
              <w:rPr>
                <w:color w:val="000000"/>
                <w:szCs w:val="21"/>
              </w:rPr>
              <w:t>1,735,337.52</w:t>
            </w:r>
          </w:p>
        </w:tc>
        <w:tc>
          <w:tcPr>
            <w:tcW w:w="997" w:type="dxa"/>
            <w:vAlign w:val="center"/>
          </w:tcPr>
          <w:p w:rsidR="00CF426B" w:rsidRDefault="005F6DDD">
            <w:pPr>
              <w:jc w:val="right"/>
            </w:pPr>
            <w:r>
              <w:rPr>
                <w:color w:val="000000"/>
                <w:szCs w:val="21"/>
              </w:rPr>
              <w:t>0.28</w:t>
            </w:r>
          </w:p>
        </w:tc>
      </w:tr>
      <w:tr w:rsidR="00CF426B">
        <w:trPr>
          <w:jc w:val="center"/>
        </w:trPr>
        <w:tc>
          <w:tcPr>
            <w:tcW w:w="678" w:type="dxa"/>
            <w:vAlign w:val="center"/>
          </w:tcPr>
          <w:p w:rsidR="00CF426B" w:rsidRDefault="005F6DDD">
            <w:pPr>
              <w:jc w:val="center"/>
            </w:pPr>
            <w:r>
              <w:rPr>
                <w:color w:val="000000"/>
                <w:szCs w:val="21"/>
              </w:rPr>
              <w:t>64</w:t>
            </w:r>
          </w:p>
        </w:tc>
        <w:tc>
          <w:tcPr>
            <w:tcW w:w="905" w:type="dxa"/>
            <w:vAlign w:val="center"/>
          </w:tcPr>
          <w:p w:rsidR="00CF426B" w:rsidRDefault="005F6DDD">
            <w:pPr>
              <w:jc w:val="center"/>
            </w:pPr>
            <w:r>
              <w:rPr>
                <w:color w:val="000000"/>
                <w:szCs w:val="21"/>
              </w:rPr>
              <w:t>Seattle Genetics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SGEN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1,398</w:t>
            </w:r>
          </w:p>
        </w:tc>
        <w:tc>
          <w:tcPr>
            <w:tcW w:w="1690" w:type="dxa"/>
            <w:vAlign w:val="center"/>
          </w:tcPr>
          <w:p w:rsidR="00CF426B" w:rsidRDefault="005F6DDD">
            <w:pPr>
              <w:jc w:val="right"/>
            </w:pPr>
            <w:r>
              <w:rPr>
                <w:color w:val="000000"/>
                <w:szCs w:val="21"/>
              </w:rPr>
              <w:t>1,681,722.20</w:t>
            </w:r>
          </w:p>
        </w:tc>
        <w:tc>
          <w:tcPr>
            <w:tcW w:w="997" w:type="dxa"/>
            <w:vAlign w:val="center"/>
          </w:tcPr>
          <w:p w:rsidR="00CF426B" w:rsidRDefault="005F6DDD">
            <w:pPr>
              <w:jc w:val="right"/>
            </w:pPr>
            <w:r>
              <w:rPr>
                <w:color w:val="000000"/>
                <w:szCs w:val="21"/>
              </w:rPr>
              <w:t>0.27</w:t>
            </w:r>
          </w:p>
        </w:tc>
      </w:tr>
      <w:tr w:rsidR="00CF426B">
        <w:trPr>
          <w:jc w:val="center"/>
        </w:trPr>
        <w:tc>
          <w:tcPr>
            <w:tcW w:w="678" w:type="dxa"/>
            <w:vAlign w:val="center"/>
          </w:tcPr>
          <w:p w:rsidR="00CF426B" w:rsidRDefault="005F6DDD">
            <w:pPr>
              <w:jc w:val="center"/>
            </w:pPr>
            <w:r>
              <w:rPr>
                <w:color w:val="000000"/>
                <w:szCs w:val="21"/>
              </w:rPr>
              <w:t>65</w:t>
            </w:r>
          </w:p>
        </w:tc>
        <w:tc>
          <w:tcPr>
            <w:tcW w:w="905" w:type="dxa"/>
            <w:vAlign w:val="center"/>
          </w:tcPr>
          <w:p w:rsidR="00CF426B" w:rsidRDefault="005F6DDD">
            <w:pPr>
              <w:jc w:val="center"/>
            </w:pPr>
            <w:r>
              <w:rPr>
                <w:color w:val="000000"/>
                <w:szCs w:val="21"/>
              </w:rPr>
              <w:t>Cintas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CTAS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873</w:t>
            </w:r>
          </w:p>
        </w:tc>
        <w:tc>
          <w:tcPr>
            <w:tcW w:w="1690" w:type="dxa"/>
            <w:vAlign w:val="center"/>
          </w:tcPr>
          <w:p w:rsidR="00CF426B" w:rsidRDefault="005F6DDD">
            <w:pPr>
              <w:jc w:val="right"/>
            </w:pPr>
            <w:r>
              <w:rPr>
                <w:color w:val="000000"/>
                <w:szCs w:val="21"/>
              </w:rPr>
              <w:t>1,646,212.28</w:t>
            </w:r>
          </w:p>
        </w:tc>
        <w:tc>
          <w:tcPr>
            <w:tcW w:w="997" w:type="dxa"/>
            <w:vAlign w:val="center"/>
          </w:tcPr>
          <w:p w:rsidR="00CF426B" w:rsidRDefault="005F6DDD">
            <w:pPr>
              <w:jc w:val="right"/>
            </w:pPr>
            <w:r>
              <w:rPr>
                <w:color w:val="000000"/>
                <w:szCs w:val="21"/>
              </w:rPr>
              <w:t>0.26</w:t>
            </w:r>
          </w:p>
        </w:tc>
      </w:tr>
      <w:tr w:rsidR="00CF426B">
        <w:trPr>
          <w:jc w:val="center"/>
        </w:trPr>
        <w:tc>
          <w:tcPr>
            <w:tcW w:w="678" w:type="dxa"/>
            <w:vAlign w:val="center"/>
          </w:tcPr>
          <w:p w:rsidR="00CF426B" w:rsidRDefault="005F6DDD">
            <w:pPr>
              <w:jc w:val="center"/>
            </w:pPr>
            <w:r>
              <w:rPr>
                <w:color w:val="000000"/>
                <w:szCs w:val="21"/>
              </w:rPr>
              <w:t>66</w:t>
            </w:r>
          </w:p>
        </w:tc>
        <w:tc>
          <w:tcPr>
            <w:tcW w:w="905" w:type="dxa"/>
            <w:vAlign w:val="center"/>
          </w:tcPr>
          <w:p w:rsidR="00CF426B" w:rsidRDefault="005F6DDD">
            <w:pPr>
              <w:jc w:val="center"/>
            </w:pPr>
            <w:r>
              <w:rPr>
                <w:color w:val="000000"/>
                <w:szCs w:val="21"/>
              </w:rPr>
              <w:t>Synopsys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SNPS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1,191</w:t>
            </w:r>
          </w:p>
        </w:tc>
        <w:tc>
          <w:tcPr>
            <w:tcW w:w="1690" w:type="dxa"/>
            <w:vAlign w:val="center"/>
          </w:tcPr>
          <w:p w:rsidR="00CF426B" w:rsidRDefault="005F6DDD">
            <w:pPr>
              <w:jc w:val="right"/>
            </w:pPr>
            <w:r>
              <w:rPr>
                <w:color w:val="000000"/>
                <w:szCs w:val="21"/>
              </w:rPr>
              <w:t>1,644,178.48</w:t>
            </w:r>
          </w:p>
        </w:tc>
        <w:tc>
          <w:tcPr>
            <w:tcW w:w="997" w:type="dxa"/>
            <w:vAlign w:val="center"/>
          </w:tcPr>
          <w:p w:rsidR="00CF426B" w:rsidRDefault="005F6DDD">
            <w:pPr>
              <w:jc w:val="right"/>
            </w:pPr>
            <w:r>
              <w:rPr>
                <w:color w:val="000000"/>
                <w:szCs w:val="21"/>
              </w:rPr>
              <w:t>0.26</w:t>
            </w:r>
          </w:p>
        </w:tc>
      </w:tr>
      <w:tr w:rsidR="00CF426B">
        <w:trPr>
          <w:jc w:val="center"/>
        </w:trPr>
        <w:tc>
          <w:tcPr>
            <w:tcW w:w="678" w:type="dxa"/>
            <w:vAlign w:val="center"/>
          </w:tcPr>
          <w:p w:rsidR="00CF426B" w:rsidRDefault="005F6DDD">
            <w:pPr>
              <w:jc w:val="center"/>
            </w:pPr>
            <w:r>
              <w:rPr>
                <w:color w:val="000000"/>
                <w:szCs w:val="21"/>
              </w:rPr>
              <w:t>67</w:t>
            </w:r>
          </w:p>
        </w:tc>
        <w:tc>
          <w:tcPr>
            <w:tcW w:w="905" w:type="dxa"/>
            <w:vAlign w:val="center"/>
          </w:tcPr>
          <w:p w:rsidR="00CF426B" w:rsidRDefault="005F6DDD">
            <w:pPr>
              <w:jc w:val="center"/>
            </w:pPr>
            <w:r>
              <w:rPr>
                <w:color w:val="000000"/>
                <w:szCs w:val="21"/>
              </w:rPr>
              <w:t>Verisk Analytics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VRSK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1,355</w:t>
            </w:r>
          </w:p>
        </w:tc>
        <w:tc>
          <w:tcPr>
            <w:tcW w:w="1690" w:type="dxa"/>
            <w:vAlign w:val="center"/>
          </w:tcPr>
          <w:p w:rsidR="00CF426B" w:rsidRDefault="005F6DDD">
            <w:pPr>
              <w:jc w:val="right"/>
            </w:pPr>
            <w:r>
              <w:rPr>
                <w:color w:val="000000"/>
                <w:szCs w:val="21"/>
              </w:rPr>
              <w:t>1,632,681.37</w:t>
            </w:r>
          </w:p>
        </w:tc>
        <w:tc>
          <w:tcPr>
            <w:tcW w:w="997" w:type="dxa"/>
            <w:vAlign w:val="center"/>
          </w:tcPr>
          <w:p w:rsidR="00CF426B" w:rsidRDefault="005F6DDD">
            <w:pPr>
              <w:jc w:val="right"/>
            </w:pPr>
            <w:r>
              <w:rPr>
                <w:color w:val="000000"/>
                <w:szCs w:val="21"/>
              </w:rPr>
              <w:t>0.26</w:t>
            </w:r>
          </w:p>
        </w:tc>
      </w:tr>
      <w:tr w:rsidR="00CF426B">
        <w:trPr>
          <w:jc w:val="center"/>
        </w:trPr>
        <w:tc>
          <w:tcPr>
            <w:tcW w:w="678" w:type="dxa"/>
            <w:vAlign w:val="center"/>
          </w:tcPr>
          <w:p w:rsidR="00CF426B" w:rsidRDefault="005F6DDD">
            <w:pPr>
              <w:jc w:val="center"/>
            </w:pPr>
            <w:r>
              <w:rPr>
                <w:color w:val="000000"/>
                <w:szCs w:val="21"/>
              </w:rPr>
              <w:t>68</w:t>
            </w:r>
          </w:p>
        </w:tc>
        <w:tc>
          <w:tcPr>
            <w:tcW w:w="905" w:type="dxa"/>
            <w:vAlign w:val="center"/>
          </w:tcPr>
          <w:p w:rsidR="00CF426B" w:rsidRDefault="005F6DDD">
            <w:pPr>
              <w:jc w:val="center"/>
            </w:pPr>
            <w:r>
              <w:rPr>
                <w:color w:val="000000"/>
                <w:szCs w:val="21"/>
              </w:rPr>
              <w:t>IDEXX Laboratories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IDXX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698</w:t>
            </w:r>
          </w:p>
        </w:tc>
        <w:tc>
          <w:tcPr>
            <w:tcW w:w="1690" w:type="dxa"/>
            <w:vAlign w:val="center"/>
          </w:tcPr>
          <w:p w:rsidR="00CF426B" w:rsidRDefault="005F6DDD">
            <w:pPr>
              <w:jc w:val="right"/>
            </w:pPr>
            <w:r>
              <w:rPr>
                <w:color w:val="000000"/>
                <w:szCs w:val="21"/>
              </w:rPr>
              <w:t>1,631,482.67</w:t>
            </w:r>
          </w:p>
        </w:tc>
        <w:tc>
          <w:tcPr>
            <w:tcW w:w="997" w:type="dxa"/>
            <w:vAlign w:val="center"/>
          </w:tcPr>
          <w:p w:rsidR="00CF426B" w:rsidRDefault="005F6DDD">
            <w:pPr>
              <w:jc w:val="right"/>
            </w:pPr>
            <w:r>
              <w:rPr>
                <w:color w:val="000000"/>
                <w:szCs w:val="21"/>
              </w:rPr>
              <w:t>0.26</w:t>
            </w:r>
          </w:p>
        </w:tc>
      </w:tr>
      <w:tr w:rsidR="00CF426B">
        <w:trPr>
          <w:jc w:val="center"/>
        </w:trPr>
        <w:tc>
          <w:tcPr>
            <w:tcW w:w="678" w:type="dxa"/>
            <w:vAlign w:val="center"/>
          </w:tcPr>
          <w:p w:rsidR="00CF426B" w:rsidRDefault="005F6DDD">
            <w:pPr>
              <w:jc w:val="center"/>
            </w:pPr>
            <w:r>
              <w:rPr>
                <w:color w:val="000000"/>
                <w:szCs w:val="21"/>
              </w:rPr>
              <w:t>69</w:t>
            </w:r>
          </w:p>
        </w:tc>
        <w:tc>
          <w:tcPr>
            <w:tcW w:w="905" w:type="dxa"/>
            <w:vAlign w:val="center"/>
          </w:tcPr>
          <w:p w:rsidR="00CF426B" w:rsidRDefault="005F6DDD">
            <w:pPr>
              <w:jc w:val="center"/>
            </w:pPr>
            <w:r>
              <w:rPr>
                <w:color w:val="000000"/>
                <w:szCs w:val="21"/>
              </w:rPr>
              <w:t>Marriott International Inc/MD</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MAR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2,669</w:t>
            </w:r>
          </w:p>
        </w:tc>
        <w:tc>
          <w:tcPr>
            <w:tcW w:w="1690" w:type="dxa"/>
            <w:vAlign w:val="center"/>
          </w:tcPr>
          <w:p w:rsidR="00CF426B" w:rsidRDefault="005F6DDD">
            <w:pPr>
              <w:jc w:val="right"/>
            </w:pPr>
            <w:r>
              <w:rPr>
                <w:color w:val="000000"/>
                <w:szCs w:val="21"/>
              </w:rPr>
              <w:t>1,619,884.25</w:t>
            </w:r>
          </w:p>
        </w:tc>
        <w:tc>
          <w:tcPr>
            <w:tcW w:w="997" w:type="dxa"/>
            <w:vAlign w:val="center"/>
          </w:tcPr>
          <w:p w:rsidR="00CF426B" w:rsidRDefault="005F6DDD">
            <w:pPr>
              <w:jc w:val="right"/>
            </w:pPr>
            <w:r>
              <w:rPr>
                <w:color w:val="000000"/>
                <w:szCs w:val="21"/>
              </w:rPr>
              <w:t>0.26</w:t>
            </w:r>
          </w:p>
        </w:tc>
      </w:tr>
      <w:tr w:rsidR="00CF426B">
        <w:trPr>
          <w:jc w:val="center"/>
        </w:trPr>
        <w:tc>
          <w:tcPr>
            <w:tcW w:w="678" w:type="dxa"/>
            <w:vAlign w:val="center"/>
          </w:tcPr>
          <w:p w:rsidR="00CF426B" w:rsidRDefault="005F6DDD">
            <w:pPr>
              <w:jc w:val="center"/>
            </w:pPr>
            <w:r>
              <w:rPr>
                <w:color w:val="000000"/>
                <w:szCs w:val="21"/>
              </w:rPr>
              <w:t>70</w:t>
            </w:r>
          </w:p>
        </w:tc>
        <w:tc>
          <w:tcPr>
            <w:tcW w:w="905" w:type="dxa"/>
            <w:vAlign w:val="center"/>
          </w:tcPr>
          <w:p w:rsidR="00CF426B" w:rsidRDefault="005F6DDD">
            <w:pPr>
              <w:jc w:val="center"/>
            </w:pPr>
            <w:r>
              <w:rPr>
                <w:color w:val="000000"/>
                <w:szCs w:val="21"/>
              </w:rPr>
              <w:t>ASML Holding NV</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ASML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599</w:t>
            </w:r>
          </w:p>
        </w:tc>
        <w:tc>
          <w:tcPr>
            <w:tcW w:w="1690" w:type="dxa"/>
            <w:vAlign w:val="center"/>
          </w:tcPr>
          <w:p w:rsidR="00CF426B" w:rsidRDefault="005F6DDD">
            <w:pPr>
              <w:jc w:val="right"/>
            </w:pPr>
            <w:r>
              <w:rPr>
                <w:color w:val="000000"/>
                <w:szCs w:val="21"/>
              </w:rPr>
              <w:t>1,560,675.56</w:t>
            </w:r>
          </w:p>
        </w:tc>
        <w:tc>
          <w:tcPr>
            <w:tcW w:w="997" w:type="dxa"/>
            <w:vAlign w:val="center"/>
          </w:tcPr>
          <w:p w:rsidR="00CF426B" w:rsidRDefault="005F6DDD">
            <w:pPr>
              <w:jc w:val="right"/>
            </w:pPr>
            <w:r>
              <w:rPr>
                <w:color w:val="000000"/>
                <w:szCs w:val="21"/>
              </w:rPr>
              <w:t>0.25</w:t>
            </w:r>
          </w:p>
        </w:tc>
      </w:tr>
      <w:tr w:rsidR="00CF426B">
        <w:trPr>
          <w:jc w:val="center"/>
        </w:trPr>
        <w:tc>
          <w:tcPr>
            <w:tcW w:w="678" w:type="dxa"/>
            <w:vAlign w:val="center"/>
          </w:tcPr>
          <w:p w:rsidR="00CF426B" w:rsidRDefault="005F6DDD">
            <w:pPr>
              <w:jc w:val="center"/>
            </w:pPr>
            <w:r>
              <w:rPr>
                <w:color w:val="000000"/>
                <w:szCs w:val="21"/>
              </w:rPr>
              <w:t>71</w:t>
            </w:r>
          </w:p>
        </w:tc>
        <w:tc>
          <w:tcPr>
            <w:tcW w:w="905" w:type="dxa"/>
            <w:vAlign w:val="center"/>
          </w:tcPr>
          <w:p w:rsidR="00CF426B" w:rsidRDefault="005F6DDD">
            <w:pPr>
              <w:jc w:val="center"/>
            </w:pPr>
            <w:r>
              <w:rPr>
                <w:color w:val="000000"/>
                <w:szCs w:val="21"/>
              </w:rPr>
              <w:t>Paychex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PAYX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2,893</w:t>
            </w:r>
          </w:p>
        </w:tc>
        <w:tc>
          <w:tcPr>
            <w:tcW w:w="1690" w:type="dxa"/>
            <w:vAlign w:val="center"/>
          </w:tcPr>
          <w:p w:rsidR="00CF426B" w:rsidRDefault="005F6DDD">
            <w:pPr>
              <w:jc w:val="right"/>
            </w:pPr>
            <w:r>
              <w:rPr>
                <w:color w:val="000000"/>
                <w:szCs w:val="21"/>
              </w:rPr>
              <w:t>1,551,435.26</w:t>
            </w:r>
          </w:p>
        </w:tc>
        <w:tc>
          <w:tcPr>
            <w:tcW w:w="997" w:type="dxa"/>
            <w:vAlign w:val="center"/>
          </w:tcPr>
          <w:p w:rsidR="00CF426B" w:rsidRDefault="005F6DDD">
            <w:pPr>
              <w:jc w:val="right"/>
            </w:pPr>
            <w:r>
              <w:rPr>
                <w:color w:val="000000"/>
                <w:szCs w:val="21"/>
              </w:rPr>
              <w:t>0.25</w:t>
            </w:r>
          </w:p>
        </w:tc>
      </w:tr>
      <w:tr w:rsidR="00CF426B">
        <w:trPr>
          <w:jc w:val="center"/>
        </w:trPr>
        <w:tc>
          <w:tcPr>
            <w:tcW w:w="678" w:type="dxa"/>
            <w:vAlign w:val="center"/>
          </w:tcPr>
          <w:p w:rsidR="00CF426B" w:rsidRDefault="005F6DDD">
            <w:pPr>
              <w:jc w:val="center"/>
            </w:pPr>
            <w:r>
              <w:rPr>
                <w:color w:val="000000"/>
                <w:szCs w:val="21"/>
              </w:rPr>
              <w:t>72</w:t>
            </w:r>
          </w:p>
        </w:tc>
        <w:tc>
          <w:tcPr>
            <w:tcW w:w="905" w:type="dxa"/>
            <w:vAlign w:val="center"/>
          </w:tcPr>
          <w:p w:rsidR="00CF426B" w:rsidRDefault="005F6DDD">
            <w:pPr>
              <w:jc w:val="center"/>
            </w:pPr>
            <w:r>
              <w:rPr>
                <w:color w:val="000000"/>
                <w:szCs w:val="21"/>
              </w:rPr>
              <w:t>Microchip Technology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MCHP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2,059</w:t>
            </w:r>
          </w:p>
        </w:tc>
        <w:tc>
          <w:tcPr>
            <w:tcW w:w="1690" w:type="dxa"/>
            <w:vAlign w:val="center"/>
          </w:tcPr>
          <w:p w:rsidR="00CF426B" w:rsidRDefault="005F6DDD">
            <w:pPr>
              <w:jc w:val="right"/>
            </w:pPr>
            <w:r>
              <w:rPr>
                <w:color w:val="000000"/>
                <w:szCs w:val="21"/>
              </w:rPr>
              <w:t>1,535,071.28</w:t>
            </w:r>
          </w:p>
        </w:tc>
        <w:tc>
          <w:tcPr>
            <w:tcW w:w="997" w:type="dxa"/>
            <w:vAlign w:val="center"/>
          </w:tcPr>
          <w:p w:rsidR="00CF426B" w:rsidRDefault="005F6DDD">
            <w:pPr>
              <w:jc w:val="right"/>
            </w:pPr>
            <w:r>
              <w:rPr>
                <w:color w:val="000000"/>
                <w:szCs w:val="21"/>
              </w:rPr>
              <w:t>0.25</w:t>
            </w:r>
          </w:p>
        </w:tc>
      </w:tr>
      <w:tr w:rsidR="00CF426B">
        <w:trPr>
          <w:jc w:val="center"/>
        </w:trPr>
        <w:tc>
          <w:tcPr>
            <w:tcW w:w="678" w:type="dxa"/>
            <w:vAlign w:val="center"/>
          </w:tcPr>
          <w:p w:rsidR="00CF426B" w:rsidRDefault="005F6DDD">
            <w:pPr>
              <w:jc w:val="center"/>
            </w:pPr>
            <w:r>
              <w:rPr>
                <w:color w:val="000000"/>
                <w:szCs w:val="21"/>
              </w:rPr>
              <w:t>73</w:t>
            </w:r>
          </w:p>
        </w:tc>
        <w:tc>
          <w:tcPr>
            <w:tcW w:w="905" w:type="dxa"/>
            <w:vAlign w:val="center"/>
          </w:tcPr>
          <w:p w:rsidR="00CF426B" w:rsidRDefault="005F6DDD">
            <w:pPr>
              <w:jc w:val="center"/>
            </w:pPr>
            <w:r>
              <w:rPr>
                <w:color w:val="000000"/>
                <w:szCs w:val="21"/>
              </w:rPr>
              <w:t>Sirius XM Holdings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SIRI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36,459</w:t>
            </w:r>
          </w:p>
        </w:tc>
        <w:tc>
          <w:tcPr>
            <w:tcW w:w="1690" w:type="dxa"/>
            <w:vAlign w:val="center"/>
          </w:tcPr>
          <w:p w:rsidR="00CF426B" w:rsidRDefault="005F6DDD">
            <w:pPr>
              <w:jc w:val="right"/>
            </w:pPr>
            <w:r>
              <w:rPr>
                <w:color w:val="000000"/>
                <w:szCs w:val="21"/>
              </w:rPr>
              <w:t>1,515,114.45</w:t>
            </w:r>
          </w:p>
        </w:tc>
        <w:tc>
          <w:tcPr>
            <w:tcW w:w="997" w:type="dxa"/>
            <w:vAlign w:val="center"/>
          </w:tcPr>
          <w:p w:rsidR="00CF426B" w:rsidRDefault="005F6DDD">
            <w:pPr>
              <w:jc w:val="right"/>
            </w:pPr>
            <w:r>
              <w:rPr>
                <w:color w:val="000000"/>
                <w:szCs w:val="21"/>
              </w:rPr>
              <w:t>0.24</w:t>
            </w:r>
          </w:p>
        </w:tc>
      </w:tr>
      <w:tr w:rsidR="00CF426B">
        <w:trPr>
          <w:jc w:val="center"/>
        </w:trPr>
        <w:tc>
          <w:tcPr>
            <w:tcW w:w="678" w:type="dxa"/>
            <w:vAlign w:val="center"/>
          </w:tcPr>
          <w:p w:rsidR="00CF426B" w:rsidRDefault="005F6DDD">
            <w:pPr>
              <w:jc w:val="center"/>
            </w:pPr>
            <w:r>
              <w:rPr>
                <w:color w:val="000000"/>
                <w:szCs w:val="21"/>
              </w:rPr>
              <w:t>74</w:t>
            </w:r>
          </w:p>
        </w:tc>
        <w:tc>
          <w:tcPr>
            <w:tcW w:w="905" w:type="dxa"/>
            <w:vAlign w:val="center"/>
          </w:tcPr>
          <w:p w:rsidR="00CF426B" w:rsidRDefault="005F6DDD">
            <w:pPr>
              <w:jc w:val="center"/>
            </w:pPr>
            <w:r>
              <w:rPr>
                <w:color w:val="000000"/>
                <w:szCs w:val="21"/>
              </w:rPr>
              <w:t>CoStar Group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CSGP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301</w:t>
            </w:r>
          </w:p>
        </w:tc>
        <w:tc>
          <w:tcPr>
            <w:tcW w:w="1690" w:type="dxa"/>
            <w:vAlign w:val="center"/>
          </w:tcPr>
          <w:p w:rsidR="00CF426B" w:rsidRDefault="005F6DDD">
            <w:pPr>
              <w:jc w:val="right"/>
            </w:pPr>
            <w:r>
              <w:rPr>
                <w:color w:val="000000"/>
                <w:szCs w:val="21"/>
              </w:rPr>
              <w:t>1,514,387.67</w:t>
            </w:r>
          </w:p>
        </w:tc>
        <w:tc>
          <w:tcPr>
            <w:tcW w:w="997" w:type="dxa"/>
            <w:vAlign w:val="center"/>
          </w:tcPr>
          <w:p w:rsidR="00CF426B" w:rsidRDefault="005F6DDD">
            <w:pPr>
              <w:jc w:val="right"/>
            </w:pPr>
            <w:r>
              <w:rPr>
                <w:color w:val="000000"/>
                <w:szCs w:val="21"/>
              </w:rPr>
              <w:t>0.24</w:t>
            </w:r>
          </w:p>
        </w:tc>
      </w:tr>
      <w:tr w:rsidR="00CF426B">
        <w:trPr>
          <w:jc w:val="center"/>
        </w:trPr>
        <w:tc>
          <w:tcPr>
            <w:tcW w:w="678" w:type="dxa"/>
            <w:vAlign w:val="center"/>
          </w:tcPr>
          <w:p w:rsidR="00CF426B" w:rsidRDefault="005F6DDD">
            <w:pPr>
              <w:jc w:val="center"/>
            </w:pPr>
            <w:r>
              <w:rPr>
                <w:color w:val="000000"/>
                <w:szCs w:val="21"/>
              </w:rPr>
              <w:t>75</w:t>
            </w:r>
          </w:p>
        </w:tc>
        <w:tc>
          <w:tcPr>
            <w:tcW w:w="905" w:type="dxa"/>
            <w:vAlign w:val="center"/>
          </w:tcPr>
          <w:p w:rsidR="00CF426B" w:rsidRDefault="005F6DDD">
            <w:pPr>
              <w:jc w:val="center"/>
            </w:pPr>
            <w:r>
              <w:rPr>
                <w:color w:val="000000"/>
                <w:szCs w:val="21"/>
              </w:rPr>
              <w:t>PACCAR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PCAR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2,826</w:t>
            </w:r>
          </w:p>
        </w:tc>
        <w:tc>
          <w:tcPr>
            <w:tcW w:w="1690" w:type="dxa"/>
            <w:vAlign w:val="center"/>
          </w:tcPr>
          <w:p w:rsidR="00CF426B" w:rsidRDefault="005F6DDD">
            <w:pPr>
              <w:jc w:val="right"/>
            </w:pPr>
            <w:r>
              <w:rPr>
                <w:color w:val="000000"/>
                <w:szCs w:val="21"/>
              </w:rPr>
              <w:t>1,497,499.02</w:t>
            </w:r>
          </w:p>
        </w:tc>
        <w:tc>
          <w:tcPr>
            <w:tcW w:w="997" w:type="dxa"/>
            <w:vAlign w:val="center"/>
          </w:tcPr>
          <w:p w:rsidR="00CF426B" w:rsidRDefault="005F6DDD">
            <w:pPr>
              <w:jc w:val="right"/>
            </w:pPr>
            <w:r>
              <w:rPr>
                <w:color w:val="000000"/>
                <w:szCs w:val="21"/>
              </w:rPr>
              <w:t>0.24</w:t>
            </w:r>
          </w:p>
        </w:tc>
      </w:tr>
      <w:tr w:rsidR="00CF426B">
        <w:trPr>
          <w:jc w:val="center"/>
        </w:trPr>
        <w:tc>
          <w:tcPr>
            <w:tcW w:w="678" w:type="dxa"/>
            <w:vAlign w:val="center"/>
          </w:tcPr>
          <w:p w:rsidR="00CF426B" w:rsidRDefault="005F6DDD">
            <w:pPr>
              <w:jc w:val="center"/>
            </w:pPr>
            <w:r>
              <w:rPr>
                <w:color w:val="000000"/>
                <w:szCs w:val="21"/>
              </w:rPr>
              <w:t>76</w:t>
            </w:r>
          </w:p>
        </w:tc>
        <w:tc>
          <w:tcPr>
            <w:tcW w:w="905" w:type="dxa"/>
            <w:vAlign w:val="center"/>
          </w:tcPr>
          <w:p w:rsidR="00CF426B" w:rsidRDefault="005F6DDD">
            <w:pPr>
              <w:jc w:val="center"/>
            </w:pPr>
            <w:r>
              <w:rPr>
                <w:color w:val="000000"/>
                <w:szCs w:val="21"/>
              </w:rPr>
              <w:t>Cadence Design Systems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CDNS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2,185</w:t>
            </w:r>
          </w:p>
        </w:tc>
        <w:tc>
          <w:tcPr>
            <w:tcW w:w="1690" w:type="dxa"/>
            <w:vAlign w:val="center"/>
          </w:tcPr>
          <w:p w:rsidR="00CF426B" w:rsidRDefault="005F6DDD">
            <w:pPr>
              <w:jc w:val="right"/>
            </w:pPr>
            <w:r>
              <w:rPr>
                <w:color w:val="000000"/>
                <w:szCs w:val="21"/>
              </w:rPr>
              <w:t>1,484,377.17</w:t>
            </w:r>
          </w:p>
        </w:tc>
        <w:tc>
          <w:tcPr>
            <w:tcW w:w="997" w:type="dxa"/>
            <w:vAlign w:val="center"/>
          </w:tcPr>
          <w:p w:rsidR="00CF426B" w:rsidRDefault="005F6DDD">
            <w:pPr>
              <w:jc w:val="right"/>
            </w:pPr>
            <w:r>
              <w:rPr>
                <w:color w:val="000000"/>
                <w:szCs w:val="21"/>
              </w:rPr>
              <w:t>0.24</w:t>
            </w:r>
          </w:p>
        </w:tc>
      </w:tr>
      <w:tr w:rsidR="00CF426B">
        <w:trPr>
          <w:jc w:val="center"/>
        </w:trPr>
        <w:tc>
          <w:tcPr>
            <w:tcW w:w="678" w:type="dxa"/>
            <w:vAlign w:val="center"/>
          </w:tcPr>
          <w:p w:rsidR="00CF426B" w:rsidRDefault="005F6DDD">
            <w:pPr>
              <w:jc w:val="center"/>
            </w:pPr>
            <w:r>
              <w:rPr>
                <w:color w:val="000000"/>
                <w:szCs w:val="21"/>
              </w:rPr>
              <w:t>77</w:t>
            </w:r>
          </w:p>
        </w:tc>
        <w:tc>
          <w:tcPr>
            <w:tcW w:w="905" w:type="dxa"/>
            <w:vAlign w:val="center"/>
          </w:tcPr>
          <w:p w:rsidR="00CF426B" w:rsidRDefault="005F6DDD">
            <w:pPr>
              <w:jc w:val="center"/>
            </w:pPr>
            <w:r>
              <w:rPr>
                <w:color w:val="000000"/>
                <w:szCs w:val="21"/>
              </w:rPr>
              <w:t>ANSYS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ANSS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709</w:t>
            </w:r>
          </w:p>
        </w:tc>
        <w:tc>
          <w:tcPr>
            <w:tcW w:w="1690" w:type="dxa"/>
            <w:vAlign w:val="center"/>
          </w:tcPr>
          <w:p w:rsidR="00CF426B" w:rsidRDefault="005F6DDD">
            <w:pPr>
              <w:jc w:val="right"/>
            </w:pPr>
            <w:r>
              <w:rPr>
                <w:color w:val="000000"/>
                <w:szCs w:val="21"/>
              </w:rPr>
              <w:t>1,464,299.50</w:t>
            </w:r>
          </w:p>
        </w:tc>
        <w:tc>
          <w:tcPr>
            <w:tcW w:w="997" w:type="dxa"/>
            <w:vAlign w:val="center"/>
          </w:tcPr>
          <w:p w:rsidR="00CF426B" w:rsidRDefault="005F6DDD">
            <w:pPr>
              <w:jc w:val="right"/>
            </w:pPr>
            <w:r>
              <w:rPr>
                <w:color w:val="000000"/>
                <w:szCs w:val="21"/>
              </w:rPr>
              <w:t>0.23</w:t>
            </w:r>
          </w:p>
        </w:tc>
      </w:tr>
      <w:tr w:rsidR="00CF426B">
        <w:trPr>
          <w:jc w:val="center"/>
        </w:trPr>
        <w:tc>
          <w:tcPr>
            <w:tcW w:w="678" w:type="dxa"/>
            <w:vAlign w:val="center"/>
          </w:tcPr>
          <w:p w:rsidR="00CF426B" w:rsidRDefault="005F6DDD">
            <w:pPr>
              <w:jc w:val="center"/>
            </w:pPr>
            <w:r>
              <w:rPr>
                <w:color w:val="000000"/>
                <w:szCs w:val="21"/>
              </w:rPr>
              <w:t>78</w:t>
            </w:r>
          </w:p>
        </w:tc>
        <w:tc>
          <w:tcPr>
            <w:tcW w:w="905" w:type="dxa"/>
            <w:vAlign w:val="center"/>
          </w:tcPr>
          <w:p w:rsidR="00CF426B" w:rsidRDefault="005F6DDD">
            <w:pPr>
              <w:jc w:val="center"/>
            </w:pPr>
            <w:r>
              <w:rPr>
                <w:color w:val="000000"/>
                <w:szCs w:val="21"/>
              </w:rPr>
              <w:t>Fastenal Co</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FAST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4,759</w:t>
            </w:r>
          </w:p>
        </w:tc>
        <w:tc>
          <w:tcPr>
            <w:tcW w:w="1690" w:type="dxa"/>
            <w:vAlign w:val="center"/>
          </w:tcPr>
          <w:p w:rsidR="00CF426B" w:rsidRDefault="005F6DDD">
            <w:pPr>
              <w:jc w:val="right"/>
            </w:pPr>
            <w:r>
              <w:rPr>
                <w:color w:val="000000"/>
                <w:szCs w:val="21"/>
              </w:rPr>
              <w:t>1,443,337.03</w:t>
            </w:r>
          </w:p>
        </w:tc>
        <w:tc>
          <w:tcPr>
            <w:tcW w:w="997" w:type="dxa"/>
            <w:vAlign w:val="center"/>
          </w:tcPr>
          <w:p w:rsidR="00CF426B" w:rsidRDefault="005F6DDD">
            <w:pPr>
              <w:jc w:val="right"/>
            </w:pPr>
            <w:r>
              <w:rPr>
                <w:color w:val="000000"/>
                <w:szCs w:val="21"/>
              </w:rPr>
              <w:t>0.23</w:t>
            </w:r>
          </w:p>
        </w:tc>
      </w:tr>
      <w:tr w:rsidR="00CF426B">
        <w:trPr>
          <w:jc w:val="center"/>
        </w:trPr>
        <w:tc>
          <w:tcPr>
            <w:tcW w:w="678" w:type="dxa"/>
            <w:vAlign w:val="center"/>
          </w:tcPr>
          <w:p w:rsidR="00CF426B" w:rsidRDefault="005F6DDD">
            <w:pPr>
              <w:jc w:val="center"/>
            </w:pPr>
            <w:r>
              <w:rPr>
                <w:color w:val="000000"/>
                <w:szCs w:val="21"/>
              </w:rPr>
              <w:t>79</w:t>
            </w:r>
          </w:p>
        </w:tc>
        <w:tc>
          <w:tcPr>
            <w:tcW w:w="905" w:type="dxa"/>
            <w:vAlign w:val="center"/>
          </w:tcPr>
          <w:p w:rsidR="00CF426B" w:rsidRDefault="005F6DDD">
            <w:pPr>
              <w:jc w:val="center"/>
            </w:pPr>
            <w:r>
              <w:rPr>
                <w:color w:val="000000"/>
                <w:szCs w:val="21"/>
              </w:rPr>
              <w:t>Alexion Pharmaceuticals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ALXN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1,812</w:t>
            </w:r>
          </w:p>
        </w:tc>
        <w:tc>
          <w:tcPr>
            <w:tcW w:w="1690" w:type="dxa"/>
            <w:vAlign w:val="center"/>
          </w:tcPr>
          <w:p w:rsidR="00CF426B" w:rsidRDefault="005F6DDD">
            <w:pPr>
              <w:jc w:val="right"/>
            </w:pPr>
            <w:r>
              <w:rPr>
                <w:color w:val="000000"/>
                <w:szCs w:val="21"/>
              </w:rPr>
              <w:t>1,439,820.78</w:t>
            </w:r>
          </w:p>
        </w:tc>
        <w:tc>
          <w:tcPr>
            <w:tcW w:w="997" w:type="dxa"/>
            <w:vAlign w:val="center"/>
          </w:tcPr>
          <w:p w:rsidR="00CF426B" w:rsidRDefault="005F6DDD">
            <w:pPr>
              <w:jc w:val="right"/>
            </w:pPr>
            <w:r>
              <w:rPr>
                <w:color w:val="000000"/>
                <w:szCs w:val="21"/>
              </w:rPr>
              <w:t>0.23</w:t>
            </w:r>
          </w:p>
        </w:tc>
      </w:tr>
      <w:tr w:rsidR="00CF426B">
        <w:trPr>
          <w:jc w:val="center"/>
        </w:trPr>
        <w:tc>
          <w:tcPr>
            <w:tcW w:w="678" w:type="dxa"/>
            <w:vAlign w:val="center"/>
          </w:tcPr>
          <w:p w:rsidR="00CF426B" w:rsidRDefault="005F6DDD">
            <w:pPr>
              <w:jc w:val="center"/>
            </w:pPr>
            <w:r>
              <w:rPr>
                <w:color w:val="000000"/>
                <w:szCs w:val="21"/>
              </w:rPr>
              <w:t>80</w:t>
            </w:r>
          </w:p>
        </w:tc>
        <w:tc>
          <w:tcPr>
            <w:tcW w:w="905" w:type="dxa"/>
            <w:vAlign w:val="center"/>
          </w:tcPr>
          <w:p w:rsidR="00CF426B" w:rsidRDefault="005F6DDD">
            <w:pPr>
              <w:jc w:val="center"/>
            </w:pPr>
            <w:r>
              <w:rPr>
                <w:color w:val="000000"/>
                <w:szCs w:val="21"/>
              </w:rPr>
              <w:t>Xilinx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XLNX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2,001</w:t>
            </w:r>
          </w:p>
        </w:tc>
        <w:tc>
          <w:tcPr>
            <w:tcW w:w="1690" w:type="dxa"/>
            <w:vAlign w:val="center"/>
          </w:tcPr>
          <w:p w:rsidR="00CF426B" w:rsidRDefault="005F6DDD">
            <w:pPr>
              <w:jc w:val="right"/>
            </w:pPr>
            <w:r>
              <w:rPr>
                <w:color w:val="000000"/>
                <w:szCs w:val="21"/>
              </w:rPr>
              <w:t>1,393,800.56</w:t>
            </w:r>
          </w:p>
        </w:tc>
        <w:tc>
          <w:tcPr>
            <w:tcW w:w="997" w:type="dxa"/>
            <w:vAlign w:val="center"/>
          </w:tcPr>
          <w:p w:rsidR="00CF426B" w:rsidRDefault="005F6DDD">
            <w:pPr>
              <w:jc w:val="right"/>
            </w:pPr>
            <w:r>
              <w:rPr>
                <w:color w:val="000000"/>
                <w:szCs w:val="21"/>
              </w:rPr>
              <w:t>0.22</w:t>
            </w:r>
          </w:p>
        </w:tc>
      </w:tr>
      <w:tr w:rsidR="00CF426B">
        <w:trPr>
          <w:jc w:val="center"/>
        </w:trPr>
        <w:tc>
          <w:tcPr>
            <w:tcW w:w="678" w:type="dxa"/>
            <w:vAlign w:val="center"/>
          </w:tcPr>
          <w:p w:rsidR="00CF426B" w:rsidRDefault="005F6DDD">
            <w:pPr>
              <w:jc w:val="center"/>
            </w:pPr>
            <w:r>
              <w:rPr>
                <w:color w:val="000000"/>
                <w:szCs w:val="21"/>
              </w:rPr>
              <w:t>81</w:t>
            </w:r>
          </w:p>
        </w:tc>
        <w:tc>
          <w:tcPr>
            <w:tcW w:w="905" w:type="dxa"/>
            <w:vAlign w:val="center"/>
          </w:tcPr>
          <w:p w:rsidR="00CF426B" w:rsidRDefault="005F6DDD">
            <w:pPr>
              <w:jc w:val="center"/>
            </w:pPr>
            <w:r>
              <w:rPr>
                <w:color w:val="000000"/>
                <w:szCs w:val="21"/>
              </w:rPr>
              <w:t>VeriSign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VRSN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923</w:t>
            </w:r>
          </w:p>
        </w:tc>
        <w:tc>
          <w:tcPr>
            <w:tcW w:w="1690" w:type="dxa"/>
            <w:vAlign w:val="center"/>
          </w:tcPr>
          <w:p w:rsidR="00CF426B" w:rsidRDefault="005F6DDD">
            <w:pPr>
              <w:jc w:val="right"/>
            </w:pPr>
            <w:r>
              <w:rPr>
                <w:color w:val="000000"/>
                <w:szCs w:val="21"/>
              </w:rPr>
              <w:t>1,351,505.51</w:t>
            </w:r>
          </w:p>
        </w:tc>
        <w:tc>
          <w:tcPr>
            <w:tcW w:w="997" w:type="dxa"/>
            <w:vAlign w:val="center"/>
          </w:tcPr>
          <w:p w:rsidR="00CF426B" w:rsidRDefault="005F6DDD">
            <w:pPr>
              <w:jc w:val="right"/>
            </w:pPr>
            <w:r>
              <w:rPr>
                <w:color w:val="000000"/>
                <w:szCs w:val="21"/>
              </w:rPr>
              <w:t>0.22</w:t>
            </w:r>
          </w:p>
        </w:tc>
      </w:tr>
      <w:tr w:rsidR="00CF426B">
        <w:trPr>
          <w:jc w:val="center"/>
        </w:trPr>
        <w:tc>
          <w:tcPr>
            <w:tcW w:w="678" w:type="dxa"/>
            <w:vAlign w:val="center"/>
          </w:tcPr>
          <w:p w:rsidR="00CF426B" w:rsidRDefault="005F6DDD">
            <w:pPr>
              <w:jc w:val="center"/>
            </w:pPr>
            <w:r>
              <w:rPr>
                <w:color w:val="000000"/>
                <w:szCs w:val="21"/>
              </w:rPr>
              <w:t>82</w:t>
            </w:r>
          </w:p>
        </w:tc>
        <w:tc>
          <w:tcPr>
            <w:tcW w:w="905" w:type="dxa"/>
            <w:vAlign w:val="center"/>
          </w:tcPr>
          <w:p w:rsidR="00CF426B" w:rsidRDefault="005F6DDD">
            <w:pPr>
              <w:jc w:val="center"/>
            </w:pPr>
            <w:r>
              <w:rPr>
                <w:color w:val="000000"/>
                <w:szCs w:val="21"/>
              </w:rPr>
              <w:t>Incyte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INCY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1,799</w:t>
            </w:r>
          </w:p>
        </w:tc>
        <w:tc>
          <w:tcPr>
            <w:tcW w:w="1690" w:type="dxa"/>
            <w:vAlign w:val="center"/>
          </w:tcPr>
          <w:p w:rsidR="00CF426B" w:rsidRDefault="005F6DDD">
            <w:pPr>
              <w:jc w:val="right"/>
            </w:pPr>
            <w:r>
              <w:rPr>
                <w:color w:val="000000"/>
                <w:szCs w:val="21"/>
              </w:rPr>
              <w:t>1,324,164.05</w:t>
            </w:r>
          </w:p>
        </w:tc>
        <w:tc>
          <w:tcPr>
            <w:tcW w:w="997" w:type="dxa"/>
            <w:vAlign w:val="center"/>
          </w:tcPr>
          <w:p w:rsidR="00CF426B" w:rsidRDefault="005F6DDD">
            <w:pPr>
              <w:jc w:val="right"/>
            </w:pPr>
            <w:r>
              <w:rPr>
                <w:color w:val="000000"/>
                <w:szCs w:val="21"/>
              </w:rPr>
              <w:t>0.21</w:t>
            </w:r>
          </w:p>
        </w:tc>
      </w:tr>
      <w:tr w:rsidR="00CF426B">
        <w:trPr>
          <w:jc w:val="center"/>
        </w:trPr>
        <w:tc>
          <w:tcPr>
            <w:tcW w:w="678" w:type="dxa"/>
            <w:vAlign w:val="center"/>
          </w:tcPr>
          <w:p w:rsidR="00CF426B" w:rsidRDefault="005F6DDD">
            <w:pPr>
              <w:jc w:val="center"/>
            </w:pPr>
            <w:r>
              <w:rPr>
                <w:color w:val="000000"/>
                <w:szCs w:val="21"/>
              </w:rPr>
              <w:t>83</w:t>
            </w:r>
          </w:p>
        </w:tc>
        <w:tc>
          <w:tcPr>
            <w:tcW w:w="905" w:type="dxa"/>
            <w:vAlign w:val="center"/>
          </w:tcPr>
          <w:p w:rsidR="00CF426B" w:rsidRDefault="005F6DDD">
            <w:pPr>
              <w:jc w:val="center"/>
            </w:pPr>
            <w:r>
              <w:rPr>
                <w:color w:val="000000"/>
                <w:szCs w:val="21"/>
              </w:rPr>
              <w:t>Skyworks Solutions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SWKS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1,393</w:t>
            </w:r>
          </w:p>
        </w:tc>
        <w:tc>
          <w:tcPr>
            <w:tcW w:w="1690" w:type="dxa"/>
            <w:vAlign w:val="center"/>
          </w:tcPr>
          <w:p w:rsidR="00CF426B" w:rsidRDefault="005F6DDD">
            <w:pPr>
              <w:jc w:val="right"/>
            </w:pPr>
            <w:r>
              <w:rPr>
                <w:color w:val="000000"/>
                <w:szCs w:val="21"/>
              </w:rPr>
              <w:t>1,260,922.52</w:t>
            </w:r>
          </w:p>
        </w:tc>
        <w:tc>
          <w:tcPr>
            <w:tcW w:w="997" w:type="dxa"/>
            <w:vAlign w:val="center"/>
          </w:tcPr>
          <w:p w:rsidR="00CF426B" w:rsidRDefault="005F6DDD">
            <w:pPr>
              <w:jc w:val="right"/>
            </w:pPr>
            <w:r>
              <w:rPr>
                <w:color w:val="000000"/>
                <w:szCs w:val="21"/>
              </w:rPr>
              <w:t>0.20</w:t>
            </w:r>
          </w:p>
        </w:tc>
      </w:tr>
      <w:tr w:rsidR="00CF426B">
        <w:trPr>
          <w:jc w:val="center"/>
        </w:trPr>
        <w:tc>
          <w:tcPr>
            <w:tcW w:w="678" w:type="dxa"/>
            <w:vAlign w:val="center"/>
          </w:tcPr>
          <w:p w:rsidR="00CF426B" w:rsidRDefault="005F6DDD">
            <w:pPr>
              <w:jc w:val="center"/>
            </w:pPr>
            <w:r>
              <w:rPr>
                <w:color w:val="000000"/>
                <w:szCs w:val="21"/>
              </w:rPr>
              <w:t>84</w:t>
            </w:r>
          </w:p>
        </w:tc>
        <w:tc>
          <w:tcPr>
            <w:tcW w:w="905" w:type="dxa"/>
            <w:vAlign w:val="center"/>
          </w:tcPr>
          <w:p w:rsidR="00CF426B" w:rsidRDefault="005F6DDD">
            <w:pPr>
              <w:jc w:val="center"/>
            </w:pPr>
            <w:r>
              <w:rPr>
                <w:color w:val="000000"/>
                <w:szCs w:val="21"/>
              </w:rPr>
              <w:t>BioMarin Pharmaceutical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BMRN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1,435</w:t>
            </w:r>
          </w:p>
        </w:tc>
        <w:tc>
          <w:tcPr>
            <w:tcW w:w="1690" w:type="dxa"/>
            <w:vAlign w:val="center"/>
          </w:tcPr>
          <w:p w:rsidR="00CF426B" w:rsidRDefault="005F6DDD">
            <w:pPr>
              <w:jc w:val="right"/>
            </w:pPr>
            <w:r>
              <w:rPr>
                <w:color w:val="000000"/>
                <w:szCs w:val="21"/>
              </w:rPr>
              <w:t>1,253,021.24</w:t>
            </w:r>
          </w:p>
        </w:tc>
        <w:tc>
          <w:tcPr>
            <w:tcW w:w="997" w:type="dxa"/>
            <w:vAlign w:val="center"/>
          </w:tcPr>
          <w:p w:rsidR="00CF426B" w:rsidRDefault="005F6DDD">
            <w:pPr>
              <w:jc w:val="right"/>
            </w:pPr>
            <w:r>
              <w:rPr>
                <w:color w:val="000000"/>
                <w:szCs w:val="21"/>
              </w:rPr>
              <w:t>0.20</w:t>
            </w:r>
          </w:p>
        </w:tc>
      </w:tr>
      <w:tr w:rsidR="00CF426B">
        <w:trPr>
          <w:jc w:val="center"/>
        </w:trPr>
        <w:tc>
          <w:tcPr>
            <w:tcW w:w="678" w:type="dxa"/>
            <w:vAlign w:val="center"/>
          </w:tcPr>
          <w:p w:rsidR="00CF426B" w:rsidRDefault="005F6DDD">
            <w:pPr>
              <w:jc w:val="center"/>
            </w:pPr>
            <w:r>
              <w:rPr>
                <w:color w:val="000000"/>
                <w:szCs w:val="21"/>
              </w:rPr>
              <w:t>85</w:t>
            </w:r>
          </w:p>
        </w:tc>
        <w:tc>
          <w:tcPr>
            <w:tcW w:w="905" w:type="dxa"/>
            <w:vAlign w:val="center"/>
          </w:tcPr>
          <w:p w:rsidR="00CF426B" w:rsidRDefault="005F6DDD">
            <w:pPr>
              <w:jc w:val="center"/>
            </w:pPr>
            <w:r>
              <w:rPr>
                <w:color w:val="000000"/>
                <w:szCs w:val="21"/>
              </w:rPr>
              <w:t>Dollar Tree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DLTR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1,891</w:t>
            </w:r>
          </w:p>
        </w:tc>
        <w:tc>
          <w:tcPr>
            <w:tcW w:w="1690" w:type="dxa"/>
            <w:vAlign w:val="center"/>
          </w:tcPr>
          <w:p w:rsidR="00CF426B" w:rsidRDefault="005F6DDD">
            <w:pPr>
              <w:jc w:val="right"/>
            </w:pPr>
            <w:r>
              <w:rPr>
                <w:color w:val="000000"/>
                <w:szCs w:val="21"/>
              </w:rPr>
              <w:t>1,240,738.16</w:t>
            </w:r>
          </w:p>
        </w:tc>
        <w:tc>
          <w:tcPr>
            <w:tcW w:w="997" w:type="dxa"/>
            <w:vAlign w:val="center"/>
          </w:tcPr>
          <w:p w:rsidR="00CF426B" w:rsidRDefault="005F6DDD">
            <w:pPr>
              <w:jc w:val="right"/>
            </w:pPr>
            <w:r>
              <w:rPr>
                <w:color w:val="000000"/>
                <w:szCs w:val="21"/>
              </w:rPr>
              <w:t>0.20</w:t>
            </w:r>
          </w:p>
        </w:tc>
      </w:tr>
      <w:tr w:rsidR="00CF426B">
        <w:trPr>
          <w:jc w:val="center"/>
        </w:trPr>
        <w:tc>
          <w:tcPr>
            <w:tcW w:w="678" w:type="dxa"/>
            <w:vAlign w:val="center"/>
          </w:tcPr>
          <w:p w:rsidR="00CF426B" w:rsidRDefault="005F6DDD">
            <w:pPr>
              <w:jc w:val="center"/>
            </w:pPr>
            <w:r>
              <w:rPr>
                <w:color w:val="000000"/>
                <w:szCs w:val="21"/>
              </w:rPr>
              <w:t>86</w:t>
            </w:r>
          </w:p>
        </w:tc>
        <w:tc>
          <w:tcPr>
            <w:tcW w:w="905" w:type="dxa"/>
            <w:vAlign w:val="center"/>
          </w:tcPr>
          <w:p w:rsidR="00CF426B" w:rsidRDefault="005F6DDD">
            <w:pPr>
              <w:jc w:val="center"/>
            </w:pPr>
            <w:r>
              <w:rPr>
                <w:color w:val="000000"/>
                <w:szCs w:val="21"/>
              </w:rPr>
              <w:t>Align Technology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ALGN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611</w:t>
            </w:r>
          </w:p>
        </w:tc>
        <w:tc>
          <w:tcPr>
            <w:tcW w:w="1690" w:type="dxa"/>
            <w:vAlign w:val="center"/>
          </w:tcPr>
          <w:p w:rsidR="00CF426B" w:rsidRDefault="005F6DDD">
            <w:pPr>
              <w:jc w:val="right"/>
            </w:pPr>
            <w:r>
              <w:rPr>
                <w:color w:val="000000"/>
                <w:szCs w:val="21"/>
              </w:rPr>
              <w:t>1,187,110.67</w:t>
            </w:r>
          </w:p>
        </w:tc>
        <w:tc>
          <w:tcPr>
            <w:tcW w:w="997" w:type="dxa"/>
            <w:vAlign w:val="center"/>
          </w:tcPr>
          <w:p w:rsidR="00CF426B" w:rsidRDefault="005F6DDD">
            <w:pPr>
              <w:jc w:val="right"/>
            </w:pPr>
            <w:r>
              <w:rPr>
                <w:color w:val="000000"/>
                <w:szCs w:val="21"/>
              </w:rPr>
              <w:t>0.19</w:t>
            </w:r>
          </w:p>
        </w:tc>
      </w:tr>
      <w:tr w:rsidR="00CF426B">
        <w:trPr>
          <w:jc w:val="center"/>
        </w:trPr>
        <w:tc>
          <w:tcPr>
            <w:tcW w:w="678" w:type="dxa"/>
            <w:vAlign w:val="center"/>
          </w:tcPr>
          <w:p w:rsidR="00CF426B" w:rsidRDefault="005F6DDD">
            <w:pPr>
              <w:jc w:val="center"/>
            </w:pPr>
            <w:r>
              <w:rPr>
                <w:color w:val="000000"/>
                <w:szCs w:val="21"/>
              </w:rPr>
              <w:t>87</w:t>
            </w:r>
          </w:p>
        </w:tc>
        <w:tc>
          <w:tcPr>
            <w:tcW w:w="905" w:type="dxa"/>
            <w:vAlign w:val="center"/>
          </w:tcPr>
          <w:p w:rsidR="00CF426B" w:rsidRDefault="005F6DDD">
            <w:pPr>
              <w:jc w:val="center"/>
            </w:pPr>
            <w:r>
              <w:rPr>
                <w:color w:val="000000"/>
                <w:szCs w:val="21"/>
              </w:rPr>
              <w:t>Cerner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CERN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2,441</w:t>
            </w:r>
          </w:p>
        </w:tc>
        <w:tc>
          <w:tcPr>
            <w:tcW w:w="1690" w:type="dxa"/>
            <w:vAlign w:val="center"/>
          </w:tcPr>
          <w:p w:rsidR="00CF426B" w:rsidRDefault="005F6DDD">
            <w:pPr>
              <w:jc w:val="right"/>
            </w:pPr>
            <w:r>
              <w:rPr>
                <w:color w:val="000000"/>
                <w:szCs w:val="21"/>
              </w:rPr>
              <w:t>1,184,616.63</w:t>
            </w:r>
          </w:p>
        </w:tc>
        <w:tc>
          <w:tcPr>
            <w:tcW w:w="997" w:type="dxa"/>
            <w:vAlign w:val="center"/>
          </w:tcPr>
          <w:p w:rsidR="00CF426B" w:rsidRDefault="005F6DDD">
            <w:pPr>
              <w:jc w:val="right"/>
            </w:pPr>
            <w:r>
              <w:rPr>
                <w:color w:val="000000"/>
                <w:szCs w:val="21"/>
              </w:rPr>
              <w:t>0.19</w:t>
            </w:r>
          </w:p>
        </w:tc>
      </w:tr>
      <w:tr w:rsidR="00CF426B">
        <w:trPr>
          <w:jc w:val="center"/>
        </w:trPr>
        <w:tc>
          <w:tcPr>
            <w:tcW w:w="678" w:type="dxa"/>
            <w:vAlign w:val="center"/>
          </w:tcPr>
          <w:p w:rsidR="00CF426B" w:rsidRDefault="005F6DDD">
            <w:pPr>
              <w:jc w:val="center"/>
            </w:pPr>
            <w:r>
              <w:rPr>
                <w:color w:val="000000"/>
                <w:szCs w:val="21"/>
              </w:rPr>
              <w:t>88</w:t>
            </w:r>
          </w:p>
        </w:tc>
        <w:tc>
          <w:tcPr>
            <w:tcW w:w="905" w:type="dxa"/>
            <w:vAlign w:val="center"/>
          </w:tcPr>
          <w:p w:rsidR="00CF426B" w:rsidRDefault="005F6DDD">
            <w:pPr>
              <w:jc w:val="center"/>
            </w:pPr>
            <w:r>
              <w:rPr>
                <w:color w:val="000000"/>
                <w:szCs w:val="21"/>
              </w:rPr>
              <w:t>Copart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CPRT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2,009</w:t>
            </w:r>
          </w:p>
        </w:tc>
        <w:tc>
          <w:tcPr>
            <w:tcW w:w="1690" w:type="dxa"/>
            <w:vAlign w:val="center"/>
          </w:tcPr>
          <w:p w:rsidR="00CF426B" w:rsidRDefault="005F6DDD">
            <w:pPr>
              <w:jc w:val="right"/>
            </w:pPr>
            <w:r>
              <w:rPr>
                <w:color w:val="000000"/>
                <w:szCs w:val="21"/>
              </w:rPr>
              <w:t>1,184,325.52</w:t>
            </w:r>
          </w:p>
        </w:tc>
        <w:tc>
          <w:tcPr>
            <w:tcW w:w="997" w:type="dxa"/>
            <w:vAlign w:val="center"/>
          </w:tcPr>
          <w:p w:rsidR="00CF426B" w:rsidRDefault="005F6DDD">
            <w:pPr>
              <w:jc w:val="right"/>
            </w:pPr>
            <w:r>
              <w:rPr>
                <w:color w:val="000000"/>
                <w:szCs w:val="21"/>
              </w:rPr>
              <w:t>0.19</w:t>
            </w:r>
          </w:p>
        </w:tc>
      </w:tr>
      <w:tr w:rsidR="00CF426B">
        <w:trPr>
          <w:jc w:val="center"/>
        </w:trPr>
        <w:tc>
          <w:tcPr>
            <w:tcW w:w="678" w:type="dxa"/>
            <w:vAlign w:val="center"/>
          </w:tcPr>
          <w:p w:rsidR="00CF426B" w:rsidRDefault="005F6DDD">
            <w:pPr>
              <w:jc w:val="center"/>
            </w:pPr>
            <w:r>
              <w:rPr>
                <w:color w:val="000000"/>
                <w:szCs w:val="21"/>
              </w:rPr>
              <w:t>89</w:t>
            </w:r>
          </w:p>
        </w:tc>
        <w:tc>
          <w:tcPr>
            <w:tcW w:w="905" w:type="dxa"/>
            <w:vAlign w:val="center"/>
          </w:tcPr>
          <w:p w:rsidR="00CF426B" w:rsidRDefault="005F6DDD">
            <w:pPr>
              <w:jc w:val="center"/>
            </w:pPr>
            <w:r>
              <w:rPr>
                <w:color w:val="000000"/>
                <w:szCs w:val="21"/>
              </w:rPr>
              <w:t>Citrix Systems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CTXS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966</w:t>
            </w:r>
          </w:p>
        </w:tc>
        <w:tc>
          <w:tcPr>
            <w:tcW w:w="1690" w:type="dxa"/>
            <w:vAlign w:val="center"/>
          </w:tcPr>
          <w:p w:rsidR="00CF426B" w:rsidRDefault="005F6DDD">
            <w:pPr>
              <w:jc w:val="right"/>
            </w:pPr>
            <w:r>
              <w:rPr>
                <w:color w:val="000000"/>
                <w:szCs w:val="21"/>
              </w:rPr>
              <w:t>1,011,526.46</w:t>
            </w:r>
          </w:p>
        </w:tc>
        <w:tc>
          <w:tcPr>
            <w:tcW w:w="997" w:type="dxa"/>
            <w:vAlign w:val="center"/>
          </w:tcPr>
          <w:p w:rsidR="00CF426B" w:rsidRDefault="005F6DDD">
            <w:pPr>
              <w:jc w:val="right"/>
            </w:pPr>
            <w:r>
              <w:rPr>
                <w:color w:val="000000"/>
                <w:szCs w:val="21"/>
              </w:rPr>
              <w:t>0.16</w:t>
            </w:r>
          </w:p>
        </w:tc>
      </w:tr>
      <w:tr w:rsidR="00CF426B">
        <w:trPr>
          <w:jc w:val="center"/>
        </w:trPr>
        <w:tc>
          <w:tcPr>
            <w:tcW w:w="678" w:type="dxa"/>
            <w:vMerge w:val="restart"/>
            <w:vAlign w:val="center"/>
          </w:tcPr>
          <w:p w:rsidR="00CF426B" w:rsidRDefault="005F6DDD">
            <w:pPr>
              <w:jc w:val="center"/>
            </w:pPr>
            <w:r>
              <w:rPr>
                <w:color w:val="000000"/>
                <w:szCs w:val="21"/>
              </w:rPr>
              <w:t>90</w:t>
            </w:r>
          </w:p>
        </w:tc>
        <w:tc>
          <w:tcPr>
            <w:tcW w:w="905" w:type="dxa"/>
            <w:vMerge w:val="restart"/>
            <w:vAlign w:val="center"/>
          </w:tcPr>
          <w:p w:rsidR="00CF426B" w:rsidRDefault="005F6DDD">
            <w:pPr>
              <w:jc w:val="center"/>
            </w:pPr>
            <w:r>
              <w:rPr>
                <w:color w:val="000000"/>
                <w:szCs w:val="21"/>
              </w:rPr>
              <w:t>Fox Corp</w:t>
            </w:r>
          </w:p>
        </w:tc>
        <w:tc>
          <w:tcPr>
            <w:tcW w:w="1015" w:type="dxa"/>
            <w:vMerge w:val="restart"/>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FOXA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2,769</w:t>
            </w:r>
          </w:p>
        </w:tc>
        <w:tc>
          <w:tcPr>
            <w:tcW w:w="1690" w:type="dxa"/>
            <w:vAlign w:val="center"/>
          </w:tcPr>
          <w:p w:rsidR="00CF426B" w:rsidRDefault="005F6DDD">
            <w:pPr>
              <w:jc w:val="right"/>
            </w:pPr>
            <w:r>
              <w:rPr>
                <w:color w:val="000000"/>
                <w:szCs w:val="21"/>
              </w:rPr>
              <w:t>525,756.09</w:t>
            </w:r>
          </w:p>
        </w:tc>
        <w:tc>
          <w:tcPr>
            <w:tcW w:w="997" w:type="dxa"/>
            <w:vAlign w:val="center"/>
          </w:tcPr>
          <w:p w:rsidR="00CF426B" w:rsidRDefault="005F6DDD">
            <w:pPr>
              <w:jc w:val="right"/>
            </w:pPr>
            <w:r>
              <w:rPr>
                <w:color w:val="000000"/>
                <w:szCs w:val="21"/>
              </w:rPr>
              <w:t>0.08</w:t>
            </w:r>
          </w:p>
        </w:tc>
      </w:tr>
      <w:tr w:rsidR="00CF426B">
        <w:trPr>
          <w:jc w:val="center"/>
        </w:trPr>
        <w:tc>
          <w:tcPr>
            <w:tcW w:w="678" w:type="dxa"/>
            <w:vMerge/>
          </w:tcPr>
          <w:p w:rsidR="00CF426B" w:rsidRDefault="00CF426B"/>
        </w:tc>
        <w:tc>
          <w:tcPr>
            <w:tcW w:w="905" w:type="dxa"/>
            <w:vMerge/>
          </w:tcPr>
          <w:p w:rsidR="00CF426B" w:rsidRDefault="00CF426B"/>
        </w:tc>
        <w:tc>
          <w:tcPr>
            <w:tcW w:w="1015" w:type="dxa"/>
            <w:vMerge/>
          </w:tcPr>
          <w:p w:rsidR="00CF426B" w:rsidRDefault="00CF426B"/>
        </w:tc>
        <w:tc>
          <w:tcPr>
            <w:tcW w:w="1184" w:type="dxa"/>
            <w:vAlign w:val="center"/>
          </w:tcPr>
          <w:p w:rsidR="00CF426B" w:rsidRDefault="005F6DDD">
            <w:pPr>
              <w:jc w:val="center"/>
            </w:pPr>
            <w:r>
              <w:rPr>
                <w:color w:val="000000"/>
                <w:szCs w:val="21"/>
              </w:rPr>
              <w:t>FOX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2,310</w:t>
            </w:r>
          </w:p>
        </w:tc>
        <w:tc>
          <w:tcPr>
            <w:tcW w:w="1690" w:type="dxa"/>
            <w:vAlign w:val="center"/>
          </w:tcPr>
          <w:p w:rsidR="00CF426B" w:rsidRDefault="005F6DDD">
            <w:pPr>
              <w:jc w:val="right"/>
            </w:pPr>
            <w:r>
              <w:rPr>
                <w:color w:val="000000"/>
                <w:szCs w:val="21"/>
              </w:rPr>
              <w:t>438,931.83</w:t>
            </w:r>
          </w:p>
        </w:tc>
        <w:tc>
          <w:tcPr>
            <w:tcW w:w="997" w:type="dxa"/>
            <w:vAlign w:val="center"/>
          </w:tcPr>
          <w:p w:rsidR="00CF426B" w:rsidRDefault="005F6DDD">
            <w:pPr>
              <w:jc w:val="right"/>
            </w:pPr>
            <w:r>
              <w:rPr>
                <w:color w:val="000000"/>
                <w:szCs w:val="21"/>
              </w:rPr>
              <w:t>0.07</w:t>
            </w:r>
          </w:p>
        </w:tc>
      </w:tr>
      <w:tr w:rsidR="00CF426B">
        <w:trPr>
          <w:jc w:val="center"/>
        </w:trPr>
        <w:tc>
          <w:tcPr>
            <w:tcW w:w="678" w:type="dxa"/>
            <w:vAlign w:val="center"/>
          </w:tcPr>
          <w:p w:rsidR="00CF426B" w:rsidRDefault="005F6DDD">
            <w:pPr>
              <w:jc w:val="center"/>
            </w:pPr>
            <w:r>
              <w:rPr>
                <w:color w:val="000000"/>
                <w:szCs w:val="21"/>
              </w:rPr>
              <w:t>91</w:t>
            </w:r>
          </w:p>
        </w:tc>
        <w:tc>
          <w:tcPr>
            <w:tcW w:w="905" w:type="dxa"/>
            <w:vAlign w:val="center"/>
          </w:tcPr>
          <w:p w:rsidR="00CF426B" w:rsidRDefault="005F6DDD">
            <w:pPr>
              <w:jc w:val="center"/>
            </w:pPr>
            <w:r>
              <w:rPr>
                <w:color w:val="000000"/>
                <w:szCs w:val="21"/>
              </w:rPr>
              <w:t>Maxim Integrated Products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MXIM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2,229</w:t>
            </w:r>
          </w:p>
        </w:tc>
        <w:tc>
          <w:tcPr>
            <w:tcW w:w="1690" w:type="dxa"/>
            <w:vAlign w:val="center"/>
          </w:tcPr>
          <w:p w:rsidR="00CF426B" w:rsidRDefault="005F6DDD">
            <w:pPr>
              <w:jc w:val="right"/>
            </w:pPr>
            <w:r>
              <w:rPr>
                <w:color w:val="000000"/>
                <w:szCs w:val="21"/>
              </w:rPr>
              <w:t>956,438.26</w:t>
            </w:r>
          </w:p>
        </w:tc>
        <w:tc>
          <w:tcPr>
            <w:tcW w:w="997" w:type="dxa"/>
            <w:vAlign w:val="center"/>
          </w:tcPr>
          <w:p w:rsidR="00CF426B" w:rsidRDefault="005F6DDD">
            <w:pPr>
              <w:jc w:val="right"/>
            </w:pPr>
            <w:r>
              <w:rPr>
                <w:color w:val="000000"/>
                <w:szCs w:val="21"/>
              </w:rPr>
              <w:t>0.15</w:t>
            </w:r>
          </w:p>
        </w:tc>
      </w:tr>
      <w:tr w:rsidR="00CF426B">
        <w:trPr>
          <w:jc w:val="center"/>
        </w:trPr>
        <w:tc>
          <w:tcPr>
            <w:tcW w:w="678" w:type="dxa"/>
            <w:vAlign w:val="center"/>
          </w:tcPr>
          <w:p w:rsidR="00CF426B" w:rsidRDefault="005F6DDD">
            <w:pPr>
              <w:jc w:val="center"/>
            </w:pPr>
            <w:r>
              <w:rPr>
                <w:color w:val="000000"/>
                <w:szCs w:val="21"/>
              </w:rPr>
              <w:t>92</w:t>
            </w:r>
          </w:p>
        </w:tc>
        <w:tc>
          <w:tcPr>
            <w:tcW w:w="905" w:type="dxa"/>
            <w:vAlign w:val="center"/>
          </w:tcPr>
          <w:p w:rsidR="00CF426B" w:rsidRDefault="005F6DDD">
            <w:pPr>
              <w:jc w:val="center"/>
            </w:pPr>
            <w:r>
              <w:rPr>
                <w:color w:val="000000"/>
                <w:szCs w:val="21"/>
              </w:rPr>
              <w:t>CDW Corp/DE</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CDW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1,150</w:t>
            </w:r>
          </w:p>
        </w:tc>
        <w:tc>
          <w:tcPr>
            <w:tcW w:w="1690" w:type="dxa"/>
            <w:vAlign w:val="center"/>
          </w:tcPr>
          <w:p w:rsidR="00CF426B" w:rsidRDefault="005F6DDD">
            <w:pPr>
              <w:jc w:val="right"/>
            </w:pPr>
            <w:r>
              <w:rPr>
                <w:color w:val="000000"/>
                <w:szCs w:val="21"/>
              </w:rPr>
              <w:t>945,870.76</w:t>
            </w:r>
          </w:p>
        </w:tc>
        <w:tc>
          <w:tcPr>
            <w:tcW w:w="997" w:type="dxa"/>
            <w:vAlign w:val="center"/>
          </w:tcPr>
          <w:p w:rsidR="00CF426B" w:rsidRDefault="005F6DDD">
            <w:pPr>
              <w:jc w:val="right"/>
            </w:pPr>
            <w:r>
              <w:rPr>
                <w:color w:val="000000"/>
                <w:szCs w:val="21"/>
              </w:rPr>
              <w:t>0.15</w:t>
            </w:r>
          </w:p>
        </w:tc>
      </w:tr>
      <w:tr w:rsidR="00CF426B">
        <w:trPr>
          <w:jc w:val="center"/>
        </w:trPr>
        <w:tc>
          <w:tcPr>
            <w:tcW w:w="678" w:type="dxa"/>
            <w:vAlign w:val="center"/>
          </w:tcPr>
          <w:p w:rsidR="00CF426B" w:rsidRDefault="005F6DDD">
            <w:pPr>
              <w:jc w:val="center"/>
            </w:pPr>
            <w:r>
              <w:rPr>
                <w:color w:val="000000"/>
                <w:szCs w:val="21"/>
              </w:rPr>
              <w:t>93</w:t>
            </w:r>
          </w:p>
        </w:tc>
        <w:tc>
          <w:tcPr>
            <w:tcW w:w="905" w:type="dxa"/>
            <w:vAlign w:val="center"/>
          </w:tcPr>
          <w:p w:rsidR="00CF426B" w:rsidRDefault="005F6DDD">
            <w:pPr>
              <w:jc w:val="center"/>
            </w:pPr>
            <w:r>
              <w:rPr>
                <w:color w:val="000000"/>
                <w:szCs w:val="21"/>
              </w:rPr>
              <w:t>Take-Two Interactive Software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TTWO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924</w:t>
            </w:r>
          </w:p>
        </w:tc>
        <w:tc>
          <w:tcPr>
            <w:tcW w:w="1690" w:type="dxa"/>
            <w:vAlign w:val="center"/>
          </w:tcPr>
          <w:p w:rsidR="00CF426B" w:rsidRDefault="005F6DDD">
            <w:pPr>
              <w:jc w:val="right"/>
            </w:pPr>
            <w:r>
              <w:rPr>
                <w:color w:val="000000"/>
                <w:szCs w:val="21"/>
              </w:rPr>
              <w:t>912,991.29</w:t>
            </w:r>
          </w:p>
        </w:tc>
        <w:tc>
          <w:tcPr>
            <w:tcW w:w="997" w:type="dxa"/>
            <w:vAlign w:val="center"/>
          </w:tcPr>
          <w:p w:rsidR="00CF426B" w:rsidRDefault="005F6DDD">
            <w:pPr>
              <w:jc w:val="right"/>
            </w:pPr>
            <w:r>
              <w:rPr>
                <w:color w:val="000000"/>
                <w:szCs w:val="21"/>
              </w:rPr>
              <w:t>0.15</w:t>
            </w:r>
          </w:p>
        </w:tc>
      </w:tr>
      <w:tr w:rsidR="00CF426B">
        <w:trPr>
          <w:jc w:val="center"/>
        </w:trPr>
        <w:tc>
          <w:tcPr>
            <w:tcW w:w="678" w:type="dxa"/>
            <w:vAlign w:val="center"/>
          </w:tcPr>
          <w:p w:rsidR="00CF426B" w:rsidRDefault="005F6DDD">
            <w:pPr>
              <w:jc w:val="center"/>
            </w:pPr>
            <w:r>
              <w:rPr>
                <w:color w:val="000000"/>
                <w:szCs w:val="21"/>
              </w:rPr>
              <w:t>94</w:t>
            </w:r>
          </w:p>
        </w:tc>
        <w:tc>
          <w:tcPr>
            <w:tcW w:w="905" w:type="dxa"/>
            <w:vAlign w:val="center"/>
          </w:tcPr>
          <w:p w:rsidR="00CF426B" w:rsidRDefault="005F6DDD">
            <w:pPr>
              <w:jc w:val="center"/>
            </w:pPr>
            <w:r>
              <w:rPr>
                <w:color w:val="000000"/>
                <w:szCs w:val="21"/>
              </w:rPr>
              <w:t>Check Point Software Technologies Ltd</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CHKP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1,139</w:t>
            </w:r>
          </w:p>
        </w:tc>
        <w:tc>
          <w:tcPr>
            <w:tcW w:w="1690" w:type="dxa"/>
            <w:vAlign w:val="center"/>
          </w:tcPr>
          <w:p w:rsidR="00CF426B" w:rsidRDefault="005F6DDD">
            <w:pPr>
              <w:jc w:val="right"/>
            </w:pPr>
            <w:r>
              <w:rPr>
                <w:color w:val="000000"/>
                <w:szCs w:val="21"/>
              </w:rPr>
              <w:t>866,267.23</w:t>
            </w:r>
          </w:p>
        </w:tc>
        <w:tc>
          <w:tcPr>
            <w:tcW w:w="997" w:type="dxa"/>
            <w:vAlign w:val="center"/>
          </w:tcPr>
          <w:p w:rsidR="00CF426B" w:rsidRDefault="005F6DDD">
            <w:pPr>
              <w:jc w:val="right"/>
            </w:pPr>
            <w:r>
              <w:rPr>
                <w:color w:val="000000"/>
                <w:szCs w:val="21"/>
              </w:rPr>
              <w:t>0.14</w:t>
            </w:r>
          </w:p>
        </w:tc>
      </w:tr>
      <w:tr w:rsidR="00CF426B">
        <w:trPr>
          <w:jc w:val="center"/>
        </w:trPr>
        <w:tc>
          <w:tcPr>
            <w:tcW w:w="678" w:type="dxa"/>
            <w:vAlign w:val="center"/>
          </w:tcPr>
          <w:p w:rsidR="00CF426B" w:rsidRDefault="005F6DDD">
            <w:pPr>
              <w:jc w:val="center"/>
            </w:pPr>
            <w:r>
              <w:rPr>
                <w:color w:val="000000"/>
                <w:szCs w:val="21"/>
              </w:rPr>
              <w:t>95</w:t>
            </w:r>
          </w:p>
        </w:tc>
        <w:tc>
          <w:tcPr>
            <w:tcW w:w="905" w:type="dxa"/>
            <w:vAlign w:val="center"/>
          </w:tcPr>
          <w:p w:rsidR="00CF426B" w:rsidRDefault="005F6DDD">
            <w:pPr>
              <w:jc w:val="center"/>
            </w:pPr>
            <w:r>
              <w:rPr>
                <w:color w:val="000000"/>
                <w:szCs w:val="21"/>
              </w:rPr>
              <w:t>Trip.com Group Ltd</w:t>
            </w:r>
          </w:p>
        </w:tc>
        <w:tc>
          <w:tcPr>
            <w:tcW w:w="1015" w:type="dxa"/>
            <w:vAlign w:val="center"/>
          </w:tcPr>
          <w:p w:rsidR="00CF426B" w:rsidRDefault="005F6DDD">
            <w:pPr>
              <w:jc w:val="center"/>
            </w:pPr>
            <w:r>
              <w:rPr>
                <w:color w:val="000000"/>
                <w:szCs w:val="21"/>
              </w:rPr>
              <w:t>携程国际有限公司</w:t>
            </w:r>
          </w:p>
        </w:tc>
        <w:tc>
          <w:tcPr>
            <w:tcW w:w="1184" w:type="dxa"/>
            <w:vAlign w:val="center"/>
          </w:tcPr>
          <w:p w:rsidR="00CF426B" w:rsidRDefault="005F6DDD">
            <w:pPr>
              <w:jc w:val="center"/>
            </w:pPr>
            <w:r>
              <w:rPr>
                <w:color w:val="000000"/>
                <w:szCs w:val="21"/>
              </w:rPr>
              <w:t>TCOM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4,169</w:t>
            </w:r>
          </w:p>
        </w:tc>
        <w:tc>
          <w:tcPr>
            <w:tcW w:w="1690" w:type="dxa"/>
            <w:vAlign w:val="center"/>
          </w:tcPr>
          <w:p w:rsidR="00CF426B" w:rsidRDefault="005F6DDD">
            <w:pPr>
              <w:jc w:val="right"/>
            </w:pPr>
            <w:r>
              <w:rPr>
                <w:color w:val="000000"/>
                <w:szCs w:val="21"/>
              </w:rPr>
              <w:t>765,014.17</w:t>
            </w:r>
          </w:p>
        </w:tc>
        <w:tc>
          <w:tcPr>
            <w:tcW w:w="997" w:type="dxa"/>
            <w:vAlign w:val="center"/>
          </w:tcPr>
          <w:p w:rsidR="00CF426B" w:rsidRDefault="005F6DDD">
            <w:pPr>
              <w:jc w:val="right"/>
            </w:pPr>
            <w:r>
              <w:rPr>
                <w:color w:val="000000"/>
                <w:szCs w:val="21"/>
              </w:rPr>
              <w:t>0.12</w:t>
            </w:r>
          </w:p>
        </w:tc>
      </w:tr>
      <w:tr w:rsidR="00CF426B">
        <w:trPr>
          <w:jc w:val="center"/>
        </w:trPr>
        <w:tc>
          <w:tcPr>
            <w:tcW w:w="678" w:type="dxa"/>
            <w:vMerge w:val="restart"/>
            <w:vAlign w:val="center"/>
          </w:tcPr>
          <w:p w:rsidR="00CF426B" w:rsidRDefault="005F6DDD">
            <w:pPr>
              <w:jc w:val="center"/>
            </w:pPr>
            <w:r>
              <w:rPr>
                <w:color w:val="000000"/>
                <w:szCs w:val="21"/>
              </w:rPr>
              <w:t>96</w:t>
            </w:r>
          </w:p>
        </w:tc>
        <w:tc>
          <w:tcPr>
            <w:tcW w:w="905" w:type="dxa"/>
            <w:vMerge w:val="restart"/>
            <w:vAlign w:val="center"/>
          </w:tcPr>
          <w:p w:rsidR="00CF426B" w:rsidRDefault="005F6DDD">
            <w:pPr>
              <w:jc w:val="center"/>
            </w:pPr>
            <w:r>
              <w:rPr>
                <w:color w:val="000000"/>
                <w:szCs w:val="21"/>
              </w:rPr>
              <w:t>Liberty Global PLC</w:t>
            </w:r>
          </w:p>
        </w:tc>
        <w:tc>
          <w:tcPr>
            <w:tcW w:w="1015" w:type="dxa"/>
            <w:vMerge w:val="restart"/>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LBTYK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3,326</w:t>
            </w:r>
          </w:p>
        </w:tc>
        <w:tc>
          <w:tcPr>
            <w:tcW w:w="1690" w:type="dxa"/>
            <w:vAlign w:val="center"/>
          </w:tcPr>
          <w:p w:rsidR="00CF426B" w:rsidRDefault="005F6DDD">
            <w:pPr>
              <w:jc w:val="right"/>
            </w:pPr>
            <w:r>
              <w:rPr>
                <w:color w:val="000000"/>
                <w:szCs w:val="21"/>
              </w:rPr>
              <w:t>506,483.43</w:t>
            </w:r>
          </w:p>
        </w:tc>
        <w:tc>
          <w:tcPr>
            <w:tcW w:w="997" w:type="dxa"/>
            <w:vAlign w:val="center"/>
          </w:tcPr>
          <w:p w:rsidR="00CF426B" w:rsidRDefault="005F6DDD">
            <w:pPr>
              <w:jc w:val="right"/>
            </w:pPr>
            <w:r>
              <w:rPr>
                <w:color w:val="000000"/>
                <w:szCs w:val="21"/>
              </w:rPr>
              <w:t>0.08</w:t>
            </w:r>
          </w:p>
        </w:tc>
      </w:tr>
      <w:tr w:rsidR="00CF426B">
        <w:trPr>
          <w:jc w:val="center"/>
        </w:trPr>
        <w:tc>
          <w:tcPr>
            <w:tcW w:w="678" w:type="dxa"/>
            <w:vMerge/>
          </w:tcPr>
          <w:p w:rsidR="00CF426B" w:rsidRDefault="00CF426B"/>
        </w:tc>
        <w:tc>
          <w:tcPr>
            <w:tcW w:w="905" w:type="dxa"/>
            <w:vMerge/>
          </w:tcPr>
          <w:p w:rsidR="00CF426B" w:rsidRDefault="00CF426B"/>
        </w:tc>
        <w:tc>
          <w:tcPr>
            <w:tcW w:w="1015" w:type="dxa"/>
            <w:vMerge/>
          </w:tcPr>
          <w:p w:rsidR="00CF426B" w:rsidRDefault="00CF426B"/>
        </w:tc>
        <w:tc>
          <w:tcPr>
            <w:tcW w:w="1184" w:type="dxa"/>
            <w:vAlign w:val="center"/>
          </w:tcPr>
          <w:p w:rsidR="00CF426B" w:rsidRDefault="005F6DDD">
            <w:pPr>
              <w:jc w:val="center"/>
            </w:pPr>
            <w:r>
              <w:rPr>
                <w:color w:val="000000"/>
                <w:szCs w:val="21"/>
              </w:rPr>
              <w:t>LBTYA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1,615</w:t>
            </w:r>
          </w:p>
        </w:tc>
        <w:tc>
          <w:tcPr>
            <w:tcW w:w="1690" w:type="dxa"/>
            <w:vAlign w:val="center"/>
          </w:tcPr>
          <w:p w:rsidR="00CF426B" w:rsidRDefault="005F6DDD">
            <w:pPr>
              <w:jc w:val="right"/>
            </w:pPr>
            <w:r>
              <w:rPr>
                <w:color w:val="000000"/>
                <w:szCs w:val="21"/>
              </w:rPr>
              <w:t>249,933.96</w:t>
            </w:r>
          </w:p>
        </w:tc>
        <w:tc>
          <w:tcPr>
            <w:tcW w:w="997" w:type="dxa"/>
            <w:vAlign w:val="center"/>
          </w:tcPr>
          <w:p w:rsidR="00CF426B" w:rsidRDefault="005F6DDD">
            <w:pPr>
              <w:jc w:val="right"/>
            </w:pPr>
            <w:r>
              <w:rPr>
                <w:color w:val="000000"/>
                <w:szCs w:val="21"/>
              </w:rPr>
              <w:t>0.04</w:t>
            </w:r>
          </w:p>
        </w:tc>
      </w:tr>
      <w:tr w:rsidR="00CF426B">
        <w:trPr>
          <w:jc w:val="center"/>
        </w:trPr>
        <w:tc>
          <w:tcPr>
            <w:tcW w:w="678" w:type="dxa"/>
            <w:vAlign w:val="center"/>
          </w:tcPr>
          <w:p w:rsidR="00CF426B" w:rsidRDefault="005F6DDD">
            <w:pPr>
              <w:jc w:val="center"/>
            </w:pPr>
            <w:r>
              <w:rPr>
                <w:color w:val="000000"/>
                <w:szCs w:val="21"/>
              </w:rPr>
              <w:t>97</w:t>
            </w:r>
          </w:p>
        </w:tc>
        <w:tc>
          <w:tcPr>
            <w:tcW w:w="905" w:type="dxa"/>
            <w:vAlign w:val="center"/>
          </w:tcPr>
          <w:p w:rsidR="00CF426B" w:rsidRDefault="005F6DDD">
            <w:pPr>
              <w:jc w:val="center"/>
            </w:pPr>
            <w:r>
              <w:rPr>
                <w:color w:val="000000"/>
                <w:szCs w:val="21"/>
              </w:rPr>
              <w:t>Western Digital Corp</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WDC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2,368</w:t>
            </w:r>
          </w:p>
        </w:tc>
        <w:tc>
          <w:tcPr>
            <w:tcW w:w="1690" w:type="dxa"/>
            <w:vAlign w:val="center"/>
          </w:tcPr>
          <w:p w:rsidR="00CF426B" w:rsidRDefault="005F6DDD">
            <w:pPr>
              <w:jc w:val="right"/>
            </w:pPr>
            <w:r>
              <w:rPr>
                <w:color w:val="000000"/>
                <w:szCs w:val="21"/>
              </w:rPr>
              <w:t>740,141.90</w:t>
            </w:r>
          </w:p>
        </w:tc>
        <w:tc>
          <w:tcPr>
            <w:tcW w:w="997" w:type="dxa"/>
            <w:vAlign w:val="center"/>
          </w:tcPr>
          <w:p w:rsidR="00CF426B" w:rsidRDefault="005F6DDD">
            <w:pPr>
              <w:jc w:val="right"/>
            </w:pPr>
            <w:r>
              <w:rPr>
                <w:color w:val="000000"/>
                <w:szCs w:val="21"/>
              </w:rPr>
              <w:t>0.12</w:t>
            </w:r>
          </w:p>
        </w:tc>
      </w:tr>
      <w:tr w:rsidR="00CF426B">
        <w:trPr>
          <w:jc w:val="center"/>
        </w:trPr>
        <w:tc>
          <w:tcPr>
            <w:tcW w:w="678" w:type="dxa"/>
            <w:vAlign w:val="center"/>
          </w:tcPr>
          <w:p w:rsidR="00CF426B" w:rsidRDefault="005F6DDD">
            <w:pPr>
              <w:jc w:val="center"/>
            </w:pPr>
            <w:r>
              <w:rPr>
                <w:color w:val="000000"/>
                <w:szCs w:val="21"/>
              </w:rPr>
              <w:t>98</w:t>
            </w:r>
          </w:p>
        </w:tc>
        <w:tc>
          <w:tcPr>
            <w:tcW w:w="905" w:type="dxa"/>
            <w:vAlign w:val="center"/>
          </w:tcPr>
          <w:p w:rsidR="00CF426B" w:rsidRDefault="005F6DDD">
            <w:pPr>
              <w:jc w:val="center"/>
            </w:pPr>
            <w:r>
              <w:rPr>
                <w:color w:val="000000"/>
                <w:szCs w:val="21"/>
              </w:rPr>
              <w:t>Ulta Beauty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ULTA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492</w:t>
            </w:r>
          </w:p>
        </w:tc>
        <w:tc>
          <w:tcPr>
            <w:tcW w:w="1690" w:type="dxa"/>
            <w:vAlign w:val="center"/>
          </w:tcPr>
          <w:p w:rsidR="00CF426B" w:rsidRDefault="005F6DDD">
            <w:pPr>
              <w:jc w:val="right"/>
            </w:pPr>
            <w:r>
              <w:rPr>
                <w:color w:val="000000"/>
                <w:szCs w:val="21"/>
              </w:rPr>
              <w:t>708,535.05</w:t>
            </w:r>
          </w:p>
        </w:tc>
        <w:tc>
          <w:tcPr>
            <w:tcW w:w="997" w:type="dxa"/>
            <w:vAlign w:val="center"/>
          </w:tcPr>
          <w:p w:rsidR="00CF426B" w:rsidRDefault="005F6DDD">
            <w:pPr>
              <w:jc w:val="right"/>
            </w:pPr>
            <w:r>
              <w:rPr>
                <w:color w:val="000000"/>
                <w:szCs w:val="21"/>
              </w:rPr>
              <w:t>0.11</w:t>
            </w:r>
          </w:p>
        </w:tc>
      </w:tr>
      <w:tr w:rsidR="00CF426B">
        <w:trPr>
          <w:jc w:val="center"/>
        </w:trPr>
        <w:tc>
          <w:tcPr>
            <w:tcW w:w="678" w:type="dxa"/>
            <w:vAlign w:val="center"/>
          </w:tcPr>
          <w:p w:rsidR="00CF426B" w:rsidRDefault="005F6DDD">
            <w:pPr>
              <w:jc w:val="center"/>
            </w:pPr>
            <w:r>
              <w:rPr>
                <w:color w:val="000000"/>
                <w:szCs w:val="21"/>
              </w:rPr>
              <w:t>99</w:t>
            </w:r>
          </w:p>
        </w:tc>
        <w:tc>
          <w:tcPr>
            <w:tcW w:w="905" w:type="dxa"/>
            <w:vAlign w:val="center"/>
          </w:tcPr>
          <w:p w:rsidR="00CF426B" w:rsidRDefault="005F6DDD">
            <w:pPr>
              <w:jc w:val="center"/>
            </w:pPr>
            <w:r>
              <w:rPr>
                <w:color w:val="000000"/>
                <w:szCs w:val="21"/>
              </w:rPr>
              <w:t>Expedia Group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EXPE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1,156</w:t>
            </w:r>
          </w:p>
        </w:tc>
        <w:tc>
          <w:tcPr>
            <w:tcW w:w="1690" w:type="dxa"/>
            <w:vAlign w:val="center"/>
          </w:tcPr>
          <w:p w:rsidR="00CF426B" w:rsidRDefault="005F6DDD">
            <w:pPr>
              <w:jc w:val="right"/>
            </w:pPr>
            <w:r>
              <w:rPr>
                <w:color w:val="000000"/>
                <w:szCs w:val="21"/>
              </w:rPr>
              <w:t>672,716.74</w:t>
            </w:r>
          </w:p>
        </w:tc>
        <w:tc>
          <w:tcPr>
            <w:tcW w:w="997" w:type="dxa"/>
            <w:vAlign w:val="center"/>
          </w:tcPr>
          <w:p w:rsidR="00CF426B" w:rsidRDefault="005F6DDD">
            <w:pPr>
              <w:jc w:val="right"/>
            </w:pPr>
            <w:r>
              <w:rPr>
                <w:color w:val="000000"/>
                <w:szCs w:val="21"/>
              </w:rPr>
              <w:t>0.11</w:t>
            </w:r>
          </w:p>
        </w:tc>
      </w:tr>
      <w:tr w:rsidR="00CF426B">
        <w:trPr>
          <w:jc w:val="center"/>
        </w:trPr>
        <w:tc>
          <w:tcPr>
            <w:tcW w:w="678" w:type="dxa"/>
            <w:vAlign w:val="center"/>
          </w:tcPr>
          <w:p w:rsidR="00CF426B" w:rsidRDefault="005F6DDD">
            <w:pPr>
              <w:jc w:val="center"/>
            </w:pPr>
            <w:r>
              <w:rPr>
                <w:color w:val="000000"/>
                <w:szCs w:val="21"/>
              </w:rPr>
              <w:t>100</w:t>
            </w:r>
          </w:p>
        </w:tc>
        <w:tc>
          <w:tcPr>
            <w:tcW w:w="905" w:type="dxa"/>
            <w:vAlign w:val="center"/>
          </w:tcPr>
          <w:p w:rsidR="00CF426B" w:rsidRDefault="005F6DDD">
            <w:pPr>
              <w:jc w:val="center"/>
            </w:pPr>
            <w:r>
              <w:rPr>
                <w:color w:val="000000"/>
                <w:szCs w:val="21"/>
              </w:rPr>
              <w:t>NetApp Inc</w:t>
            </w:r>
          </w:p>
        </w:tc>
        <w:tc>
          <w:tcPr>
            <w:tcW w:w="1015" w:type="dxa"/>
            <w:vAlign w:val="center"/>
          </w:tcPr>
          <w:p w:rsidR="00CF426B" w:rsidRDefault="005F6DDD">
            <w:pPr>
              <w:jc w:val="center"/>
            </w:pPr>
            <w:r>
              <w:rPr>
                <w:color w:val="000000"/>
                <w:szCs w:val="21"/>
              </w:rPr>
              <w:t>-</w:t>
            </w:r>
          </w:p>
        </w:tc>
        <w:tc>
          <w:tcPr>
            <w:tcW w:w="1184" w:type="dxa"/>
            <w:vAlign w:val="center"/>
          </w:tcPr>
          <w:p w:rsidR="00CF426B" w:rsidRDefault="005F6DDD">
            <w:pPr>
              <w:jc w:val="center"/>
            </w:pPr>
            <w:r>
              <w:rPr>
                <w:color w:val="000000"/>
                <w:szCs w:val="21"/>
              </w:rPr>
              <w:t>NTAP US</w:t>
            </w:r>
          </w:p>
        </w:tc>
        <w:tc>
          <w:tcPr>
            <w:tcW w:w="847" w:type="dxa"/>
            <w:vAlign w:val="center"/>
          </w:tcPr>
          <w:p w:rsidR="00CF426B" w:rsidRDefault="005F6DDD">
            <w:pPr>
              <w:jc w:val="center"/>
            </w:pPr>
            <w:r>
              <w:rPr>
                <w:color w:val="000000"/>
                <w:szCs w:val="21"/>
              </w:rPr>
              <w:t>纳斯达克证券交易所</w:t>
            </w:r>
          </w:p>
        </w:tc>
        <w:tc>
          <w:tcPr>
            <w:tcW w:w="1025" w:type="dxa"/>
            <w:vAlign w:val="center"/>
          </w:tcPr>
          <w:p w:rsidR="00CF426B" w:rsidRDefault="005F6DDD">
            <w:pPr>
              <w:jc w:val="center"/>
            </w:pPr>
            <w:r>
              <w:rPr>
                <w:color w:val="000000"/>
                <w:szCs w:val="21"/>
              </w:rPr>
              <w:t>美国</w:t>
            </w:r>
          </w:p>
        </w:tc>
        <w:tc>
          <w:tcPr>
            <w:tcW w:w="1015" w:type="dxa"/>
            <w:vAlign w:val="center"/>
          </w:tcPr>
          <w:p w:rsidR="00CF426B" w:rsidRDefault="005F6DDD">
            <w:pPr>
              <w:jc w:val="right"/>
            </w:pPr>
            <w:r>
              <w:rPr>
                <w:color w:val="000000"/>
                <w:szCs w:val="21"/>
              </w:rPr>
              <w:t>1,667</w:t>
            </w:r>
          </w:p>
        </w:tc>
        <w:tc>
          <w:tcPr>
            <w:tcW w:w="1690" w:type="dxa"/>
            <w:vAlign w:val="center"/>
          </w:tcPr>
          <w:p w:rsidR="00CF426B" w:rsidRDefault="005F6DDD">
            <w:pPr>
              <w:jc w:val="right"/>
            </w:pPr>
            <w:r>
              <w:rPr>
                <w:color w:val="000000"/>
                <w:szCs w:val="21"/>
              </w:rPr>
              <w:t>523,633.73</w:t>
            </w:r>
          </w:p>
        </w:tc>
        <w:tc>
          <w:tcPr>
            <w:tcW w:w="997" w:type="dxa"/>
            <w:vAlign w:val="center"/>
          </w:tcPr>
          <w:p w:rsidR="00CF426B" w:rsidRDefault="005F6DDD">
            <w:pPr>
              <w:jc w:val="right"/>
            </w:pPr>
            <w:r>
              <w:rPr>
                <w:color w:val="000000"/>
                <w:szCs w:val="21"/>
              </w:rPr>
              <w:t>0.08</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注：此处所用证券代码的类别是当地市场代码。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8" w:name="_Toc224618380"/>
      <w:bookmarkStart w:id="219" w:name="_Toc248233027"/>
      <w:bookmarkStart w:id="220" w:name="_Toc249790559"/>
      <w:bookmarkStart w:id="221" w:name="_Toc286929760"/>
      <w:bookmarkStart w:id="222" w:name="_Toc352255999"/>
      <w:bookmarkStart w:id="223" w:name="_Toc352256067"/>
      <w:bookmarkStart w:id="224" w:name="_Toc352331245"/>
      <w:bookmarkStart w:id="225" w:name="_Toc374611673"/>
      <w:bookmarkStart w:id="226" w:name="_Toc48664241"/>
      <w:r w:rsidRPr="0087410D">
        <w:rPr>
          <w:rFonts w:ascii="宋体" w:hAnsi="宋体"/>
          <w:kern w:val="0"/>
          <w:sz w:val="21"/>
          <w:szCs w:val="21"/>
        </w:rPr>
        <w:t>7.5</w:t>
      </w:r>
      <w:r w:rsidR="00BE2F8C" w:rsidRPr="006B4E2C">
        <w:rPr>
          <w:rFonts w:ascii="宋体" w:hAnsi="宋体"/>
          <w:kern w:val="0"/>
          <w:sz w:val="21"/>
          <w:szCs w:val="21"/>
        </w:rPr>
        <w:tab/>
      </w:r>
      <w:r w:rsidRPr="0087410D">
        <w:rPr>
          <w:rFonts w:ascii="宋体" w:hAnsi="宋体" w:hint="eastAsia"/>
          <w:kern w:val="0"/>
          <w:sz w:val="21"/>
          <w:szCs w:val="21"/>
        </w:rPr>
        <w:t>报告期内</w:t>
      </w:r>
      <w:r w:rsidRPr="004F2CA9">
        <w:rPr>
          <w:rFonts w:ascii="宋体" w:hAnsi="宋体" w:hint="eastAsia"/>
          <w:kern w:val="0"/>
          <w:sz w:val="21"/>
          <w:szCs w:val="21"/>
        </w:rPr>
        <w:t>权益</w:t>
      </w:r>
      <w:r w:rsidRPr="0087410D">
        <w:rPr>
          <w:rFonts w:ascii="宋体" w:hAnsi="宋体" w:hint="eastAsia"/>
          <w:kern w:val="0"/>
          <w:sz w:val="21"/>
          <w:szCs w:val="21"/>
        </w:rPr>
        <w:t>投资组合的重大变动</w:t>
      </w:r>
      <w:bookmarkEnd w:id="218"/>
      <w:bookmarkEnd w:id="219"/>
      <w:bookmarkEnd w:id="220"/>
      <w:bookmarkEnd w:id="221"/>
      <w:bookmarkEnd w:id="222"/>
      <w:bookmarkEnd w:id="223"/>
      <w:bookmarkEnd w:id="224"/>
      <w:bookmarkEnd w:id="225"/>
      <w:bookmarkEnd w:id="226"/>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7.5.1</w:t>
      </w:r>
      <w:r w:rsidRPr="0087410D">
        <w:rPr>
          <w:rFonts w:ascii="宋体" w:hAnsi="宋体" w:hint="eastAsia"/>
          <w:b/>
          <w:szCs w:val="21"/>
        </w:rPr>
        <w:t>累计买入金额超出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2378"/>
        <w:gridCol w:w="2552"/>
        <w:gridCol w:w="213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23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2552"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213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本期累计买入金额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CF426B">
        <w:trPr>
          <w:jc w:val="center"/>
        </w:trPr>
        <w:tc>
          <w:tcPr>
            <w:tcW w:w="555" w:type="dxa"/>
            <w:vAlign w:val="center"/>
          </w:tcPr>
          <w:p w:rsidR="00CF426B" w:rsidRDefault="005F6DDD">
            <w:pPr>
              <w:jc w:val="center"/>
            </w:pPr>
            <w:r>
              <w:rPr>
                <w:color w:val="000000"/>
                <w:szCs w:val="21"/>
              </w:rPr>
              <w:t>1</w:t>
            </w:r>
          </w:p>
        </w:tc>
        <w:tc>
          <w:tcPr>
            <w:tcW w:w="2378" w:type="dxa"/>
            <w:vAlign w:val="center"/>
          </w:tcPr>
          <w:p w:rsidR="00CF426B" w:rsidRDefault="005F6DDD">
            <w:pPr>
              <w:jc w:val="center"/>
            </w:pPr>
            <w:r>
              <w:rPr>
                <w:color w:val="000000"/>
                <w:szCs w:val="21"/>
              </w:rPr>
              <w:t>Microsoft Corp</w:t>
            </w:r>
          </w:p>
        </w:tc>
        <w:tc>
          <w:tcPr>
            <w:tcW w:w="2552" w:type="dxa"/>
            <w:vAlign w:val="center"/>
          </w:tcPr>
          <w:p w:rsidR="00CF426B" w:rsidRDefault="005F6DDD">
            <w:pPr>
              <w:jc w:val="center"/>
            </w:pPr>
            <w:r>
              <w:rPr>
                <w:color w:val="000000"/>
                <w:szCs w:val="21"/>
              </w:rPr>
              <w:t>MSFT US</w:t>
            </w:r>
          </w:p>
        </w:tc>
        <w:tc>
          <w:tcPr>
            <w:tcW w:w="2130" w:type="dxa"/>
            <w:vAlign w:val="center"/>
          </w:tcPr>
          <w:p w:rsidR="00CF426B" w:rsidRDefault="005F6DDD">
            <w:pPr>
              <w:jc w:val="center"/>
            </w:pPr>
            <w:r>
              <w:rPr>
                <w:color w:val="000000"/>
                <w:szCs w:val="21"/>
              </w:rPr>
              <w:t>61,129,971.90</w:t>
            </w:r>
          </w:p>
        </w:tc>
        <w:tc>
          <w:tcPr>
            <w:tcW w:w="1650" w:type="dxa"/>
            <w:vAlign w:val="center"/>
          </w:tcPr>
          <w:p w:rsidR="00CF426B" w:rsidRDefault="005F6DDD">
            <w:pPr>
              <w:jc w:val="center"/>
            </w:pPr>
            <w:r>
              <w:rPr>
                <w:color w:val="000000"/>
                <w:szCs w:val="21"/>
              </w:rPr>
              <w:t>41.02</w:t>
            </w:r>
          </w:p>
        </w:tc>
      </w:tr>
      <w:tr w:rsidR="00CF426B">
        <w:trPr>
          <w:jc w:val="center"/>
        </w:trPr>
        <w:tc>
          <w:tcPr>
            <w:tcW w:w="555" w:type="dxa"/>
            <w:vAlign w:val="center"/>
          </w:tcPr>
          <w:p w:rsidR="00CF426B" w:rsidRDefault="005F6DDD">
            <w:pPr>
              <w:jc w:val="center"/>
            </w:pPr>
            <w:r>
              <w:rPr>
                <w:color w:val="000000"/>
                <w:szCs w:val="21"/>
              </w:rPr>
              <w:t>2</w:t>
            </w:r>
          </w:p>
        </w:tc>
        <w:tc>
          <w:tcPr>
            <w:tcW w:w="2378" w:type="dxa"/>
            <w:vAlign w:val="center"/>
          </w:tcPr>
          <w:p w:rsidR="00CF426B" w:rsidRDefault="005F6DDD">
            <w:pPr>
              <w:jc w:val="center"/>
            </w:pPr>
            <w:r>
              <w:rPr>
                <w:color w:val="000000"/>
                <w:szCs w:val="21"/>
              </w:rPr>
              <w:t>Apple Inc</w:t>
            </w:r>
          </w:p>
        </w:tc>
        <w:tc>
          <w:tcPr>
            <w:tcW w:w="2552" w:type="dxa"/>
            <w:vAlign w:val="center"/>
          </w:tcPr>
          <w:p w:rsidR="00CF426B" w:rsidRDefault="005F6DDD">
            <w:pPr>
              <w:jc w:val="center"/>
            </w:pPr>
            <w:r>
              <w:rPr>
                <w:color w:val="000000"/>
                <w:szCs w:val="21"/>
              </w:rPr>
              <w:t>AAPL US</w:t>
            </w:r>
          </w:p>
        </w:tc>
        <w:tc>
          <w:tcPr>
            <w:tcW w:w="2130" w:type="dxa"/>
            <w:vAlign w:val="center"/>
          </w:tcPr>
          <w:p w:rsidR="00CF426B" w:rsidRDefault="005F6DDD">
            <w:pPr>
              <w:jc w:val="center"/>
            </w:pPr>
            <w:r>
              <w:rPr>
                <w:color w:val="000000"/>
                <w:szCs w:val="21"/>
              </w:rPr>
              <w:t>61,016,677.85</w:t>
            </w:r>
          </w:p>
        </w:tc>
        <w:tc>
          <w:tcPr>
            <w:tcW w:w="1650" w:type="dxa"/>
            <w:vAlign w:val="center"/>
          </w:tcPr>
          <w:p w:rsidR="00CF426B" w:rsidRDefault="005F6DDD">
            <w:pPr>
              <w:jc w:val="center"/>
            </w:pPr>
            <w:r>
              <w:rPr>
                <w:color w:val="000000"/>
                <w:szCs w:val="21"/>
              </w:rPr>
              <w:t>40.94</w:t>
            </w:r>
          </w:p>
        </w:tc>
      </w:tr>
      <w:tr w:rsidR="00CF426B">
        <w:trPr>
          <w:jc w:val="center"/>
        </w:trPr>
        <w:tc>
          <w:tcPr>
            <w:tcW w:w="555" w:type="dxa"/>
            <w:vAlign w:val="center"/>
          </w:tcPr>
          <w:p w:rsidR="00CF426B" w:rsidRDefault="005F6DDD">
            <w:pPr>
              <w:jc w:val="center"/>
            </w:pPr>
            <w:r>
              <w:rPr>
                <w:color w:val="000000"/>
                <w:szCs w:val="21"/>
              </w:rPr>
              <w:t>3</w:t>
            </w:r>
          </w:p>
        </w:tc>
        <w:tc>
          <w:tcPr>
            <w:tcW w:w="2378" w:type="dxa"/>
            <w:vAlign w:val="center"/>
          </w:tcPr>
          <w:p w:rsidR="00CF426B" w:rsidRDefault="005F6DDD">
            <w:pPr>
              <w:jc w:val="center"/>
            </w:pPr>
            <w:r>
              <w:rPr>
                <w:color w:val="000000"/>
                <w:szCs w:val="21"/>
              </w:rPr>
              <w:t>Amazon.com Inc</w:t>
            </w:r>
          </w:p>
        </w:tc>
        <w:tc>
          <w:tcPr>
            <w:tcW w:w="2552" w:type="dxa"/>
            <w:vAlign w:val="center"/>
          </w:tcPr>
          <w:p w:rsidR="00CF426B" w:rsidRDefault="005F6DDD">
            <w:pPr>
              <w:jc w:val="center"/>
            </w:pPr>
            <w:r>
              <w:rPr>
                <w:color w:val="000000"/>
                <w:szCs w:val="21"/>
              </w:rPr>
              <w:t>AMZN US</w:t>
            </w:r>
          </w:p>
        </w:tc>
        <w:tc>
          <w:tcPr>
            <w:tcW w:w="2130" w:type="dxa"/>
            <w:vAlign w:val="center"/>
          </w:tcPr>
          <w:p w:rsidR="00CF426B" w:rsidRDefault="005F6DDD">
            <w:pPr>
              <w:jc w:val="center"/>
            </w:pPr>
            <w:r>
              <w:rPr>
                <w:color w:val="000000"/>
                <w:szCs w:val="21"/>
              </w:rPr>
              <w:t>42,818,580.32</w:t>
            </w:r>
          </w:p>
        </w:tc>
        <w:tc>
          <w:tcPr>
            <w:tcW w:w="1650" w:type="dxa"/>
            <w:vAlign w:val="center"/>
          </w:tcPr>
          <w:p w:rsidR="00CF426B" w:rsidRDefault="005F6DDD">
            <w:pPr>
              <w:jc w:val="center"/>
            </w:pPr>
            <w:r>
              <w:rPr>
                <w:color w:val="000000"/>
                <w:szCs w:val="21"/>
              </w:rPr>
              <w:t>28.73</w:t>
            </w:r>
          </w:p>
        </w:tc>
      </w:tr>
      <w:tr w:rsidR="00CF426B">
        <w:trPr>
          <w:jc w:val="center"/>
        </w:trPr>
        <w:tc>
          <w:tcPr>
            <w:tcW w:w="555" w:type="dxa"/>
            <w:vMerge w:val="restart"/>
            <w:vAlign w:val="center"/>
          </w:tcPr>
          <w:p w:rsidR="00CF426B" w:rsidRDefault="005F6DDD">
            <w:pPr>
              <w:jc w:val="center"/>
            </w:pPr>
            <w:r>
              <w:rPr>
                <w:color w:val="000000"/>
                <w:szCs w:val="21"/>
              </w:rPr>
              <w:t>4</w:t>
            </w:r>
          </w:p>
        </w:tc>
        <w:tc>
          <w:tcPr>
            <w:tcW w:w="2378" w:type="dxa"/>
            <w:vMerge w:val="restart"/>
            <w:vAlign w:val="center"/>
          </w:tcPr>
          <w:p w:rsidR="00CF426B" w:rsidRDefault="005F6DDD">
            <w:pPr>
              <w:jc w:val="center"/>
            </w:pPr>
            <w:r>
              <w:rPr>
                <w:color w:val="000000"/>
                <w:szCs w:val="21"/>
              </w:rPr>
              <w:t>Alphabet Inc</w:t>
            </w:r>
          </w:p>
        </w:tc>
        <w:tc>
          <w:tcPr>
            <w:tcW w:w="2552" w:type="dxa"/>
            <w:vAlign w:val="center"/>
          </w:tcPr>
          <w:p w:rsidR="00CF426B" w:rsidRDefault="005F6DDD">
            <w:pPr>
              <w:jc w:val="center"/>
            </w:pPr>
            <w:r>
              <w:rPr>
                <w:color w:val="000000"/>
                <w:szCs w:val="21"/>
              </w:rPr>
              <w:t>GOOGL US</w:t>
            </w:r>
          </w:p>
        </w:tc>
        <w:tc>
          <w:tcPr>
            <w:tcW w:w="2130" w:type="dxa"/>
            <w:vAlign w:val="center"/>
          </w:tcPr>
          <w:p w:rsidR="00CF426B" w:rsidRDefault="005F6DDD">
            <w:pPr>
              <w:jc w:val="center"/>
            </w:pPr>
            <w:r>
              <w:rPr>
                <w:color w:val="000000"/>
                <w:szCs w:val="21"/>
              </w:rPr>
              <w:t>21,448,383.70</w:t>
            </w:r>
          </w:p>
        </w:tc>
        <w:tc>
          <w:tcPr>
            <w:tcW w:w="1650" w:type="dxa"/>
            <w:vAlign w:val="center"/>
          </w:tcPr>
          <w:p w:rsidR="00CF426B" w:rsidRDefault="005F6DDD">
            <w:pPr>
              <w:jc w:val="center"/>
            </w:pPr>
            <w:r>
              <w:rPr>
                <w:color w:val="000000"/>
                <w:szCs w:val="21"/>
              </w:rPr>
              <w:t>14.39</w:t>
            </w:r>
          </w:p>
        </w:tc>
      </w:tr>
      <w:tr w:rsidR="00CF426B">
        <w:trPr>
          <w:jc w:val="center"/>
        </w:trPr>
        <w:tc>
          <w:tcPr>
            <w:tcW w:w="555" w:type="dxa"/>
            <w:vMerge/>
          </w:tcPr>
          <w:p w:rsidR="00CF426B" w:rsidRDefault="00CF426B"/>
        </w:tc>
        <w:tc>
          <w:tcPr>
            <w:tcW w:w="2378" w:type="dxa"/>
            <w:vMerge/>
          </w:tcPr>
          <w:p w:rsidR="00CF426B" w:rsidRDefault="00CF426B"/>
        </w:tc>
        <w:tc>
          <w:tcPr>
            <w:tcW w:w="2552" w:type="dxa"/>
            <w:vAlign w:val="center"/>
          </w:tcPr>
          <w:p w:rsidR="00CF426B" w:rsidRDefault="005F6DDD">
            <w:pPr>
              <w:jc w:val="center"/>
            </w:pPr>
            <w:r>
              <w:rPr>
                <w:color w:val="000000"/>
                <w:szCs w:val="21"/>
              </w:rPr>
              <w:t>GOOG US</w:t>
            </w:r>
          </w:p>
        </w:tc>
        <w:tc>
          <w:tcPr>
            <w:tcW w:w="2130" w:type="dxa"/>
            <w:vAlign w:val="center"/>
          </w:tcPr>
          <w:p w:rsidR="00CF426B" w:rsidRDefault="005F6DDD">
            <w:pPr>
              <w:jc w:val="center"/>
            </w:pPr>
            <w:r>
              <w:rPr>
                <w:color w:val="000000"/>
                <w:szCs w:val="21"/>
              </w:rPr>
              <w:t>21,353,798.49</w:t>
            </w:r>
          </w:p>
        </w:tc>
        <w:tc>
          <w:tcPr>
            <w:tcW w:w="1650" w:type="dxa"/>
            <w:vAlign w:val="center"/>
          </w:tcPr>
          <w:p w:rsidR="00CF426B" w:rsidRDefault="005F6DDD">
            <w:pPr>
              <w:jc w:val="center"/>
            </w:pPr>
            <w:r>
              <w:rPr>
                <w:color w:val="000000"/>
                <w:szCs w:val="21"/>
              </w:rPr>
              <w:t>14.33</w:t>
            </w:r>
          </w:p>
        </w:tc>
      </w:tr>
      <w:tr w:rsidR="00CF426B">
        <w:trPr>
          <w:jc w:val="center"/>
        </w:trPr>
        <w:tc>
          <w:tcPr>
            <w:tcW w:w="555" w:type="dxa"/>
            <w:vAlign w:val="center"/>
          </w:tcPr>
          <w:p w:rsidR="00CF426B" w:rsidRDefault="005F6DDD">
            <w:pPr>
              <w:jc w:val="center"/>
            </w:pPr>
            <w:r>
              <w:rPr>
                <w:color w:val="000000"/>
                <w:szCs w:val="21"/>
              </w:rPr>
              <w:t>5</w:t>
            </w:r>
          </w:p>
        </w:tc>
        <w:tc>
          <w:tcPr>
            <w:tcW w:w="2378" w:type="dxa"/>
            <w:vAlign w:val="center"/>
          </w:tcPr>
          <w:p w:rsidR="00CF426B" w:rsidRDefault="005F6DDD">
            <w:pPr>
              <w:jc w:val="center"/>
            </w:pPr>
            <w:r>
              <w:rPr>
                <w:color w:val="000000"/>
                <w:szCs w:val="21"/>
              </w:rPr>
              <w:t>Facebook Inc</w:t>
            </w:r>
          </w:p>
        </w:tc>
        <w:tc>
          <w:tcPr>
            <w:tcW w:w="2552" w:type="dxa"/>
            <w:vAlign w:val="center"/>
          </w:tcPr>
          <w:p w:rsidR="00CF426B" w:rsidRDefault="005F6DDD">
            <w:pPr>
              <w:jc w:val="center"/>
            </w:pPr>
            <w:r>
              <w:rPr>
                <w:color w:val="000000"/>
                <w:szCs w:val="21"/>
              </w:rPr>
              <w:t>FB US</w:t>
            </w:r>
          </w:p>
        </w:tc>
        <w:tc>
          <w:tcPr>
            <w:tcW w:w="2130" w:type="dxa"/>
            <w:vAlign w:val="center"/>
          </w:tcPr>
          <w:p w:rsidR="00CF426B" w:rsidRDefault="005F6DDD">
            <w:pPr>
              <w:jc w:val="center"/>
            </w:pPr>
            <w:r>
              <w:rPr>
                <w:color w:val="000000"/>
                <w:szCs w:val="21"/>
              </w:rPr>
              <w:t>23,094,373.82</w:t>
            </w:r>
          </w:p>
        </w:tc>
        <w:tc>
          <w:tcPr>
            <w:tcW w:w="1650" w:type="dxa"/>
            <w:vAlign w:val="center"/>
          </w:tcPr>
          <w:p w:rsidR="00CF426B" w:rsidRDefault="005F6DDD">
            <w:pPr>
              <w:jc w:val="center"/>
            </w:pPr>
            <w:r>
              <w:rPr>
                <w:color w:val="000000"/>
                <w:szCs w:val="21"/>
              </w:rPr>
              <w:t>15.50</w:t>
            </w:r>
          </w:p>
        </w:tc>
      </w:tr>
      <w:tr w:rsidR="00CF426B">
        <w:trPr>
          <w:jc w:val="center"/>
        </w:trPr>
        <w:tc>
          <w:tcPr>
            <w:tcW w:w="555" w:type="dxa"/>
            <w:vAlign w:val="center"/>
          </w:tcPr>
          <w:p w:rsidR="00CF426B" w:rsidRDefault="005F6DDD">
            <w:pPr>
              <w:jc w:val="center"/>
            </w:pPr>
            <w:r>
              <w:rPr>
                <w:color w:val="000000"/>
                <w:szCs w:val="21"/>
              </w:rPr>
              <w:t>6</w:t>
            </w:r>
          </w:p>
        </w:tc>
        <w:tc>
          <w:tcPr>
            <w:tcW w:w="2378" w:type="dxa"/>
            <w:vAlign w:val="center"/>
          </w:tcPr>
          <w:p w:rsidR="00CF426B" w:rsidRDefault="005F6DDD">
            <w:pPr>
              <w:jc w:val="center"/>
            </w:pPr>
            <w:r>
              <w:rPr>
                <w:color w:val="000000"/>
                <w:szCs w:val="21"/>
              </w:rPr>
              <w:t>Intel Corp</w:t>
            </w:r>
          </w:p>
        </w:tc>
        <w:tc>
          <w:tcPr>
            <w:tcW w:w="2552" w:type="dxa"/>
            <w:vAlign w:val="center"/>
          </w:tcPr>
          <w:p w:rsidR="00CF426B" w:rsidRDefault="005F6DDD">
            <w:pPr>
              <w:jc w:val="center"/>
            </w:pPr>
            <w:r>
              <w:rPr>
                <w:color w:val="000000"/>
                <w:szCs w:val="21"/>
              </w:rPr>
              <w:t>INTC US</w:t>
            </w:r>
          </w:p>
        </w:tc>
        <w:tc>
          <w:tcPr>
            <w:tcW w:w="2130" w:type="dxa"/>
            <w:vAlign w:val="center"/>
          </w:tcPr>
          <w:p w:rsidR="00CF426B" w:rsidRDefault="005F6DDD">
            <w:pPr>
              <w:jc w:val="center"/>
            </w:pPr>
            <w:r>
              <w:rPr>
                <w:color w:val="000000"/>
                <w:szCs w:val="21"/>
              </w:rPr>
              <w:t>16,139,647.55</w:t>
            </w:r>
          </w:p>
        </w:tc>
        <w:tc>
          <w:tcPr>
            <w:tcW w:w="1650" w:type="dxa"/>
            <w:vAlign w:val="center"/>
          </w:tcPr>
          <w:p w:rsidR="00CF426B" w:rsidRDefault="005F6DDD">
            <w:pPr>
              <w:jc w:val="center"/>
            </w:pPr>
            <w:r>
              <w:rPr>
                <w:color w:val="000000"/>
                <w:szCs w:val="21"/>
              </w:rPr>
              <w:t>10.83</w:t>
            </w:r>
          </w:p>
        </w:tc>
      </w:tr>
      <w:tr w:rsidR="00CF426B">
        <w:trPr>
          <w:jc w:val="center"/>
        </w:trPr>
        <w:tc>
          <w:tcPr>
            <w:tcW w:w="555" w:type="dxa"/>
            <w:vAlign w:val="center"/>
          </w:tcPr>
          <w:p w:rsidR="00CF426B" w:rsidRDefault="005F6DDD">
            <w:pPr>
              <w:jc w:val="center"/>
            </w:pPr>
            <w:r>
              <w:rPr>
                <w:color w:val="000000"/>
                <w:szCs w:val="21"/>
              </w:rPr>
              <w:t>7</w:t>
            </w:r>
          </w:p>
        </w:tc>
        <w:tc>
          <w:tcPr>
            <w:tcW w:w="2378" w:type="dxa"/>
            <w:vAlign w:val="center"/>
          </w:tcPr>
          <w:p w:rsidR="00CF426B" w:rsidRDefault="005F6DDD">
            <w:pPr>
              <w:jc w:val="center"/>
            </w:pPr>
            <w:r>
              <w:rPr>
                <w:color w:val="000000"/>
                <w:szCs w:val="21"/>
              </w:rPr>
              <w:t>Comcast Corp</w:t>
            </w:r>
          </w:p>
        </w:tc>
        <w:tc>
          <w:tcPr>
            <w:tcW w:w="2552" w:type="dxa"/>
            <w:vAlign w:val="center"/>
          </w:tcPr>
          <w:p w:rsidR="00CF426B" w:rsidRDefault="005F6DDD">
            <w:pPr>
              <w:jc w:val="center"/>
            </w:pPr>
            <w:r>
              <w:rPr>
                <w:color w:val="000000"/>
                <w:szCs w:val="21"/>
              </w:rPr>
              <w:t>CMCSA US</w:t>
            </w:r>
          </w:p>
        </w:tc>
        <w:tc>
          <w:tcPr>
            <w:tcW w:w="2130" w:type="dxa"/>
            <w:vAlign w:val="center"/>
          </w:tcPr>
          <w:p w:rsidR="00CF426B" w:rsidRDefault="005F6DDD">
            <w:pPr>
              <w:jc w:val="center"/>
            </w:pPr>
            <w:r>
              <w:rPr>
                <w:color w:val="000000"/>
                <w:szCs w:val="21"/>
              </w:rPr>
              <w:t>11,399,660.26</w:t>
            </w:r>
          </w:p>
        </w:tc>
        <w:tc>
          <w:tcPr>
            <w:tcW w:w="1650" w:type="dxa"/>
            <w:vAlign w:val="center"/>
          </w:tcPr>
          <w:p w:rsidR="00CF426B" w:rsidRDefault="005F6DDD">
            <w:pPr>
              <w:jc w:val="center"/>
            </w:pPr>
            <w:r>
              <w:rPr>
                <w:color w:val="000000"/>
                <w:szCs w:val="21"/>
              </w:rPr>
              <w:t>7.65</w:t>
            </w:r>
          </w:p>
        </w:tc>
      </w:tr>
      <w:tr w:rsidR="00CF426B">
        <w:trPr>
          <w:jc w:val="center"/>
        </w:trPr>
        <w:tc>
          <w:tcPr>
            <w:tcW w:w="555" w:type="dxa"/>
            <w:vAlign w:val="center"/>
          </w:tcPr>
          <w:p w:rsidR="00CF426B" w:rsidRDefault="005F6DDD">
            <w:pPr>
              <w:jc w:val="center"/>
            </w:pPr>
            <w:r>
              <w:rPr>
                <w:color w:val="000000"/>
                <w:szCs w:val="21"/>
              </w:rPr>
              <w:t>8</w:t>
            </w:r>
          </w:p>
        </w:tc>
        <w:tc>
          <w:tcPr>
            <w:tcW w:w="2378" w:type="dxa"/>
            <w:vAlign w:val="center"/>
          </w:tcPr>
          <w:p w:rsidR="00CF426B" w:rsidRDefault="005F6DDD">
            <w:pPr>
              <w:jc w:val="center"/>
            </w:pPr>
            <w:r>
              <w:rPr>
                <w:color w:val="000000"/>
                <w:szCs w:val="21"/>
              </w:rPr>
              <w:t>Cisco Systems Inc</w:t>
            </w:r>
          </w:p>
        </w:tc>
        <w:tc>
          <w:tcPr>
            <w:tcW w:w="2552" w:type="dxa"/>
            <w:vAlign w:val="center"/>
          </w:tcPr>
          <w:p w:rsidR="00CF426B" w:rsidRDefault="005F6DDD">
            <w:pPr>
              <w:jc w:val="center"/>
            </w:pPr>
            <w:r>
              <w:rPr>
                <w:color w:val="000000"/>
                <w:szCs w:val="21"/>
              </w:rPr>
              <w:t>CSCO US</w:t>
            </w:r>
          </w:p>
        </w:tc>
        <w:tc>
          <w:tcPr>
            <w:tcW w:w="2130" w:type="dxa"/>
            <w:vAlign w:val="center"/>
          </w:tcPr>
          <w:p w:rsidR="00CF426B" w:rsidRDefault="005F6DDD">
            <w:pPr>
              <w:jc w:val="center"/>
            </w:pPr>
            <w:r>
              <w:rPr>
                <w:color w:val="000000"/>
                <w:szCs w:val="21"/>
              </w:rPr>
              <w:t>11,179,227.73</w:t>
            </w:r>
          </w:p>
        </w:tc>
        <w:tc>
          <w:tcPr>
            <w:tcW w:w="1650" w:type="dxa"/>
            <w:vAlign w:val="center"/>
          </w:tcPr>
          <w:p w:rsidR="00CF426B" w:rsidRDefault="005F6DDD">
            <w:pPr>
              <w:jc w:val="center"/>
            </w:pPr>
            <w:r>
              <w:rPr>
                <w:color w:val="000000"/>
                <w:szCs w:val="21"/>
              </w:rPr>
              <w:t>7.50</w:t>
            </w:r>
          </w:p>
        </w:tc>
      </w:tr>
      <w:tr w:rsidR="00CF426B">
        <w:trPr>
          <w:jc w:val="center"/>
        </w:trPr>
        <w:tc>
          <w:tcPr>
            <w:tcW w:w="555" w:type="dxa"/>
            <w:vAlign w:val="center"/>
          </w:tcPr>
          <w:p w:rsidR="00CF426B" w:rsidRDefault="005F6DDD">
            <w:pPr>
              <w:jc w:val="center"/>
            </w:pPr>
            <w:r>
              <w:rPr>
                <w:color w:val="000000"/>
                <w:szCs w:val="21"/>
              </w:rPr>
              <w:t>9</w:t>
            </w:r>
          </w:p>
        </w:tc>
        <w:tc>
          <w:tcPr>
            <w:tcW w:w="2378" w:type="dxa"/>
            <w:vAlign w:val="center"/>
          </w:tcPr>
          <w:p w:rsidR="00CF426B" w:rsidRDefault="005F6DDD">
            <w:pPr>
              <w:jc w:val="center"/>
            </w:pPr>
            <w:r>
              <w:rPr>
                <w:color w:val="000000"/>
                <w:szCs w:val="21"/>
              </w:rPr>
              <w:t>PepsiCo Inc</w:t>
            </w:r>
          </w:p>
        </w:tc>
        <w:tc>
          <w:tcPr>
            <w:tcW w:w="2552" w:type="dxa"/>
            <w:vAlign w:val="center"/>
          </w:tcPr>
          <w:p w:rsidR="00CF426B" w:rsidRDefault="005F6DDD">
            <w:pPr>
              <w:jc w:val="center"/>
            </w:pPr>
            <w:r>
              <w:rPr>
                <w:color w:val="000000"/>
                <w:szCs w:val="21"/>
              </w:rPr>
              <w:t>PEP US</w:t>
            </w:r>
          </w:p>
        </w:tc>
        <w:tc>
          <w:tcPr>
            <w:tcW w:w="2130" w:type="dxa"/>
            <w:vAlign w:val="center"/>
          </w:tcPr>
          <w:p w:rsidR="00CF426B" w:rsidRDefault="005F6DDD">
            <w:pPr>
              <w:jc w:val="center"/>
            </w:pPr>
            <w:r>
              <w:rPr>
                <w:color w:val="000000"/>
                <w:szCs w:val="21"/>
              </w:rPr>
              <w:t>10,647,655.28</w:t>
            </w:r>
          </w:p>
        </w:tc>
        <w:tc>
          <w:tcPr>
            <w:tcW w:w="1650" w:type="dxa"/>
            <w:vAlign w:val="center"/>
          </w:tcPr>
          <w:p w:rsidR="00CF426B" w:rsidRDefault="005F6DDD">
            <w:pPr>
              <w:jc w:val="center"/>
            </w:pPr>
            <w:r>
              <w:rPr>
                <w:color w:val="000000"/>
                <w:szCs w:val="21"/>
              </w:rPr>
              <w:t>7.14</w:t>
            </w:r>
          </w:p>
        </w:tc>
      </w:tr>
      <w:tr w:rsidR="00CF426B">
        <w:trPr>
          <w:jc w:val="center"/>
        </w:trPr>
        <w:tc>
          <w:tcPr>
            <w:tcW w:w="555" w:type="dxa"/>
            <w:vAlign w:val="center"/>
          </w:tcPr>
          <w:p w:rsidR="00CF426B" w:rsidRDefault="005F6DDD">
            <w:pPr>
              <w:jc w:val="center"/>
            </w:pPr>
            <w:r>
              <w:rPr>
                <w:color w:val="000000"/>
                <w:szCs w:val="21"/>
              </w:rPr>
              <w:t>10</w:t>
            </w:r>
          </w:p>
        </w:tc>
        <w:tc>
          <w:tcPr>
            <w:tcW w:w="2378" w:type="dxa"/>
            <w:vAlign w:val="center"/>
          </w:tcPr>
          <w:p w:rsidR="00CF426B" w:rsidRDefault="005F6DDD">
            <w:pPr>
              <w:jc w:val="center"/>
            </w:pPr>
            <w:r>
              <w:rPr>
                <w:color w:val="000000"/>
                <w:szCs w:val="21"/>
              </w:rPr>
              <w:t>Adobe Inc</w:t>
            </w:r>
          </w:p>
        </w:tc>
        <w:tc>
          <w:tcPr>
            <w:tcW w:w="2552" w:type="dxa"/>
            <w:vAlign w:val="center"/>
          </w:tcPr>
          <w:p w:rsidR="00CF426B" w:rsidRDefault="005F6DDD">
            <w:pPr>
              <w:jc w:val="center"/>
            </w:pPr>
            <w:r>
              <w:rPr>
                <w:color w:val="000000"/>
                <w:szCs w:val="21"/>
              </w:rPr>
              <w:t>ADBE US</w:t>
            </w:r>
          </w:p>
        </w:tc>
        <w:tc>
          <w:tcPr>
            <w:tcW w:w="2130" w:type="dxa"/>
            <w:vAlign w:val="center"/>
          </w:tcPr>
          <w:p w:rsidR="00CF426B" w:rsidRDefault="005F6DDD">
            <w:pPr>
              <w:jc w:val="center"/>
            </w:pPr>
            <w:r>
              <w:rPr>
                <w:color w:val="000000"/>
                <w:szCs w:val="21"/>
              </w:rPr>
              <w:t>10,616,550.12</w:t>
            </w:r>
          </w:p>
        </w:tc>
        <w:tc>
          <w:tcPr>
            <w:tcW w:w="1650" w:type="dxa"/>
            <w:vAlign w:val="center"/>
          </w:tcPr>
          <w:p w:rsidR="00CF426B" w:rsidRDefault="005F6DDD">
            <w:pPr>
              <w:jc w:val="center"/>
            </w:pPr>
            <w:r>
              <w:rPr>
                <w:color w:val="000000"/>
                <w:szCs w:val="21"/>
              </w:rPr>
              <w:t>7.12</w:t>
            </w:r>
          </w:p>
        </w:tc>
      </w:tr>
      <w:tr w:rsidR="00CF426B">
        <w:trPr>
          <w:jc w:val="center"/>
        </w:trPr>
        <w:tc>
          <w:tcPr>
            <w:tcW w:w="555" w:type="dxa"/>
            <w:vAlign w:val="center"/>
          </w:tcPr>
          <w:p w:rsidR="00CF426B" w:rsidRDefault="005F6DDD">
            <w:pPr>
              <w:jc w:val="center"/>
            </w:pPr>
            <w:r>
              <w:rPr>
                <w:color w:val="000000"/>
                <w:szCs w:val="21"/>
              </w:rPr>
              <w:t>11</w:t>
            </w:r>
          </w:p>
        </w:tc>
        <w:tc>
          <w:tcPr>
            <w:tcW w:w="2378" w:type="dxa"/>
            <w:vAlign w:val="center"/>
          </w:tcPr>
          <w:p w:rsidR="00CF426B" w:rsidRDefault="005F6DDD">
            <w:pPr>
              <w:jc w:val="center"/>
            </w:pPr>
            <w:r>
              <w:rPr>
                <w:color w:val="000000"/>
                <w:szCs w:val="21"/>
              </w:rPr>
              <w:t>NVIDIA Corp</w:t>
            </w:r>
          </w:p>
        </w:tc>
        <w:tc>
          <w:tcPr>
            <w:tcW w:w="2552" w:type="dxa"/>
            <w:vAlign w:val="center"/>
          </w:tcPr>
          <w:p w:rsidR="00CF426B" w:rsidRDefault="005F6DDD">
            <w:pPr>
              <w:jc w:val="center"/>
            </w:pPr>
            <w:r>
              <w:rPr>
                <w:color w:val="000000"/>
                <w:szCs w:val="21"/>
              </w:rPr>
              <w:t>NVDA US</w:t>
            </w:r>
          </w:p>
        </w:tc>
        <w:tc>
          <w:tcPr>
            <w:tcW w:w="2130" w:type="dxa"/>
            <w:vAlign w:val="center"/>
          </w:tcPr>
          <w:p w:rsidR="00CF426B" w:rsidRDefault="005F6DDD">
            <w:pPr>
              <w:jc w:val="center"/>
            </w:pPr>
            <w:r>
              <w:rPr>
                <w:color w:val="000000"/>
                <w:szCs w:val="21"/>
              </w:rPr>
              <w:t>10,456,577.32</w:t>
            </w:r>
          </w:p>
        </w:tc>
        <w:tc>
          <w:tcPr>
            <w:tcW w:w="1650" w:type="dxa"/>
            <w:vAlign w:val="center"/>
          </w:tcPr>
          <w:p w:rsidR="00CF426B" w:rsidRDefault="005F6DDD">
            <w:pPr>
              <w:jc w:val="center"/>
            </w:pPr>
            <w:r>
              <w:rPr>
                <w:color w:val="000000"/>
                <w:szCs w:val="21"/>
              </w:rPr>
              <w:t>7.02</w:t>
            </w:r>
          </w:p>
        </w:tc>
      </w:tr>
      <w:tr w:rsidR="00CF426B">
        <w:trPr>
          <w:jc w:val="center"/>
        </w:trPr>
        <w:tc>
          <w:tcPr>
            <w:tcW w:w="555" w:type="dxa"/>
            <w:vAlign w:val="center"/>
          </w:tcPr>
          <w:p w:rsidR="00CF426B" w:rsidRDefault="005F6DDD">
            <w:pPr>
              <w:jc w:val="center"/>
            </w:pPr>
            <w:r>
              <w:rPr>
                <w:color w:val="000000"/>
                <w:szCs w:val="21"/>
              </w:rPr>
              <w:t>12</w:t>
            </w:r>
          </w:p>
        </w:tc>
        <w:tc>
          <w:tcPr>
            <w:tcW w:w="2378" w:type="dxa"/>
            <w:vAlign w:val="center"/>
          </w:tcPr>
          <w:p w:rsidR="00CF426B" w:rsidRDefault="005F6DDD">
            <w:pPr>
              <w:jc w:val="center"/>
            </w:pPr>
            <w:r>
              <w:rPr>
                <w:color w:val="000000"/>
                <w:szCs w:val="21"/>
              </w:rPr>
              <w:t>Tesla Inc</w:t>
            </w:r>
          </w:p>
        </w:tc>
        <w:tc>
          <w:tcPr>
            <w:tcW w:w="2552" w:type="dxa"/>
            <w:vAlign w:val="center"/>
          </w:tcPr>
          <w:p w:rsidR="00CF426B" w:rsidRDefault="005F6DDD">
            <w:pPr>
              <w:jc w:val="center"/>
            </w:pPr>
            <w:r>
              <w:rPr>
                <w:color w:val="000000"/>
                <w:szCs w:val="21"/>
              </w:rPr>
              <w:t>TSLA US</w:t>
            </w:r>
          </w:p>
        </w:tc>
        <w:tc>
          <w:tcPr>
            <w:tcW w:w="2130" w:type="dxa"/>
            <w:vAlign w:val="center"/>
          </w:tcPr>
          <w:p w:rsidR="00CF426B" w:rsidRDefault="005F6DDD">
            <w:pPr>
              <w:jc w:val="center"/>
            </w:pPr>
            <w:r>
              <w:rPr>
                <w:color w:val="000000"/>
                <w:szCs w:val="21"/>
              </w:rPr>
              <w:t>9,250,386.97</w:t>
            </w:r>
          </w:p>
        </w:tc>
        <w:tc>
          <w:tcPr>
            <w:tcW w:w="1650" w:type="dxa"/>
            <w:vAlign w:val="center"/>
          </w:tcPr>
          <w:p w:rsidR="00CF426B" w:rsidRDefault="005F6DDD">
            <w:pPr>
              <w:jc w:val="center"/>
            </w:pPr>
            <w:r>
              <w:rPr>
                <w:color w:val="000000"/>
                <w:szCs w:val="21"/>
              </w:rPr>
              <w:t>6.21</w:t>
            </w:r>
          </w:p>
        </w:tc>
      </w:tr>
      <w:tr w:rsidR="00CF426B">
        <w:trPr>
          <w:jc w:val="center"/>
        </w:trPr>
        <w:tc>
          <w:tcPr>
            <w:tcW w:w="555" w:type="dxa"/>
            <w:vAlign w:val="center"/>
          </w:tcPr>
          <w:p w:rsidR="00CF426B" w:rsidRDefault="005F6DDD">
            <w:pPr>
              <w:jc w:val="center"/>
            </w:pPr>
            <w:r>
              <w:rPr>
                <w:color w:val="000000"/>
                <w:szCs w:val="21"/>
              </w:rPr>
              <w:t>13</w:t>
            </w:r>
          </w:p>
        </w:tc>
        <w:tc>
          <w:tcPr>
            <w:tcW w:w="2378" w:type="dxa"/>
            <w:vAlign w:val="center"/>
          </w:tcPr>
          <w:p w:rsidR="00CF426B" w:rsidRDefault="005F6DDD">
            <w:pPr>
              <w:jc w:val="center"/>
            </w:pPr>
            <w:r>
              <w:rPr>
                <w:color w:val="000000"/>
                <w:szCs w:val="21"/>
              </w:rPr>
              <w:t>Netflix Inc</w:t>
            </w:r>
          </w:p>
        </w:tc>
        <w:tc>
          <w:tcPr>
            <w:tcW w:w="2552" w:type="dxa"/>
            <w:vAlign w:val="center"/>
          </w:tcPr>
          <w:p w:rsidR="00CF426B" w:rsidRDefault="005F6DDD">
            <w:pPr>
              <w:jc w:val="center"/>
            </w:pPr>
            <w:r>
              <w:rPr>
                <w:color w:val="000000"/>
                <w:szCs w:val="21"/>
              </w:rPr>
              <w:t>NFLX US</w:t>
            </w:r>
          </w:p>
        </w:tc>
        <w:tc>
          <w:tcPr>
            <w:tcW w:w="2130" w:type="dxa"/>
            <w:vAlign w:val="center"/>
          </w:tcPr>
          <w:p w:rsidR="00CF426B" w:rsidRDefault="005F6DDD">
            <w:pPr>
              <w:jc w:val="center"/>
            </w:pPr>
            <w:r>
              <w:rPr>
                <w:color w:val="000000"/>
                <w:szCs w:val="21"/>
              </w:rPr>
              <w:t>9,204,069.18</w:t>
            </w:r>
          </w:p>
        </w:tc>
        <w:tc>
          <w:tcPr>
            <w:tcW w:w="1650" w:type="dxa"/>
            <w:vAlign w:val="center"/>
          </w:tcPr>
          <w:p w:rsidR="00CF426B" w:rsidRDefault="005F6DDD">
            <w:pPr>
              <w:jc w:val="center"/>
            </w:pPr>
            <w:r>
              <w:rPr>
                <w:color w:val="000000"/>
                <w:szCs w:val="21"/>
              </w:rPr>
              <w:t>6.18</w:t>
            </w:r>
          </w:p>
        </w:tc>
      </w:tr>
      <w:tr w:rsidR="00CF426B">
        <w:trPr>
          <w:jc w:val="center"/>
        </w:trPr>
        <w:tc>
          <w:tcPr>
            <w:tcW w:w="555" w:type="dxa"/>
            <w:vAlign w:val="center"/>
          </w:tcPr>
          <w:p w:rsidR="00CF426B" w:rsidRDefault="005F6DDD">
            <w:pPr>
              <w:jc w:val="center"/>
            </w:pPr>
            <w:r>
              <w:rPr>
                <w:color w:val="000000"/>
                <w:szCs w:val="21"/>
              </w:rPr>
              <w:t>14</w:t>
            </w:r>
          </w:p>
        </w:tc>
        <w:tc>
          <w:tcPr>
            <w:tcW w:w="2378" w:type="dxa"/>
            <w:vAlign w:val="center"/>
          </w:tcPr>
          <w:p w:rsidR="00CF426B" w:rsidRDefault="005F6DDD">
            <w:pPr>
              <w:jc w:val="center"/>
            </w:pPr>
            <w:r>
              <w:rPr>
                <w:color w:val="000000"/>
                <w:szCs w:val="21"/>
              </w:rPr>
              <w:t>PayPal Holdings Inc</w:t>
            </w:r>
          </w:p>
        </w:tc>
        <w:tc>
          <w:tcPr>
            <w:tcW w:w="2552" w:type="dxa"/>
            <w:vAlign w:val="center"/>
          </w:tcPr>
          <w:p w:rsidR="00CF426B" w:rsidRDefault="005F6DDD">
            <w:pPr>
              <w:jc w:val="center"/>
            </w:pPr>
            <w:r>
              <w:rPr>
                <w:color w:val="000000"/>
                <w:szCs w:val="21"/>
              </w:rPr>
              <w:t>PYPL US</w:t>
            </w:r>
          </w:p>
        </w:tc>
        <w:tc>
          <w:tcPr>
            <w:tcW w:w="2130" w:type="dxa"/>
            <w:vAlign w:val="center"/>
          </w:tcPr>
          <w:p w:rsidR="00CF426B" w:rsidRDefault="005F6DDD">
            <w:pPr>
              <w:jc w:val="center"/>
            </w:pPr>
            <w:r>
              <w:rPr>
                <w:color w:val="000000"/>
                <w:szCs w:val="21"/>
              </w:rPr>
              <w:t>8,358,457.80</w:t>
            </w:r>
          </w:p>
        </w:tc>
        <w:tc>
          <w:tcPr>
            <w:tcW w:w="1650" w:type="dxa"/>
            <w:vAlign w:val="center"/>
          </w:tcPr>
          <w:p w:rsidR="00CF426B" w:rsidRDefault="005F6DDD">
            <w:pPr>
              <w:jc w:val="center"/>
            </w:pPr>
            <w:r>
              <w:rPr>
                <w:color w:val="000000"/>
                <w:szCs w:val="21"/>
              </w:rPr>
              <w:t>5.61</w:t>
            </w:r>
          </w:p>
        </w:tc>
      </w:tr>
      <w:tr w:rsidR="00CF426B">
        <w:trPr>
          <w:jc w:val="center"/>
        </w:trPr>
        <w:tc>
          <w:tcPr>
            <w:tcW w:w="555" w:type="dxa"/>
            <w:vAlign w:val="center"/>
          </w:tcPr>
          <w:p w:rsidR="00CF426B" w:rsidRDefault="005F6DDD">
            <w:pPr>
              <w:jc w:val="center"/>
            </w:pPr>
            <w:r>
              <w:rPr>
                <w:color w:val="000000"/>
                <w:szCs w:val="21"/>
              </w:rPr>
              <w:t>15</w:t>
            </w:r>
          </w:p>
        </w:tc>
        <w:tc>
          <w:tcPr>
            <w:tcW w:w="2378" w:type="dxa"/>
            <w:vAlign w:val="center"/>
          </w:tcPr>
          <w:p w:rsidR="00CF426B" w:rsidRDefault="005F6DDD">
            <w:pPr>
              <w:jc w:val="center"/>
            </w:pPr>
            <w:r>
              <w:rPr>
                <w:color w:val="000000"/>
                <w:szCs w:val="21"/>
              </w:rPr>
              <w:t>Amgen Inc</w:t>
            </w:r>
          </w:p>
        </w:tc>
        <w:tc>
          <w:tcPr>
            <w:tcW w:w="2552" w:type="dxa"/>
            <w:vAlign w:val="center"/>
          </w:tcPr>
          <w:p w:rsidR="00CF426B" w:rsidRDefault="005F6DDD">
            <w:pPr>
              <w:jc w:val="center"/>
            </w:pPr>
            <w:r>
              <w:rPr>
                <w:color w:val="000000"/>
                <w:szCs w:val="21"/>
              </w:rPr>
              <w:t>AMGN US</w:t>
            </w:r>
          </w:p>
        </w:tc>
        <w:tc>
          <w:tcPr>
            <w:tcW w:w="2130" w:type="dxa"/>
            <w:vAlign w:val="center"/>
          </w:tcPr>
          <w:p w:rsidR="00CF426B" w:rsidRDefault="005F6DDD">
            <w:pPr>
              <w:jc w:val="center"/>
            </w:pPr>
            <w:r>
              <w:rPr>
                <w:color w:val="000000"/>
                <w:szCs w:val="21"/>
              </w:rPr>
              <w:t>7,529,892.14</w:t>
            </w:r>
          </w:p>
        </w:tc>
        <w:tc>
          <w:tcPr>
            <w:tcW w:w="1650" w:type="dxa"/>
            <w:vAlign w:val="center"/>
          </w:tcPr>
          <w:p w:rsidR="00CF426B" w:rsidRDefault="005F6DDD">
            <w:pPr>
              <w:jc w:val="center"/>
            </w:pPr>
            <w:r>
              <w:rPr>
                <w:color w:val="000000"/>
                <w:szCs w:val="21"/>
              </w:rPr>
              <w:t>5.05</w:t>
            </w:r>
          </w:p>
        </w:tc>
      </w:tr>
      <w:tr w:rsidR="00CF426B">
        <w:trPr>
          <w:jc w:val="center"/>
        </w:trPr>
        <w:tc>
          <w:tcPr>
            <w:tcW w:w="555" w:type="dxa"/>
            <w:vAlign w:val="center"/>
          </w:tcPr>
          <w:p w:rsidR="00CF426B" w:rsidRDefault="005F6DDD">
            <w:pPr>
              <w:jc w:val="center"/>
            </w:pPr>
            <w:r>
              <w:rPr>
                <w:color w:val="000000"/>
                <w:szCs w:val="21"/>
              </w:rPr>
              <w:t>16</w:t>
            </w:r>
          </w:p>
        </w:tc>
        <w:tc>
          <w:tcPr>
            <w:tcW w:w="2378" w:type="dxa"/>
            <w:vAlign w:val="center"/>
          </w:tcPr>
          <w:p w:rsidR="00CF426B" w:rsidRDefault="005F6DDD">
            <w:pPr>
              <w:jc w:val="center"/>
            </w:pPr>
            <w:r>
              <w:rPr>
                <w:color w:val="000000"/>
                <w:szCs w:val="21"/>
              </w:rPr>
              <w:t>Broadcom Inc</w:t>
            </w:r>
          </w:p>
        </w:tc>
        <w:tc>
          <w:tcPr>
            <w:tcW w:w="2552" w:type="dxa"/>
            <w:vAlign w:val="center"/>
          </w:tcPr>
          <w:p w:rsidR="00CF426B" w:rsidRDefault="005F6DDD">
            <w:pPr>
              <w:jc w:val="center"/>
            </w:pPr>
            <w:r>
              <w:rPr>
                <w:color w:val="000000"/>
                <w:szCs w:val="21"/>
              </w:rPr>
              <w:t>AVGO US</w:t>
            </w:r>
          </w:p>
        </w:tc>
        <w:tc>
          <w:tcPr>
            <w:tcW w:w="2130" w:type="dxa"/>
            <w:vAlign w:val="center"/>
          </w:tcPr>
          <w:p w:rsidR="00CF426B" w:rsidRDefault="005F6DDD">
            <w:pPr>
              <w:jc w:val="center"/>
            </w:pPr>
            <w:r>
              <w:rPr>
                <w:color w:val="000000"/>
                <w:szCs w:val="21"/>
              </w:rPr>
              <w:t>7,339,963.12</w:t>
            </w:r>
          </w:p>
        </w:tc>
        <w:tc>
          <w:tcPr>
            <w:tcW w:w="1650" w:type="dxa"/>
            <w:vAlign w:val="center"/>
          </w:tcPr>
          <w:p w:rsidR="00CF426B" w:rsidRDefault="005F6DDD">
            <w:pPr>
              <w:jc w:val="center"/>
            </w:pPr>
            <w:r>
              <w:rPr>
                <w:color w:val="000000"/>
                <w:szCs w:val="21"/>
              </w:rPr>
              <w:t>4.92</w:t>
            </w:r>
          </w:p>
        </w:tc>
      </w:tr>
      <w:tr w:rsidR="00CF426B">
        <w:trPr>
          <w:jc w:val="center"/>
        </w:trPr>
        <w:tc>
          <w:tcPr>
            <w:tcW w:w="555" w:type="dxa"/>
            <w:vAlign w:val="center"/>
          </w:tcPr>
          <w:p w:rsidR="00CF426B" w:rsidRDefault="005F6DDD">
            <w:pPr>
              <w:jc w:val="center"/>
            </w:pPr>
            <w:r>
              <w:rPr>
                <w:color w:val="000000"/>
                <w:szCs w:val="21"/>
              </w:rPr>
              <w:t>17</w:t>
            </w:r>
          </w:p>
        </w:tc>
        <w:tc>
          <w:tcPr>
            <w:tcW w:w="2378" w:type="dxa"/>
            <w:vAlign w:val="center"/>
          </w:tcPr>
          <w:p w:rsidR="00CF426B" w:rsidRDefault="005F6DDD">
            <w:pPr>
              <w:jc w:val="center"/>
            </w:pPr>
            <w:r>
              <w:rPr>
                <w:color w:val="000000"/>
                <w:szCs w:val="21"/>
              </w:rPr>
              <w:t>Costco Wholesale Corp</w:t>
            </w:r>
          </w:p>
        </w:tc>
        <w:tc>
          <w:tcPr>
            <w:tcW w:w="2552" w:type="dxa"/>
            <w:vAlign w:val="center"/>
          </w:tcPr>
          <w:p w:rsidR="00CF426B" w:rsidRDefault="005F6DDD">
            <w:pPr>
              <w:jc w:val="center"/>
            </w:pPr>
            <w:r>
              <w:rPr>
                <w:color w:val="000000"/>
                <w:szCs w:val="21"/>
              </w:rPr>
              <w:t>COST US</w:t>
            </w:r>
          </w:p>
        </w:tc>
        <w:tc>
          <w:tcPr>
            <w:tcW w:w="2130" w:type="dxa"/>
            <w:vAlign w:val="center"/>
          </w:tcPr>
          <w:p w:rsidR="00CF426B" w:rsidRDefault="005F6DDD">
            <w:pPr>
              <w:jc w:val="center"/>
            </w:pPr>
            <w:r>
              <w:rPr>
                <w:color w:val="000000"/>
                <w:szCs w:val="21"/>
              </w:rPr>
              <w:t>7,279,998.13</w:t>
            </w:r>
          </w:p>
        </w:tc>
        <w:tc>
          <w:tcPr>
            <w:tcW w:w="1650" w:type="dxa"/>
            <w:vAlign w:val="center"/>
          </w:tcPr>
          <w:p w:rsidR="00CF426B" w:rsidRDefault="005F6DDD">
            <w:pPr>
              <w:jc w:val="center"/>
            </w:pPr>
            <w:r>
              <w:rPr>
                <w:color w:val="000000"/>
                <w:szCs w:val="21"/>
              </w:rPr>
              <w:t>4.88</w:t>
            </w:r>
          </w:p>
        </w:tc>
      </w:tr>
      <w:tr w:rsidR="00CF426B">
        <w:trPr>
          <w:jc w:val="center"/>
        </w:trPr>
        <w:tc>
          <w:tcPr>
            <w:tcW w:w="555" w:type="dxa"/>
            <w:vAlign w:val="center"/>
          </w:tcPr>
          <w:p w:rsidR="00CF426B" w:rsidRDefault="005F6DDD">
            <w:pPr>
              <w:jc w:val="center"/>
            </w:pPr>
            <w:r>
              <w:rPr>
                <w:color w:val="000000"/>
                <w:szCs w:val="21"/>
              </w:rPr>
              <w:t>18</w:t>
            </w:r>
          </w:p>
        </w:tc>
        <w:tc>
          <w:tcPr>
            <w:tcW w:w="2378" w:type="dxa"/>
            <w:vAlign w:val="center"/>
          </w:tcPr>
          <w:p w:rsidR="00CF426B" w:rsidRDefault="005F6DDD">
            <w:pPr>
              <w:jc w:val="center"/>
            </w:pPr>
            <w:r>
              <w:rPr>
                <w:color w:val="000000"/>
                <w:szCs w:val="21"/>
              </w:rPr>
              <w:t>T-Mobile US Inc</w:t>
            </w:r>
          </w:p>
        </w:tc>
        <w:tc>
          <w:tcPr>
            <w:tcW w:w="2552" w:type="dxa"/>
            <w:vAlign w:val="center"/>
          </w:tcPr>
          <w:p w:rsidR="00CF426B" w:rsidRDefault="005F6DDD">
            <w:pPr>
              <w:jc w:val="center"/>
            </w:pPr>
            <w:r>
              <w:rPr>
                <w:color w:val="000000"/>
                <w:szCs w:val="21"/>
              </w:rPr>
              <w:t>TMUS US</w:t>
            </w:r>
          </w:p>
        </w:tc>
        <w:tc>
          <w:tcPr>
            <w:tcW w:w="2130" w:type="dxa"/>
            <w:vAlign w:val="center"/>
          </w:tcPr>
          <w:p w:rsidR="00CF426B" w:rsidRDefault="005F6DDD">
            <w:pPr>
              <w:jc w:val="center"/>
            </w:pPr>
            <w:r>
              <w:rPr>
                <w:color w:val="000000"/>
                <w:szCs w:val="21"/>
              </w:rPr>
              <w:t>7,103,856.53</w:t>
            </w:r>
          </w:p>
        </w:tc>
        <w:tc>
          <w:tcPr>
            <w:tcW w:w="1650" w:type="dxa"/>
            <w:vAlign w:val="center"/>
          </w:tcPr>
          <w:p w:rsidR="00CF426B" w:rsidRDefault="005F6DDD">
            <w:pPr>
              <w:jc w:val="center"/>
            </w:pPr>
            <w:r>
              <w:rPr>
                <w:color w:val="000000"/>
                <w:szCs w:val="21"/>
              </w:rPr>
              <w:t>4.77</w:t>
            </w:r>
          </w:p>
        </w:tc>
      </w:tr>
      <w:tr w:rsidR="00CF426B">
        <w:trPr>
          <w:jc w:val="center"/>
        </w:trPr>
        <w:tc>
          <w:tcPr>
            <w:tcW w:w="555" w:type="dxa"/>
            <w:vAlign w:val="center"/>
          </w:tcPr>
          <w:p w:rsidR="00CF426B" w:rsidRDefault="005F6DDD">
            <w:pPr>
              <w:jc w:val="center"/>
            </w:pPr>
            <w:r>
              <w:rPr>
                <w:color w:val="000000"/>
                <w:szCs w:val="21"/>
              </w:rPr>
              <w:t>19</w:t>
            </w:r>
          </w:p>
        </w:tc>
        <w:tc>
          <w:tcPr>
            <w:tcW w:w="2378" w:type="dxa"/>
            <w:vAlign w:val="center"/>
          </w:tcPr>
          <w:p w:rsidR="00CF426B" w:rsidRDefault="005F6DDD">
            <w:pPr>
              <w:jc w:val="center"/>
            </w:pPr>
            <w:r>
              <w:rPr>
                <w:color w:val="000000"/>
                <w:szCs w:val="21"/>
              </w:rPr>
              <w:t>Texas Instruments Inc</w:t>
            </w:r>
          </w:p>
        </w:tc>
        <w:tc>
          <w:tcPr>
            <w:tcW w:w="2552" w:type="dxa"/>
            <w:vAlign w:val="center"/>
          </w:tcPr>
          <w:p w:rsidR="00CF426B" w:rsidRDefault="005F6DDD">
            <w:pPr>
              <w:jc w:val="center"/>
            </w:pPr>
            <w:r>
              <w:rPr>
                <w:color w:val="000000"/>
                <w:szCs w:val="21"/>
              </w:rPr>
              <w:t>TXN US</w:t>
            </w:r>
          </w:p>
        </w:tc>
        <w:tc>
          <w:tcPr>
            <w:tcW w:w="2130" w:type="dxa"/>
            <w:vAlign w:val="center"/>
          </w:tcPr>
          <w:p w:rsidR="00CF426B" w:rsidRDefault="005F6DDD">
            <w:pPr>
              <w:jc w:val="center"/>
            </w:pPr>
            <w:r>
              <w:rPr>
                <w:color w:val="000000"/>
                <w:szCs w:val="21"/>
              </w:rPr>
              <w:t>6,392,395.97</w:t>
            </w:r>
          </w:p>
        </w:tc>
        <w:tc>
          <w:tcPr>
            <w:tcW w:w="1650" w:type="dxa"/>
            <w:vAlign w:val="center"/>
          </w:tcPr>
          <w:p w:rsidR="00CF426B" w:rsidRDefault="005F6DDD">
            <w:pPr>
              <w:jc w:val="center"/>
            </w:pPr>
            <w:r>
              <w:rPr>
                <w:color w:val="000000"/>
                <w:szCs w:val="21"/>
              </w:rPr>
              <w:t>4.29</w:t>
            </w:r>
          </w:p>
        </w:tc>
      </w:tr>
      <w:tr w:rsidR="00CF426B">
        <w:trPr>
          <w:jc w:val="center"/>
        </w:trPr>
        <w:tc>
          <w:tcPr>
            <w:tcW w:w="555" w:type="dxa"/>
            <w:vAlign w:val="center"/>
          </w:tcPr>
          <w:p w:rsidR="00CF426B" w:rsidRDefault="005F6DDD">
            <w:pPr>
              <w:jc w:val="center"/>
            </w:pPr>
            <w:r>
              <w:rPr>
                <w:color w:val="000000"/>
                <w:szCs w:val="21"/>
              </w:rPr>
              <w:t>20</w:t>
            </w:r>
          </w:p>
        </w:tc>
        <w:tc>
          <w:tcPr>
            <w:tcW w:w="2378" w:type="dxa"/>
            <w:vAlign w:val="center"/>
          </w:tcPr>
          <w:p w:rsidR="00CF426B" w:rsidRDefault="005F6DDD">
            <w:pPr>
              <w:jc w:val="center"/>
            </w:pPr>
            <w:r>
              <w:rPr>
                <w:color w:val="000000"/>
                <w:szCs w:val="21"/>
              </w:rPr>
              <w:t>Charter Communications Inc</w:t>
            </w:r>
          </w:p>
        </w:tc>
        <w:tc>
          <w:tcPr>
            <w:tcW w:w="2552" w:type="dxa"/>
            <w:vAlign w:val="center"/>
          </w:tcPr>
          <w:p w:rsidR="00CF426B" w:rsidRDefault="005F6DDD">
            <w:pPr>
              <w:jc w:val="center"/>
            </w:pPr>
            <w:r>
              <w:rPr>
                <w:color w:val="000000"/>
                <w:szCs w:val="21"/>
              </w:rPr>
              <w:t>CHTR US</w:t>
            </w:r>
          </w:p>
        </w:tc>
        <w:tc>
          <w:tcPr>
            <w:tcW w:w="2130" w:type="dxa"/>
            <w:vAlign w:val="center"/>
          </w:tcPr>
          <w:p w:rsidR="00CF426B" w:rsidRDefault="005F6DDD">
            <w:pPr>
              <w:jc w:val="center"/>
            </w:pPr>
            <w:r>
              <w:rPr>
                <w:color w:val="000000"/>
                <w:szCs w:val="21"/>
              </w:rPr>
              <w:t>5,969,796.07</w:t>
            </w:r>
          </w:p>
        </w:tc>
        <w:tc>
          <w:tcPr>
            <w:tcW w:w="1650" w:type="dxa"/>
            <w:vAlign w:val="center"/>
          </w:tcPr>
          <w:p w:rsidR="00CF426B" w:rsidRDefault="005F6DDD">
            <w:pPr>
              <w:jc w:val="center"/>
            </w:pPr>
            <w:r>
              <w:rPr>
                <w:color w:val="000000"/>
                <w:szCs w:val="21"/>
              </w:rPr>
              <w:t>4.01</w:t>
            </w:r>
          </w:p>
        </w:tc>
      </w:tr>
      <w:tr w:rsidR="00CF426B">
        <w:trPr>
          <w:jc w:val="center"/>
        </w:trPr>
        <w:tc>
          <w:tcPr>
            <w:tcW w:w="555" w:type="dxa"/>
            <w:vAlign w:val="center"/>
          </w:tcPr>
          <w:p w:rsidR="00CF426B" w:rsidRDefault="005F6DDD">
            <w:pPr>
              <w:jc w:val="center"/>
            </w:pPr>
            <w:r>
              <w:rPr>
                <w:color w:val="000000"/>
                <w:szCs w:val="21"/>
              </w:rPr>
              <w:t>21</w:t>
            </w:r>
          </w:p>
        </w:tc>
        <w:tc>
          <w:tcPr>
            <w:tcW w:w="2378" w:type="dxa"/>
            <w:vAlign w:val="center"/>
          </w:tcPr>
          <w:p w:rsidR="00CF426B" w:rsidRDefault="005F6DDD">
            <w:pPr>
              <w:jc w:val="center"/>
            </w:pPr>
            <w:r>
              <w:rPr>
                <w:color w:val="000000"/>
                <w:szCs w:val="21"/>
              </w:rPr>
              <w:t>Starbucks Corp</w:t>
            </w:r>
          </w:p>
        </w:tc>
        <w:tc>
          <w:tcPr>
            <w:tcW w:w="2552" w:type="dxa"/>
            <w:vAlign w:val="center"/>
          </w:tcPr>
          <w:p w:rsidR="00CF426B" w:rsidRDefault="005F6DDD">
            <w:pPr>
              <w:jc w:val="center"/>
            </w:pPr>
            <w:r>
              <w:rPr>
                <w:color w:val="000000"/>
                <w:szCs w:val="21"/>
              </w:rPr>
              <w:t>SBUX US</w:t>
            </w:r>
          </w:p>
        </w:tc>
        <w:tc>
          <w:tcPr>
            <w:tcW w:w="2130" w:type="dxa"/>
            <w:vAlign w:val="center"/>
          </w:tcPr>
          <w:p w:rsidR="00CF426B" w:rsidRDefault="005F6DDD">
            <w:pPr>
              <w:jc w:val="center"/>
            </w:pPr>
            <w:r>
              <w:rPr>
                <w:color w:val="000000"/>
                <w:szCs w:val="21"/>
              </w:rPr>
              <w:t>5,587,628.66</w:t>
            </w:r>
          </w:p>
        </w:tc>
        <w:tc>
          <w:tcPr>
            <w:tcW w:w="1650" w:type="dxa"/>
            <w:vAlign w:val="center"/>
          </w:tcPr>
          <w:p w:rsidR="00CF426B" w:rsidRDefault="005F6DDD">
            <w:pPr>
              <w:jc w:val="center"/>
            </w:pPr>
            <w:r>
              <w:rPr>
                <w:color w:val="000000"/>
                <w:szCs w:val="21"/>
              </w:rPr>
              <w:t>3.75</w:t>
            </w:r>
          </w:p>
        </w:tc>
      </w:tr>
      <w:tr w:rsidR="00CF426B">
        <w:trPr>
          <w:jc w:val="center"/>
        </w:trPr>
        <w:tc>
          <w:tcPr>
            <w:tcW w:w="555" w:type="dxa"/>
            <w:vAlign w:val="center"/>
          </w:tcPr>
          <w:p w:rsidR="00CF426B" w:rsidRDefault="005F6DDD">
            <w:pPr>
              <w:jc w:val="center"/>
            </w:pPr>
            <w:r>
              <w:rPr>
                <w:color w:val="000000"/>
                <w:szCs w:val="21"/>
              </w:rPr>
              <w:t>22</w:t>
            </w:r>
          </w:p>
        </w:tc>
        <w:tc>
          <w:tcPr>
            <w:tcW w:w="2378" w:type="dxa"/>
            <w:vAlign w:val="center"/>
          </w:tcPr>
          <w:p w:rsidR="00CF426B" w:rsidRDefault="005F6DDD">
            <w:pPr>
              <w:jc w:val="center"/>
            </w:pPr>
            <w:r>
              <w:rPr>
                <w:color w:val="000000"/>
                <w:szCs w:val="21"/>
              </w:rPr>
              <w:t>QUALCOMM Inc</w:t>
            </w:r>
          </w:p>
        </w:tc>
        <w:tc>
          <w:tcPr>
            <w:tcW w:w="2552" w:type="dxa"/>
            <w:vAlign w:val="center"/>
          </w:tcPr>
          <w:p w:rsidR="00CF426B" w:rsidRDefault="005F6DDD">
            <w:pPr>
              <w:jc w:val="center"/>
            </w:pPr>
            <w:r>
              <w:rPr>
                <w:color w:val="000000"/>
                <w:szCs w:val="21"/>
              </w:rPr>
              <w:t>QCOM US</w:t>
            </w:r>
          </w:p>
        </w:tc>
        <w:tc>
          <w:tcPr>
            <w:tcW w:w="2130" w:type="dxa"/>
            <w:vAlign w:val="center"/>
          </w:tcPr>
          <w:p w:rsidR="00CF426B" w:rsidRDefault="005F6DDD">
            <w:pPr>
              <w:jc w:val="center"/>
            </w:pPr>
            <w:r>
              <w:rPr>
                <w:color w:val="000000"/>
                <w:szCs w:val="21"/>
              </w:rPr>
              <w:t>5,523,491.96</w:t>
            </w:r>
          </w:p>
        </w:tc>
        <w:tc>
          <w:tcPr>
            <w:tcW w:w="1650" w:type="dxa"/>
            <w:vAlign w:val="center"/>
          </w:tcPr>
          <w:p w:rsidR="00CF426B" w:rsidRDefault="005F6DDD">
            <w:pPr>
              <w:jc w:val="center"/>
            </w:pPr>
            <w:r>
              <w:rPr>
                <w:color w:val="000000"/>
                <w:szCs w:val="21"/>
              </w:rPr>
              <w:t>3.71</w:t>
            </w:r>
          </w:p>
        </w:tc>
      </w:tr>
      <w:tr w:rsidR="00CF426B">
        <w:trPr>
          <w:jc w:val="center"/>
        </w:trPr>
        <w:tc>
          <w:tcPr>
            <w:tcW w:w="555" w:type="dxa"/>
            <w:vAlign w:val="center"/>
          </w:tcPr>
          <w:p w:rsidR="00CF426B" w:rsidRDefault="005F6DDD">
            <w:pPr>
              <w:jc w:val="center"/>
            </w:pPr>
            <w:r>
              <w:rPr>
                <w:color w:val="000000"/>
                <w:szCs w:val="21"/>
              </w:rPr>
              <w:t>23</w:t>
            </w:r>
          </w:p>
        </w:tc>
        <w:tc>
          <w:tcPr>
            <w:tcW w:w="2378" w:type="dxa"/>
            <w:vAlign w:val="center"/>
          </w:tcPr>
          <w:p w:rsidR="00CF426B" w:rsidRDefault="005F6DDD">
            <w:pPr>
              <w:jc w:val="center"/>
            </w:pPr>
            <w:r>
              <w:rPr>
                <w:color w:val="000000"/>
                <w:szCs w:val="21"/>
              </w:rPr>
              <w:t>Gilead Sciences Inc</w:t>
            </w:r>
          </w:p>
        </w:tc>
        <w:tc>
          <w:tcPr>
            <w:tcW w:w="2552" w:type="dxa"/>
            <w:vAlign w:val="center"/>
          </w:tcPr>
          <w:p w:rsidR="00CF426B" w:rsidRDefault="005F6DDD">
            <w:pPr>
              <w:jc w:val="center"/>
            </w:pPr>
            <w:r>
              <w:rPr>
                <w:color w:val="000000"/>
                <w:szCs w:val="21"/>
              </w:rPr>
              <w:t>GILD US</w:t>
            </w:r>
          </w:p>
        </w:tc>
        <w:tc>
          <w:tcPr>
            <w:tcW w:w="2130" w:type="dxa"/>
            <w:vAlign w:val="center"/>
          </w:tcPr>
          <w:p w:rsidR="00CF426B" w:rsidRDefault="005F6DDD">
            <w:pPr>
              <w:jc w:val="center"/>
            </w:pPr>
            <w:r>
              <w:rPr>
                <w:color w:val="000000"/>
                <w:szCs w:val="21"/>
              </w:rPr>
              <w:t>5,252,572.38</w:t>
            </w:r>
          </w:p>
        </w:tc>
        <w:tc>
          <w:tcPr>
            <w:tcW w:w="1650" w:type="dxa"/>
            <w:vAlign w:val="center"/>
          </w:tcPr>
          <w:p w:rsidR="00CF426B" w:rsidRDefault="005F6DDD">
            <w:pPr>
              <w:jc w:val="center"/>
            </w:pPr>
            <w:r>
              <w:rPr>
                <w:color w:val="000000"/>
                <w:szCs w:val="21"/>
              </w:rPr>
              <w:t>3.52</w:t>
            </w:r>
          </w:p>
        </w:tc>
      </w:tr>
      <w:tr w:rsidR="00CF426B">
        <w:trPr>
          <w:jc w:val="center"/>
        </w:trPr>
        <w:tc>
          <w:tcPr>
            <w:tcW w:w="555" w:type="dxa"/>
            <w:vAlign w:val="center"/>
          </w:tcPr>
          <w:p w:rsidR="00CF426B" w:rsidRDefault="005F6DDD">
            <w:pPr>
              <w:jc w:val="center"/>
            </w:pPr>
            <w:r>
              <w:rPr>
                <w:color w:val="000000"/>
                <w:szCs w:val="21"/>
              </w:rPr>
              <w:t>24</w:t>
            </w:r>
          </w:p>
        </w:tc>
        <w:tc>
          <w:tcPr>
            <w:tcW w:w="2378" w:type="dxa"/>
            <w:vAlign w:val="center"/>
          </w:tcPr>
          <w:p w:rsidR="00CF426B" w:rsidRDefault="005F6DDD">
            <w:pPr>
              <w:jc w:val="center"/>
            </w:pPr>
            <w:r>
              <w:rPr>
                <w:color w:val="000000"/>
                <w:szCs w:val="21"/>
              </w:rPr>
              <w:t>Booking Holdings Inc</w:t>
            </w:r>
          </w:p>
        </w:tc>
        <w:tc>
          <w:tcPr>
            <w:tcW w:w="2552" w:type="dxa"/>
            <w:vAlign w:val="center"/>
          </w:tcPr>
          <w:p w:rsidR="00CF426B" w:rsidRDefault="005F6DDD">
            <w:pPr>
              <w:jc w:val="center"/>
            </w:pPr>
            <w:r>
              <w:rPr>
                <w:color w:val="000000"/>
                <w:szCs w:val="21"/>
              </w:rPr>
              <w:t>BKNG US</w:t>
            </w:r>
          </w:p>
        </w:tc>
        <w:tc>
          <w:tcPr>
            <w:tcW w:w="2130" w:type="dxa"/>
            <w:vAlign w:val="center"/>
          </w:tcPr>
          <w:p w:rsidR="00CF426B" w:rsidRDefault="005F6DDD">
            <w:pPr>
              <w:jc w:val="center"/>
            </w:pPr>
            <w:r>
              <w:rPr>
                <w:color w:val="000000"/>
                <w:szCs w:val="21"/>
              </w:rPr>
              <w:t>4,281,999.58</w:t>
            </w:r>
          </w:p>
        </w:tc>
        <w:tc>
          <w:tcPr>
            <w:tcW w:w="1650" w:type="dxa"/>
            <w:vAlign w:val="center"/>
          </w:tcPr>
          <w:p w:rsidR="00CF426B" w:rsidRDefault="005F6DDD">
            <w:pPr>
              <w:jc w:val="center"/>
            </w:pPr>
            <w:r>
              <w:rPr>
                <w:color w:val="000000"/>
                <w:szCs w:val="21"/>
              </w:rPr>
              <w:t>2.87</w:t>
            </w:r>
          </w:p>
        </w:tc>
      </w:tr>
      <w:tr w:rsidR="00CF426B">
        <w:trPr>
          <w:jc w:val="center"/>
        </w:trPr>
        <w:tc>
          <w:tcPr>
            <w:tcW w:w="555" w:type="dxa"/>
            <w:vAlign w:val="center"/>
          </w:tcPr>
          <w:p w:rsidR="00CF426B" w:rsidRDefault="005F6DDD">
            <w:pPr>
              <w:jc w:val="center"/>
            </w:pPr>
            <w:r>
              <w:rPr>
                <w:color w:val="000000"/>
                <w:szCs w:val="21"/>
              </w:rPr>
              <w:t>25</w:t>
            </w:r>
          </w:p>
        </w:tc>
        <w:tc>
          <w:tcPr>
            <w:tcW w:w="2378" w:type="dxa"/>
            <w:vAlign w:val="center"/>
          </w:tcPr>
          <w:p w:rsidR="00CF426B" w:rsidRDefault="005F6DDD">
            <w:pPr>
              <w:jc w:val="center"/>
            </w:pPr>
            <w:r>
              <w:rPr>
                <w:color w:val="000000"/>
                <w:szCs w:val="21"/>
              </w:rPr>
              <w:t>Fiserv Inc</w:t>
            </w:r>
          </w:p>
        </w:tc>
        <w:tc>
          <w:tcPr>
            <w:tcW w:w="2552" w:type="dxa"/>
            <w:vAlign w:val="center"/>
          </w:tcPr>
          <w:p w:rsidR="00CF426B" w:rsidRDefault="005F6DDD">
            <w:pPr>
              <w:jc w:val="center"/>
            </w:pPr>
            <w:r>
              <w:rPr>
                <w:color w:val="000000"/>
                <w:szCs w:val="21"/>
              </w:rPr>
              <w:t>FISV US</w:t>
            </w:r>
          </w:p>
        </w:tc>
        <w:tc>
          <w:tcPr>
            <w:tcW w:w="2130" w:type="dxa"/>
            <w:vAlign w:val="center"/>
          </w:tcPr>
          <w:p w:rsidR="00CF426B" w:rsidRDefault="005F6DDD">
            <w:pPr>
              <w:jc w:val="center"/>
            </w:pPr>
            <w:r>
              <w:rPr>
                <w:color w:val="000000"/>
                <w:szCs w:val="21"/>
              </w:rPr>
              <w:t>4,256,616.47</w:t>
            </w:r>
          </w:p>
        </w:tc>
        <w:tc>
          <w:tcPr>
            <w:tcW w:w="1650" w:type="dxa"/>
            <w:vAlign w:val="center"/>
          </w:tcPr>
          <w:p w:rsidR="00CF426B" w:rsidRDefault="005F6DDD">
            <w:pPr>
              <w:jc w:val="center"/>
            </w:pPr>
            <w:r>
              <w:rPr>
                <w:color w:val="000000"/>
                <w:szCs w:val="21"/>
              </w:rPr>
              <w:t>2.86</w:t>
            </w:r>
          </w:p>
        </w:tc>
      </w:tr>
      <w:tr w:rsidR="00CF426B">
        <w:trPr>
          <w:jc w:val="center"/>
        </w:trPr>
        <w:tc>
          <w:tcPr>
            <w:tcW w:w="555" w:type="dxa"/>
            <w:vAlign w:val="center"/>
          </w:tcPr>
          <w:p w:rsidR="00CF426B" w:rsidRDefault="005F6DDD">
            <w:pPr>
              <w:jc w:val="center"/>
            </w:pPr>
            <w:r>
              <w:rPr>
                <w:color w:val="000000"/>
                <w:szCs w:val="21"/>
              </w:rPr>
              <w:t>26</w:t>
            </w:r>
          </w:p>
        </w:tc>
        <w:tc>
          <w:tcPr>
            <w:tcW w:w="2378" w:type="dxa"/>
            <w:vAlign w:val="center"/>
          </w:tcPr>
          <w:p w:rsidR="00CF426B" w:rsidRDefault="005F6DDD">
            <w:pPr>
              <w:jc w:val="center"/>
            </w:pPr>
            <w:r>
              <w:rPr>
                <w:color w:val="000000"/>
                <w:szCs w:val="21"/>
              </w:rPr>
              <w:t>Mondelez International Inc</w:t>
            </w:r>
          </w:p>
        </w:tc>
        <w:tc>
          <w:tcPr>
            <w:tcW w:w="2552" w:type="dxa"/>
            <w:vAlign w:val="center"/>
          </w:tcPr>
          <w:p w:rsidR="00CF426B" w:rsidRDefault="005F6DDD">
            <w:pPr>
              <w:jc w:val="center"/>
            </w:pPr>
            <w:r>
              <w:rPr>
                <w:color w:val="000000"/>
                <w:szCs w:val="21"/>
              </w:rPr>
              <w:t>MDLZ US</w:t>
            </w:r>
          </w:p>
        </w:tc>
        <w:tc>
          <w:tcPr>
            <w:tcW w:w="2130" w:type="dxa"/>
            <w:vAlign w:val="center"/>
          </w:tcPr>
          <w:p w:rsidR="00CF426B" w:rsidRDefault="005F6DDD">
            <w:pPr>
              <w:jc w:val="center"/>
            </w:pPr>
            <w:r>
              <w:rPr>
                <w:color w:val="000000"/>
                <w:szCs w:val="21"/>
              </w:rPr>
              <w:t>4,229,523.77</w:t>
            </w:r>
          </w:p>
        </w:tc>
        <w:tc>
          <w:tcPr>
            <w:tcW w:w="1650" w:type="dxa"/>
            <w:vAlign w:val="center"/>
          </w:tcPr>
          <w:p w:rsidR="00CF426B" w:rsidRDefault="005F6DDD">
            <w:pPr>
              <w:jc w:val="center"/>
            </w:pPr>
            <w:r>
              <w:rPr>
                <w:color w:val="000000"/>
                <w:szCs w:val="21"/>
              </w:rPr>
              <w:t>2.84</w:t>
            </w:r>
          </w:p>
        </w:tc>
      </w:tr>
      <w:tr w:rsidR="00CF426B">
        <w:trPr>
          <w:jc w:val="center"/>
        </w:trPr>
        <w:tc>
          <w:tcPr>
            <w:tcW w:w="555" w:type="dxa"/>
            <w:vAlign w:val="center"/>
          </w:tcPr>
          <w:p w:rsidR="00CF426B" w:rsidRDefault="005F6DDD">
            <w:pPr>
              <w:jc w:val="center"/>
            </w:pPr>
            <w:r>
              <w:rPr>
                <w:color w:val="000000"/>
                <w:szCs w:val="21"/>
              </w:rPr>
              <w:t>27</w:t>
            </w:r>
          </w:p>
        </w:tc>
        <w:tc>
          <w:tcPr>
            <w:tcW w:w="2378" w:type="dxa"/>
            <w:vAlign w:val="center"/>
          </w:tcPr>
          <w:p w:rsidR="00CF426B" w:rsidRDefault="005F6DDD">
            <w:pPr>
              <w:jc w:val="center"/>
            </w:pPr>
            <w:r>
              <w:rPr>
                <w:color w:val="000000"/>
                <w:szCs w:val="21"/>
              </w:rPr>
              <w:t>Intuit Inc</w:t>
            </w:r>
          </w:p>
        </w:tc>
        <w:tc>
          <w:tcPr>
            <w:tcW w:w="2552" w:type="dxa"/>
            <w:vAlign w:val="center"/>
          </w:tcPr>
          <w:p w:rsidR="00CF426B" w:rsidRDefault="005F6DDD">
            <w:pPr>
              <w:jc w:val="center"/>
            </w:pPr>
            <w:r>
              <w:rPr>
                <w:color w:val="000000"/>
                <w:szCs w:val="21"/>
              </w:rPr>
              <w:t>INTU US</w:t>
            </w:r>
          </w:p>
        </w:tc>
        <w:tc>
          <w:tcPr>
            <w:tcW w:w="2130" w:type="dxa"/>
            <w:vAlign w:val="center"/>
          </w:tcPr>
          <w:p w:rsidR="00CF426B" w:rsidRDefault="005F6DDD">
            <w:pPr>
              <w:jc w:val="center"/>
            </w:pPr>
            <w:r>
              <w:rPr>
                <w:color w:val="000000"/>
                <w:szCs w:val="21"/>
              </w:rPr>
              <w:t>4,055,822.27</w:t>
            </w:r>
          </w:p>
        </w:tc>
        <w:tc>
          <w:tcPr>
            <w:tcW w:w="1650" w:type="dxa"/>
            <w:vAlign w:val="center"/>
          </w:tcPr>
          <w:p w:rsidR="00CF426B" w:rsidRDefault="005F6DDD">
            <w:pPr>
              <w:jc w:val="center"/>
            </w:pPr>
            <w:r>
              <w:rPr>
                <w:color w:val="000000"/>
                <w:szCs w:val="21"/>
              </w:rPr>
              <w:t>2.72</w:t>
            </w:r>
          </w:p>
        </w:tc>
      </w:tr>
      <w:tr w:rsidR="00CF426B">
        <w:trPr>
          <w:jc w:val="center"/>
        </w:trPr>
        <w:tc>
          <w:tcPr>
            <w:tcW w:w="555" w:type="dxa"/>
            <w:vAlign w:val="center"/>
          </w:tcPr>
          <w:p w:rsidR="00CF426B" w:rsidRDefault="005F6DDD">
            <w:pPr>
              <w:jc w:val="center"/>
            </w:pPr>
            <w:r>
              <w:rPr>
                <w:color w:val="000000"/>
                <w:szCs w:val="21"/>
              </w:rPr>
              <w:t>28</w:t>
            </w:r>
          </w:p>
        </w:tc>
        <w:tc>
          <w:tcPr>
            <w:tcW w:w="2378" w:type="dxa"/>
            <w:vAlign w:val="center"/>
          </w:tcPr>
          <w:p w:rsidR="00CF426B" w:rsidRDefault="005F6DDD">
            <w:pPr>
              <w:jc w:val="center"/>
            </w:pPr>
            <w:r>
              <w:rPr>
                <w:color w:val="000000"/>
                <w:szCs w:val="21"/>
              </w:rPr>
              <w:t>Automatic Data Processing Inc</w:t>
            </w:r>
          </w:p>
        </w:tc>
        <w:tc>
          <w:tcPr>
            <w:tcW w:w="2552" w:type="dxa"/>
            <w:vAlign w:val="center"/>
          </w:tcPr>
          <w:p w:rsidR="00CF426B" w:rsidRDefault="005F6DDD">
            <w:pPr>
              <w:jc w:val="center"/>
            </w:pPr>
            <w:r>
              <w:rPr>
                <w:color w:val="000000"/>
                <w:szCs w:val="21"/>
              </w:rPr>
              <w:t>ADP US</w:t>
            </w:r>
          </w:p>
        </w:tc>
        <w:tc>
          <w:tcPr>
            <w:tcW w:w="2130" w:type="dxa"/>
            <w:vAlign w:val="center"/>
          </w:tcPr>
          <w:p w:rsidR="00CF426B" w:rsidRDefault="005F6DDD">
            <w:pPr>
              <w:jc w:val="center"/>
            </w:pPr>
            <w:r>
              <w:rPr>
                <w:color w:val="000000"/>
                <w:szCs w:val="21"/>
              </w:rPr>
              <w:t>3,943,342.58</w:t>
            </w:r>
          </w:p>
        </w:tc>
        <w:tc>
          <w:tcPr>
            <w:tcW w:w="1650" w:type="dxa"/>
            <w:vAlign w:val="center"/>
          </w:tcPr>
          <w:p w:rsidR="00CF426B" w:rsidRDefault="005F6DDD">
            <w:pPr>
              <w:jc w:val="center"/>
            </w:pPr>
            <w:r>
              <w:rPr>
                <w:color w:val="000000"/>
                <w:szCs w:val="21"/>
              </w:rPr>
              <w:t>2.65</w:t>
            </w:r>
          </w:p>
        </w:tc>
      </w:tr>
      <w:tr w:rsidR="00CF426B">
        <w:trPr>
          <w:jc w:val="center"/>
        </w:trPr>
        <w:tc>
          <w:tcPr>
            <w:tcW w:w="555" w:type="dxa"/>
            <w:vAlign w:val="center"/>
          </w:tcPr>
          <w:p w:rsidR="00CF426B" w:rsidRDefault="005F6DDD">
            <w:pPr>
              <w:jc w:val="center"/>
            </w:pPr>
            <w:r>
              <w:rPr>
                <w:color w:val="000000"/>
                <w:szCs w:val="21"/>
              </w:rPr>
              <w:t>29</w:t>
            </w:r>
          </w:p>
        </w:tc>
        <w:tc>
          <w:tcPr>
            <w:tcW w:w="2378" w:type="dxa"/>
            <w:vAlign w:val="center"/>
          </w:tcPr>
          <w:p w:rsidR="00CF426B" w:rsidRDefault="005F6DDD">
            <w:pPr>
              <w:jc w:val="center"/>
            </w:pPr>
            <w:r>
              <w:rPr>
                <w:color w:val="000000"/>
                <w:szCs w:val="21"/>
              </w:rPr>
              <w:t>Intuitive Surgical Inc</w:t>
            </w:r>
          </w:p>
        </w:tc>
        <w:tc>
          <w:tcPr>
            <w:tcW w:w="2552" w:type="dxa"/>
            <w:vAlign w:val="center"/>
          </w:tcPr>
          <w:p w:rsidR="00CF426B" w:rsidRDefault="005F6DDD">
            <w:pPr>
              <w:jc w:val="center"/>
            </w:pPr>
            <w:r>
              <w:rPr>
                <w:color w:val="000000"/>
                <w:szCs w:val="21"/>
              </w:rPr>
              <w:t>ISRG US</w:t>
            </w:r>
          </w:p>
        </w:tc>
        <w:tc>
          <w:tcPr>
            <w:tcW w:w="2130" w:type="dxa"/>
            <w:vAlign w:val="center"/>
          </w:tcPr>
          <w:p w:rsidR="00CF426B" w:rsidRDefault="005F6DDD">
            <w:pPr>
              <w:jc w:val="center"/>
            </w:pPr>
            <w:r>
              <w:rPr>
                <w:color w:val="000000"/>
                <w:szCs w:val="21"/>
              </w:rPr>
              <w:t>3,775,549.02</w:t>
            </w:r>
          </w:p>
        </w:tc>
        <w:tc>
          <w:tcPr>
            <w:tcW w:w="1650" w:type="dxa"/>
            <w:vAlign w:val="center"/>
          </w:tcPr>
          <w:p w:rsidR="00CF426B" w:rsidRDefault="005F6DDD">
            <w:pPr>
              <w:jc w:val="center"/>
            </w:pPr>
            <w:r>
              <w:rPr>
                <w:color w:val="000000"/>
                <w:szCs w:val="21"/>
              </w:rPr>
              <w:t>2.53</w:t>
            </w:r>
          </w:p>
        </w:tc>
      </w:tr>
      <w:tr w:rsidR="00CF426B">
        <w:trPr>
          <w:jc w:val="center"/>
        </w:trPr>
        <w:tc>
          <w:tcPr>
            <w:tcW w:w="555" w:type="dxa"/>
            <w:vAlign w:val="center"/>
          </w:tcPr>
          <w:p w:rsidR="00CF426B" w:rsidRDefault="005F6DDD">
            <w:pPr>
              <w:jc w:val="center"/>
            </w:pPr>
            <w:r>
              <w:rPr>
                <w:color w:val="000000"/>
                <w:szCs w:val="21"/>
              </w:rPr>
              <w:t>30</w:t>
            </w:r>
          </w:p>
        </w:tc>
        <w:tc>
          <w:tcPr>
            <w:tcW w:w="2378" w:type="dxa"/>
            <w:vAlign w:val="center"/>
          </w:tcPr>
          <w:p w:rsidR="00CF426B" w:rsidRDefault="005F6DDD">
            <w:pPr>
              <w:jc w:val="center"/>
            </w:pPr>
            <w:r>
              <w:rPr>
                <w:color w:val="000000"/>
                <w:szCs w:val="21"/>
              </w:rPr>
              <w:t>Advanced Micro Devices Inc</w:t>
            </w:r>
          </w:p>
        </w:tc>
        <w:tc>
          <w:tcPr>
            <w:tcW w:w="2552" w:type="dxa"/>
            <w:vAlign w:val="center"/>
          </w:tcPr>
          <w:p w:rsidR="00CF426B" w:rsidRDefault="005F6DDD">
            <w:pPr>
              <w:jc w:val="center"/>
            </w:pPr>
            <w:r>
              <w:rPr>
                <w:color w:val="000000"/>
                <w:szCs w:val="21"/>
              </w:rPr>
              <w:t>AMD US</w:t>
            </w:r>
          </w:p>
        </w:tc>
        <w:tc>
          <w:tcPr>
            <w:tcW w:w="2130" w:type="dxa"/>
            <w:vAlign w:val="center"/>
          </w:tcPr>
          <w:p w:rsidR="00CF426B" w:rsidRDefault="005F6DDD">
            <w:pPr>
              <w:jc w:val="center"/>
            </w:pPr>
            <w:r>
              <w:rPr>
                <w:color w:val="000000"/>
                <w:szCs w:val="21"/>
              </w:rPr>
              <w:t>3,694,370.64</w:t>
            </w:r>
          </w:p>
        </w:tc>
        <w:tc>
          <w:tcPr>
            <w:tcW w:w="1650" w:type="dxa"/>
            <w:vAlign w:val="center"/>
          </w:tcPr>
          <w:p w:rsidR="00CF426B" w:rsidRDefault="005F6DDD">
            <w:pPr>
              <w:jc w:val="center"/>
            </w:pPr>
            <w:r>
              <w:rPr>
                <w:color w:val="000000"/>
                <w:szCs w:val="21"/>
              </w:rPr>
              <w:t>2.48</w:t>
            </w:r>
          </w:p>
        </w:tc>
      </w:tr>
      <w:tr w:rsidR="00CF426B">
        <w:trPr>
          <w:jc w:val="center"/>
        </w:trPr>
        <w:tc>
          <w:tcPr>
            <w:tcW w:w="555" w:type="dxa"/>
            <w:vAlign w:val="center"/>
          </w:tcPr>
          <w:p w:rsidR="00CF426B" w:rsidRDefault="005F6DDD">
            <w:pPr>
              <w:jc w:val="center"/>
            </w:pPr>
            <w:r>
              <w:rPr>
                <w:color w:val="000000"/>
                <w:szCs w:val="21"/>
              </w:rPr>
              <w:t>31</w:t>
            </w:r>
          </w:p>
        </w:tc>
        <w:tc>
          <w:tcPr>
            <w:tcW w:w="2378" w:type="dxa"/>
            <w:vAlign w:val="center"/>
          </w:tcPr>
          <w:p w:rsidR="00CF426B" w:rsidRDefault="005F6DDD">
            <w:pPr>
              <w:jc w:val="center"/>
            </w:pPr>
            <w:r>
              <w:rPr>
                <w:color w:val="000000"/>
                <w:szCs w:val="21"/>
              </w:rPr>
              <w:t>Micron Technology Inc</w:t>
            </w:r>
          </w:p>
        </w:tc>
        <w:tc>
          <w:tcPr>
            <w:tcW w:w="2552" w:type="dxa"/>
            <w:vAlign w:val="center"/>
          </w:tcPr>
          <w:p w:rsidR="00CF426B" w:rsidRDefault="005F6DDD">
            <w:pPr>
              <w:jc w:val="center"/>
            </w:pPr>
            <w:r>
              <w:rPr>
                <w:color w:val="000000"/>
                <w:szCs w:val="21"/>
              </w:rPr>
              <w:t>MU US</w:t>
            </w:r>
          </w:p>
        </w:tc>
        <w:tc>
          <w:tcPr>
            <w:tcW w:w="2130" w:type="dxa"/>
            <w:vAlign w:val="center"/>
          </w:tcPr>
          <w:p w:rsidR="00CF426B" w:rsidRDefault="005F6DDD">
            <w:pPr>
              <w:jc w:val="center"/>
            </w:pPr>
            <w:r>
              <w:rPr>
                <w:color w:val="000000"/>
                <w:szCs w:val="21"/>
              </w:rPr>
              <w:t>3,587,338.47</w:t>
            </w:r>
          </w:p>
        </w:tc>
        <w:tc>
          <w:tcPr>
            <w:tcW w:w="1650" w:type="dxa"/>
            <w:vAlign w:val="center"/>
          </w:tcPr>
          <w:p w:rsidR="00CF426B" w:rsidRDefault="005F6DDD">
            <w:pPr>
              <w:jc w:val="center"/>
            </w:pPr>
            <w:r>
              <w:rPr>
                <w:color w:val="000000"/>
                <w:szCs w:val="21"/>
              </w:rPr>
              <w:t>2.41</w:t>
            </w:r>
          </w:p>
        </w:tc>
      </w:tr>
      <w:tr w:rsidR="00CF426B">
        <w:trPr>
          <w:jc w:val="center"/>
        </w:trPr>
        <w:tc>
          <w:tcPr>
            <w:tcW w:w="555" w:type="dxa"/>
            <w:vAlign w:val="center"/>
          </w:tcPr>
          <w:p w:rsidR="00CF426B" w:rsidRDefault="005F6DDD">
            <w:pPr>
              <w:jc w:val="center"/>
            </w:pPr>
            <w:r>
              <w:rPr>
                <w:color w:val="000000"/>
                <w:szCs w:val="21"/>
              </w:rPr>
              <w:t>32</w:t>
            </w:r>
          </w:p>
        </w:tc>
        <w:tc>
          <w:tcPr>
            <w:tcW w:w="2378" w:type="dxa"/>
            <w:vAlign w:val="center"/>
          </w:tcPr>
          <w:p w:rsidR="00CF426B" w:rsidRDefault="005F6DDD">
            <w:pPr>
              <w:jc w:val="center"/>
            </w:pPr>
            <w:r>
              <w:rPr>
                <w:color w:val="000000"/>
                <w:szCs w:val="21"/>
              </w:rPr>
              <w:t>Vertex Pharmaceuticals Inc</w:t>
            </w:r>
          </w:p>
        </w:tc>
        <w:tc>
          <w:tcPr>
            <w:tcW w:w="2552" w:type="dxa"/>
            <w:vAlign w:val="center"/>
          </w:tcPr>
          <w:p w:rsidR="00CF426B" w:rsidRDefault="005F6DDD">
            <w:pPr>
              <w:jc w:val="center"/>
            </w:pPr>
            <w:r>
              <w:rPr>
                <w:color w:val="000000"/>
                <w:szCs w:val="21"/>
              </w:rPr>
              <w:t>VRTX US</w:t>
            </w:r>
          </w:p>
        </w:tc>
        <w:tc>
          <w:tcPr>
            <w:tcW w:w="2130" w:type="dxa"/>
            <w:vAlign w:val="center"/>
          </w:tcPr>
          <w:p w:rsidR="00CF426B" w:rsidRDefault="005F6DDD">
            <w:pPr>
              <w:jc w:val="center"/>
            </w:pPr>
            <w:r>
              <w:rPr>
                <w:color w:val="000000"/>
                <w:szCs w:val="21"/>
              </w:rPr>
              <w:t>3,427,432.55</w:t>
            </w:r>
          </w:p>
        </w:tc>
        <w:tc>
          <w:tcPr>
            <w:tcW w:w="1650" w:type="dxa"/>
            <w:vAlign w:val="center"/>
          </w:tcPr>
          <w:p w:rsidR="00CF426B" w:rsidRDefault="005F6DDD">
            <w:pPr>
              <w:jc w:val="center"/>
            </w:pPr>
            <w:r>
              <w:rPr>
                <w:color w:val="000000"/>
                <w:szCs w:val="21"/>
              </w:rPr>
              <w:t>2.30</w:t>
            </w:r>
          </w:p>
        </w:tc>
      </w:tr>
      <w:tr w:rsidR="00CF426B">
        <w:trPr>
          <w:jc w:val="center"/>
        </w:trPr>
        <w:tc>
          <w:tcPr>
            <w:tcW w:w="555" w:type="dxa"/>
            <w:vAlign w:val="center"/>
          </w:tcPr>
          <w:p w:rsidR="00CF426B" w:rsidRDefault="005F6DDD">
            <w:pPr>
              <w:jc w:val="center"/>
            </w:pPr>
            <w:r>
              <w:rPr>
                <w:color w:val="000000"/>
                <w:szCs w:val="21"/>
              </w:rPr>
              <w:t>33</w:t>
            </w:r>
          </w:p>
        </w:tc>
        <w:tc>
          <w:tcPr>
            <w:tcW w:w="2378" w:type="dxa"/>
            <w:vAlign w:val="center"/>
          </w:tcPr>
          <w:p w:rsidR="00CF426B" w:rsidRDefault="005F6DDD">
            <w:pPr>
              <w:jc w:val="center"/>
            </w:pPr>
            <w:r>
              <w:rPr>
                <w:color w:val="000000"/>
                <w:szCs w:val="21"/>
              </w:rPr>
              <w:t>CSX Corp</w:t>
            </w:r>
          </w:p>
        </w:tc>
        <w:tc>
          <w:tcPr>
            <w:tcW w:w="2552" w:type="dxa"/>
            <w:vAlign w:val="center"/>
          </w:tcPr>
          <w:p w:rsidR="00CF426B" w:rsidRDefault="005F6DDD">
            <w:pPr>
              <w:jc w:val="center"/>
            </w:pPr>
            <w:r>
              <w:rPr>
                <w:color w:val="000000"/>
                <w:szCs w:val="21"/>
              </w:rPr>
              <w:t>CSX US</w:t>
            </w:r>
          </w:p>
        </w:tc>
        <w:tc>
          <w:tcPr>
            <w:tcW w:w="2130" w:type="dxa"/>
            <w:vAlign w:val="center"/>
          </w:tcPr>
          <w:p w:rsidR="00CF426B" w:rsidRDefault="005F6DDD">
            <w:pPr>
              <w:jc w:val="center"/>
            </w:pPr>
            <w:r>
              <w:rPr>
                <w:color w:val="000000"/>
                <w:szCs w:val="21"/>
              </w:rPr>
              <w:t>3,351,678.51</w:t>
            </w:r>
          </w:p>
        </w:tc>
        <w:tc>
          <w:tcPr>
            <w:tcW w:w="1650" w:type="dxa"/>
            <w:vAlign w:val="center"/>
          </w:tcPr>
          <w:p w:rsidR="00CF426B" w:rsidRDefault="005F6DDD">
            <w:pPr>
              <w:jc w:val="center"/>
            </w:pPr>
            <w:r>
              <w:rPr>
                <w:color w:val="000000"/>
                <w:szCs w:val="21"/>
              </w:rPr>
              <w:t>2.25</w:t>
            </w:r>
          </w:p>
        </w:tc>
      </w:tr>
      <w:tr w:rsidR="00CF426B">
        <w:trPr>
          <w:jc w:val="center"/>
        </w:trPr>
        <w:tc>
          <w:tcPr>
            <w:tcW w:w="555" w:type="dxa"/>
            <w:vAlign w:val="center"/>
          </w:tcPr>
          <w:p w:rsidR="00CF426B" w:rsidRDefault="005F6DDD">
            <w:pPr>
              <w:jc w:val="center"/>
            </w:pPr>
            <w:r>
              <w:rPr>
                <w:color w:val="000000"/>
                <w:szCs w:val="21"/>
              </w:rPr>
              <w:t>34</w:t>
            </w:r>
          </w:p>
        </w:tc>
        <w:tc>
          <w:tcPr>
            <w:tcW w:w="2378" w:type="dxa"/>
            <w:vAlign w:val="center"/>
          </w:tcPr>
          <w:p w:rsidR="00CF426B" w:rsidRDefault="005F6DDD">
            <w:pPr>
              <w:jc w:val="center"/>
            </w:pPr>
            <w:r>
              <w:rPr>
                <w:color w:val="000000"/>
                <w:szCs w:val="21"/>
              </w:rPr>
              <w:t>Applied Materials Inc</w:t>
            </w:r>
          </w:p>
        </w:tc>
        <w:tc>
          <w:tcPr>
            <w:tcW w:w="2552" w:type="dxa"/>
            <w:vAlign w:val="center"/>
          </w:tcPr>
          <w:p w:rsidR="00CF426B" w:rsidRDefault="005F6DDD">
            <w:pPr>
              <w:jc w:val="center"/>
            </w:pPr>
            <w:r>
              <w:rPr>
                <w:color w:val="000000"/>
                <w:szCs w:val="21"/>
              </w:rPr>
              <w:t>AMAT US</w:t>
            </w:r>
          </w:p>
        </w:tc>
        <w:tc>
          <w:tcPr>
            <w:tcW w:w="2130" w:type="dxa"/>
            <w:vAlign w:val="center"/>
          </w:tcPr>
          <w:p w:rsidR="00CF426B" w:rsidRDefault="005F6DDD">
            <w:pPr>
              <w:jc w:val="center"/>
            </w:pPr>
            <w:r>
              <w:rPr>
                <w:color w:val="000000"/>
                <w:szCs w:val="21"/>
              </w:rPr>
              <w:t>3,349,809.69</w:t>
            </w:r>
          </w:p>
        </w:tc>
        <w:tc>
          <w:tcPr>
            <w:tcW w:w="1650" w:type="dxa"/>
            <w:vAlign w:val="center"/>
          </w:tcPr>
          <w:p w:rsidR="00CF426B" w:rsidRDefault="005F6DDD">
            <w:pPr>
              <w:jc w:val="center"/>
            </w:pPr>
            <w:r>
              <w:rPr>
                <w:color w:val="000000"/>
                <w:szCs w:val="21"/>
              </w:rPr>
              <w:t>2.25</w:t>
            </w:r>
          </w:p>
        </w:tc>
      </w:tr>
      <w:tr w:rsidR="00CF426B">
        <w:trPr>
          <w:jc w:val="center"/>
        </w:trPr>
        <w:tc>
          <w:tcPr>
            <w:tcW w:w="555" w:type="dxa"/>
            <w:vAlign w:val="center"/>
          </w:tcPr>
          <w:p w:rsidR="00CF426B" w:rsidRDefault="005F6DDD">
            <w:pPr>
              <w:jc w:val="center"/>
            </w:pPr>
            <w:r>
              <w:rPr>
                <w:color w:val="000000"/>
                <w:szCs w:val="21"/>
              </w:rPr>
              <w:t>35</w:t>
            </w:r>
          </w:p>
        </w:tc>
        <w:tc>
          <w:tcPr>
            <w:tcW w:w="2378" w:type="dxa"/>
            <w:vAlign w:val="center"/>
          </w:tcPr>
          <w:p w:rsidR="00CF426B" w:rsidRDefault="005F6DDD">
            <w:pPr>
              <w:jc w:val="center"/>
            </w:pPr>
            <w:r>
              <w:rPr>
                <w:color w:val="000000"/>
                <w:szCs w:val="21"/>
              </w:rPr>
              <w:t>Biogen Inc</w:t>
            </w:r>
          </w:p>
        </w:tc>
        <w:tc>
          <w:tcPr>
            <w:tcW w:w="2552" w:type="dxa"/>
            <w:vAlign w:val="center"/>
          </w:tcPr>
          <w:p w:rsidR="00CF426B" w:rsidRDefault="005F6DDD">
            <w:pPr>
              <w:jc w:val="center"/>
            </w:pPr>
            <w:r>
              <w:rPr>
                <w:color w:val="000000"/>
                <w:szCs w:val="21"/>
              </w:rPr>
              <w:t>BIIB US</w:t>
            </w:r>
          </w:p>
        </w:tc>
        <w:tc>
          <w:tcPr>
            <w:tcW w:w="2130" w:type="dxa"/>
            <w:vAlign w:val="center"/>
          </w:tcPr>
          <w:p w:rsidR="00CF426B" w:rsidRDefault="005F6DDD">
            <w:pPr>
              <w:jc w:val="center"/>
            </w:pPr>
            <w:r>
              <w:rPr>
                <w:color w:val="000000"/>
                <w:szCs w:val="21"/>
              </w:rPr>
              <w:t>3,285,695.21</w:t>
            </w:r>
          </w:p>
        </w:tc>
        <w:tc>
          <w:tcPr>
            <w:tcW w:w="1650" w:type="dxa"/>
            <w:vAlign w:val="center"/>
          </w:tcPr>
          <w:p w:rsidR="00CF426B" w:rsidRDefault="005F6DDD">
            <w:pPr>
              <w:jc w:val="center"/>
            </w:pPr>
            <w:r>
              <w:rPr>
                <w:color w:val="000000"/>
                <w:szCs w:val="21"/>
              </w:rPr>
              <w:t>2.20</w:t>
            </w:r>
          </w:p>
        </w:tc>
      </w:tr>
    </w:tbl>
    <w:p w:rsidR="00CF426B" w:rsidRDefault="005F6DDD">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买入金额按买卖成交金额（成交单价乘以成交数量）填列，不考虑相关交易费用。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7.5.2</w:t>
      </w:r>
      <w:r w:rsidRPr="0087410D">
        <w:rPr>
          <w:rFonts w:ascii="宋体" w:hAnsi="宋体" w:hint="eastAsia"/>
          <w:b/>
          <w:szCs w:val="21"/>
        </w:rPr>
        <w:t>累计卖出金额超出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4583"/>
        <w:gridCol w:w="1007"/>
        <w:gridCol w:w="147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4583"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100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147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本期累计卖出金额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CF426B">
        <w:trPr>
          <w:jc w:val="center"/>
        </w:trPr>
        <w:tc>
          <w:tcPr>
            <w:tcW w:w="555" w:type="dxa"/>
            <w:vAlign w:val="center"/>
          </w:tcPr>
          <w:p w:rsidR="00CF426B" w:rsidRDefault="005F6DDD">
            <w:pPr>
              <w:jc w:val="center"/>
            </w:pPr>
            <w:r>
              <w:rPr>
                <w:color w:val="000000"/>
                <w:szCs w:val="21"/>
              </w:rPr>
              <w:t>1</w:t>
            </w:r>
          </w:p>
        </w:tc>
        <w:tc>
          <w:tcPr>
            <w:tcW w:w="4583" w:type="dxa"/>
            <w:vAlign w:val="center"/>
          </w:tcPr>
          <w:p w:rsidR="00CF426B" w:rsidRDefault="005F6DDD">
            <w:pPr>
              <w:jc w:val="center"/>
            </w:pPr>
            <w:r>
              <w:rPr>
                <w:color w:val="000000"/>
                <w:szCs w:val="21"/>
              </w:rPr>
              <w:t>Apple Inc</w:t>
            </w:r>
          </w:p>
        </w:tc>
        <w:tc>
          <w:tcPr>
            <w:tcW w:w="1007" w:type="dxa"/>
            <w:vAlign w:val="center"/>
          </w:tcPr>
          <w:p w:rsidR="00CF426B" w:rsidRDefault="005F6DDD">
            <w:pPr>
              <w:jc w:val="center"/>
            </w:pPr>
            <w:r>
              <w:rPr>
                <w:color w:val="000000"/>
                <w:szCs w:val="21"/>
              </w:rPr>
              <w:t>AAPL US</w:t>
            </w:r>
          </w:p>
        </w:tc>
        <w:tc>
          <w:tcPr>
            <w:tcW w:w="1470" w:type="dxa"/>
            <w:vAlign w:val="center"/>
          </w:tcPr>
          <w:p w:rsidR="00CF426B" w:rsidRDefault="005F6DDD">
            <w:pPr>
              <w:jc w:val="center"/>
            </w:pPr>
            <w:r>
              <w:rPr>
                <w:color w:val="000000"/>
                <w:szCs w:val="21"/>
              </w:rPr>
              <w:t>19,202,055.93</w:t>
            </w:r>
          </w:p>
        </w:tc>
        <w:tc>
          <w:tcPr>
            <w:tcW w:w="1650" w:type="dxa"/>
            <w:vAlign w:val="center"/>
          </w:tcPr>
          <w:p w:rsidR="00CF426B" w:rsidRDefault="005F6DDD">
            <w:pPr>
              <w:jc w:val="center"/>
            </w:pPr>
            <w:r>
              <w:rPr>
                <w:color w:val="000000"/>
                <w:szCs w:val="21"/>
              </w:rPr>
              <w:t>12.88</w:t>
            </w:r>
          </w:p>
        </w:tc>
      </w:tr>
      <w:tr w:rsidR="00CF426B">
        <w:trPr>
          <w:jc w:val="center"/>
        </w:trPr>
        <w:tc>
          <w:tcPr>
            <w:tcW w:w="555" w:type="dxa"/>
            <w:vAlign w:val="center"/>
          </w:tcPr>
          <w:p w:rsidR="00CF426B" w:rsidRDefault="005F6DDD">
            <w:pPr>
              <w:jc w:val="center"/>
            </w:pPr>
            <w:r>
              <w:rPr>
                <w:color w:val="000000"/>
                <w:szCs w:val="21"/>
              </w:rPr>
              <w:t>2</w:t>
            </w:r>
          </w:p>
        </w:tc>
        <w:tc>
          <w:tcPr>
            <w:tcW w:w="4583" w:type="dxa"/>
            <w:vAlign w:val="center"/>
          </w:tcPr>
          <w:p w:rsidR="00CF426B" w:rsidRDefault="005F6DDD">
            <w:pPr>
              <w:jc w:val="center"/>
            </w:pPr>
            <w:r>
              <w:rPr>
                <w:color w:val="000000"/>
                <w:szCs w:val="21"/>
              </w:rPr>
              <w:t>Microsoft Corp</w:t>
            </w:r>
          </w:p>
        </w:tc>
        <w:tc>
          <w:tcPr>
            <w:tcW w:w="1007" w:type="dxa"/>
            <w:vAlign w:val="center"/>
          </w:tcPr>
          <w:p w:rsidR="00CF426B" w:rsidRDefault="005F6DDD">
            <w:pPr>
              <w:jc w:val="center"/>
            </w:pPr>
            <w:r>
              <w:rPr>
                <w:color w:val="000000"/>
                <w:szCs w:val="21"/>
              </w:rPr>
              <w:t>MSFT US</w:t>
            </w:r>
          </w:p>
        </w:tc>
        <w:tc>
          <w:tcPr>
            <w:tcW w:w="1470" w:type="dxa"/>
            <w:vAlign w:val="center"/>
          </w:tcPr>
          <w:p w:rsidR="00CF426B" w:rsidRDefault="005F6DDD">
            <w:pPr>
              <w:jc w:val="center"/>
            </w:pPr>
            <w:r>
              <w:rPr>
                <w:color w:val="000000"/>
                <w:szCs w:val="21"/>
              </w:rPr>
              <w:t>18,290,010.61</w:t>
            </w:r>
          </w:p>
        </w:tc>
        <w:tc>
          <w:tcPr>
            <w:tcW w:w="1650" w:type="dxa"/>
            <w:vAlign w:val="center"/>
          </w:tcPr>
          <w:p w:rsidR="00CF426B" w:rsidRDefault="005F6DDD">
            <w:pPr>
              <w:jc w:val="center"/>
            </w:pPr>
            <w:r>
              <w:rPr>
                <w:color w:val="000000"/>
                <w:szCs w:val="21"/>
              </w:rPr>
              <w:t>12.27</w:t>
            </w:r>
          </w:p>
        </w:tc>
      </w:tr>
      <w:tr w:rsidR="00CF426B">
        <w:trPr>
          <w:jc w:val="center"/>
        </w:trPr>
        <w:tc>
          <w:tcPr>
            <w:tcW w:w="555" w:type="dxa"/>
            <w:vAlign w:val="center"/>
          </w:tcPr>
          <w:p w:rsidR="00CF426B" w:rsidRDefault="005F6DDD">
            <w:pPr>
              <w:jc w:val="center"/>
            </w:pPr>
            <w:r>
              <w:rPr>
                <w:color w:val="000000"/>
                <w:szCs w:val="21"/>
              </w:rPr>
              <w:t>3</w:t>
            </w:r>
          </w:p>
        </w:tc>
        <w:tc>
          <w:tcPr>
            <w:tcW w:w="4583" w:type="dxa"/>
            <w:vAlign w:val="center"/>
          </w:tcPr>
          <w:p w:rsidR="00CF426B" w:rsidRDefault="005F6DDD">
            <w:pPr>
              <w:jc w:val="center"/>
            </w:pPr>
            <w:r>
              <w:rPr>
                <w:color w:val="000000"/>
                <w:szCs w:val="21"/>
              </w:rPr>
              <w:t>Amazon.com Inc</w:t>
            </w:r>
          </w:p>
        </w:tc>
        <w:tc>
          <w:tcPr>
            <w:tcW w:w="1007" w:type="dxa"/>
            <w:vAlign w:val="center"/>
          </w:tcPr>
          <w:p w:rsidR="00CF426B" w:rsidRDefault="005F6DDD">
            <w:pPr>
              <w:jc w:val="center"/>
            </w:pPr>
            <w:r>
              <w:rPr>
                <w:color w:val="000000"/>
                <w:szCs w:val="21"/>
              </w:rPr>
              <w:t>AMZN US</w:t>
            </w:r>
          </w:p>
        </w:tc>
        <w:tc>
          <w:tcPr>
            <w:tcW w:w="1470" w:type="dxa"/>
            <w:vAlign w:val="center"/>
          </w:tcPr>
          <w:p w:rsidR="00CF426B" w:rsidRDefault="005F6DDD">
            <w:pPr>
              <w:jc w:val="center"/>
            </w:pPr>
            <w:r>
              <w:rPr>
                <w:color w:val="000000"/>
                <w:szCs w:val="21"/>
              </w:rPr>
              <w:t>11,759,859.47</w:t>
            </w:r>
          </w:p>
        </w:tc>
        <w:tc>
          <w:tcPr>
            <w:tcW w:w="1650" w:type="dxa"/>
            <w:vAlign w:val="center"/>
          </w:tcPr>
          <w:p w:rsidR="00CF426B" w:rsidRDefault="005F6DDD">
            <w:pPr>
              <w:jc w:val="center"/>
            </w:pPr>
            <w:r>
              <w:rPr>
                <w:color w:val="000000"/>
                <w:szCs w:val="21"/>
              </w:rPr>
              <w:t>7.89</w:t>
            </w:r>
          </w:p>
        </w:tc>
      </w:tr>
      <w:tr w:rsidR="00CF426B">
        <w:trPr>
          <w:jc w:val="center"/>
        </w:trPr>
        <w:tc>
          <w:tcPr>
            <w:tcW w:w="555" w:type="dxa"/>
            <w:vMerge w:val="restart"/>
            <w:vAlign w:val="center"/>
          </w:tcPr>
          <w:p w:rsidR="00CF426B" w:rsidRDefault="005F6DDD">
            <w:pPr>
              <w:jc w:val="center"/>
            </w:pPr>
            <w:r>
              <w:rPr>
                <w:color w:val="000000"/>
                <w:szCs w:val="21"/>
              </w:rPr>
              <w:t>4</w:t>
            </w:r>
          </w:p>
        </w:tc>
        <w:tc>
          <w:tcPr>
            <w:tcW w:w="4583" w:type="dxa"/>
            <w:vMerge w:val="restart"/>
            <w:vAlign w:val="center"/>
          </w:tcPr>
          <w:p w:rsidR="00CF426B" w:rsidRDefault="005F6DDD">
            <w:pPr>
              <w:jc w:val="center"/>
            </w:pPr>
            <w:r>
              <w:rPr>
                <w:color w:val="000000"/>
                <w:szCs w:val="21"/>
              </w:rPr>
              <w:t>Alphabet Inc</w:t>
            </w:r>
          </w:p>
        </w:tc>
        <w:tc>
          <w:tcPr>
            <w:tcW w:w="1007" w:type="dxa"/>
            <w:vAlign w:val="center"/>
          </w:tcPr>
          <w:p w:rsidR="00CF426B" w:rsidRDefault="005F6DDD">
            <w:pPr>
              <w:jc w:val="center"/>
            </w:pPr>
            <w:r>
              <w:rPr>
                <w:color w:val="000000"/>
                <w:szCs w:val="21"/>
              </w:rPr>
              <w:t>GOOG US</w:t>
            </w:r>
          </w:p>
        </w:tc>
        <w:tc>
          <w:tcPr>
            <w:tcW w:w="1470" w:type="dxa"/>
            <w:vAlign w:val="center"/>
          </w:tcPr>
          <w:p w:rsidR="00CF426B" w:rsidRDefault="005F6DDD">
            <w:pPr>
              <w:jc w:val="center"/>
            </w:pPr>
            <w:r>
              <w:rPr>
                <w:color w:val="000000"/>
                <w:szCs w:val="21"/>
              </w:rPr>
              <w:t>5,673,792.69</w:t>
            </w:r>
          </w:p>
        </w:tc>
        <w:tc>
          <w:tcPr>
            <w:tcW w:w="1650" w:type="dxa"/>
            <w:vAlign w:val="center"/>
          </w:tcPr>
          <w:p w:rsidR="00CF426B" w:rsidRDefault="005F6DDD">
            <w:pPr>
              <w:jc w:val="center"/>
            </w:pPr>
            <w:r>
              <w:rPr>
                <w:color w:val="000000"/>
                <w:szCs w:val="21"/>
              </w:rPr>
              <w:t>3.81</w:t>
            </w:r>
          </w:p>
        </w:tc>
      </w:tr>
      <w:tr w:rsidR="00CF426B">
        <w:trPr>
          <w:jc w:val="center"/>
        </w:trPr>
        <w:tc>
          <w:tcPr>
            <w:tcW w:w="555" w:type="dxa"/>
            <w:vMerge/>
          </w:tcPr>
          <w:p w:rsidR="00CF426B" w:rsidRDefault="00CF426B"/>
        </w:tc>
        <w:tc>
          <w:tcPr>
            <w:tcW w:w="4583" w:type="dxa"/>
            <w:vMerge/>
          </w:tcPr>
          <w:p w:rsidR="00CF426B" w:rsidRDefault="00CF426B"/>
        </w:tc>
        <w:tc>
          <w:tcPr>
            <w:tcW w:w="1007" w:type="dxa"/>
            <w:vAlign w:val="center"/>
          </w:tcPr>
          <w:p w:rsidR="00CF426B" w:rsidRDefault="005F6DDD">
            <w:pPr>
              <w:jc w:val="center"/>
            </w:pPr>
            <w:r>
              <w:rPr>
                <w:color w:val="000000"/>
                <w:szCs w:val="21"/>
              </w:rPr>
              <w:t>GOOGL US</w:t>
            </w:r>
          </w:p>
        </w:tc>
        <w:tc>
          <w:tcPr>
            <w:tcW w:w="1470" w:type="dxa"/>
            <w:vAlign w:val="center"/>
          </w:tcPr>
          <w:p w:rsidR="00CF426B" w:rsidRDefault="005F6DDD">
            <w:pPr>
              <w:jc w:val="center"/>
            </w:pPr>
            <w:r>
              <w:rPr>
                <w:color w:val="000000"/>
                <w:szCs w:val="21"/>
              </w:rPr>
              <w:t>5,284,946.64</w:t>
            </w:r>
          </w:p>
        </w:tc>
        <w:tc>
          <w:tcPr>
            <w:tcW w:w="1650" w:type="dxa"/>
            <w:vAlign w:val="center"/>
          </w:tcPr>
          <w:p w:rsidR="00CF426B" w:rsidRDefault="005F6DDD">
            <w:pPr>
              <w:jc w:val="center"/>
            </w:pPr>
            <w:r>
              <w:rPr>
                <w:color w:val="000000"/>
                <w:szCs w:val="21"/>
              </w:rPr>
              <w:t>3.55</w:t>
            </w:r>
          </w:p>
        </w:tc>
      </w:tr>
      <w:tr w:rsidR="00CF426B">
        <w:trPr>
          <w:jc w:val="center"/>
        </w:trPr>
        <w:tc>
          <w:tcPr>
            <w:tcW w:w="555" w:type="dxa"/>
            <w:vAlign w:val="center"/>
          </w:tcPr>
          <w:p w:rsidR="00CF426B" w:rsidRDefault="005F6DDD">
            <w:pPr>
              <w:jc w:val="center"/>
            </w:pPr>
            <w:r>
              <w:rPr>
                <w:color w:val="000000"/>
                <w:szCs w:val="21"/>
              </w:rPr>
              <w:t>5</w:t>
            </w:r>
          </w:p>
        </w:tc>
        <w:tc>
          <w:tcPr>
            <w:tcW w:w="4583" w:type="dxa"/>
            <w:vAlign w:val="center"/>
          </w:tcPr>
          <w:p w:rsidR="00CF426B" w:rsidRDefault="005F6DDD">
            <w:pPr>
              <w:jc w:val="center"/>
            </w:pPr>
            <w:r>
              <w:rPr>
                <w:color w:val="000000"/>
                <w:szCs w:val="21"/>
              </w:rPr>
              <w:t>Facebook Inc</w:t>
            </w:r>
          </w:p>
        </w:tc>
        <w:tc>
          <w:tcPr>
            <w:tcW w:w="1007" w:type="dxa"/>
            <w:vAlign w:val="center"/>
          </w:tcPr>
          <w:p w:rsidR="00CF426B" w:rsidRDefault="005F6DDD">
            <w:pPr>
              <w:jc w:val="center"/>
            </w:pPr>
            <w:r>
              <w:rPr>
                <w:color w:val="000000"/>
                <w:szCs w:val="21"/>
              </w:rPr>
              <w:t>FB US</w:t>
            </w:r>
          </w:p>
        </w:tc>
        <w:tc>
          <w:tcPr>
            <w:tcW w:w="1470" w:type="dxa"/>
            <w:vAlign w:val="center"/>
          </w:tcPr>
          <w:p w:rsidR="00CF426B" w:rsidRDefault="005F6DDD">
            <w:pPr>
              <w:jc w:val="center"/>
            </w:pPr>
            <w:r>
              <w:rPr>
                <w:color w:val="000000"/>
                <w:szCs w:val="21"/>
              </w:rPr>
              <w:t>7,526,415.06</w:t>
            </w:r>
          </w:p>
        </w:tc>
        <w:tc>
          <w:tcPr>
            <w:tcW w:w="1650" w:type="dxa"/>
            <w:vAlign w:val="center"/>
          </w:tcPr>
          <w:p w:rsidR="00CF426B" w:rsidRDefault="005F6DDD">
            <w:pPr>
              <w:jc w:val="center"/>
            </w:pPr>
            <w:r>
              <w:rPr>
                <w:color w:val="000000"/>
                <w:szCs w:val="21"/>
              </w:rPr>
              <w:t>5.05</w:t>
            </w:r>
          </w:p>
        </w:tc>
      </w:tr>
      <w:tr w:rsidR="00CF426B">
        <w:trPr>
          <w:jc w:val="center"/>
        </w:trPr>
        <w:tc>
          <w:tcPr>
            <w:tcW w:w="555" w:type="dxa"/>
            <w:vAlign w:val="center"/>
          </w:tcPr>
          <w:p w:rsidR="00CF426B" w:rsidRDefault="005F6DDD">
            <w:pPr>
              <w:jc w:val="center"/>
            </w:pPr>
            <w:r>
              <w:rPr>
                <w:color w:val="000000"/>
                <w:szCs w:val="21"/>
              </w:rPr>
              <w:t>6</w:t>
            </w:r>
          </w:p>
        </w:tc>
        <w:tc>
          <w:tcPr>
            <w:tcW w:w="4583" w:type="dxa"/>
            <w:vAlign w:val="center"/>
          </w:tcPr>
          <w:p w:rsidR="00CF426B" w:rsidRDefault="005F6DDD">
            <w:pPr>
              <w:jc w:val="center"/>
            </w:pPr>
            <w:r>
              <w:rPr>
                <w:color w:val="000000"/>
                <w:szCs w:val="21"/>
              </w:rPr>
              <w:t>Intel Corp</w:t>
            </w:r>
          </w:p>
        </w:tc>
        <w:tc>
          <w:tcPr>
            <w:tcW w:w="1007" w:type="dxa"/>
            <w:vAlign w:val="center"/>
          </w:tcPr>
          <w:p w:rsidR="00CF426B" w:rsidRDefault="005F6DDD">
            <w:pPr>
              <w:jc w:val="center"/>
            </w:pPr>
            <w:r>
              <w:rPr>
                <w:color w:val="000000"/>
                <w:szCs w:val="21"/>
              </w:rPr>
              <w:t>INTC US</w:t>
            </w:r>
          </w:p>
        </w:tc>
        <w:tc>
          <w:tcPr>
            <w:tcW w:w="1470" w:type="dxa"/>
            <w:vAlign w:val="center"/>
          </w:tcPr>
          <w:p w:rsidR="00CF426B" w:rsidRDefault="005F6DDD">
            <w:pPr>
              <w:jc w:val="center"/>
            </w:pPr>
            <w:r>
              <w:rPr>
                <w:color w:val="000000"/>
                <w:szCs w:val="21"/>
              </w:rPr>
              <w:t>4,892,442.32</w:t>
            </w:r>
          </w:p>
        </w:tc>
        <w:tc>
          <w:tcPr>
            <w:tcW w:w="1650" w:type="dxa"/>
            <w:vAlign w:val="center"/>
          </w:tcPr>
          <w:p w:rsidR="00CF426B" w:rsidRDefault="005F6DDD">
            <w:pPr>
              <w:jc w:val="center"/>
            </w:pPr>
            <w:r>
              <w:rPr>
                <w:color w:val="000000"/>
                <w:szCs w:val="21"/>
              </w:rPr>
              <w:t>3.28</w:t>
            </w:r>
          </w:p>
        </w:tc>
      </w:tr>
      <w:tr w:rsidR="00CF426B">
        <w:trPr>
          <w:jc w:val="center"/>
        </w:trPr>
        <w:tc>
          <w:tcPr>
            <w:tcW w:w="555" w:type="dxa"/>
            <w:vAlign w:val="center"/>
          </w:tcPr>
          <w:p w:rsidR="00CF426B" w:rsidRDefault="005F6DDD">
            <w:pPr>
              <w:jc w:val="center"/>
            </w:pPr>
            <w:r>
              <w:rPr>
                <w:color w:val="000000"/>
                <w:szCs w:val="21"/>
              </w:rPr>
              <w:t>7</w:t>
            </w:r>
          </w:p>
        </w:tc>
        <w:tc>
          <w:tcPr>
            <w:tcW w:w="4583" w:type="dxa"/>
            <w:vAlign w:val="center"/>
          </w:tcPr>
          <w:p w:rsidR="00CF426B" w:rsidRDefault="005F6DDD">
            <w:pPr>
              <w:jc w:val="center"/>
            </w:pPr>
            <w:r>
              <w:rPr>
                <w:color w:val="000000"/>
                <w:szCs w:val="21"/>
              </w:rPr>
              <w:t>Tesla Inc</w:t>
            </w:r>
          </w:p>
        </w:tc>
        <w:tc>
          <w:tcPr>
            <w:tcW w:w="1007" w:type="dxa"/>
            <w:vAlign w:val="center"/>
          </w:tcPr>
          <w:p w:rsidR="00CF426B" w:rsidRDefault="005F6DDD">
            <w:pPr>
              <w:jc w:val="center"/>
            </w:pPr>
            <w:r>
              <w:rPr>
                <w:color w:val="000000"/>
                <w:szCs w:val="21"/>
              </w:rPr>
              <w:t>TSLA US</w:t>
            </w:r>
          </w:p>
        </w:tc>
        <w:tc>
          <w:tcPr>
            <w:tcW w:w="1470" w:type="dxa"/>
            <w:vAlign w:val="center"/>
          </w:tcPr>
          <w:p w:rsidR="00CF426B" w:rsidRDefault="005F6DDD">
            <w:pPr>
              <w:jc w:val="center"/>
            </w:pPr>
            <w:r>
              <w:rPr>
                <w:color w:val="000000"/>
                <w:szCs w:val="21"/>
              </w:rPr>
              <w:t>3,681,503.31</w:t>
            </w:r>
          </w:p>
        </w:tc>
        <w:tc>
          <w:tcPr>
            <w:tcW w:w="1650" w:type="dxa"/>
            <w:vAlign w:val="center"/>
          </w:tcPr>
          <w:p w:rsidR="00CF426B" w:rsidRDefault="005F6DDD">
            <w:pPr>
              <w:jc w:val="center"/>
            </w:pPr>
            <w:r>
              <w:rPr>
                <w:color w:val="000000"/>
                <w:szCs w:val="21"/>
              </w:rPr>
              <w:t>2.47</w:t>
            </w:r>
          </w:p>
        </w:tc>
      </w:tr>
      <w:tr w:rsidR="00CF426B">
        <w:trPr>
          <w:jc w:val="center"/>
        </w:trPr>
        <w:tc>
          <w:tcPr>
            <w:tcW w:w="555" w:type="dxa"/>
            <w:vAlign w:val="center"/>
          </w:tcPr>
          <w:p w:rsidR="00CF426B" w:rsidRDefault="005F6DDD">
            <w:pPr>
              <w:jc w:val="center"/>
            </w:pPr>
            <w:r>
              <w:rPr>
                <w:color w:val="000000"/>
                <w:szCs w:val="21"/>
              </w:rPr>
              <w:t>8</w:t>
            </w:r>
          </w:p>
        </w:tc>
        <w:tc>
          <w:tcPr>
            <w:tcW w:w="4583" w:type="dxa"/>
            <w:vAlign w:val="center"/>
          </w:tcPr>
          <w:p w:rsidR="00CF426B" w:rsidRDefault="005F6DDD">
            <w:pPr>
              <w:jc w:val="center"/>
            </w:pPr>
            <w:r>
              <w:rPr>
                <w:color w:val="000000"/>
                <w:szCs w:val="21"/>
              </w:rPr>
              <w:t>NVIDIA Corp</w:t>
            </w:r>
          </w:p>
        </w:tc>
        <w:tc>
          <w:tcPr>
            <w:tcW w:w="1007" w:type="dxa"/>
            <w:vAlign w:val="center"/>
          </w:tcPr>
          <w:p w:rsidR="00CF426B" w:rsidRDefault="005F6DDD">
            <w:pPr>
              <w:jc w:val="center"/>
            </w:pPr>
            <w:r>
              <w:rPr>
                <w:color w:val="000000"/>
                <w:szCs w:val="21"/>
              </w:rPr>
              <w:t>NVDA US</w:t>
            </w:r>
          </w:p>
        </w:tc>
        <w:tc>
          <w:tcPr>
            <w:tcW w:w="1470" w:type="dxa"/>
            <w:vAlign w:val="center"/>
          </w:tcPr>
          <w:p w:rsidR="00CF426B" w:rsidRDefault="005F6DDD">
            <w:pPr>
              <w:jc w:val="center"/>
            </w:pPr>
            <w:r>
              <w:rPr>
                <w:color w:val="000000"/>
                <w:szCs w:val="21"/>
              </w:rPr>
              <w:t>3,640,398.81</w:t>
            </w:r>
          </w:p>
        </w:tc>
        <w:tc>
          <w:tcPr>
            <w:tcW w:w="1650" w:type="dxa"/>
            <w:vAlign w:val="center"/>
          </w:tcPr>
          <w:p w:rsidR="00CF426B" w:rsidRDefault="005F6DDD">
            <w:pPr>
              <w:jc w:val="center"/>
            </w:pPr>
            <w:r>
              <w:rPr>
                <w:color w:val="000000"/>
                <w:szCs w:val="21"/>
              </w:rPr>
              <w:t>2.44</w:t>
            </w:r>
          </w:p>
        </w:tc>
      </w:tr>
      <w:tr w:rsidR="00CF426B">
        <w:trPr>
          <w:jc w:val="center"/>
        </w:trPr>
        <w:tc>
          <w:tcPr>
            <w:tcW w:w="555" w:type="dxa"/>
            <w:vAlign w:val="center"/>
          </w:tcPr>
          <w:p w:rsidR="00CF426B" w:rsidRDefault="005F6DDD">
            <w:pPr>
              <w:jc w:val="center"/>
            </w:pPr>
            <w:r>
              <w:rPr>
                <w:color w:val="000000"/>
                <w:szCs w:val="21"/>
              </w:rPr>
              <w:t>9</w:t>
            </w:r>
          </w:p>
        </w:tc>
        <w:tc>
          <w:tcPr>
            <w:tcW w:w="4583" w:type="dxa"/>
            <w:vAlign w:val="center"/>
          </w:tcPr>
          <w:p w:rsidR="00CF426B" w:rsidRDefault="005F6DDD">
            <w:pPr>
              <w:jc w:val="center"/>
            </w:pPr>
            <w:r>
              <w:rPr>
                <w:color w:val="000000"/>
                <w:szCs w:val="21"/>
              </w:rPr>
              <w:t>Adobe Inc</w:t>
            </w:r>
          </w:p>
        </w:tc>
        <w:tc>
          <w:tcPr>
            <w:tcW w:w="1007" w:type="dxa"/>
            <w:vAlign w:val="center"/>
          </w:tcPr>
          <w:p w:rsidR="00CF426B" w:rsidRDefault="005F6DDD">
            <w:pPr>
              <w:jc w:val="center"/>
            </w:pPr>
            <w:r>
              <w:rPr>
                <w:color w:val="000000"/>
                <w:szCs w:val="21"/>
              </w:rPr>
              <w:t>ADBE US</w:t>
            </w:r>
          </w:p>
        </w:tc>
        <w:tc>
          <w:tcPr>
            <w:tcW w:w="1470" w:type="dxa"/>
            <w:vAlign w:val="center"/>
          </w:tcPr>
          <w:p w:rsidR="00CF426B" w:rsidRDefault="005F6DDD">
            <w:pPr>
              <w:jc w:val="center"/>
            </w:pPr>
            <w:r>
              <w:rPr>
                <w:color w:val="000000"/>
                <w:szCs w:val="21"/>
              </w:rPr>
              <w:t>3,518,199.20</w:t>
            </w:r>
          </w:p>
        </w:tc>
        <w:tc>
          <w:tcPr>
            <w:tcW w:w="1650" w:type="dxa"/>
            <w:vAlign w:val="center"/>
          </w:tcPr>
          <w:p w:rsidR="00CF426B" w:rsidRDefault="005F6DDD">
            <w:pPr>
              <w:jc w:val="center"/>
            </w:pPr>
            <w:r>
              <w:rPr>
                <w:color w:val="000000"/>
                <w:szCs w:val="21"/>
              </w:rPr>
              <w:t>2.36</w:t>
            </w:r>
          </w:p>
        </w:tc>
      </w:tr>
      <w:tr w:rsidR="00CF426B">
        <w:trPr>
          <w:jc w:val="center"/>
        </w:trPr>
        <w:tc>
          <w:tcPr>
            <w:tcW w:w="555" w:type="dxa"/>
            <w:vAlign w:val="center"/>
          </w:tcPr>
          <w:p w:rsidR="00CF426B" w:rsidRDefault="005F6DDD">
            <w:pPr>
              <w:jc w:val="center"/>
            </w:pPr>
            <w:r>
              <w:rPr>
                <w:color w:val="000000"/>
                <w:szCs w:val="21"/>
              </w:rPr>
              <w:t>10</w:t>
            </w:r>
          </w:p>
        </w:tc>
        <w:tc>
          <w:tcPr>
            <w:tcW w:w="4583" w:type="dxa"/>
            <w:vAlign w:val="center"/>
          </w:tcPr>
          <w:p w:rsidR="00CF426B" w:rsidRDefault="005F6DDD">
            <w:pPr>
              <w:jc w:val="center"/>
            </w:pPr>
            <w:r>
              <w:rPr>
                <w:color w:val="000000"/>
                <w:szCs w:val="21"/>
              </w:rPr>
              <w:t>Cisco Systems Inc</w:t>
            </w:r>
          </w:p>
        </w:tc>
        <w:tc>
          <w:tcPr>
            <w:tcW w:w="1007" w:type="dxa"/>
            <w:vAlign w:val="center"/>
          </w:tcPr>
          <w:p w:rsidR="00CF426B" w:rsidRDefault="005F6DDD">
            <w:pPr>
              <w:jc w:val="center"/>
            </w:pPr>
            <w:r>
              <w:rPr>
                <w:color w:val="000000"/>
                <w:szCs w:val="21"/>
              </w:rPr>
              <w:t>CSCO US</w:t>
            </w:r>
          </w:p>
        </w:tc>
        <w:tc>
          <w:tcPr>
            <w:tcW w:w="1470" w:type="dxa"/>
            <w:vAlign w:val="center"/>
          </w:tcPr>
          <w:p w:rsidR="00CF426B" w:rsidRDefault="005F6DDD">
            <w:pPr>
              <w:jc w:val="center"/>
            </w:pPr>
            <w:r>
              <w:rPr>
                <w:color w:val="000000"/>
                <w:szCs w:val="21"/>
              </w:rPr>
              <w:t>3,281,923.08</w:t>
            </w:r>
          </w:p>
        </w:tc>
        <w:tc>
          <w:tcPr>
            <w:tcW w:w="1650" w:type="dxa"/>
            <w:vAlign w:val="center"/>
          </w:tcPr>
          <w:p w:rsidR="00CF426B" w:rsidRDefault="005F6DDD">
            <w:pPr>
              <w:jc w:val="center"/>
            </w:pPr>
            <w:r>
              <w:rPr>
                <w:color w:val="000000"/>
                <w:szCs w:val="21"/>
              </w:rPr>
              <w:t>2.20</w:t>
            </w:r>
          </w:p>
        </w:tc>
      </w:tr>
      <w:tr w:rsidR="00CF426B">
        <w:trPr>
          <w:jc w:val="center"/>
        </w:trPr>
        <w:tc>
          <w:tcPr>
            <w:tcW w:w="555" w:type="dxa"/>
            <w:vAlign w:val="center"/>
          </w:tcPr>
          <w:p w:rsidR="00CF426B" w:rsidRDefault="005F6DDD">
            <w:pPr>
              <w:jc w:val="center"/>
            </w:pPr>
            <w:r>
              <w:rPr>
                <w:color w:val="000000"/>
                <w:szCs w:val="21"/>
              </w:rPr>
              <w:t>11</w:t>
            </w:r>
          </w:p>
        </w:tc>
        <w:tc>
          <w:tcPr>
            <w:tcW w:w="4583" w:type="dxa"/>
            <w:vAlign w:val="center"/>
          </w:tcPr>
          <w:p w:rsidR="00CF426B" w:rsidRDefault="005F6DDD">
            <w:pPr>
              <w:jc w:val="center"/>
            </w:pPr>
            <w:r>
              <w:rPr>
                <w:color w:val="000000"/>
                <w:szCs w:val="21"/>
              </w:rPr>
              <w:t>PayPal Holdings Inc</w:t>
            </w:r>
          </w:p>
        </w:tc>
        <w:tc>
          <w:tcPr>
            <w:tcW w:w="1007" w:type="dxa"/>
            <w:vAlign w:val="center"/>
          </w:tcPr>
          <w:p w:rsidR="00CF426B" w:rsidRDefault="005F6DDD">
            <w:pPr>
              <w:jc w:val="center"/>
            </w:pPr>
            <w:r>
              <w:rPr>
                <w:color w:val="000000"/>
                <w:szCs w:val="21"/>
              </w:rPr>
              <w:t>PYPL US</w:t>
            </w:r>
          </w:p>
        </w:tc>
        <w:tc>
          <w:tcPr>
            <w:tcW w:w="1470" w:type="dxa"/>
            <w:vAlign w:val="center"/>
          </w:tcPr>
          <w:p w:rsidR="00CF426B" w:rsidRDefault="005F6DDD">
            <w:pPr>
              <w:jc w:val="center"/>
            </w:pPr>
            <w:r>
              <w:rPr>
                <w:color w:val="000000"/>
                <w:szCs w:val="21"/>
              </w:rPr>
              <w:t>3,163,447.58</w:t>
            </w:r>
          </w:p>
        </w:tc>
        <w:tc>
          <w:tcPr>
            <w:tcW w:w="1650" w:type="dxa"/>
            <w:vAlign w:val="center"/>
          </w:tcPr>
          <w:p w:rsidR="00CF426B" w:rsidRDefault="005F6DDD">
            <w:pPr>
              <w:jc w:val="center"/>
            </w:pPr>
            <w:r>
              <w:rPr>
                <w:color w:val="000000"/>
                <w:szCs w:val="21"/>
              </w:rPr>
              <w:t>2.12</w:t>
            </w:r>
          </w:p>
        </w:tc>
      </w:tr>
      <w:tr w:rsidR="00CF426B">
        <w:trPr>
          <w:jc w:val="center"/>
        </w:trPr>
        <w:tc>
          <w:tcPr>
            <w:tcW w:w="555" w:type="dxa"/>
            <w:vAlign w:val="center"/>
          </w:tcPr>
          <w:p w:rsidR="00CF426B" w:rsidRDefault="005F6DDD">
            <w:pPr>
              <w:jc w:val="center"/>
            </w:pPr>
            <w:r>
              <w:rPr>
                <w:color w:val="000000"/>
                <w:szCs w:val="21"/>
              </w:rPr>
              <w:t>12</w:t>
            </w:r>
          </w:p>
        </w:tc>
        <w:tc>
          <w:tcPr>
            <w:tcW w:w="4583" w:type="dxa"/>
            <w:vAlign w:val="center"/>
          </w:tcPr>
          <w:p w:rsidR="00CF426B" w:rsidRDefault="005F6DDD">
            <w:pPr>
              <w:jc w:val="center"/>
            </w:pPr>
            <w:r>
              <w:rPr>
                <w:color w:val="000000"/>
                <w:szCs w:val="21"/>
              </w:rPr>
              <w:t>Comcast Corp</w:t>
            </w:r>
          </w:p>
        </w:tc>
        <w:tc>
          <w:tcPr>
            <w:tcW w:w="1007" w:type="dxa"/>
            <w:vAlign w:val="center"/>
          </w:tcPr>
          <w:p w:rsidR="00CF426B" w:rsidRDefault="005F6DDD">
            <w:pPr>
              <w:jc w:val="center"/>
            </w:pPr>
            <w:r>
              <w:rPr>
                <w:color w:val="000000"/>
                <w:szCs w:val="21"/>
              </w:rPr>
              <w:t>CMCSA US</w:t>
            </w:r>
          </w:p>
        </w:tc>
        <w:tc>
          <w:tcPr>
            <w:tcW w:w="1470" w:type="dxa"/>
            <w:vAlign w:val="center"/>
          </w:tcPr>
          <w:p w:rsidR="00CF426B" w:rsidRDefault="005F6DDD">
            <w:pPr>
              <w:jc w:val="center"/>
            </w:pPr>
            <w:r>
              <w:rPr>
                <w:color w:val="000000"/>
                <w:szCs w:val="21"/>
              </w:rPr>
              <w:t>2,934,780.65</w:t>
            </w:r>
          </w:p>
        </w:tc>
        <w:tc>
          <w:tcPr>
            <w:tcW w:w="1650" w:type="dxa"/>
            <w:vAlign w:val="center"/>
          </w:tcPr>
          <w:p w:rsidR="00CF426B" w:rsidRDefault="005F6DDD">
            <w:pPr>
              <w:jc w:val="center"/>
            </w:pPr>
            <w:r>
              <w:rPr>
                <w:color w:val="000000"/>
                <w:szCs w:val="21"/>
              </w:rPr>
              <w:t>1.97</w:t>
            </w:r>
          </w:p>
        </w:tc>
      </w:tr>
      <w:tr w:rsidR="00CF426B">
        <w:trPr>
          <w:jc w:val="center"/>
        </w:trPr>
        <w:tc>
          <w:tcPr>
            <w:tcW w:w="555" w:type="dxa"/>
            <w:vAlign w:val="center"/>
          </w:tcPr>
          <w:p w:rsidR="00CF426B" w:rsidRDefault="005F6DDD">
            <w:pPr>
              <w:jc w:val="center"/>
            </w:pPr>
            <w:r>
              <w:rPr>
                <w:color w:val="000000"/>
                <w:szCs w:val="21"/>
              </w:rPr>
              <w:t>13</w:t>
            </w:r>
          </w:p>
        </w:tc>
        <w:tc>
          <w:tcPr>
            <w:tcW w:w="4583" w:type="dxa"/>
            <w:vAlign w:val="center"/>
          </w:tcPr>
          <w:p w:rsidR="00CF426B" w:rsidRDefault="005F6DDD">
            <w:pPr>
              <w:jc w:val="center"/>
            </w:pPr>
            <w:r>
              <w:rPr>
                <w:color w:val="000000"/>
                <w:szCs w:val="21"/>
              </w:rPr>
              <w:t>Netflix Inc</w:t>
            </w:r>
          </w:p>
        </w:tc>
        <w:tc>
          <w:tcPr>
            <w:tcW w:w="1007" w:type="dxa"/>
            <w:vAlign w:val="center"/>
          </w:tcPr>
          <w:p w:rsidR="00CF426B" w:rsidRDefault="005F6DDD">
            <w:pPr>
              <w:jc w:val="center"/>
            </w:pPr>
            <w:r>
              <w:rPr>
                <w:color w:val="000000"/>
                <w:szCs w:val="21"/>
              </w:rPr>
              <w:t>NFLX US</w:t>
            </w:r>
          </w:p>
        </w:tc>
        <w:tc>
          <w:tcPr>
            <w:tcW w:w="1470" w:type="dxa"/>
            <w:vAlign w:val="center"/>
          </w:tcPr>
          <w:p w:rsidR="00CF426B" w:rsidRDefault="005F6DDD">
            <w:pPr>
              <w:jc w:val="center"/>
            </w:pPr>
            <w:r>
              <w:rPr>
                <w:color w:val="000000"/>
                <w:szCs w:val="21"/>
              </w:rPr>
              <w:t>2,632,384.02</w:t>
            </w:r>
          </w:p>
        </w:tc>
        <w:tc>
          <w:tcPr>
            <w:tcW w:w="1650" w:type="dxa"/>
            <w:vAlign w:val="center"/>
          </w:tcPr>
          <w:p w:rsidR="00CF426B" w:rsidRDefault="005F6DDD">
            <w:pPr>
              <w:jc w:val="center"/>
            </w:pPr>
            <w:r>
              <w:rPr>
                <w:color w:val="000000"/>
                <w:szCs w:val="21"/>
              </w:rPr>
              <w:t>1.77</w:t>
            </w:r>
          </w:p>
        </w:tc>
      </w:tr>
      <w:tr w:rsidR="00CF426B">
        <w:trPr>
          <w:jc w:val="center"/>
        </w:trPr>
        <w:tc>
          <w:tcPr>
            <w:tcW w:w="555" w:type="dxa"/>
            <w:vAlign w:val="center"/>
          </w:tcPr>
          <w:p w:rsidR="00CF426B" w:rsidRDefault="005F6DDD">
            <w:pPr>
              <w:jc w:val="center"/>
            </w:pPr>
            <w:r>
              <w:rPr>
                <w:color w:val="000000"/>
                <w:szCs w:val="21"/>
              </w:rPr>
              <w:t>14</w:t>
            </w:r>
          </w:p>
        </w:tc>
        <w:tc>
          <w:tcPr>
            <w:tcW w:w="4583" w:type="dxa"/>
            <w:vAlign w:val="center"/>
          </w:tcPr>
          <w:p w:rsidR="00CF426B" w:rsidRDefault="005F6DDD">
            <w:pPr>
              <w:jc w:val="center"/>
            </w:pPr>
            <w:r>
              <w:rPr>
                <w:color w:val="000000"/>
                <w:szCs w:val="21"/>
              </w:rPr>
              <w:t>PepsiCo Inc</w:t>
            </w:r>
          </w:p>
        </w:tc>
        <w:tc>
          <w:tcPr>
            <w:tcW w:w="1007" w:type="dxa"/>
            <w:vAlign w:val="center"/>
          </w:tcPr>
          <w:p w:rsidR="00CF426B" w:rsidRDefault="005F6DDD">
            <w:pPr>
              <w:jc w:val="center"/>
            </w:pPr>
            <w:r>
              <w:rPr>
                <w:color w:val="000000"/>
                <w:szCs w:val="21"/>
              </w:rPr>
              <w:t>PEP US</w:t>
            </w:r>
          </w:p>
        </w:tc>
        <w:tc>
          <w:tcPr>
            <w:tcW w:w="1470" w:type="dxa"/>
            <w:vAlign w:val="center"/>
          </w:tcPr>
          <w:p w:rsidR="00CF426B" w:rsidRDefault="005F6DDD">
            <w:pPr>
              <w:jc w:val="center"/>
            </w:pPr>
            <w:r>
              <w:rPr>
                <w:color w:val="000000"/>
                <w:szCs w:val="21"/>
              </w:rPr>
              <w:t>2,366,640.30</w:t>
            </w:r>
          </w:p>
        </w:tc>
        <w:tc>
          <w:tcPr>
            <w:tcW w:w="1650" w:type="dxa"/>
            <w:vAlign w:val="center"/>
          </w:tcPr>
          <w:p w:rsidR="00CF426B" w:rsidRDefault="005F6DDD">
            <w:pPr>
              <w:jc w:val="center"/>
            </w:pPr>
            <w:r>
              <w:rPr>
                <w:color w:val="000000"/>
                <w:szCs w:val="21"/>
              </w:rPr>
              <w:t>1.59</w:t>
            </w:r>
          </w:p>
        </w:tc>
      </w:tr>
      <w:tr w:rsidR="00CF426B">
        <w:trPr>
          <w:jc w:val="center"/>
        </w:trPr>
        <w:tc>
          <w:tcPr>
            <w:tcW w:w="555" w:type="dxa"/>
            <w:vAlign w:val="center"/>
          </w:tcPr>
          <w:p w:rsidR="00CF426B" w:rsidRDefault="005F6DDD">
            <w:pPr>
              <w:jc w:val="center"/>
            </w:pPr>
            <w:r>
              <w:rPr>
                <w:color w:val="000000"/>
                <w:szCs w:val="21"/>
              </w:rPr>
              <w:t>15</w:t>
            </w:r>
          </w:p>
        </w:tc>
        <w:tc>
          <w:tcPr>
            <w:tcW w:w="4583" w:type="dxa"/>
            <w:vAlign w:val="center"/>
          </w:tcPr>
          <w:p w:rsidR="00CF426B" w:rsidRDefault="005F6DDD">
            <w:pPr>
              <w:jc w:val="center"/>
            </w:pPr>
            <w:r>
              <w:rPr>
                <w:color w:val="000000"/>
                <w:szCs w:val="21"/>
              </w:rPr>
              <w:t>Amgen Inc</w:t>
            </w:r>
          </w:p>
        </w:tc>
        <w:tc>
          <w:tcPr>
            <w:tcW w:w="1007" w:type="dxa"/>
            <w:vAlign w:val="center"/>
          </w:tcPr>
          <w:p w:rsidR="00CF426B" w:rsidRDefault="005F6DDD">
            <w:pPr>
              <w:jc w:val="center"/>
            </w:pPr>
            <w:r>
              <w:rPr>
                <w:color w:val="000000"/>
                <w:szCs w:val="21"/>
              </w:rPr>
              <w:t>AMGN US</w:t>
            </w:r>
          </w:p>
        </w:tc>
        <w:tc>
          <w:tcPr>
            <w:tcW w:w="1470" w:type="dxa"/>
            <w:vAlign w:val="center"/>
          </w:tcPr>
          <w:p w:rsidR="00CF426B" w:rsidRDefault="005F6DDD">
            <w:pPr>
              <w:jc w:val="center"/>
            </w:pPr>
            <w:r>
              <w:rPr>
                <w:color w:val="000000"/>
                <w:szCs w:val="21"/>
              </w:rPr>
              <w:t>2,330,085.57</w:t>
            </w:r>
          </w:p>
        </w:tc>
        <w:tc>
          <w:tcPr>
            <w:tcW w:w="1650" w:type="dxa"/>
            <w:vAlign w:val="center"/>
          </w:tcPr>
          <w:p w:rsidR="00CF426B" w:rsidRDefault="005F6DDD">
            <w:pPr>
              <w:jc w:val="center"/>
            </w:pPr>
            <w:r>
              <w:rPr>
                <w:color w:val="000000"/>
                <w:szCs w:val="21"/>
              </w:rPr>
              <w:t>1.56</w:t>
            </w:r>
          </w:p>
        </w:tc>
      </w:tr>
      <w:tr w:rsidR="00CF426B">
        <w:trPr>
          <w:jc w:val="center"/>
        </w:trPr>
        <w:tc>
          <w:tcPr>
            <w:tcW w:w="555" w:type="dxa"/>
            <w:vAlign w:val="center"/>
          </w:tcPr>
          <w:p w:rsidR="00CF426B" w:rsidRDefault="005F6DDD">
            <w:pPr>
              <w:jc w:val="center"/>
            </w:pPr>
            <w:r>
              <w:rPr>
                <w:color w:val="000000"/>
                <w:szCs w:val="21"/>
              </w:rPr>
              <w:t>16</w:t>
            </w:r>
          </w:p>
        </w:tc>
        <w:tc>
          <w:tcPr>
            <w:tcW w:w="4583" w:type="dxa"/>
            <w:vAlign w:val="center"/>
          </w:tcPr>
          <w:p w:rsidR="00CF426B" w:rsidRDefault="005F6DDD">
            <w:pPr>
              <w:jc w:val="center"/>
            </w:pPr>
            <w:r>
              <w:rPr>
                <w:color w:val="000000"/>
                <w:szCs w:val="21"/>
              </w:rPr>
              <w:t>Broadcom Inc</w:t>
            </w:r>
          </w:p>
        </w:tc>
        <w:tc>
          <w:tcPr>
            <w:tcW w:w="1007" w:type="dxa"/>
            <w:vAlign w:val="center"/>
          </w:tcPr>
          <w:p w:rsidR="00CF426B" w:rsidRDefault="005F6DDD">
            <w:pPr>
              <w:jc w:val="center"/>
            </w:pPr>
            <w:r>
              <w:rPr>
                <w:color w:val="000000"/>
                <w:szCs w:val="21"/>
              </w:rPr>
              <w:t>AVGO US</w:t>
            </w:r>
          </w:p>
        </w:tc>
        <w:tc>
          <w:tcPr>
            <w:tcW w:w="1470" w:type="dxa"/>
            <w:vAlign w:val="center"/>
          </w:tcPr>
          <w:p w:rsidR="00CF426B" w:rsidRDefault="005F6DDD">
            <w:pPr>
              <w:jc w:val="center"/>
            </w:pPr>
            <w:r>
              <w:rPr>
                <w:color w:val="000000"/>
                <w:szCs w:val="21"/>
              </w:rPr>
              <w:t>2,221,447.91</w:t>
            </w:r>
          </w:p>
        </w:tc>
        <w:tc>
          <w:tcPr>
            <w:tcW w:w="1650" w:type="dxa"/>
            <w:vAlign w:val="center"/>
          </w:tcPr>
          <w:p w:rsidR="00CF426B" w:rsidRDefault="005F6DDD">
            <w:pPr>
              <w:jc w:val="center"/>
            </w:pPr>
            <w:r>
              <w:rPr>
                <w:color w:val="000000"/>
                <w:szCs w:val="21"/>
              </w:rPr>
              <w:t>1.49</w:t>
            </w:r>
          </w:p>
        </w:tc>
      </w:tr>
      <w:tr w:rsidR="00CF426B">
        <w:trPr>
          <w:jc w:val="center"/>
        </w:trPr>
        <w:tc>
          <w:tcPr>
            <w:tcW w:w="555" w:type="dxa"/>
            <w:vAlign w:val="center"/>
          </w:tcPr>
          <w:p w:rsidR="00CF426B" w:rsidRDefault="005F6DDD">
            <w:pPr>
              <w:jc w:val="center"/>
            </w:pPr>
            <w:r>
              <w:rPr>
                <w:color w:val="000000"/>
                <w:szCs w:val="21"/>
              </w:rPr>
              <w:t>17</w:t>
            </w:r>
          </w:p>
        </w:tc>
        <w:tc>
          <w:tcPr>
            <w:tcW w:w="4583" w:type="dxa"/>
            <w:vAlign w:val="center"/>
          </w:tcPr>
          <w:p w:rsidR="00CF426B" w:rsidRDefault="005F6DDD">
            <w:pPr>
              <w:jc w:val="center"/>
            </w:pPr>
            <w:r>
              <w:rPr>
                <w:color w:val="000000"/>
                <w:szCs w:val="21"/>
              </w:rPr>
              <w:t>Gilead Sciences Inc</w:t>
            </w:r>
          </w:p>
        </w:tc>
        <w:tc>
          <w:tcPr>
            <w:tcW w:w="1007" w:type="dxa"/>
            <w:vAlign w:val="center"/>
          </w:tcPr>
          <w:p w:rsidR="00CF426B" w:rsidRDefault="005F6DDD">
            <w:pPr>
              <w:jc w:val="center"/>
            </w:pPr>
            <w:r>
              <w:rPr>
                <w:color w:val="000000"/>
                <w:szCs w:val="21"/>
              </w:rPr>
              <w:t>GILD US</w:t>
            </w:r>
          </w:p>
        </w:tc>
        <w:tc>
          <w:tcPr>
            <w:tcW w:w="1470" w:type="dxa"/>
            <w:vAlign w:val="center"/>
          </w:tcPr>
          <w:p w:rsidR="00CF426B" w:rsidRDefault="005F6DDD">
            <w:pPr>
              <w:jc w:val="center"/>
            </w:pPr>
            <w:r>
              <w:rPr>
                <w:color w:val="000000"/>
                <w:szCs w:val="21"/>
              </w:rPr>
              <w:t>1,847,944.28</w:t>
            </w:r>
          </w:p>
        </w:tc>
        <w:tc>
          <w:tcPr>
            <w:tcW w:w="1650" w:type="dxa"/>
            <w:vAlign w:val="center"/>
          </w:tcPr>
          <w:p w:rsidR="00CF426B" w:rsidRDefault="005F6DDD">
            <w:pPr>
              <w:jc w:val="center"/>
            </w:pPr>
            <w:r>
              <w:rPr>
                <w:color w:val="000000"/>
                <w:szCs w:val="21"/>
              </w:rPr>
              <w:t>1.24</w:t>
            </w:r>
          </w:p>
        </w:tc>
      </w:tr>
      <w:tr w:rsidR="00CF426B">
        <w:trPr>
          <w:jc w:val="center"/>
        </w:trPr>
        <w:tc>
          <w:tcPr>
            <w:tcW w:w="555" w:type="dxa"/>
            <w:vAlign w:val="center"/>
          </w:tcPr>
          <w:p w:rsidR="00CF426B" w:rsidRDefault="005F6DDD">
            <w:pPr>
              <w:jc w:val="center"/>
            </w:pPr>
            <w:r>
              <w:rPr>
                <w:color w:val="000000"/>
                <w:szCs w:val="21"/>
              </w:rPr>
              <w:t>18</w:t>
            </w:r>
          </w:p>
        </w:tc>
        <w:tc>
          <w:tcPr>
            <w:tcW w:w="4583" w:type="dxa"/>
            <w:vAlign w:val="center"/>
          </w:tcPr>
          <w:p w:rsidR="00CF426B" w:rsidRDefault="005F6DDD">
            <w:pPr>
              <w:jc w:val="center"/>
            </w:pPr>
            <w:r>
              <w:rPr>
                <w:color w:val="000000"/>
                <w:szCs w:val="21"/>
              </w:rPr>
              <w:t>T-Mobile US Inc</w:t>
            </w:r>
          </w:p>
        </w:tc>
        <w:tc>
          <w:tcPr>
            <w:tcW w:w="1007" w:type="dxa"/>
            <w:vAlign w:val="center"/>
          </w:tcPr>
          <w:p w:rsidR="00CF426B" w:rsidRDefault="005F6DDD">
            <w:pPr>
              <w:jc w:val="center"/>
            </w:pPr>
            <w:r>
              <w:rPr>
                <w:color w:val="000000"/>
                <w:szCs w:val="21"/>
              </w:rPr>
              <w:t>TMUS US</w:t>
            </w:r>
          </w:p>
        </w:tc>
        <w:tc>
          <w:tcPr>
            <w:tcW w:w="1470" w:type="dxa"/>
            <w:vAlign w:val="center"/>
          </w:tcPr>
          <w:p w:rsidR="00CF426B" w:rsidRDefault="005F6DDD">
            <w:pPr>
              <w:jc w:val="center"/>
            </w:pPr>
            <w:r>
              <w:rPr>
                <w:color w:val="000000"/>
                <w:szCs w:val="21"/>
              </w:rPr>
              <w:t>1,745,994.07</w:t>
            </w:r>
          </w:p>
        </w:tc>
        <w:tc>
          <w:tcPr>
            <w:tcW w:w="1650" w:type="dxa"/>
            <w:vAlign w:val="center"/>
          </w:tcPr>
          <w:p w:rsidR="00CF426B" w:rsidRDefault="005F6DDD">
            <w:pPr>
              <w:jc w:val="center"/>
            </w:pPr>
            <w:r>
              <w:rPr>
                <w:color w:val="000000"/>
                <w:szCs w:val="21"/>
              </w:rPr>
              <w:t>1.17</w:t>
            </w:r>
          </w:p>
        </w:tc>
      </w:tr>
      <w:tr w:rsidR="00CF426B">
        <w:trPr>
          <w:jc w:val="center"/>
        </w:trPr>
        <w:tc>
          <w:tcPr>
            <w:tcW w:w="555" w:type="dxa"/>
            <w:vAlign w:val="center"/>
          </w:tcPr>
          <w:p w:rsidR="00CF426B" w:rsidRDefault="005F6DDD">
            <w:pPr>
              <w:jc w:val="center"/>
            </w:pPr>
            <w:r>
              <w:rPr>
                <w:color w:val="000000"/>
                <w:szCs w:val="21"/>
              </w:rPr>
              <w:t>19</w:t>
            </w:r>
          </w:p>
        </w:tc>
        <w:tc>
          <w:tcPr>
            <w:tcW w:w="4583" w:type="dxa"/>
            <w:vAlign w:val="center"/>
          </w:tcPr>
          <w:p w:rsidR="00CF426B" w:rsidRDefault="005F6DDD">
            <w:pPr>
              <w:jc w:val="center"/>
            </w:pPr>
            <w:r>
              <w:rPr>
                <w:color w:val="000000"/>
                <w:szCs w:val="21"/>
              </w:rPr>
              <w:t>Costco Wholesale Corp</w:t>
            </w:r>
          </w:p>
        </w:tc>
        <w:tc>
          <w:tcPr>
            <w:tcW w:w="1007" w:type="dxa"/>
            <w:vAlign w:val="center"/>
          </w:tcPr>
          <w:p w:rsidR="00CF426B" w:rsidRDefault="005F6DDD">
            <w:pPr>
              <w:jc w:val="center"/>
            </w:pPr>
            <w:r>
              <w:rPr>
                <w:color w:val="000000"/>
                <w:szCs w:val="21"/>
              </w:rPr>
              <w:t>COST US</w:t>
            </w:r>
          </w:p>
        </w:tc>
        <w:tc>
          <w:tcPr>
            <w:tcW w:w="1470" w:type="dxa"/>
            <w:vAlign w:val="center"/>
          </w:tcPr>
          <w:p w:rsidR="00CF426B" w:rsidRDefault="005F6DDD">
            <w:pPr>
              <w:jc w:val="center"/>
            </w:pPr>
            <w:r>
              <w:rPr>
                <w:color w:val="000000"/>
                <w:szCs w:val="21"/>
              </w:rPr>
              <w:t>1,687,433.58</w:t>
            </w:r>
          </w:p>
        </w:tc>
        <w:tc>
          <w:tcPr>
            <w:tcW w:w="1650" w:type="dxa"/>
            <w:vAlign w:val="center"/>
          </w:tcPr>
          <w:p w:rsidR="00CF426B" w:rsidRDefault="005F6DDD">
            <w:pPr>
              <w:jc w:val="center"/>
            </w:pPr>
            <w:r>
              <w:rPr>
                <w:color w:val="000000"/>
                <w:szCs w:val="21"/>
              </w:rPr>
              <w:t>1.13</w:t>
            </w:r>
          </w:p>
        </w:tc>
      </w:tr>
      <w:tr w:rsidR="00CF426B">
        <w:trPr>
          <w:jc w:val="center"/>
        </w:trPr>
        <w:tc>
          <w:tcPr>
            <w:tcW w:w="555" w:type="dxa"/>
            <w:vAlign w:val="center"/>
          </w:tcPr>
          <w:p w:rsidR="00CF426B" w:rsidRDefault="005F6DDD">
            <w:pPr>
              <w:jc w:val="center"/>
            </w:pPr>
            <w:r>
              <w:rPr>
                <w:color w:val="000000"/>
                <w:szCs w:val="21"/>
              </w:rPr>
              <w:t>20</w:t>
            </w:r>
          </w:p>
        </w:tc>
        <w:tc>
          <w:tcPr>
            <w:tcW w:w="4583" w:type="dxa"/>
            <w:vAlign w:val="center"/>
          </w:tcPr>
          <w:p w:rsidR="00CF426B" w:rsidRDefault="005F6DDD">
            <w:pPr>
              <w:jc w:val="center"/>
            </w:pPr>
            <w:r>
              <w:rPr>
                <w:color w:val="000000"/>
                <w:szCs w:val="21"/>
              </w:rPr>
              <w:t>Texas Instruments Inc</w:t>
            </w:r>
          </w:p>
        </w:tc>
        <w:tc>
          <w:tcPr>
            <w:tcW w:w="1007" w:type="dxa"/>
            <w:vAlign w:val="center"/>
          </w:tcPr>
          <w:p w:rsidR="00CF426B" w:rsidRDefault="005F6DDD">
            <w:pPr>
              <w:jc w:val="center"/>
            </w:pPr>
            <w:r>
              <w:rPr>
                <w:color w:val="000000"/>
                <w:szCs w:val="21"/>
              </w:rPr>
              <w:t>TXN US</w:t>
            </w:r>
          </w:p>
        </w:tc>
        <w:tc>
          <w:tcPr>
            <w:tcW w:w="1470" w:type="dxa"/>
            <w:vAlign w:val="center"/>
          </w:tcPr>
          <w:p w:rsidR="00CF426B" w:rsidRDefault="005F6DDD">
            <w:pPr>
              <w:jc w:val="center"/>
            </w:pPr>
            <w:r>
              <w:rPr>
                <w:color w:val="000000"/>
                <w:szCs w:val="21"/>
              </w:rPr>
              <w:t>1,673,090.78</w:t>
            </w:r>
          </w:p>
        </w:tc>
        <w:tc>
          <w:tcPr>
            <w:tcW w:w="1650" w:type="dxa"/>
            <w:vAlign w:val="center"/>
          </w:tcPr>
          <w:p w:rsidR="00CF426B" w:rsidRDefault="005F6DDD">
            <w:pPr>
              <w:jc w:val="center"/>
            </w:pPr>
            <w:r>
              <w:rPr>
                <w:color w:val="000000"/>
                <w:szCs w:val="21"/>
              </w:rPr>
              <w:t>1.12</w:t>
            </w:r>
          </w:p>
        </w:tc>
      </w:tr>
    </w:tbl>
    <w:p w:rsidR="00CF426B" w:rsidRDefault="005F6DDD">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卖出金额按买卖成交金额（成交单价乘以成交数量）填列，不考虑相关交易费用。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7.5.3</w:t>
      </w:r>
      <w:r w:rsidRPr="0087410D">
        <w:rPr>
          <w:rFonts w:ascii="宋体" w:hAnsi="宋体" w:hint="eastAsia"/>
          <w:b/>
          <w:szCs w:val="21"/>
        </w:rPr>
        <w:t>权益投资的买入成本总额及卖出收入总额</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27"/>
        <w:gridCol w:w="5629"/>
      </w:tblGrid>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买入成本（成交）总额</w:t>
            </w:r>
          </w:p>
        </w:tc>
        <w:tc>
          <w:tcPr>
            <w:tcW w:w="5629" w:type="dxa"/>
            <w:vAlign w:val="center"/>
          </w:tcPr>
          <w:p w:rsidR="00711C4C" w:rsidRPr="00D749D4" w:rsidRDefault="00711C4C" w:rsidP="004A4847">
            <w:pPr>
              <w:jc w:val="right"/>
              <w:rPr>
                <w:szCs w:val="21"/>
              </w:rPr>
            </w:pPr>
            <w:r w:rsidRPr="00D749D4">
              <w:rPr>
                <w:szCs w:val="21"/>
              </w:rPr>
              <w:t>529,535,174.78</w:t>
            </w:r>
          </w:p>
        </w:tc>
      </w:tr>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卖出收入（成交）总额</w:t>
            </w:r>
          </w:p>
        </w:tc>
        <w:tc>
          <w:tcPr>
            <w:tcW w:w="5629" w:type="dxa"/>
            <w:vAlign w:val="center"/>
          </w:tcPr>
          <w:p w:rsidR="00711C4C" w:rsidRPr="00D749D4" w:rsidRDefault="00711C4C" w:rsidP="004A4847">
            <w:pPr>
              <w:jc w:val="right"/>
              <w:rPr>
                <w:szCs w:val="21"/>
              </w:rPr>
            </w:pPr>
            <w:r w:rsidRPr="00D749D4">
              <w:rPr>
                <w:szCs w:val="21"/>
              </w:rPr>
              <w:t>148,312,509.56</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买入成本</w:t>
      </w:r>
      <w:r w:rsidRPr="00D749D4">
        <w:rPr>
          <w:kern w:val="0"/>
          <w:szCs w:val="21"/>
        </w:rPr>
        <w:t>”</w:t>
      </w:r>
      <w:r w:rsidRPr="00D749D4">
        <w:rPr>
          <w:kern w:val="0"/>
          <w:szCs w:val="21"/>
        </w:rPr>
        <w:t>或</w:t>
      </w:r>
      <w:r w:rsidRPr="00D749D4">
        <w:rPr>
          <w:kern w:val="0"/>
          <w:szCs w:val="21"/>
        </w:rPr>
        <w:t>“</w:t>
      </w:r>
      <w:r w:rsidRPr="00D749D4">
        <w:rPr>
          <w:kern w:val="0"/>
          <w:szCs w:val="21"/>
        </w:rPr>
        <w:t>卖出收入</w:t>
      </w:r>
      <w:r w:rsidRPr="00D749D4">
        <w:rPr>
          <w:kern w:val="0"/>
          <w:szCs w:val="21"/>
        </w:rPr>
        <w:t>”</w:t>
      </w:r>
      <w:r w:rsidRPr="00D749D4">
        <w:rPr>
          <w:kern w:val="0"/>
          <w:szCs w:val="21"/>
        </w:rPr>
        <w:t>均按买卖成交金额（成交单价乘以成交数量）填列，不考虑相关交易费用。</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27" w:name="_Toc224618381"/>
      <w:bookmarkStart w:id="228" w:name="_Toc248233028"/>
      <w:bookmarkStart w:id="229" w:name="_Toc249790560"/>
      <w:bookmarkStart w:id="230" w:name="_Toc286929761"/>
      <w:bookmarkStart w:id="231" w:name="_Toc352256000"/>
      <w:bookmarkStart w:id="232" w:name="_Toc352256068"/>
      <w:bookmarkStart w:id="233" w:name="_Toc352331246"/>
      <w:bookmarkStart w:id="234" w:name="_Toc374611674"/>
      <w:bookmarkStart w:id="235" w:name="_Toc48664242"/>
      <w:r w:rsidRPr="0087410D">
        <w:rPr>
          <w:rFonts w:ascii="宋体" w:hAnsi="宋体"/>
          <w:kern w:val="0"/>
          <w:sz w:val="21"/>
          <w:szCs w:val="21"/>
        </w:rPr>
        <w:t>7.6</w:t>
      </w:r>
      <w:r w:rsidR="00BE2F8C" w:rsidRPr="006B4E2C">
        <w:rPr>
          <w:rFonts w:ascii="宋体" w:hAnsi="宋体"/>
          <w:kern w:val="0"/>
          <w:sz w:val="21"/>
          <w:szCs w:val="21"/>
        </w:rPr>
        <w:tab/>
      </w:r>
      <w:r w:rsidRPr="0087410D">
        <w:rPr>
          <w:rFonts w:ascii="宋体" w:hAnsi="宋体" w:hint="eastAsia"/>
          <w:kern w:val="0"/>
          <w:sz w:val="21"/>
          <w:szCs w:val="21"/>
        </w:rPr>
        <w:t>期末按债券信用等级分类的债券投资组合</w:t>
      </w:r>
      <w:bookmarkEnd w:id="227"/>
      <w:bookmarkEnd w:id="228"/>
      <w:bookmarkEnd w:id="229"/>
      <w:bookmarkEnd w:id="230"/>
      <w:bookmarkEnd w:id="231"/>
      <w:bookmarkEnd w:id="232"/>
      <w:bookmarkEnd w:id="233"/>
      <w:bookmarkEnd w:id="234"/>
      <w:bookmarkEnd w:id="23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36" w:name="_Toc224618382"/>
      <w:bookmarkStart w:id="237" w:name="_Toc248233029"/>
      <w:bookmarkStart w:id="238" w:name="_Toc249790561"/>
      <w:bookmarkStart w:id="239" w:name="_Toc286929762"/>
      <w:bookmarkStart w:id="240" w:name="_Toc352256001"/>
      <w:bookmarkStart w:id="241" w:name="_Toc352256069"/>
      <w:bookmarkStart w:id="242" w:name="_Toc352331247"/>
      <w:bookmarkStart w:id="243" w:name="_Toc374611675"/>
      <w:bookmarkStart w:id="244" w:name="_Toc48664243"/>
      <w:r w:rsidRPr="0087410D">
        <w:rPr>
          <w:rFonts w:ascii="宋体" w:hAnsi="宋体"/>
          <w:kern w:val="0"/>
          <w:sz w:val="21"/>
          <w:szCs w:val="21"/>
        </w:rPr>
        <w:t>7.7</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的前五名债券投资明细</w:t>
      </w:r>
      <w:bookmarkEnd w:id="236"/>
      <w:bookmarkEnd w:id="237"/>
      <w:bookmarkEnd w:id="238"/>
      <w:bookmarkEnd w:id="239"/>
      <w:bookmarkEnd w:id="240"/>
      <w:bookmarkEnd w:id="241"/>
      <w:bookmarkEnd w:id="242"/>
      <w:bookmarkEnd w:id="243"/>
      <w:bookmarkEnd w:id="244"/>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45" w:name="_Toc224618383"/>
      <w:bookmarkStart w:id="246" w:name="_Toc248233030"/>
      <w:bookmarkStart w:id="247" w:name="_Toc249790562"/>
      <w:bookmarkStart w:id="248" w:name="_Toc286929763"/>
      <w:bookmarkStart w:id="249" w:name="_Toc352256002"/>
      <w:bookmarkStart w:id="250" w:name="_Toc352256070"/>
      <w:bookmarkStart w:id="251" w:name="_Toc352331248"/>
      <w:bookmarkStart w:id="252" w:name="_Toc374611676"/>
      <w:bookmarkStart w:id="253" w:name="_Toc48664244"/>
      <w:r w:rsidRPr="0087410D">
        <w:rPr>
          <w:rFonts w:ascii="宋体" w:hAnsi="宋体"/>
          <w:kern w:val="0"/>
          <w:sz w:val="21"/>
          <w:szCs w:val="21"/>
        </w:rPr>
        <w:t>7.8</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的所有资产支持证券投资明细</w:t>
      </w:r>
      <w:bookmarkEnd w:id="245"/>
      <w:bookmarkEnd w:id="246"/>
      <w:bookmarkEnd w:id="247"/>
      <w:bookmarkEnd w:id="248"/>
      <w:bookmarkEnd w:id="249"/>
      <w:bookmarkEnd w:id="250"/>
      <w:bookmarkEnd w:id="251"/>
      <w:bookmarkEnd w:id="252"/>
      <w:bookmarkEnd w:id="253"/>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本基金本报告期末未持有资产支持证券。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54" w:name="_Toc224618384"/>
      <w:bookmarkStart w:id="255" w:name="_Toc248233031"/>
      <w:bookmarkStart w:id="256" w:name="_Toc249790563"/>
      <w:bookmarkStart w:id="257" w:name="_Toc286929764"/>
      <w:bookmarkStart w:id="258" w:name="_Toc352256003"/>
      <w:bookmarkStart w:id="259" w:name="_Toc352256071"/>
      <w:bookmarkStart w:id="260" w:name="_Toc352331249"/>
      <w:bookmarkStart w:id="261" w:name="_Toc374611677"/>
      <w:bookmarkStart w:id="262" w:name="_Toc48664245"/>
      <w:r w:rsidRPr="0087410D">
        <w:rPr>
          <w:rFonts w:ascii="宋体" w:hAnsi="宋体"/>
          <w:kern w:val="0"/>
          <w:sz w:val="21"/>
          <w:szCs w:val="21"/>
        </w:rPr>
        <w:t>7.9</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的前五名金融衍生品投资明细</w:t>
      </w:r>
      <w:bookmarkEnd w:id="254"/>
      <w:bookmarkEnd w:id="255"/>
      <w:bookmarkEnd w:id="256"/>
      <w:bookmarkEnd w:id="257"/>
      <w:bookmarkEnd w:id="258"/>
      <w:bookmarkEnd w:id="259"/>
      <w:bookmarkEnd w:id="260"/>
      <w:bookmarkEnd w:id="261"/>
      <w:bookmarkEnd w:id="262"/>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8"/>
        <w:gridCol w:w="1808"/>
        <w:gridCol w:w="1701"/>
        <w:gridCol w:w="2960"/>
        <w:gridCol w:w="1849"/>
      </w:tblGrid>
      <w:tr w:rsidR="00711C4C" w:rsidRPr="00D749D4" w:rsidTr="004A4847">
        <w:trPr>
          <w:trHeight w:val="285"/>
          <w:jc w:val="center"/>
        </w:trPr>
        <w:tc>
          <w:tcPr>
            <w:tcW w:w="1038" w:type="dxa"/>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1808" w:type="dxa"/>
            <w:vAlign w:val="center"/>
          </w:tcPr>
          <w:p w:rsidR="00711C4C" w:rsidRPr="00D749D4" w:rsidRDefault="00711C4C" w:rsidP="004A4847">
            <w:pPr>
              <w:jc w:val="center"/>
              <w:rPr>
                <w:color w:val="000000"/>
                <w:szCs w:val="21"/>
              </w:rPr>
            </w:pPr>
            <w:r w:rsidRPr="00D749D4">
              <w:rPr>
                <w:rFonts w:hint="eastAsia"/>
                <w:color w:val="000000"/>
                <w:szCs w:val="21"/>
              </w:rPr>
              <w:t>衍生品类别</w:t>
            </w:r>
          </w:p>
        </w:tc>
        <w:tc>
          <w:tcPr>
            <w:tcW w:w="1701" w:type="dxa"/>
            <w:vAlign w:val="center"/>
          </w:tcPr>
          <w:p w:rsidR="00711C4C" w:rsidRPr="00D749D4" w:rsidRDefault="00711C4C" w:rsidP="004A4847">
            <w:pPr>
              <w:jc w:val="center"/>
              <w:rPr>
                <w:color w:val="000000"/>
                <w:szCs w:val="21"/>
              </w:rPr>
            </w:pPr>
            <w:r w:rsidRPr="00D749D4">
              <w:rPr>
                <w:rFonts w:hint="eastAsia"/>
                <w:color w:val="000000"/>
                <w:szCs w:val="21"/>
              </w:rPr>
              <w:t>衍生品名称</w:t>
            </w:r>
          </w:p>
        </w:tc>
        <w:tc>
          <w:tcPr>
            <w:tcW w:w="2960" w:type="dxa"/>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1849" w:type="dxa"/>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r>
              <w:rPr>
                <w:rFonts w:hint="eastAsia"/>
                <w:color w:val="000000"/>
                <w:szCs w:val="21"/>
              </w:rPr>
              <w:t>（％）</w:t>
            </w:r>
          </w:p>
        </w:tc>
      </w:tr>
      <w:tr w:rsidR="00CF426B">
        <w:trPr>
          <w:jc w:val="center"/>
        </w:trPr>
        <w:tc>
          <w:tcPr>
            <w:tcW w:w="1038" w:type="dxa"/>
            <w:vAlign w:val="center"/>
          </w:tcPr>
          <w:p w:rsidR="00CF426B" w:rsidRDefault="005F6DDD">
            <w:pPr>
              <w:jc w:val="center"/>
            </w:pPr>
            <w:r>
              <w:rPr>
                <w:color w:val="000000"/>
                <w:szCs w:val="21"/>
              </w:rPr>
              <w:t>1</w:t>
            </w:r>
          </w:p>
        </w:tc>
        <w:tc>
          <w:tcPr>
            <w:tcW w:w="1808" w:type="dxa"/>
            <w:vAlign w:val="center"/>
          </w:tcPr>
          <w:p w:rsidR="00CF426B" w:rsidRDefault="005F6DDD">
            <w:pPr>
              <w:jc w:val="center"/>
            </w:pPr>
            <w:r>
              <w:rPr>
                <w:color w:val="000000"/>
                <w:szCs w:val="21"/>
              </w:rPr>
              <w:t>股指期货</w:t>
            </w:r>
          </w:p>
        </w:tc>
        <w:tc>
          <w:tcPr>
            <w:tcW w:w="1701" w:type="dxa"/>
            <w:vAlign w:val="center"/>
          </w:tcPr>
          <w:p w:rsidR="00CF426B" w:rsidRDefault="005F6DDD">
            <w:pPr>
              <w:jc w:val="center"/>
            </w:pPr>
            <w:r>
              <w:rPr>
                <w:color w:val="000000"/>
                <w:szCs w:val="21"/>
              </w:rPr>
              <w:t>NASDAQ 100 E-MINI Sep20</w:t>
            </w:r>
          </w:p>
        </w:tc>
        <w:tc>
          <w:tcPr>
            <w:tcW w:w="2960" w:type="dxa"/>
            <w:vAlign w:val="center"/>
          </w:tcPr>
          <w:p w:rsidR="00CF426B" w:rsidRDefault="005F6DDD">
            <w:pPr>
              <w:jc w:val="right"/>
            </w:pPr>
            <w:r>
              <w:rPr>
                <w:color w:val="000000"/>
                <w:szCs w:val="21"/>
              </w:rPr>
              <w:t>-</w:t>
            </w:r>
          </w:p>
        </w:tc>
        <w:tc>
          <w:tcPr>
            <w:tcW w:w="1849" w:type="dxa"/>
            <w:vAlign w:val="center"/>
          </w:tcPr>
          <w:p w:rsidR="00CF426B" w:rsidRDefault="005F6DDD">
            <w:pPr>
              <w:jc w:val="right"/>
            </w:pPr>
            <w:r>
              <w:rPr>
                <w:color w:val="000000"/>
                <w:szCs w:val="21"/>
              </w:rPr>
              <w:t>-</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注：按照期货每日无负债结算的结算规则</w:t>
      </w:r>
      <w:r w:rsidRPr="00D749D4">
        <w:rPr>
          <w:kern w:val="0"/>
          <w:szCs w:val="21"/>
        </w:rPr>
        <w:t>,</w:t>
      </w:r>
      <w:r w:rsidRPr="00D749D4">
        <w:rPr>
          <w:kern w:val="0"/>
          <w:szCs w:val="21"/>
        </w:rPr>
        <w:t>根据《基金股指期货投资会计业务核算细则</w:t>
      </w:r>
      <w:r w:rsidRPr="00D749D4">
        <w:rPr>
          <w:kern w:val="0"/>
          <w:szCs w:val="21"/>
        </w:rPr>
        <w:t>(</w:t>
      </w:r>
      <w:r w:rsidRPr="00D749D4">
        <w:rPr>
          <w:kern w:val="0"/>
          <w:szCs w:val="21"/>
        </w:rPr>
        <w:t>试行</w:t>
      </w:r>
      <w:r w:rsidRPr="00D749D4">
        <w:rPr>
          <w:kern w:val="0"/>
          <w:szCs w:val="21"/>
        </w:rPr>
        <w:t>)</w:t>
      </w:r>
      <w:r w:rsidRPr="00D749D4">
        <w:rPr>
          <w:kern w:val="0"/>
          <w:szCs w:val="21"/>
        </w:rPr>
        <w:t>》及《企业会计准则</w:t>
      </w:r>
      <w:r w:rsidRPr="00D749D4">
        <w:rPr>
          <w:kern w:val="0"/>
          <w:szCs w:val="21"/>
        </w:rPr>
        <w:t>-</w:t>
      </w:r>
      <w:r w:rsidRPr="00D749D4">
        <w:rPr>
          <w:kern w:val="0"/>
          <w:szCs w:val="21"/>
        </w:rPr>
        <w:t>金融工具列报》的相关规定</w:t>
      </w:r>
      <w:r w:rsidRPr="00D749D4">
        <w:rPr>
          <w:kern w:val="0"/>
          <w:szCs w:val="21"/>
        </w:rPr>
        <w:t>,“</w:t>
      </w:r>
      <w:r w:rsidRPr="00D749D4">
        <w:rPr>
          <w:kern w:val="0"/>
          <w:szCs w:val="21"/>
        </w:rPr>
        <w:t>其他衍生工具</w:t>
      </w:r>
      <w:r w:rsidRPr="00D749D4">
        <w:rPr>
          <w:kern w:val="0"/>
          <w:szCs w:val="21"/>
        </w:rPr>
        <w:t>-</w:t>
      </w:r>
      <w:r w:rsidRPr="00D749D4">
        <w:rPr>
          <w:kern w:val="0"/>
          <w:szCs w:val="21"/>
        </w:rPr>
        <w:t>期货投资</w:t>
      </w:r>
      <w:r w:rsidRPr="00D749D4">
        <w:rPr>
          <w:kern w:val="0"/>
          <w:szCs w:val="21"/>
        </w:rPr>
        <w:t>”</w:t>
      </w:r>
      <w:r w:rsidRPr="00D749D4">
        <w:rPr>
          <w:kern w:val="0"/>
          <w:szCs w:val="21"/>
        </w:rPr>
        <w:t>与</w:t>
      </w:r>
      <w:r w:rsidRPr="00D749D4">
        <w:rPr>
          <w:kern w:val="0"/>
          <w:szCs w:val="21"/>
        </w:rPr>
        <w:t>“</w:t>
      </w:r>
      <w:r w:rsidRPr="00D749D4">
        <w:rPr>
          <w:kern w:val="0"/>
          <w:szCs w:val="21"/>
        </w:rPr>
        <w:t>证券清算款</w:t>
      </w:r>
      <w:r w:rsidRPr="00D749D4">
        <w:rPr>
          <w:kern w:val="0"/>
          <w:szCs w:val="21"/>
        </w:rPr>
        <w:t>-</w:t>
      </w:r>
      <w:r w:rsidRPr="00D749D4">
        <w:rPr>
          <w:kern w:val="0"/>
          <w:szCs w:val="21"/>
        </w:rPr>
        <w:t>期货每日无负债结算暂收暂付款</w:t>
      </w:r>
      <w:r w:rsidRPr="00D749D4">
        <w:rPr>
          <w:kern w:val="0"/>
          <w:szCs w:val="21"/>
        </w:rPr>
        <w:t>”,</w:t>
      </w:r>
      <w:r w:rsidRPr="00D749D4">
        <w:rPr>
          <w:kern w:val="0"/>
          <w:szCs w:val="21"/>
        </w:rPr>
        <w:t>符合金融资产与金融负债相抵销的条件</w:t>
      </w:r>
      <w:r w:rsidRPr="00D749D4">
        <w:rPr>
          <w:kern w:val="0"/>
          <w:szCs w:val="21"/>
        </w:rPr>
        <w:t>,</w:t>
      </w:r>
      <w:r w:rsidRPr="00D749D4">
        <w:rPr>
          <w:kern w:val="0"/>
          <w:szCs w:val="21"/>
        </w:rPr>
        <w:t>故将</w:t>
      </w:r>
      <w:r w:rsidRPr="00D749D4">
        <w:rPr>
          <w:kern w:val="0"/>
          <w:szCs w:val="21"/>
        </w:rPr>
        <w:t>“</w:t>
      </w:r>
      <w:r w:rsidRPr="00D749D4">
        <w:rPr>
          <w:kern w:val="0"/>
          <w:szCs w:val="21"/>
        </w:rPr>
        <w:t>其他衍生工具</w:t>
      </w:r>
      <w:r w:rsidRPr="00D749D4">
        <w:rPr>
          <w:kern w:val="0"/>
          <w:szCs w:val="21"/>
        </w:rPr>
        <w:t>-</w:t>
      </w:r>
      <w:r w:rsidRPr="00D749D4">
        <w:rPr>
          <w:kern w:val="0"/>
          <w:szCs w:val="21"/>
        </w:rPr>
        <w:t>期货投资</w:t>
      </w:r>
      <w:r w:rsidRPr="00D749D4">
        <w:rPr>
          <w:kern w:val="0"/>
          <w:szCs w:val="21"/>
        </w:rPr>
        <w:t>”</w:t>
      </w:r>
      <w:r w:rsidRPr="00D749D4">
        <w:rPr>
          <w:kern w:val="0"/>
          <w:szCs w:val="21"/>
        </w:rPr>
        <w:t>的期末公允价值以抵销后的净额列报</w:t>
      </w:r>
      <w:r w:rsidRPr="00D749D4">
        <w:rPr>
          <w:kern w:val="0"/>
          <w:szCs w:val="21"/>
        </w:rPr>
        <w:t>,</w:t>
      </w:r>
      <w:r w:rsidRPr="00D749D4">
        <w:rPr>
          <w:kern w:val="0"/>
          <w:szCs w:val="21"/>
        </w:rPr>
        <w:t>净额为零。期货投资的公允价值变动金额为</w:t>
      </w:r>
      <w:r w:rsidRPr="00D749D4">
        <w:rPr>
          <w:kern w:val="0"/>
          <w:szCs w:val="21"/>
        </w:rPr>
        <w:t>202,619.92</w:t>
      </w:r>
      <w:r w:rsidRPr="00D749D4">
        <w:rPr>
          <w:kern w:val="0"/>
          <w:szCs w:val="21"/>
        </w:rPr>
        <w:t>元</w:t>
      </w:r>
      <w:r w:rsidRPr="00D749D4">
        <w:rPr>
          <w:kern w:val="0"/>
          <w:szCs w:val="21"/>
        </w:rPr>
        <w:t>,</w:t>
      </w:r>
      <w:r w:rsidRPr="00D749D4">
        <w:rPr>
          <w:kern w:val="0"/>
          <w:szCs w:val="21"/>
        </w:rPr>
        <w:t>已包含在结算备付金中。</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63" w:name="_Toc248233032"/>
      <w:bookmarkStart w:id="264" w:name="_Toc249790564"/>
      <w:bookmarkStart w:id="265" w:name="_Toc286929765"/>
      <w:bookmarkStart w:id="266" w:name="_Toc352256004"/>
      <w:bookmarkStart w:id="267" w:name="_Toc352256072"/>
      <w:bookmarkStart w:id="268" w:name="_Toc352331250"/>
      <w:bookmarkStart w:id="269" w:name="_Toc374611678"/>
      <w:bookmarkStart w:id="270" w:name="_Toc48664246"/>
      <w:r w:rsidRPr="0087410D">
        <w:rPr>
          <w:rFonts w:ascii="宋体" w:hAnsi="宋体"/>
          <w:kern w:val="0"/>
          <w:sz w:val="21"/>
          <w:szCs w:val="21"/>
        </w:rPr>
        <w:t>7.10</w:t>
      </w:r>
      <w:bookmarkStart w:id="271" w:name="_Toc224618385"/>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期末按公允价值占基金资产净值比例大小排序的前十名基金投资明细</w:t>
      </w:r>
      <w:bookmarkEnd w:id="263"/>
      <w:bookmarkEnd w:id="264"/>
      <w:bookmarkEnd w:id="265"/>
      <w:bookmarkEnd w:id="266"/>
      <w:bookmarkEnd w:id="267"/>
      <w:bookmarkEnd w:id="268"/>
      <w:bookmarkEnd w:id="269"/>
      <w:bookmarkEnd w:id="271"/>
      <w:bookmarkEnd w:id="27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本基金本报告期末未持有基金。</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72" w:name="_Toc224618386"/>
      <w:bookmarkStart w:id="273" w:name="_Toc248233033"/>
      <w:bookmarkStart w:id="274" w:name="_Toc249790565"/>
      <w:bookmarkStart w:id="275" w:name="_Toc286929766"/>
      <w:bookmarkStart w:id="276" w:name="_Toc352256005"/>
      <w:bookmarkStart w:id="277" w:name="_Toc352256073"/>
      <w:bookmarkStart w:id="278" w:name="_Toc352331251"/>
      <w:bookmarkStart w:id="279" w:name="_Toc374611679"/>
      <w:bookmarkStart w:id="280" w:name="_Toc48664247"/>
      <w:r w:rsidRPr="0087410D">
        <w:rPr>
          <w:rFonts w:ascii="宋体" w:hAnsi="宋体"/>
          <w:kern w:val="0"/>
          <w:sz w:val="21"/>
          <w:szCs w:val="21"/>
        </w:rPr>
        <w:t>7.11</w:t>
      </w:r>
      <w:r w:rsidR="00BE2F8C" w:rsidRPr="006B4E2C">
        <w:rPr>
          <w:rFonts w:ascii="宋体" w:hAnsi="宋体"/>
          <w:kern w:val="0"/>
          <w:sz w:val="21"/>
          <w:szCs w:val="21"/>
        </w:rPr>
        <w:tab/>
      </w:r>
      <w:r w:rsidRPr="0087410D">
        <w:rPr>
          <w:rFonts w:ascii="宋体" w:hAnsi="宋体" w:hint="eastAsia"/>
          <w:kern w:val="0"/>
          <w:sz w:val="21"/>
          <w:szCs w:val="21"/>
        </w:rPr>
        <w:t>投资组合报告附注</w:t>
      </w:r>
      <w:bookmarkEnd w:id="272"/>
      <w:bookmarkEnd w:id="273"/>
      <w:bookmarkEnd w:id="274"/>
      <w:bookmarkEnd w:id="275"/>
      <w:bookmarkEnd w:id="276"/>
      <w:bookmarkEnd w:id="277"/>
      <w:bookmarkEnd w:id="278"/>
      <w:bookmarkEnd w:id="279"/>
      <w:bookmarkEnd w:id="280"/>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7.11.1</w:t>
      </w:r>
      <w:r w:rsidR="00DD0BA4">
        <w:rPr>
          <w:rFonts w:hint="eastAsia"/>
          <w:kern w:val="0"/>
          <w:szCs w:val="21"/>
        </w:rPr>
        <w:t xml:space="preserve"> </w:t>
      </w:r>
      <w:r w:rsidRPr="00D749D4">
        <w:rPr>
          <w:kern w:val="0"/>
          <w:szCs w:val="21"/>
        </w:rPr>
        <w:t>2019</w:t>
      </w:r>
      <w:r w:rsidRPr="00D749D4">
        <w:rPr>
          <w:kern w:val="0"/>
          <w:szCs w:val="21"/>
        </w:rPr>
        <w:t>年</w:t>
      </w:r>
      <w:r w:rsidRPr="00D749D4">
        <w:rPr>
          <w:kern w:val="0"/>
          <w:szCs w:val="21"/>
        </w:rPr>
        <w:t>7</w:t>
      </w:r>
      <w:r w:rsidRPr="00D749D4">
        <w:rPr>
          <w:kern w:val="0"/>
          <w:szCs w:val="21"/>
        </w:rPr>
        <w:t>月</w:t>
      </w:r>
      <w:r w:rsidRPr="00D749D4">
        <w:rPr>
          <w:kern w:val="0"/>
          <w:szCs w:val="21"/>
        </w:rPr>
        <w:t>24</w:t>
      </w:r>
      <w:r w:rsidRPr="00D749D4">
        <w:rPr>
          <w:kern w:val="0"/>
          <w:szCs w:val="21"/>
        </w:rPr>
        <w:t>日，美国联邦贸易委员会对</w:t>
      </w:r>
      <w:r w:rsidRPr="00D749D4">
        <w:rPr>
          <w:kern w:val="0"/>
          <w:szCs w:val="21"/>
        </w:rPr>
        <w:t>FACEBOOK</w:t>
      </w:r>
      <w:r w:rsidRPr="00D749D4">
        <w:rPr>
          <w:kern w:val="0"/>
          <w:szCs w:val="21"/>
        </w:rPr>
        <w:t>滥用用户数据的行为处以</w:t>
      </w:r>
      <w:r w:rsidRPr="00D749D4">
        <w:rPr>
          <w:kern w:val="0"/>
          <w:szCs w:val="21"/>
        </w:rPr>
        <w:t>50</w:t>
      </w:r>
      <w:r w:rsidRPr="00D749D4">
        <w:rPr>
          <w:kern w:val="0"/>
          <w:szCs w:val="21"/>
        </w:rPr>
        <w:t>亿美元的罚款。</w:t>
      </w:r>
    </w:p>
    <w:p w:rsidR="00CF426B" w:rsidRDefault="005F6DDD">
      <w:pPr>
        <w:tabs>
          <w:tab w:val="left" w:pos="426"/>
        </w:tabs>
        <w:spacing w:line="360" w:lineRule="auto"/>
        <w:ind w:firstLineChars="200" w:firstLine="420"/>
        <w:jc w:val="left"/>
        <w:rPr>
          <w:kern w:val="0"/>
          <w:szCs w:val="21"/>
        </w:rPr>
      </w:pPr>
      <w:r>
        <w:rPr>
          <w:kern w:val="0"/>
          <w:szCs w:val="21"/>
        </w:rPr>
        <w:t>2019</w:t>
      </w:r>
      <w:r>
        <w:rPr>
          <w:kern w:val="0"/>
          <w:szCs w:val="21"/>
        </w:rPr>
        <w:t>年</w:t>
      </w:r>
      <w:r>
        <w:rPr>
          <w:kern w:val="0"/>
          <w:szCs w:val="21"/>
        </w:rPr>
        <w:t>11</w:t>
      </w:r>
      <w:r>
        <w:rPr>
          <w:kern w:val="0"/>
          <w:szCs w:val="21"/>
        </w:rPr>
        <w:t>月</w:t>
      </w:r>
      <w:r>
        <w:rPr>
          <w:kern w:val="0"/>
          <w:szCs w:val="21"/>
        </w:rPr>
        <w:t>25</w:t>
      </w:r>
      <w:r>
        <w:rPr>
          <w:kern w:val="0"/>
          <w:szCs w:val="21"/>
        </w:rPr>
        <w:t>日，苹果公司由于违反美国制裁法规，被处以</w:t>
      </w:r>
      <w:r>
        <w:rPr>
          <w:kern w:val="0"/>
          <w:szCs w:val="21"/>
        </w:rPr>
        <w:t>46.7</w:t>
      </w:r>
      <w:r>
        <w:rPr>
          <w:kern w:val="0"/>
          <w:szCs w:val="21"/>
        </w:rPr>
        <w:t>万美元的罚款。</w:t>
      </w:r>
    </w:p>
    <w:p w:rsidR="00CF426B" w:rsidRDefault="005F6DDD">
      <w:pPr>
        <w:tabs>
          <w:tab w:val="left" w:pos="426"/>
        </w:tabs>
        <w:spacing w:line="360" w:lineRule="auto"/>
        <w:ind w:firstLineChars="200" w:firstLine="420"/>
        <w:jc w:val="left"/>
        <w:rPr>
          <w:kern w:val="0"/>
          <w:szCs w:val="21"/>
        </w:rPr>
      </w:pPr>
      <w:r>
        <w:rPr>
          <w:kern w:val="0"/>
          <w:szCs w:val="21"/>
        </w:rPr>
        <w:t>2019</w:t>
      </w:r>
      <w:r>
        <w:rPr>
          <w:kern w:val="0"/>
          <w:szCs w:val="21"/>
        </w:rPr>
        <w:t>年</w:t>
      </w:r>
      <w:r>
        <w:rPr>
          <w:kern w:val="0"/>
          <w:szCs w:val="21"/>
        </w:rPr>
        <w:t>12</w:t>
      </w:r>
      <w:r>
        <w:rPr>
          <w:kern w:val="0"/>
          <w:szCs w:val="21"/>
        </w:rPr>
        <w:t>月</w:t>
      </w:r>
      <w:r>
        <w:rPr>
          <w:kern w:val="0"/>
          <w:szCs w:val="21"/>
        </w:rPr>
        <w:t>20</w:t>
      </w:r>
      <w:r>
        <w:rPr>
          <w:kern w:val="0"/>
          <w:szCs w:val="21"/>
        </w:rPr>
        <w:t>日，谷歌因存在不公平竞争行为被法国反垄断机构处以</w:t>
      </w:r>
      <w:r>
        <w:rPr>
          <w:kern w:val="0"/>
          <w:szCs w:val="21"/>
        </w:rPr>
        <w:t>1.67</w:t>
      </w:r>
      <w:r>
        <w:rPr>
          <w:kern w:val="0"/>
          <w:szCs w:val="21"/>
        </w:rPr>
        <w:t>亿美元的罚款。</w:t>
      </w:r>
    </w:p>
    <w:p w:rsidR="00CF426B" w:rsidRDefault="005F6DDD">
      <w:pPr>
        <w:tabs>
          <w:tab w:val="left" w:pos="426"/>
        </w:tabs>
        <w:spacing w:line="360" w:lineRule="auto"/>
        <w:ind w:firstLineChars="200" w:firstLine="420"/>
        <w:jc w:val="left"/>
        <w:rPr>
          <w:kern w:val="0"/>
          <w:szCs w:val="21"/>
        </w:rPr>
      </w:pPr>
      <w:r>
        <w:rPr>
          <w:kern w:val="0"/>
          <w:szCs w:val="21"/>
        </w:rPr>
        <w:t>2019</w:t>
      </w:r>
      <w:r>
        <w:rPr>
          <w:kern w:val="0"/>
          <w:szCs w:val="21"/>
        </w:rPr>
        <w:t>年</w:t>
      </w:r>
      <w:r>
        <w:rPr>
          <w:kern w:val="0"/>
          <w:szCs w:val="21"/>
        </w:rPr>
        <w:t>12</w:t>
      </w:r>
      <w:r>
        <w:rPr>
          <w:kern w:val="0"/>
          <w:szCs w:val="21"/>
        </w:rPr>
        <w:t>月</w:t>
      </w:r>
      <w:r>
        <w:rPr>
          <w:kern w:val="0"/>
          <w:szCs w:val="21"/>
        </w:rPr>
        <w:t>30</w:t>
      </w:r>
      <w:r>
        <w:rPr>
          <w:kern w:val="0"/>
          <w:szCs w:val="21"/>
        </w:rPr>
        <w:t>日，巴西司法部宣布对美国</w:t>
      </w:r>
      <w:r>
        <w:rPr>
          <w:kern w:val="0"/>
          <w:szCs w:val="21"/>
        </w:rPr>
        <w:t>Facebook</w:t>
      </w:r>
      <w:r>
        <w:rPr>
          <w:kern w:val="0"/>
          <w:szCs w:val="21"/>
        </w:rPr>
        <w:t>公司处以</w:t>
      </w:r>
      <w:r>
        <w:rPr>
          <w:kern w:val="0"/>
          <w:szCs w:val="21"/>
        </w:rPr>
        <w:t>660</w:t>
      </w:r>
      <w:r>
        <w:rPr>
          <w:kern w:val="0"/>
          <w:szCs w:val="21"/>
        </w:rPr>
        <w:t>万雷亚尔</w:t>
      </w:r>
      <w:r>
        <w:rPr>
          <w:kern w:val="0"/>
          <w:szCs w:val="21"/>
        </w:rPr>
        <w:t>(</w:t>
      </w:r>
      <w:r>
        <w:rPr>
          <w:kern w:val="0"/>
          <w:szCs w:val="21"/>
        </w:rPr>
        <w:t>约合人民币</w:t>
      </w:r>
      <w:r>
        <w:rPr>
          <w:kern w:val="0"/>
          <w:szCs w:val="21"/>
        </w:rPr>
        <w:t>1150</w:t>
      </w:r>
      <w:r>
        <w:rPr>
          <w:kern w:val="0"/>
          <w:szCs w:val="21"/>
        </w:rPr>
        <w:t>万元</w:t>
      </w:r>
      <w:r>
        <w:rPr>
          <w:kern w:val="0"/>
          <w:szCs w:val="21"/>
        </w:rPr>
        <w:t>)</w:t>
      </w:r>
      <w:r>
        <w:rPr>
          <w:kern w:val="0"/>
          <w:szCs w:val="21"/>
        </w:rPr>
        <w:t>的罚款，原因是该公司不当共享用户数据。</w:t>
      </w:r>
    </w:p>
    <w:p w:rsidR="00CF426B" w:rsidRDefault="005F6DDD">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2</w:t>
      </w:r>
      <w:r>
        <w:rPr>
          <w:kern w:val="0"/>
          <w:szCs w:val="21"/>
        </w:rPr>
        <w:t>月</w:t>
      </w:r>
      <w:r>
        <w:rPr>
          <w:kern w:val="0"/>
          <w:szCs w:val="21"/>
        </w:rPr>
        <w:t>7</w:t>
      </w:r>
      <w:r>
        <w:rPr>
          <w:kern w:val="0"/>
          <w:szCs w:val="21"/>
        </w:rPr>
        <w:t>日，苹果公司被法国竞争和欺诈监管机构</w:t>
      </w:r>
      <w:r>
        <w:rPr>
          <w:kern w:val="0"/>
          <w:szCs w:val="21"/>
        </w:rPr>
        <w:t>DGCCRF</w:t>
      </w:r>
      <w:r>
        <w:rPr>
          <w:kern w:val="0"/>
          <w:szCs w:val="21"/>
        </w:rPr>
        <w:t>罚款</w:t>
      </w:r>
      <w:r>
        <w:rPr>
          <w:kern w:val="0"/>
          <w:szCs w:val="21"/>
        </w:rPr>
        <w:t>2500</w:t>
      </w:r>
      <w:r>
        <w:rPr>
          <w:kern w:val="0"/>
          <w:szCs w:val="21"/>
        </w:rPr>
        <w:t>万欧元，原因是该公司未告知用户</w:t>
      </w:r>
      <w:r>
        <w:rPr>
          <w:kern w:val="0"/>
          <w:szCs w:val="21"/>
        </w:rPr>
        <w:t>IOS</w:t>
      </w:r>
      <w:r>
        <w:rPr>
          <w:kern w:val="0"/>
          <w:szCs w:val="21"/>
        </w:rPr>
        <w:t>系统更新，可能导致</w:t>
      </w:r>
      <w:r>
        <w:rPr>
          <w:kern w:val="0"/>
          <w:szCs w:val="21"/>
        </w:rPr>
        <w:t>iPhone 6</w:t>
      </w:r>
      <w:r>
        <w:rPr>
          <w:kern w:val="0"/>
          <w:szCs w:val="21"/>
        </w:rPr>
        <w:t>、</w:t>
      </w:r>
      <w:r>
        <w:rPr>
          <w:kern w:val="0"/>
          <w:szCs w:val="21"/>
        </w:rPr>
        <w:t>SE</w:t>
      </w:r>
      <w:r>
        <w:rPr>
          <w:kern w:val="0"/>
          <w:szCs w:val="21"/>
        </w:rPr>
        <w:t>和</w:t>
      </w:r>
      <w:r>
        <w:rPr>
          <w:kern w:val="0"/>
          <w:szCs w:val="21"/>
        </w:rPr>
        <w:t>7</w:t>
      </w:r>
      <w:r>
        <w:rPr>
          <w:kern w:val="0"/>
          <w:szCs w:val="21"/>
        </w:rPr>
        <w:t>降速。</w:t>
      </w:r>
    </w:p>
    <w:p w:rsidR="00CF426B" w:rsidRDefault="005F6DDD">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3</w:t>
      </w:r>
      <w:r>
        <w:rPr>
          <w:kern w:val="0"/>
          <w:szCs w:val="21"/>
        </w:rPr>
        <w:t>月</w:t>
      </w:r>
      <w:r>
        <w:rPr>
          <w:kern w:val="0"/>
          <w:szCs w:val="21"/>
        </w:rPr>
        <w:t>16</w:t>
      </w:r>
      <w:r>
        <w:rPr>
          <w:kern w:val="0"/>
          <w:szCs w:val="21"/>
        </w:rPr>
        <w:t>日，法国反垄断监管机构对苹果公司（</w:t>
      </w:r>
      <w:r>
        <w:rPr>
          <w:kern w:val="0"/>
          <w:szCs w:val="21"/>
        </w:rPr>
        <w:t>Apple Inc.</w:t>
      </w:r>
      <w:r>
        <w:rPr>
          <w:kern w:val="0"/>
          <w:szCs w:val="21"/>
        </w:rPr>
        <w:t>）处以创纪录的</w:t>
      </w:r>
      <w:r>
        <w:rPr>
          <w:kern w:val="0"/>
          <w:szCs w:val="21"/>
        </w:rPr>
        <w:t>11</w:t>
      </w:r>
      <w:r>
        <w:rPr>
          <w:kern w:val="0"/>
          <w:szCs w:val="21"/>
        </w:rPr>
        <w:t>亿欧元（约合</w:t>
      </w:r>
      <w:r>
        <w:rPr>
          <w:kern w:val="0"/>
          <w:szCs w:val="21"/>
        </w:rPr>
        <w:t>12</w:t>
      </w:r>
      <w:r>
        <w:rPr>
          <w:kern w:val="0"/>
          <w:szCs w:val="21"/>
        </w:rPr>
        <w:t>亿美元）罚款，依据是该公司与供应商达成协议，对独立经销商构成不正当竞争。</w:t>
      </w:r>
    </w:p>
    <w:p w:rsidR="00CF426B" w:rsidRDefault="005F6DDD">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5</w:t>
      </w:r>
      <w:r>
        <w:rPr>
          <w:kern w:val="0"/>
          <w:szCs w:val="21"/>
        </w:rPr>
        <w:t>月</w:t>
      </w:r>
      <w:r>
        <w:rPr>
          <w:kern w:val="0"/>
          <w:szCs w:val="21"/>
        </w:rPr>
        <w:t>19</w:t>
      </w:r>
      <w:r>
        <w:rPr>
          <w:kern w:val="0"/>
          <w:szCs w:val="21"/>
        </w:rPr>
        <w:t>日，</w:t>
      </w:r>
      <w:r>
        <w:rPr>
          <w:kern w:val="0"/>
          <w:szCs w:val="21"/>
        </w:rPr>
        <w:t>Facebook</w:t>
      </w:r>
      <w:r>
        <w:rPr>
          <w:kern w:val="0"/>
          <w:szCs w:val="21"/>
        </w:rPr>
        <w:t>公司同意支付</w:t>
      </w:r>
      <w:r>
        <w:rPr>
          <w:kern w:val="0"/>
          <w:szCs w:val="21"/>
        </w:rPr>
        <w:t>900</w:t>
      </w:r>
      <w:r>
        <w:rPr>
          <w:kern w:val="0"/>
          <w:szCs w:val="21"/>
        </w:rPr>
        <w:t>万美元的罚款，以解决加拿大竞争局对其在</w:t>
      </w:r>
      <w:r>
        <w:rPr>
          <w:kern w:val="0"/>
          <w:szCs w:val="21"/>
        </w:rPr>
        <w:t>Facebook</w:t>
      </w:r>
      <w:r>
        <w:rPr>
          <w:kern w:val="0"/>
          <w:szCs w:val="21"/>
        </w:rPr>
        <w:t>和</w:t>
      </w:r>
      <w:r>
        <w:rPr>
          <w:kern w:val="0"/>
          <w:szCs w:val="21"/>
        </w:rPr>
        <w:t>Messenger</w:t>
      </w:r>
      <w:r>
        <w:rPr>
          <w:kern w:val="0"/>
          <w:szCs w:val="21"/>
        </w:rPr>
        <w:t>上做出虚假或误导性隐私声明的调查。</w:t>
      </w:r>
      <w:r>
        <w:rPr>
          <w:kern w:val="0"/>
          <w:szCs w:val="21"/>
        </w:rPr>
        <w:t>Facebook</w:t>
      </w:r>
      <w:r>
        <w:rPr>
          <w:kern w:val="0"/>
          <w:szCs w:val="21"/>
        </w:rPr>
        <w:t>还将额外支付</w:t>
      </w:r>
      <w:r>
        <w:rPr>
          <w:kern w:val="0"/>
          <w:szCs w:val="21"/>
        </w:rPr>
        <w:t>50</w:t>
      </w:r>
      <w:r>
        <w:rPr>
          <w:kern w:val="0"/>
          <w:szCs w:val="21"/>
        </w:rPr>
        <w:t>万美元作为联邦调查局的调查费用。</w:t>
      </w:r>
    </w:p>
    <w:p w:rsidR="00CF426B" w:rsidRDefault="005F6DDD">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6</w:t>
      </w:r>
      <w:r>
        <w:rPr>
          <w:kern w:val="0"/>
          <w:szCs w:val="21"/>
        </w:rPr>
        <w:t>月</w:t>
      </w:r>
      <w:r>
        <w:rPr>
          <w:kern w:val="0"/>
          <w:szCs w:val="21"/>
        </w:rPr>
        <w:t>16</w:t>
      </w:r>
      <w:r>
        <w:rPr>
          <w:kern w:val="0"/>
          <w:szCs w:val="21"/>
        </w:rPr>
        <w:t>日，欧盟委员会宣布，将对苹果的软件商店和苹果支付服务展开反垄断调查。欧盟委员会表示，苹果公司施加的一些限制措施可能违反了欧盟的竞争规则。</w:t>
      </w:r>
    </w:p>
    <w:p w:rsidR="00CF426B" w:rsidRDefault="005F6DDD">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6</w:t>
      </w:r>
      <w:r>
        <w:rPr>
          <w:kern w:val="0"/>
          <w:szCs w:val="21"/>
        </w:rPr>
        <w:t>月</w:t>
      </w:r>
      <w:r>
        <w:rPr>
          <w:kern w:val="0"/>
          <w:szCs w:val="21"/>
        </w:rPr>
        <w:t>19</w:t>
      </w:r>
      <w:r>
        <w:rPr>
          <w:kern w:val="0"/>
          <w:szCs w:val="21"/>
        </w:rPr>
        <w:t>日，法国最高行政法院裁定，维持对谷歌</w:t>
      </w:r>
      <w:r>
        <w:rPr>
          <w:kern w:val="0"/>
          <w:szCs w:val="21"/>
        </w:rPr>
        <w:t>5000</w:t>
      </w:r>
      <w:r>
        <w:rPr>
          <w:kern w:val="0"/>
          <w:szCs w:val="21"/>
        </w:rPr>
        <w:t>万欧元（</w:t>
      </w:r>
      <w:r>
        <w:rPr>
          <w:kern w:val="0"/>
          <w:szCs w:val="21"/>
        </w:rPr>
        <w:t>5600</w:t>
      </w:r>
      <w:r>
        <w:rPr>
          <w:kern w:val="0"/>
          <w:szCs w:val="21"/>
        </w:rPr>
        <w:t>万美元）的罚款，原因是谷歌对安卓用户的数据保护选项的提供</w:t>
      </w:r>
      <w:r>
        <w:rPr>
          <w:kern w:val="0"/>
          <w:szCs w:val="21"/>
        </w:rPr>
        <w:t>“</w:t>
      </w:r>
      <w:r>
        <w:rPr>
          <w:kern w:val="0"/>
          <w:szCs w:val="21"/>
        </w:rPr>
        <w:t>不够清晰和透明</w:t>
      </w:r>
      <w:r>
        <w:rPr>
          <w:kern w:val="0"/>
          <w:szCs w:val="21"/>
        </w:rPr>
        <w:t>”</w:t>
      </w:r>
      <w:r>
        <w:rPr>
          <w:kern w:val="0"/>
          <w:szCs w:val="21"/>
        </w:rPr>
        <w:t>。</w:t>
      </w:r>
    </w:p>
    <w:p w:rsidR="00CF426B" w:rsidRDefault="005F6DDD">
      <w:pPr>
        <w:tabs>
          <w:tab w:val="left" w:pos="426"/>
        </w:tabs>
        <w:spacing w:line="360" w:lineRule="auto"/>
        <w:ind w:firstLineChars="200" w:firstLine="420"/>
        <w:jc w:val="left"/>
        <w:rPr>
          <w:kern w:val="0"/>
          <w:szCs w:val="21"/>
        </w:rPr>
      </w:pPr>
      <w:r>
        <w:rPr>
          <w:kern w:val="0"/>
          <w:szCs w:val="21"/>
        </w:rPr>
        <w:t>本基金为指数型基金，上述股票系标的指数成份股，上述股票的投资决策程序符合公司投资制度的规定。除谷歌、</w:t>
      </w:r>
      <w:r>
        <w:rPr>
          <w:kern w:val="0"/>
          <w:szCs w:val="21"/>
        </w:rPr>
        <w:t>Facebook</w:t>
      </w:r>
      <w:r>
        <w:rPr>
          <w:kern w:val="0"/>
          <w:szCs w:val="21"/>
        </w:rPr>
        <w:t>、苹果外，本基金投资的其他前十名证券的发行主体本期没有出现被监管部门立案调查，或在报告编制日前一年内受到公开谴责、处罚的情形。</w:t>
      </w:r>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 xml:space="preserve">7.11.2 </w:t>
      </w:r>
      <w:r w:rsidRPr="00D749D4">
        <w:rPr>
          <w:kern w:val="0"/>
          <w:szCs w:val="21"/>
        </w:rPr>
        <w:t>本基金投资的前十名股票没有超出基金合同规定的备选股票库。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7.11.3</w:t>
      </w:r>
      <w:r w:rsidRPr="0087410D">
        <w:rPr>
          <w:rFonts w:ascii="宋体" w:hAnsi="宋体" w:hint="eastAsia"/>
          <w:b/>
          <w:szCs w:val="21"/>
        </w:rPr>
        <w:t>期末其他各项资产构成</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711C4C" w:rsidRPr="00D749D4" w:rsidTr="00EE5197">
        <w:trPr>
          <w:trHeight w:val="285"/>
          <w:jc w:val="center"/>
        </w:trPr>
        <w:tc>
          <w:tcPr>
            <w:tcW w:w="820" w:type="dxa"/>
            <w:vAlign w:val="center"/>
          </w:tcPr>
          <w:p w:rsidR="00711C4C" w:rsidRPr="00D749D4" w:rsidRDefault="00711C4C" w:rsidP="00E87EC9">
            <w:pPr>
              <w:jc w:val="center"/>
              <w:rPr>
                <w:color w:val="000000"/>
                <w:szCs w:val="21"/>
              </w:rPr>
            </w:pPr>
            <w:r w:rsidRPr="00D749D4">
              <w:rPr>
                <w:rFonts w:hint="eastAsia"/>
                <w:color w:val="000000"/>
                <w:szCs w:val="21"/>
              </w:rPr>
              <w:t>序号</w:t>
            </w:r>
          </w:p>
        </w:tc>
        <w:tc>
          <w:tcPr>
            <w:tcW w:w="4431" w:type="dxa"/>
            <w:vAlign w:val="center"/>
          </w:tcPr>
          <w:p w:rsidR="00711C4C" w:rsidRPr="00D749D4" w:rsidRDefault="00711C4C" w:rsidP="004A4847">
            <w:pPr>
              <w:jc w:val="center"/>
              <w:rPr>
                <w:color w:val="000000"/>
                <w:szCs w:val="21"/>
              </w:rPr>
            </w:pPr>
            <w:r w:rsidRPr="00D749D4">
              <w:rPr>
                <w:rFonts w:hint="eastAsia"/>
                <w:color w:val="000000"/>
                <w:szCs w:val="21"/>
              </w:rPr>
              <w:t>名称</w:t>
            </w:r>
          </w:p>
        </w:tc>
        <w:tc>
          <w:tcPr>
            <w:tcW w:w="41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金额</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1</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存出保证金</w:t>
            </w:r>
          </w:p>
        </w:tc>
        <w:tc>
          <w:tcPr>
            <w:tcW w:w="4105" w:type="dxa"/>
            <w:tcMar>
              <w:top w:w="15" w:type="dxa"/>
              <w:left w:w="15" w:type="dxa"/>
              <w:bottom w:w="0" w:type="dxa"/>
              <w:right w:w="15" w:type="dxa"/>
            </w:tcMar>
            <w:vAlign w:val="center"/>
          </w:tcPr>
          <w:p w:rsidR="00711C4C" w:rsidRPr="00D749D4" w:rsidRDefault="00711C4C" w:rsidP="00E87EC9">
            <w:pPr>
              <w:jc w:val="right"/>
              <w:rPr>
                <w:szCs w:val="21"/>
              </w:rPr>
            </w:pPr>
            <w:r w:rsidRPr="00D749D4">
              <w:rPr>
                <w:szCs w:val="21"/>
              </w:rPr>
              <w:t>280,348.20</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2</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应收证券清算款</w:t>
            </w:r>
          </w:p>
        </w:tc>
        <w:tc>
          <w:tcPr>
            <w:tcW w:w="4105" w:type="dxa"/>
            <w:vAlign w:val="center"/>
          </w:tcPr>
          <w:p w:rsidR="00711C4C" w:rsidRPr="00D749D4" w:rsidRDefault="00711C4C" w:rsidP="00E87EC9">
            <w:pPr>
              <w:jc w:val="right"/>
              <w:rPr>
                <w:szCs w:val="21"/>
              </w:rPr>
            </w:pPr>
            <w:r w:rsidRPr="00D749D4">
              <w:rPr>
                <w:szCs w:val="21"/>
              </w:rPr>
              <w:t>10,804,373.69</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3</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应收股利</w:t>
            </w:r>
          </w:p>
        </w:tc>
        <w:tc>
          <w:tcPr>
            <w:tcW w:w="4105" w:type="dxa"/>
            <w:vAlign w:val="center"/>
          </w:tcPr>
          <w:p w:rsidR="00711C4C" w:rsidRPr="00D749D4" w:rsidRDefault="00711C4C" w:rsidP="00E87EC9">
            <w:pPr>
              <w:jc w:val="right"/>
              <w:rPr>
                <w:szCs w:val="21"/>
              </w:rPr>
            </w:pPr>
            <w:r w:rsidRPr="00D749D4">
              <w:rPr>
                <w:szCs w:val="21"/>
              </w:rPr>
              <w:t>126,149.55</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4</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应收利息</w:t>
            </w:r>
          </w:p>
        </w:tc>
        <w:tc>
          <w:tcPr>
            <w:tcW w:w="4105" w:type="dxa"/>
            <w:vAlign w:val="center"/>
          </w:tcPr>
          <w:p w:rsidR="00711C4C" w:rsidRPr="00D749D4" w:rsidRDefault="00711C4C" w:rsidP="00E87EC9">
            <w:pPr>
              <w:jc w:val="right"/>
              <w:rPr>
                <w:szCs w:val="21"/>
              </w:rPr>
            </w:pPr>
            <w:r w:rsidRPr="00D749D4">
              <w:rPr>
                <w:szCs w:val="21"/>
              </w:rPr>
              <w:t>3,307.75</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5</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应收申购款</w:t>
            </w:r>
          </w:p>
        </w:tc>
        <w:tc>
          <w:tcPr>
            <w:tcW w:w="4105" w:type="dxa"/>
            <w:vAlign w:val="center"/>
          </w:tcPr>
          <w:p w:rsidR="00711C4C" w:rsidRPr="00D749D4" w:rsidRDefault="00711C4C" w:rsidP="00E87EC9">
            <w:pPr>
              <w:jc w:val="right"/>
              <w:rPr>
                <w:szCs w:val="21"/>
              </w:rPr>
            </w:pPr>
            <w:r w:rsidRPr="00D749D4">
              <w:rPr>
                <w:szCs w:val="21"/>
              </w:rPr>
              <w:t>4,437,168.41</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6</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其他应收款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7</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待摊费用</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8</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w:t>
            </w:r>
          </w:p>
        </w:tc>
        <w:tc>
          <w:tcPr>
            <w:tcW w:w="4105" w:type="dxa"/>
            <w:vAlign w:val="center"/>
          </w:tcPr>
          <w:p w:rsidR="00711C4C" w:rsidRPr="00D749D4" w:rsidRDefault="00711C4C" w:rsidP="007C6EA8">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9</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合计</w:t>
            </w:r>
          </w:p>
        </w:tc>
        <w:tc>
          <w:tcPr>
            <w:tcW w:w="4105" w:type="dxa"/>
            <w:vAlign w:val="center"/>
          </w:tcPr>
          <w:p w:rsidR="00711C4C" w:rsidRPr="00D749D4" w:rsidRDefault="00711C4C" w:rsidP="007C6EA8">
            <w:pPr>
              <w:jc w:val="right"/>
              <w:rPr>
                <w:szCs w:val="21"/>
              </w:rPr>
            </w:pPr>
            <w:r w:rsidRPr="00D749D4">
              <w:rPr>
                <w:szCs w:val="21"/>
              </w:rPr>
              <w:t>15,651,347.60</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7.11.4</w:t>
      </w:r>
      <w:r w:rsidRPr="0087410D">
        <w:rPr>
          <w:rFonts w:ascii="宋体" w:hAnsi="宋体" w:hint="eastAsia"/>
          <w:b/>
          <w:szCs w:val="21"/>
        </w:rPr>
        <w:t>期末持有的处于转股期的可转换债券明细</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本基金本报告期末未持有处于转股期的可转换债券。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7.11.5</w:t>
      </w:r>
      <w:r w:rsidRPr="0087410D">
        <w:rPr>
          <w:rFonts w:ascii="宋体" w:hAnsi="宋体" w:hint="eastAsia"/>
          <w:b/>
          <w:szCs w:val="21"/>
        </w:rPr>
        <w:t>期末前十名股票中存在流通受限情况的说明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本基金本报告期末前十名股票中不存在流通受限情况。</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281" w:name="_Toc225500050"/>
      <w:bookmarkStart w:id="282" w:name="_Toc352256006"/>
      <w:bookmarkStart w:id="283" w:name="_Toc352256074"/>
      <w:bookmarkStart w:id="284" w:name="_Toc352331252"/>
      <w:bookmarkStart w:id="285" w:name="_Toc374611680"/>
      <w:bookmarkStart w:id="286" w:name="_Toc48664248"/>
      <w:r w:rsidRPr="00964699">
        <w:rPr>
          <w:rFonts w:ascii="宋体" w:hAnsi="宋体" w:cs="Arial"/>
          <w:color w:val="000000"/>
          <w:sz w:val="21"/>
          <w:szCs w:val="21"/>
        </w:rPr>
        <w:t>8</w:t>
      </w:r>
      <w:r w:rsidR="006B4E2C" w:rsidRPr="006B4E2C">
        <w:rPr>
          <w:rFonts w:ascii="宋体" w:hAnsi="宋体" w:cs="Arial"/>
          <w:color w:val="000000"/>
          <w:sz w:val="21"/>
          <w:szCs w:val="21"/>
        </w:rPr>
        <w:tab/>
      </w:r>
      <w:r w:rsidRPr="00964699">
        <w:rPr>
          <w:rFonts w:ascii="宋体" w:hAnsi="宋体" w:cs="Arial" w:hint="eastAsia"/>
          <w:color w:val="000000"/>
          <w:sz w:val="21"/>
          <w:szCs w:val="21"/>
        </w:rPr>
        <w:t>基金份额持有人信息</w:t>
      </w:r>
      <w:bookmarkEnd w:id="281"/>
      <w:bookmarkEnd w:id="282"/>
      <w:bookmarkEnd w:id="283"/>
      <w:bookmarkEnd w:id="284"/>
      <w:bookmarkEnd w:id="285"/>
      <w:bookmarkEnd w:id="286"/>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87" w:name="_Toc225500051"/>
      <w:bookmarkStart w:id="288" w:name="_Toc352256007"/>
      <w:bookmarkStart w:id="289" w:name="_Toc352256075"/>
      <w:bookmarkStart w:id="290" w:name="_Toc352331253"/>
      <w:bookmarkStart w:id="291" w:name="_Toc374611681"/>
      <w:bookmarkStart w:id="292" w:name="_Toc48664249"/>
      <w:r w:rsidRPr="0087410D">
        <w:rPr>
          <w:rFonts w:ascii="宋体" w:hAnsi="宋体"/>
          <w:kern w:val="0"/>
          <w:sz w:val="21"/>
          <w:szCs w:val="21"/>
        </w:rPr>
        <w:t>8.1</w:t>
      </w:r>
      <w:r w:rsidR="00BE2F8C" w:rsidRPr="006B4E2C">
        <w:rPr>
          <w:rFonts w:ascii="宋体" w:hAnsi="宋体"/>
          <w:kern w:val="0"/>
          <w:sz w:val="21"/>
          <w:szCs w:val="21"/>
        </w:rPr>
        <w:tab/>
      </w:r>
      <w:r w:rsidRPr="0087410D">
        <w:rPr>
          <w:rFonts w:ascii="宋体" w:hAnsi="宋体" w:hint="eastAsia"/>
          <w:kern w:val="0"/>
          <w:sz w:val="21"/>
          <w:szCs w:val="21"/>
        </w:rPr>
        <w:t>期末基金份额持有人户数及持有人结构</w:t>
      </w:r>
      <w:bookmarkEnd w:id="287"/>
      <w:bookmarkEnd w:id="288"/>
      <w:bookmarkEnd w:id="289"/>
      <w:bookmarkEnd w:id="290"/>
      <w:bookmarkEnd w:id="291"/>
      <w:bookmarkEnd w:id="292"/>
    </w:p>
    <w:p w:rsidR="00711C4C" w:rsidRPr="00D749D4" w:rsidRDefault="00711C4C" w:rsidP="002716BD">
      <w:pPr>
        <w:autoSpaceDE w:val="0"/>
        <w:autoSpaceDN w:val="0"/>
        <w:adjustRightInd w:val="0"/>
        <w:spacing w:before="29" w:line="360" w:lineRule="auto"/>
        <w:ind w:left="15"/>
        <w:jc w:val="right"/>
        <w:rPr>
          <w:color w:val="000000"/>
          <w:szCs w:val="21"/>
        </w:rPr>
      </w:pPr>
      <w:bookmarkStart w:id="293" w:name="_Toc352256008"/>
      <w:bookmarkStart w:id="294" w:name="_Toc352256076"/>
      <w:bookmarkStart w:id="295" w:name="_Toc352331254"/>
      <w:bookmarkStart w:id="296" w:name="_Toc374611682"/>
      <w:r w:rsidRPr="00D749D4">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95"/>
        <w:gridCol w:w="1506"/>
        <w:gridCol w:w="1852"/>
        <w:gridCol w:w="1077"/>
        <w:gridCol w:w="1857"/>
        <w:gridCol w:w="1099"/>
      </w:tblGrid>
      <w:tr w:rsidR="004B2ACB" w:rsidRPr="00D749D4" w:rsidTr="004B2ACB">
        <w:trPr>
          <w:jc w:val="center"/>
        </w:trPr>
        <w:tc>
          <w:tcPr>
            <w:tcW w:w="887" w:type="pct"/>
            <w:vMerge w:val="restart"/>
            <w:vAlign w:val="center"/>
          </w:tcPr>
          <w:p w:rsidR="00CF426B" w:rsidRDefault="005F6DDD">
            <w:pPr>
              <w:jc w:val="center"/>
            </w:pPr>
            <w:r>
              <w:t>持有人户数</w:t>
            </w:r>
            <w:r>
              <w:t>(</w:t>
            </w:r>
            <w:r>
              <w:t>户</w:t>
            </w:r>
            <w:r>
              <w:t>)</w:t>
            </w:r>
          </w:p>
        </w:tc>
        <w:tc>
          <w:tcPr>
            <w:tcW w:w="705" w:type="pct"/>
            <w:vMerge w:val="restart"/>
            <w:vAlign w:val="center"/>
          </w:tcPr>
          <w:p w:rsidR="00711C4C" w:rsidRPr="00D749D4" w:rsidRDefault="00711C4C">
            <w:pPr>
              <w:spacing w:line="360" w:lineRule="auto"/>
              <w:jc w:val="center"/>
              <w:rPr>
                <w:bCs/>
                <w:color w:val="000000"/>
                <w:szCs w:val="21"/>
              </w:rPr>
            </w:pPr>
            <w:r w:rsidRPr="00D749D4">
              <w:rPr>
                <w:rFonts w:hint="eastAsia"/>
                <w:bCs/>
                <w:color w:val="000000"/>
                <w:szCs w:val="21"/>
              </w:rPr>
              <w:t>户均持有的基金份额</w:t>
            </w:r>
          </w:p>
        </w:tc>
        <w:tc>
          <w:tcPr>
            <w:tcW w:w="2756" w:type="pct"/>
            <w:gridSpan w:val="4"/>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持有人结构</w:t>
            </w:r>
          </w:p>
        </w:tc>
      </w:tr>
      <w:tr w:rsidR="004B2ACB" w:rsidRPr="00D749D4" w:rsidTr="004B2ACB">
        <w:trPr>
          <w:jc w:val="center"/>
        </w:trPr>
        <w:tc>
          <w:tcPr>
            <w:tcW w:w="887" w:type="pct"/>
            <w:vMerge/>
            <w:vAlign w:val="center"/>
          </w:tcPr>
          <w:p w:rsidR="00CF426B" w:rsidRDefault="00CF426B">
            <w:pPr>
              <w:jc w:val="left"/>
            </w:pPr>
          </w:p>
        </w:tc>
        <w:tc>
          <w:tcPr>
            <w:tcW w:w="705" w:type="pct"/>
            <w:vMerge/>
            <w:vAlign w:val="center"/>
          </w:tcPr>
          <w:p w:rsidR="00711C4C" w:rsidRPr="00D749D4" w:rsidRDefault="00711C4C">
            <w:pPr>
              <w:widowControl/>
              <w:jc w:val="left"/>
              <w:rPr>
                <w:bCs/>
                <w:color w:val="000000"/>
                <w:szCs w:val="21"/>
              </w:rPr>
            </w:pPr>
          </w:p>
        </w:tc>
        <w:tc>
          <w:tcPr>
            <w:tcW w:w="1371"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机构投资者</w:t>
            </w:r>
          </w:p>
        </w:tc>
        <w:tc>
          <w:tcPr>
            <w:tcW w:w="1385"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个人投资者</w:t>
            </w:r>
          </w:p>
        </w:tc>
      </w:tr>
      <w:tr w:rsidR="004B2ACB" w:rsidRPr="00D749D4" w:rsidTr="004B2ACB">
        <w:trPr>
          <w:jc w:val="center"/>
        </w:trPr>
        <w:tc>
          <w:tcPr>
            <w:tcW w:w="887" w:type="pct"/>
            <w:vMerge/>
            <w:vAlign w:val="center"/>
          </w:tcPr>
          <w:p w:rsidR="00CF426B" w:rsidRDefault="00CF426B">
            <w:pPr>
              <w:jc w:val="left"/>
            </w:pPr>
          </w:p>
        </w:tc>
        <w:tc>
          <w:tcPr>
            <w:tcW w:w="705" w:type="pct"/>
            <w:vMerge/>
            <w:vAlign w:val="center"/>
          </w:tcPr>
          <w:p w:rsidR="00711C4C" w:rsidRPr="00D749D4" w:rsidRDefault="00711C4C">
            <w:pPr>
              <w:widowControl/>
              <w:jc w:val="left"/>
              <w:rPr>
                <w:bCs/>
                <w:color w:val="000000"/>
                <w:szCs w:val="21"/>
              </w:rPr>
            </w:pPr>
          </w:p>
        </w:tc>
        <w:tc>
          <w:tcPr>
            <w:tcW w:w="867"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04"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c>
          <w:tcPr>
            <w:tcW w:w="870"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15"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r>
      <w:tr w:rsidR="004B2ACB" w:rsidRPr="00D749D4" w:rsidTr="004B2ACB">
        <w:trPr>
          <w:jc w:val="center"/>
        </w:trPr>
        <w:tc>
          <w:tcPr>
            <w:tcW w:w="887" w:type="pct"/>
            <w:vAlign w:val="center"/>
          </w:tcPr>
          <w:p w:rsidR="00CF426B" w:rsidRDefault="005F6DDD">
            <w:pPr>
              <w:jc w:val="center"/>
            </w:pPr>
            <w:r>
              <w:rPr>
                <w:bCs/>
                <w:color w:val="000000"/>
                <w:szCs w:val="21"/>
              </w:rPr>
              <w:t>57,887</w:t>
            </w:r>
          </w:p>
        </w:tc>
        <w:tc>
          <w:tcPr>
            <w:tcW w:w="705" w:type="pct"/>
            <w:vAlign w:val="center"/>
          </w:tcPr>
          <w:p w:rsidR="00711C4C" w:rsidRPr="00D749D4" w:rsidRDefault="00711C4C">
            <w:pPr>
              <w:spacing w:line="360" w:lineRule="auto"/>
              <w:jc w:val="right"/>
              <w:rPr>
                <w:bCs/>
                <w:color w:val="000000"/>
                <w:szCs w:val="21"/>
              </w:rPr>
            </w:pPr>
            <w:r w:rsidRPr="00D749D4">
              <w:rPr>
                <w:bCs/>
                <w:color w:val="000000"/>
                <w:szCs w:val="21"/>
              </w:rPr>
              <w:t>6,317.69</w:t>
            </w:r>
          </w:p>
        </w:tc>
        <w:tc>
          <w:tcPr>
            <w:tcW w:w="867" w:type="pct"/>
            <w:vAlign w:val="center"/>
          </w:tcPr>
          <w:p w:rsidR="00711C4C" w:rsidRPr="00D749D4" w:rsidRDefault="00711C4C">
            <w:pPr>
              <w:spacing w:line="360" w:lineRule="auto"/>
              <w:jc w:val="right"/>
              <w:rPr>
                <w:bCs/>
                <w:color w:val="000000"/>
                <w:szCs w:val="21"/>
              </w:rPr>
            </w:pPr>
            <w:r w:rsidRPr="00D749D4">
              <w:rPr>
                <w:bCs/>
                <w:color w:val="000000"/>
                <w:szCs w:val="21"/>
              </w:rPr>
              <w:t>22,836,231.64</w:t>
            </w:r>
          </w:p>
        </w:tc>
        <w:tc>
          <w:tcPr>
            <w:tcW w:w="504" w:type="pct"/>
            <w:vAlign w:val="center"/>
          </w:tcPr>
          <w:p w:rsidR="00711C4C" w:rsidRPr="00D749D4" w:rsidRDefault="00711C4C">
            <w:pPr>
              <w:spacing w:line="360" w:lineRule="auto"/>
              <w:jc w:val="right"/>
              <w:rPr>
                <w:bCs/>
                <w:color w:val="000000"/>
                <w:szCs w:val="21"/>
              </w:rPr>
            </w:pPr>
            <w:r w:rsidRPr="00D749D4">
              <w:rPr>
                <w:bCs/>
                <w:color w:val="000000"/>
                <w:szCs w:val="21"/>
              </w:rPr>
              <w:t>6.24%</w:t>
            </w:r>
          </w:p>
        </w:tc>
        <w:tc>
          <w:tcPr>
            <w:tcW w:w="870" w:type="pct"/>
            <w:vAlign w:val="center"/>
          </w:tcPr>
          <w:p w:rsidR="00711C4C" w:rsidRPr="00D749D4" w:rsidRDefault="00711C4C">
            <w:pPr>
              <w:spacing w:line="360" w:lineRule="auto"/>
              <w:jc w:val="right"/>
              <w:rPr>
                <w:bCs/>
                <w:color w:val="000000"/>
                <w:szCs w:val="21"/>
              </w:rPr>
            </w:pPr>
            <w:r w:rsidRPr="00D749D4">
              <w:rPr>
                <w:bCs/>
                <w:color w:val="000000"/>
                <w:szCs w:val="21"/>
              </w:rPr>
              <w:t>342,875,645.32</w:t>
            </w:r>
          </w:p>
        </w:tc>
        <w:tc>
          <w:tcPr>
            <w:tcW w:w="515" w:type="pct"/>
            <w:vAlign w:val="center"/>
          </w:tcPr>
          <w:p w:rsidR="00711C4C" w:rsidRPr="00D749D4" w:rsidRDefault="00711C4C">
            <w:pPr>
              <w:spacing w:line="360" w:lineRule="auto"/>
              <w:jc w:val="right"/>
              <w:rPr>
                <w:bCs/>
                <w:color w:val="000000"/>
                <w:szCs w:val="21"/>
              </w:rPr>
            </w:pPr>
            <w:r w:rsidRPr="00D749D4">
              <w:rPr>
                <w:bCs/>
                <w:color w:val="000000"/>
                <w:szCs w:val="21"/>
              </w:rPr>
              <w:t>93.76%</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注：持有人户数及结构包含人民币份额及美元现汇份额。</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7" w:name="_Toc362424032"/>
      <w:bookmarkStart w:id="298" w:name="_Toc374459295"/>
      <w:bookmarkStart w:id="299" w:name="_Toc48664250"/>
      <w:r w:rsidRPr="0087410D">
        <w:rPr>
          <w:rFonts w:ascii="宋体" w:hAnsi="宋体"/>
          <w:kern w:val="0"/>
          <w:sz w:val="21"/>
          <w:szCs w:val="21"/>
        </w:rPr>
        <w:t>8.2</w:t>
      </w:r>
      <w:r w:rsidR="00BE2F8C" w:rsidRPr="006B4E2C">
        <w:rPr>
          <w:rFonts w:ascii="宋体" w:hAnsi="宋体"/>
          <w:kern w:val="0"/>
          <w:sz w:val="21"/>
          <w:szCs w:val="21"/>
        </w:rPr>
        <w:tab/>
      </w:r>
      <w:r w:rsidRPr="0087410D">
        <w:rPr>
          <w:rFonts w:ascii="宋体" w:hAnsi="宋体" w:hint="eastAsia"/>
          <w:kern w:val="0"/>
          <w:sz w:val="21"/>
          <w:szCs w:val="21"/>
        </w:rPr>
        <w:t>期末上市基金前十名持有人</w:t>
      </w:r>
      <w:bookmarkEnd w:id="297"/>
      <w:bookmarkEnd w:id="298"/>
      <w:bookmarkEnd w:id="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3860"/>
        <w:gridCol w:w="2610"/>
        <w:gridCol w:w="2378"/>
      </w:tblGrid>
      <w:tr w:rsidR="00711C4C" w:rsidRPr="00D749D4" w:rsidTr="009C0E08">
        <w:trPr>
          <w:trHeight w:val="2333"/>
          <w:jc w:val="center"/>
        </w:trPr>
        <w:tc>
          <w:tcPr>
            <w:tcW w:w="736" w:type="dxa"/>
            <w:vAlign w:val="center"/>
          </w:tcPr>
          <w:p w:rsidR="00711C4C" w:rsidRPr="00D749D4" w:rsidRDefault="00711C4C" w:rsidP="00AB2FD1">
            <w:pPr>
              <w:spacing w:line="360" w:lineRule="auto"/>
              <w:jc w:val="center"/>
              <w:rPr>
                <w:szCs w:val="21"/>
              </w:rPr>
            </w:pPr>
            <w:r w:rsidRPr="00D749D4">
              <w:rPr>
                <w:rFonts w:hint="eastAsia"/>
                <w:szCs w:val="21"/>
              </w:rPr>
              <w:t>序号</w:t>
            </w:r>
          </w:p>
        </w:tc>
        <w:tc>
          <w:tcPr>
            <w:tcW w:w="3860" w:type="dxa"/>
            <w:vAlign w:val="center"/>
          </w:tcPr>
          <w:p w:rsidR="00711C4C" w:rsidRPr="00D749D4" w:rsidRDefault="00711C4C" w:rsidP="00AB2FD1">
            <w:pPr>
              <w:spacing w:line="360" w:lineRule="auto"/>
              <w:jc w:val="center"/>
              <w:rPr>
                <w:szCs w:val="21"/>
              </w:rPr>
            </w:pPr>
            <w:r w:rsidRPr="00D749D4">
              <w:rPr>
                <w:rFonts w:hint="eastAsia"/>
                <w:szCs w:val="21"/>
              </w:rPr>
              <w:t>持有人名称</w:t>
            </w:r>
          </w:p>
        </w:tc>
        <w:tc>
          <w:tcPr>
            <w:tcW w:w="2610" w:type="dxa"/>
            <w:vAlign w:val="center"/>
          </w:tcPr>
          <w:p w:rsidR="00711C4C" w:rsidRPr="00D749D4" w:rsidRDefault="00711C4C" w:rsidP="00AB2FD1">
            <w:pPr>
              <w:spacing w:line="360" w:lineRule="auto"/>
              <w:jc w:val="center"/>
              <w:rPr>
                <w:szCs w:val="21"/>
              </w:rPr>
            </w:pPr>
            <w:r w:rsidRPr="00D749D4">
              <w:rPr>
                <w:rFonts w:hint="eastAsia"/>
                <w:szCs w:val="21"/>
              </w:rPr>
              <w:t>持有份额（份）</w:t>
            </w:r>
          </w:p>
        </w:tc>
        <w:tc>
          <w:tcPr>
            <w:tcW w:w="2378" w:type="dxa"/>
            <w:vAlign w:val="center"/>
          </w:tcPr>
          <w:p w:rsidR="00711C4C" w:rsidRPr="00D749D4" w:rsidRDefault="00711C4C" w:rsidP="00AB2FD1">
            <w:pPr>
              <w:spacing w:line="360" w:lineRule="auto"/>
              <w:jc w:val="center"/>
              <w:rPr>
                <w:szCs w:val="21"/>
              </w:rPr>
            </w:pPr>
            <w:r w:rsidRPr="00D749D4">
              <w:rPr>
                <w:rFonts w:hint="eastAsia"/>
                <w:szCs w:val="21"/>
              </w:rPr>
              <w:t>占上市总份额比例</w:t>
            </w:r>
          </w:p>
        </w:tc>
      </w:tr>
      <w:tr w:rsidR="00CF426B">
        <w:trPr>
          <w:jc w:val="center"/>
        </w:trPr>
        <w:tc>
          <w:tcPr>
            <w:tcW w:w="736" w:type="dxa"/>
            <w:vAlign w:val="center"/>
          </w:tcPr>
          <w:p w:rsidR="00CF426B" w:rsidRDefault="005F6DDD">
            <w:pPr>
              <w:jc w:val="center"/>
            </w:pPr>
            <w:r>
              <w:rPr>
                <w:color w:val="000000"/>
                <w:szCs w:val="21"/>
              </w:rPr>
              <w:t>1</w:t>
            </w:r>
          </w:p>
        </w:tc>
        <w:tc>
          <w:tcPr>
            <w:tcW w:w="3860" w:type="dxa"/>
            <w:vAlign w:val="center"/>
          </w:tcPr>
          <w:p w:rsidR="00CF426B" w:rsidRDefault="005F6DDD">
            <w:pPr>
              <w:jc w:val="center"/>
            </w:pPr>
            <w:r>
              <w:rPr>
                <w:color w:val="000000"/>
                <w:szCs w:val="21"/>
              </w:rPr>
              <w:t>上海威海储运中心</w:t>
            </w:r>
          </w:p>
        </w:tc>
        <w:tc>
          <w:tcPr>
            <w:tcW w:w="2610" w:type="dxa"/>
            <w:vAlign w:val="center"/>
          </w:tcPr>
          <w:p w:rsidR="00CF426B" w:rsidRDefault="005F6DDD">
            <w:pPr>
              <w:jc w:val="right"/>
            </w:pPr>
            <w:r>
              <w:rPr>
                <w:color w:val="000000"/>
                <w:szCs w:val="21"/>
              </w:rPr>
              <w:t>11,542,222.00</w:t>
            </w:r>
          </w:p>
        </w:tc>
        <w:tc>
          <w:tcPr>
            <w:tcW w:w="2378" w:type="dxa"/>
            <w:vAlign w:val="center"/>
          </w:tcPr>
          <w:p w:rsidR="00CF426B" w:rsidRDefault="005F6DDD">
            <w:pPr>
              <w:jc w:val="right"/>
            </w:pPr>
            <w:r>
              <w:rPr>
                <w:color w:val="000000"/>
                <w:szCs w:val="21"/>
              </w:rPr>
              <w:t>11.87%</w:t>
            </w:r>
          </w:p>
        </w:tc>
      </w:tr>
      <w:tr w:rsidR="00CF426B">
        <w:trPr>
          <w:jc w:val="center"/>
        </w:trPr>
        <w:tc>
          <w:tcPr>
            <w:tcW w:w="736" w:type="dxa"/>
            <w:vAlign w:val="center"/>
          </w:tcPr>
          <w:p w:rsidR="00CF426B" w:rsidRDefault="005F6DDD">
            <w:pPr>
              <w:jc w:val="center"/>
            </w:pPr>
            <w:r>
              <w:rPr>
                <w:color w:val="000000"/>
                <w:szCs w:val="21"/>
              </w:rPr>
              <w:t>2</w:t>
            </w:r>
          </w:p>
        </w:tc>
        <w:tc>
          <w:tcPr>
            <w:tcW w:w="3860" w:type="dxa"/>
            <w:vAlign w:val="center"/>
          </w:tcPr>
          <w:p w:rsidR="00CF426B" w:rsidRDefault="005F6DDD">
            <w:pPr>
              <w:jc w:val="center"/>
            </w:pPr>
            <w:r>
              <w:rPr>
                <w:color w:val="000000"/>
                <w:szCs w:val="21"/>
              </w:rPr>
              <w:t>林晓辉</w:t>
            </w:r>
          </w:p>
        </w:tc>
        <w:tc>
          <w:tcPr>
            <w:tcW w:w="2610" w:type="dxa"/>
            <w:vAlign w:val="center"/>
          </w:tcPr>
          <w:p w:rsidR="00CF426B" w:rsidRDefault="005F6DDD">
            <w:pPr>
              <w:jc w:val="right"/>
            </w:pPr>
            <w:r>
              <w:rPr>
                <w:color w:val="000000"/>
                <w:szCs w:val="21"/>
              </w:rPr>
              <w:t>4,507,100.00</w:t>
            </w:r>
          </w:p>
        </w:tc>
        <w:tc>
          <w:tcPr>
            <w:tcW w:w="2378" w:type="dxa"/>
            <w:vAlign w:val="center"/>
          </w:tcPr>
          <w:p w:rsidR="00CF426B" w:rsidRDefault="005F6DDD">
            <w:pPr>
              <w:jc w:val="right"/>
            </w:pPr>
            <w:r>
              <w:rPr>
                <w:color w:val="000000"/>
                <w:szCs w:val="21"/>
              </w:rPr>
              <w:t>4.64%</w:t>
            </w:r>
          </w:p>
        </w:tc>
      </w:tr>
      <w:tr w:rsidR="00CF426B">
        <w:trPr>
          <w:jc w:val="center"/>
        </w:trPr>
        <w:tc>
          <w:tcPr>
            <w:tcW w:w="736" w:type="dxa"/>
            <w:vAlign w:val="center"/>
          </w:tcPr>
          <w:p w:rsidR="00CF426B" w:rsidRDefault="005F6DDD">
            <w:pPr>
              <w:jc w:val="center"/>
            </w:pPr>
            <w:r>
              <w:rPr>
                <w:color w:val="000000"/>
                <w:szCs w:val="21"/>
              </w:rPr>
              <w:t>3</w:t>
            </w:r>
          </w:p>
        </w:tc>
        <w:tc>
          <w:tcPr>
            <w:tcW w:w="3860" w:type="dxa"/>
            <w:vAlign w:val="center"/>
          </w:tcPr>
          <w:p w:rsidR="00CF426B" w:rsidRDefault="005F6DDD">
            <w:pPr>
              <w:jc w:val="center"/>
            </w:pPr>
            <w:r>
              <w:rPr>
                <w:color w:val="000000"/>
                <w:szCs w:val="21"/>
              </w:rPr>
              <w:t>清华大学教育基金会</w:t>
            </w:r>
          </w:p>
        </w:tc>
        <w:tc>
          <w:tcPr>
            <w:tcW w:w="2610" w:type="dxa"/>
            <w:vAlign w:val="center"/>
          </w:tcPr>
          <w:p w:rsidR="00CF426B" w:rsidRDefault="005F6DDD">
            <w:pPr>
              <w:jc w:val="right"/>
            </w:pPr>
            <w:r>
              <w:rPr>
                <w:color w:val="000000"/>
                <w:szCs w:val="21"/>
              </w:rPr>
              <w:t>4,200,000.00</w:t>
            </w:r>
          </w:p>
        </w:tc>
        <w:tc>
          <w:tcPr>
            <w:tcW w:w="2378" w:type="dxa"/>
            <w:vAlign w:val="center"/>
          </w:tcPr>
          <w:p w:rsidR="00CF426B" w:rsidRDefault="005F6DDD">
            <w:pPr>
              <w:jc w:val="right"/>
            </w:pPr>
            <w:r>
              <w:rPr>
                <w:color w:val="000000"/>
                <w:szCs w:val="21"/>
              </w:rPr>
              <w:t>4.32%</w:t>
            </w:r>
          </w:p>
        </w:tc>
      </w:tr>
      <w:tr w:rsidR="00CF426B">
        <w:trPr>
          <w:jc w:val="center"/>
        </w:trPr>
        <w:tc>
          <w:tcPr>
            <w:tcW w:w="736" w:type="dxa"/>
            <w:vAlign w:val="center"/>
          </w:tcPr>
          <w:p w:rsidR="00CF426B" w:rsidRDefault="005F6DDD">
            <w:pPr>
              <w:jc w:val="center"/>
            </w:pPr>
            <w:r>
              <w:rPr>
                <w:color w:val="000000"/>
                <w:szCs w:val="21"/>
              </w:rPr>
              <w:t>4</w:t>
            </w:r>
          </w:p>
        </w:tc>
        <w:tc>
          <w:tcPr>
            <w:tcW w:w="3860" w:type="dxa"/>
            <w:vAlign w:val="center"/>
          </w:tcPr>
          <w:p w:rsidR="00CF426B" w:rsidRDefault="005F6DDD">
            <w:pPr>
              <w:jc w:val="center"/>
            </w:pPr>
            <w:r>
              <w:rPr>
                <w:color w:val="000000"/>
                <w:szCs w:val="21"/>
              </w:rPr>
              <w:t>高越利</w:t>
            </w:r>
          </w:p>
        </w:tc>
        <w:tc>
          <w:tcPr>
            <w:tcW w:w="2610" w:type="dxa"/>
            <w:vAlign w:val="center"/>
          </w:tcPr>
          <w:p w:rsidR="00CF426B" w:rsidRDefault="005F6DDD">
            <w:pPr>
              <w:jc w:val="right"/>
            </w:pPr>
            <w:r>
              <w:rPr>
                <w:color w:val="000000"/>
                <w:szCs w:val="21"/>
              </w:rPr>
              <w:t>3,639,823.00</w:t>
            </w:r>
          </w:p>
        </w:tc>
        <w:tc>
          <w:tcPr>
            <w:tcW w:w="2378" w:type="dxa"/>
            <w:vAlign w:val="center"/>
          </w:tcPr>
          <w:p w:rsidR="00CF426B" w:rsidRDefault="005F6DDD">
            <w:pPr>
              <w:jc w:val="right"/>
            </w:pPr>
            <w:r>
              <w:rPr>
                <w:color w:val="000000"/>
                <w:szCs w:val="21"/>
              </w:rPr>
              <w:t>3.74%</w:t>
            </w:r>
          </w:p>
        </w:tc>
      </w:tr>
      <w:tr w:rsidR="00CF426B">
        <w:trPr>
          <w:jc w:val="center"/>
        </w:trPr>
        <w:tc>
          <w:tcPr>
            <w:tcW w:w="736" w:type="dxa"/>
            <w:vAlign w:val="center"/>
          </w:tcPr>
          <w:p w:rsidR="00CF426B" w:rsidRDefault="005F6DDD">
            <w:pPr>
              <w:jc w:val="center"/>
            </w:pPr>
            <w:r>
              <w:rPr>
                <w:color w:val="000000"/>
                <w:szCs w:val="21"/>
              </w:rPr>
              <w:t>5</w:t>
            </w:r>
          </w:p>
        </w:tc>
        <w:tc>
          <w:tcPr>
            <w:tcW w:w="3860" w:type="dxa"/>
            <w:vAlign w:val="center"/>
          </w:tcPr>
          <w:p w:rsidR="00CF426B" w:rsidRDefault="005F6DDD">
            <w:pPr>
              <w:jc w:val="center"/>
            </w:pPr>
            <w:r>
              <w:rPr>
                <w:color w:val="000000"/>
                <w:szCs w:val="21"/>
              </w:rPr>
              <w:t>来立波</w:t>
            </w:r>
          </w:p>
        </w:tc>
        <w:tc>
          <w:tcPr>
            <w:tcW w:w="2610" w:type="dxa"/>
            <w:vAlign w:val="center"/>
          </w:tcPr>
          <w:p w:rsidR="00CF426B" w:rsidRDefault="005F6DDD">
            <w:pPr>
              <w:jc w:val="right"/>
            </w:pPr>
            <w:r>
              <w:rPr>
                <w:color w:val="000000"/>
                <w:szCs w:val="21"/>
              </w:rPr>
              <w:t>3,000,000.00</w:t>
            </w:r>
          </w:p>
        </w:tc>
        <w:tc>
          <w:tcPr>
            <w:tcW w:w="2378" w:type="dxa"/>
            <w:vAlign w:val="center"/>
          </w:tcPr>
          <w:p w:rsidR="00CF426B" w:rsidRDefault="005F6DDD">
            <w:pPr>
              <w:jc w:val="right"/>
            </w:pPr>
            <w:r>
              <w:rPr>
                <w:color w:val="000000"/>
                <w:szCs w:val="21"/>
              </w:rPr>
              <w:t>3.09%</w:t>
            </w:r>
          </w:p>
        </w:tc>
      </w:tr>
      <w:tr w:rsidR="00CF426B">
        <w:trPr>
          <w:jc w:val="center"/>
        </w:trPr>
        <w:tc>
          <w:tcPr>
            <w:tcW w:w="736" w:type="dxa"/>
            <w:vAlign w:val="center"/>
          </w:tcPr>
          <w:p w:rsidR="00CF426B" w:rsidRDefault="005F6DDD">
            <w:pPr>
              <w:jc w:val="center"/>
            </w:pPr>
            <w:r>
              <w:rPr>
                <w:color w:val="000000"/>
                <w:szCs w:val="21"/>
              </w:rPr>
              <w:t>6</w:t>
            </w:r>
          </w:p>
        </w:tc>
        <w:tc>
          <w:tcPr>
            <w:tcW w:w="3860" w:type="dxa"/>
            <w:vAlign w:val="center"/>
          </w:tcPr>
          <w:p w:rsidR="00CF426B" w:rsidRDefault="005F6DDD">
            <w:pPr>
              <w:jc w:val="center"/>
            </w:pPr>
            <w:r>
              <w:rPr>
                <w:color w:val="000000"/>
                <w:szCs w:val="21"/>
              </w:rPr>
              <w:t>刘永济</w:t>
            </w:r>
          </w:p>
        </w:tc>
        <w:tc>
          <w:tcPr>
            <w:tcW w:w="2610" w:type="dxa"/>
            <w:vAlign w:val="center"/>
          </w:tcPr>
          <w:p w:rsidR="00CF426B" w:rsidRDefault="005F6DDD">
            <w:pPr>
              <w:jc w:val="right"/>
            </w:pPr>
            <w:r>
              <w:rPr>
                <w:color w:val="000000"/>
                <w:szCs w:val="21"/>
              </w:rPr>
              <w:t>1,839,877.00</w:t>
            </w:r>
          </w:p>
        </w:tc>
        <w:tc>
          <w:tcPr>
            <w:tcW w:w="2378" w:type="dxa"/>
            <w:vAlign w:val="center"/>
          </w:tcPr>
          <w:p w:rsidR="00CF426B" w:rsidRDefault="005F6DDD">
            <w:pPr>
              <w:jc w:val="right"/>
            </w:pPr>
            <w:r>
              <w:rPr>
                <w:color w:val="000000"/>
                <w:szCs w:val="21"/>
              </w:rPr>
              <w:t>1.89%</w:t>
            </w:r>
          </w:p>
        </w:tc>
      </w:tr>
      <w:tr w:rsidR="00CF426B">
        <w:trPr>
          <w:jc w:val="center"/>
        </w:trPr>
        <w:tc>
          <w:tcPr>
            <w:tcW w:w="736" w:type="dxa"/>
            <w:vAlign w:val="center"/>
          </w:tcPr>
          <w:p w:rsidR="00CF426B" w:rsidRDefault="005F6DDD">
            <w:pPr>
              <w:jc w:val="center"/>
            </w:pPr>
            <w:r>
              <w:rPr>
                <w:color w:val="000000"/>
                <w:szCs w:val="21"/>
              </w:rPr>
              <w:t>7</w:t>
            </w:r>
          </w:p>
        </w:tc>
        <w:tc>
          <w:tcPr>
            <w:tcW w:w="3860" w:type="dxa"/>
            <w:vAlign w:val="center"/>
          </w:tcPr>
          <w:p w:rsidR="00CF426B" w:rsidRDefault="005F6DDD">
            <w:pPr>
              <w:jc w:val="center"/>
            </w:pPr>
            <w:r>
              <w:rPr>
                <w:color w:val="000000"/>
                <w:szCs w:val="21"/>
              </w:rPr>
              <w:t>育泉资产管理有限责任公司</w:t>
            </w:r>
          </w:p>
        </w:tc>
        <w:tc>
          <w:tcPr>
            <w:tcW w:w="2610" w:type="dxa"/>
            <w:vAlign w:val="center"/>
          </w:tcPr>
          <w:p w:rsidR="00CF426B" w:rsidRDefault="005F6DDD">
            <w:pPr>
              <w:jc w:val="right"/>
            </w:pPr>
            <w:r>
              <w:rPr>
                <w:color w:val="000000"/>
                <w:szCs w:val="21"/>
              </w:rPr>
              <w:t>1,800,000.00</w:t>
            </w:r>
          </w:p>
        </w:tc>
        <w:tc>
          <w:tcPr>
            <w:tcW w:w="2378" w:type="dxa"/>
            <w:vAlign w:val="center"/>
          </w:tcPr>
          <w:p w:rsidR="00CF426B" w:rsidRDefault="005F6DDD">
            <w:pPr>
              <w:jc w:val="right"/>
            </w:pPr>
            <w:r>
              <w:rPr>
                <w:color w:val="000000"/>
                <w:szCs w:val="21"/>
              </w:rPr>
              <w:t>1.85%</w:t>
            </w:r>
          </w:p>
        </w:tc>
      </w:tr>
      <w:tr w:rsidR="00CF426B">
        <w:trPr>
          <w:jc w:val="center"/>
        </w:trPr>
        <w:tc>
          <w:tcPr>
            <w:tcW w:w="736" w:type="dxa"/>
            <w:vAlign w:val="center"/>
          </w:tcPr>
          <w:p w:rsidR="00CF426B" w:rsidRDefault="005F6DDD">
            <w:pPr>
              <w:jc w:val="center"/>
            </w:pPr>
            <w:r>
              <w:rPr>
                <w:color w:val="000000"/>
                <w:szCs w:val="21"/>
              </w:rPr>
              <w:t>8</w:t>
            </w:r>
          </w:p>
        </w:tc>
        <w:tc>
          <w:tcPr>
            <w:tcW w:w="3860" w:type="dxa"/>
            <w:vAlign w:val="center"/>
          </w:tcPr>
          <w:p w:rsidR="00CF426B" w:rsidRDefault="005F6DDD">
            <w:pPr>
              <w:jc w:val="center"/>
            </w:pPr>
            <w:r>
              <w:rPr>
                <w:color w:val="000000"/>
                <w:szCs w:val="21"/>
              </w:rPr>
              <w:t>常州投资集团有限公司</w:t>
            </w:r>
          </w:p>
        </w:tc>
        <w:tc>
          <w:tcPr>
            <w:tcW w:w="2610" w:type="dxa"/>
            <w:vAlign w:val="center"/>
          </w:tcPr>
          <w:p w:rsidR="00CF426B" w:rsidRDefault="005F6DDD">
            <w:pPr>
              <w:jc w:val="right"/>
            </w:pPr>
            <w:r>
              <w:rPr>
                <w:color w:val="000000"/>
                <w:szCs w:val="21"/>
              </w:rPr>
              <w:t>1,794,671.00</w:t>
            </w:r>
          </w:p>
        </w:tc>
        <w:tc>
          <w:tcPr>
            <w:tcW w:w="2378" w:type="dxa"/>
            <w:vAlign w:val="center"/>
          </w:tcPr>
          <w:p w:rsidR="00CF426B" w:rsidRDefault="005F6DDD">
            <w:pPr>
              <w:jc w:val="right"/>
            </w:pPr>
            <w:r>
              <w:rPr>
                <w:color w:val="000000"/>
                <w:szCs w:val="21"/>
              </w:rPr>
              <w:t>1.85%</w:t>
            </w:r>
          </w:p>
        </w:tc>
      </w:tr>
      <w:tr w:rsidR="00CF426B">
        <w:trPr>
          <w:jc w:val="center"/>
        </w:trPr>
        <w:tc>
          <w:tcPr>
            <w:tcW w:w="736" w:type="dxa"/>
            <w:vAlign w:val="center"/>
          </w:tcPr>
          <w:p w:rsidR="00CF426B" w:rsidRDefault="005F6DDD">
            <w:pPr>
              <w:jc w:val="center"/>
            </w:pPr>
            <w:r>
              <w:rPr>
                <w:color w:val="000000"/>
                <w:szCs w:val="21"/>
              </w:rPr>
              <w:t>9</w:t>
            </w:r>
          </w:p>
        </w:tc>
        <w:tc>
          <w:tcPr>
            <w:tcW w:w="3860" w:type="dxa"/>
            <w:vAlign w:val="center"/>
          </w:tcPr>
          <w:p w:rsidR="00CF426B" w:rsidRDefault="005F6DDD">
            <w:pPr>
              <w:jc w:val="center"/>
            </w:pPr>
            <w:r>
              <w:rPr>
                <w:color w:val="000000"/>
                <w:szCs w:val="21"/>
              </w:rPr>
              <w:t>张艳</w:t>
            </w:r>
          </w:p>
        </w:tc>
        <w:tc>
          <w:tcPr>
            <w:tcW w:w="2610" w:type="dxa"/>
            <w:vAlign w:val="center"/>
          </w:tcPr>
          <w:p w:rsidR="00CF426B" w:rsidRDefault="005F6DDD">
            <w:pPr>
              <w:jc w:val="right"/>
            </w:pPr>
            <w:r>
              <w:rPr>
                <w:color w:val="000000"/>
                <w:szCs w:val="21"/>
              </w:rPr>
              <w:t>1,512,817.00</w:t>
            </w:r>
          </w:p>
        </w:tc>
        <w:tc>
          <w:tcPr>
            <w:tcW w:w="2378" w:type="dxa"/>
            <w:vAlign w:val="center"/>
          </w:tcPr>
          <w:p w:rsidR="00CF426B" w:rsidRDefault="005F6DDD">
            <w:pPr>
              <w:jc w:val="right"/>
            </w:pPr>
            <w:r>
              <w:rPr>
                <w:color w:val="000000"/>
                <w:szCs w:val="21"/>
              </w:rPr>
              <w:t>1.56%</w:t>
            </w:r>
          </w:p>
        </w:tc>
      </w:tr>
      <w:tr w:rsidR="00CF426B">
        <w:trPr>
          <w:jc w:val="center"/>
        </w:trPr>
        <w:tc>
          <w:tcPr>
            <w:tcW w:w="736" w:type="dxa"/>
            <w:vAlign w:val="center"/>
          </w:tcPr>
          <w:p w:rsidR="00CF426B" w:rsidRDefault="005F6DDD">
            <w:pPr>
              <w:jc w:val="center"/>
            </w:pPr>
            <w:r>
              <w:rPr>
                <w:color w:val="000000"/>
                <w:szCs w:val="21"/>
              </w:rPr>
              <w:t>10</w:t>
            </w:r>
          </w:p>
        </w:tc>
        <w:tc>
          <w:tcPr>
            <w:tcW w:w="3860" w:type="dxa"/>
            <w:vAlign w:val="center"/>
          </w:tcPr>
          <w:p w:rsidR="00CF426B" w:rsidRDefault="005F6DDD">
            <w:pPr>
              <w:jc w:val="center"/>
            </w:pPr>
            <w:r>
              <w:rPr>
                <w:color w:val="000000"/>
                <w:szCs w:val="21"/>
              </w:rPr>
              <w:t>陆杏娟</w:t>
            </w:r>
          </w:p>
        </w:tc>
        <w:tc>
          <w:tcPr>
            <w:tcW w:w="2610" w:type="dxa"/>
            <w:vAlign w:val="center"/>
          </w:tcPr>
          <w:p w:rsidR="00CF426B" w:rsidRDefault="005F6DDD">
            <w:pPr>
              <w:jc w:val="right"/>
            </w:pPr>
            <w:r>
              <w:rPr>
                <w:color w:val="000000"/>
                <w:szCs w:val="21"/>
              </w:rPr>
              <w:t>1,147,168.00</w:t>
            </w:r>
          </w:p>
        </w:tc>
        <w:tc>
          <w:tcPr>
            <w:tcW w:w="2378" w:type="dxa"/>
            <w:vAlign w:val="center"/>
          </w:tcPr>
          <w:p w:rsidR="00CF426B" w:rsidRDefault="005F6DDD">
            <w:pPr>
              <w:jc w:val="right"/>
            </w:pPr>
            <w:r>
              <w:rPr>
                <w:color w:val="000000"/>
                <w:szCs w:val="21"/>
              </w:rPr>
              <w:t>1.18%</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注：本表统计的上市基金前十名持有人均为场内持有人。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00" w:name="_Toc48664251"/>
      <w:r w:rsidRPr="0087410D">
        <w:rPr>
          <w:rFonts w:ascii="宋体" w:hAnsi="宋体"/>
          <w:kern w:val="0"/>
          <w:sz w:val="21"/>
          <w:szCs w:val="21"/>
        </w:rPr>
        <w:t>8.3</w:t>
      </w:r>
      <w:r w:rsidR="00BE2F8C" w:rsidRPr="006B4E2C">
        <w:rPr>
          <w:rFonts w:ascii="宋体" w:hAnsi="宋体"/>
          <w:kern w:val="0"/>
          <w:sz w:val="21"/>
          <w:szCs w:val="21"/>
        </w:rPr>
        <w:tab/>
      </w:r>
      <w:r w:rsidRPr="0087410D">
        <w:rPr>
          <w:rFonts w:ascii="宋体" w:hAnsi="宋体" w:hint="eastAsia"/>
          <w:kern w:val="0"/>
          <w:sz w:val="21"/>
          <w:szCs w:val="21"/>
        </w:rPr>
        <w:t>期末基金管理人的从业人员持有本基金的情况</w:t>
      </w:r>
      <w:bookmarkEnd w:id="293"/>
      <w:bookmarkEnd w:id="294"/>
      <w:bookmarkEnd w:id="295"/>
      <w:bookmarkEnd w:id="296"/>
      <w:bookmarkEnd w:id="30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3420"/>
        <w:gridCol w:w="2160"/>
      </w:tblGrid>
      <w:tr w:rsidR="00711C4C" w:rsidRPr="00D749D4" w:rsidTr="004A4847">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项目</w:t>
            </w:r>
          </w:p>
        </w:tc>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持有份额总数（份）</w:t>
            </w:r>
          </w:p>
        </w:tc>
        <w:tc>
          <w:tcPr>
            <w:tcW w:w="216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占基金总份额比例</w:t>
            </w:r>
          </w:p>
        </w:tc>
      </w:tr>
      <w:tr w:rsidR="00711C4C" w:rsidRPr="00D749D4" w:rsidTr="004A4847">
        <w:tc>
          <w:tcPr>
            <w:tcW w:w="3420" w:type="dxa"/>
            <w:vAlign w:val="center"/>
          </w:tcPr>
          <w:p w:rsidR="00711C4C" w:rsidRPr="00D749D4" w:rsidRDefault="00711C4C" w:rsidP="004A4847">
            <w:pPr>
              <w:jc w:val="left"/>
              <w:rPr>
                <w:color w:val="000000"/>
                <w:szCs w:val="21"/>
              </w:rPr>
            </w:pPr>
            <w:r w:rsidRPr="00D749D4">
              <w:rPr>
                <w:rFonts w:hint="eastAsia"/>
                <w:color w:val="000000"/>
                <w:szCs w:val="21"/>
              </w:rPr>
              <w:t>基金管理人所有从业人员持有本基金</w:t>
            </w:r>
          </w:p>
        </w:tc>
        <w:tc>
          <w:tcPr>
            <w:tcW w:w="3420" w:type="dxa"/>
            <w:vAlign w:val="center"/>
          </w:tcPr>
          <w:p w:rsidR="00711C4C" w:rsidRPr="00D749D4" w:rsidRDefault="00711C4C" w:rsidP="00AF2896">
            <w:pPr>
              <w:widowControl/>
              <w:jc w:val="right"/>
              <w:rPr>
                <w:color w:val="000000"/>
                <w:kern w:val="0"/>
                <w:szCs w:val="21"/>
              </w:rPr>
            </w:pPr>
            <w:r w:rsidRPr="00D749D4">
              <w:rPr>
                <w:color w:val="000000"/>
                <w:kern w:val="0"/>
                <w:szCs w:val="21"/>
              </w:rPr>
              <w:t>425,868.82</w:t>
            </w:r>
          </w:p>
        </w:tc>
        <w:tc>
          <w:tcPr>
            <w:tcW w:w="2160" w:type="dxa"/>
            <w:vAlign w:val="center"/>
          </w:tcPr>
          <w:p w:rsidR="00711C4C" w:rsidRPr="00D749D4" w:rsidRDefault="00711C4C" w:rsidP="00AF2896">
            <w:pPr>
              <w:widowControl/>
              <w:jc w:val="right"/>
              <w:rPr>
                <w:color w:val="000000"/>
                <w:kern w:val="0"/>
                <w:szCs w:val="21"/>
              </w:rPr>
            </w:pPr>
            <w:r w:rsidRPr="00D749D4">
              <w:rPr>
                <w:color w:val="000000"/>
                <w:kern w:val="0"/>
                <w:szCs w:val="21"/>
              </w:rPr>
              <w:t>0.1164%</w:t>
            </w:r>
          </w:p>
        </w:tc>
      </w:tr>
    </w:tbl>
    <w:p w:rsidR="00711C4C" w:rsidRDefault="00711C4C" w:rsidP="00AB0FF3">
      <w:pPr>
        <w:tabs>
          <w:tab w:val="left" w:pos="426"/>
        </w:tabs>
        <w:spacing w:line="360" w:lineRule="auto"/>
        <w:ind w:firstLineChars="200" w:firstLine="420"/>
        <w:jc w:val="left"/>
        <w:rPr>
          <w:kern w:val="0"/>
          <w:szCs w:val="21"/>
        </w:rPr>
      </w:pPr>
      <w:bookmarkStart w:id="301" w:name="_Toc286911325"/>
      <w:bookmarkStart w:id="302" w:name="_Toc247957892"/>
      <w:r w:rsidRPr="00D749D4">
        <w:rPr>
          <w:kern w:val="0"/>
          <w:szCs w:val="21"/>
        </w:rPr>
        <w:t>注：基金管理人的从业人员持有的本基金份额含易方达纳斯达克</w:t>
      </w:r>
      <w:r w:rsidRPr="00D749D4">
        <w:rPr>
          <w:kern w:val="0"/>
          <w:szCs w:val="21"/>
        </w:rPr>
        <w:t>100</w:t>
      </w:r>
      <w:r w:rsidRPr="00D749D4">
        <w:rPr>
          <w:kern w:val="0"/>
          <w:szCs w:val="21"/>
        </w:rPr>
        <w:t>指数（</w:t>
      </w:r>
      <w:r w:rsidRPr="00D749D4">
        <w:rPr>
          <w:kern w:val="0"/>
          <w:szCs w:val="21"/>
        </w:rPr>
        <w:t>QDII-LOF</w:t>
      </w:r>
      <w:r w:rsidRPr="00D749D4">
        <w:rPr>
          <w:kern w:val="0"/>
          <w:szCs w:val="21"/>
        </w:rPr>
        <w:t>）人民币份额及美元现汇份额。</w:t>
      </w:r>
      <w:bookmarkEnd w:id="301"/>
      <w:bookmarkEnd w:id="302"/>
    </w:p>
    <w:p w:rsidR="00853148" w:rsidRPr="005125A4" w:rsidRDefault="00853148" w:rsidP="003427BF">
      <w:pPr>
        <w:pStyle w:val="20"/>
        <w:spacing w:beforeLines="100" w:before="312" w:afterLines="100" w:after="312"/>
        <w:ind w:firstLineChars="200" w:firstLine="422"/>
        <w:rPr>
          <w:rFonts w:ascii="宋体"/>
          <w:kern w:val="0"/>
          <w:sz w:val="21"/>
          <w:szCs w:val="21"/>
        </w:rPr>
      </w:pPr>
      <w:bookmarkStart w:id="303" w:name="_Toc48664252"/>
      <w:r w:rsidRPr="005125A4">
        <w:rPr>
          <w:rFonts w:ascii="宋体"/>
          <w:kern w:val="0"/>
          <w:sz w:val="21"/>
          <w:szCs w:val="21"/>
        </w:rPr>
        <w:t>8.4</w:t>
      </w:r>
      <w:r w:rsidR="00CC1EEC" w:rsidRPr="006B4E2C">
        <w:rPr>
          <w:rFonts w:ascii="宋体" w:hAnsi="宋体"/>
          <w:kern w:val="0"/>
          <w:sz w:val="21"/>
          <w:szCs w:val="21"/>
        </w:rPr>
        <w:tab/>
      </w:r>
      <w:r w:rsidRPr="005125A4">
        <w:rPr>
          <w:rFonts w:ascii="宋体" w:hint="eastAsia"/>
          <w:kern w:val="0"/>
          <w:sz w:val="21"/>
          <w:szCs w:val="21"/>
        </w:rPr>
        <w:t>期末基金管理人的从业人员持有本开放式基金份额总量区间的情况</w:t>
      </w:r>
      <w:bookmarkEnd w:id="3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5917"/>
      </w:tblGrid>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项目</w:t>
            </w:r>
          </w:p>
        </w:tc>
        <w:tc>
          <w:tcPr>
            <w:tcW w:w="3186"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853148" w:rsidRPr="009D5CCC" w:rsidTr="00A62F1C">
        <w:trPr>
          <w:trHeight w:val="713"/>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4" w:name="_Toc225500053"/>
      <w:bookmarkStart w:id="305" w:name="_Toc352256009"/>
      <w:bookmarkStart w:id="306" w:name="_Toc352256077"/>
      <w:bookmarkStart w:id="307" w:name="_Toc352331255"/>
      <w:bookmarkStart w:id="308" w:name="_Toc374611684"/>
      <w:bookmarkStart w:id="309" w:name="_Toc48664253"/>
      <w:r w:rsidRPr="00964699">
        <w:rPr>
          <w:rFonts w:ascii="宋体" w:hAnsi="宋体" w:cs="Arial"/>
          <w:color w:val="000000"/>
          <w:sz w:val="21"/>
          <w:szCs w:val="21"/>
        </w:rPr>
        <w:t>9</w:t>
      </w:r>
      <w:r w:rsidR="003C264B" w:rsidRPr="006B4E2C">
        <w:rPr>
          <w:rFonts w:ascii="宋体" w:hAnsi="宋体" w:cs="Arial"/>
          <w:color w:val="000000"/>
          <w:sz w:val="21"/>
          <w:szCs w:val="21"/>
        </w:rPr>
        <w:tab/>
      </w:r>
      <w:r w:rsidRPr="00964699">
        <w:rPr>
          <w:rFonts w:ascii="宋体" w:hAnsi="宋体" w:cs="Arial" w:hint="eastAsia"/>
          <w:color w:val="000000"/>
          <w:sz w:val="21"/>
          <w:szCs w:val="21"/>
        </w:rPr>
        <w:t>开放式基金份额变动</w:t>
      </w:r>
      <w:bookmarkEnd w:id="304"/>
      <w:bookmarkEnd w:id="305"/>
      <w:bookmarkEnd w:id="306"/>
      <w:bookmarkEnd w:id="307"/>
      <w:bookmarkEnd w:id="308"/>
      <w:bookmarkEnd w:id="309"/>
    </w:p>
    <w:p w:rsidR="00711C4C" w:rsidRPr="00D749D4" w:rsidRDefault="00711C4C" w:rsidP="002116B9">
      <w:pPr>
        <w:jc w:val="right"/>
        <w:rPr>
          <w:szCs w:val="21"/>
        </w:rPr>
      </w:pPr>
      <w:r w:rsidRPr="00D749D4">
        <w:rPr>
          <w:rFonts w:hint="eastAsia"/>
          <w:szCs w:val="21"/>
        </w:rPr>
        <w:t>单位：份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358"/>
      </w:tblGrid>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基金合同生效日（</w:t>
            </w:r>
            <w:r w:rsidRPr="00D749D4">
              <w:rPr>
                <w:szCs w:val="21"/>
              </w:rPr>
              <w:t>2017</w:t>
            </w:r>
            <w:r w:rsidRPr="00D749D4">
              <w:rPr>
                <w:szCs w:val="21"/>
              </w:rPr>
              <w:t>年</w:t>
            </w:r>
            <w:r w:rsidRPr="00D749D4">
              <w:rPr>
                <w:szCs w:val="21"/>
              </w:rPr>
              <w:t>6</w:t>
            </w:r>
            <w:r w:rsidRPr="00D749D4">
              <w:rPr>
                <w:szCs w:val="21"/>
              </w:rPr>
              <w:t>月</w:t>
            </w:r>
            <w:r w:rsidRPr="00D749D4">
              <w:rPr>
                <w:szCs w:val="21"/>
              </w:rPr>
              <w:t>23</w:t>
            </w:r>
            <w:r w:rsidRPr="00D749D4">
              <w:rPr>
                <w:szCs w:val="21"/>
              </w:rPr>
              <w:t>日</w:t>
            </w:r>
            <w:r w:rsidRPr="00D749D4">
              <w:rPr>
                <w:rFonts w:hint="eastAsia"/>
                <w:szCs w:val="21"/>
              </w:rPr>
              <w:t>）基金份额总额</w:t>
            </w:r>
          </w:p>
        </w:tc>
        <w:tc>
          <w:tcPr>
            <w:tcW w:w="4358" w:type="dxa"/>
            <w:vAlign w:val="center"/>
          </w:tcPr>
          <w:p w:rsidR="00711C4C" w:rsidRPr="00D749D4" w:rsidRDefault="00711C4C" w:rsidP="00B3741E">
            <w:pPr>
              <w:jc w:val="right"/>
              <w:rPr>
                <w:szCs w:val="21"/>
              </w:rPr>
            </w:pPr>
            <w:r w:rsidRPr="00D749D4">
              <w:rPr>
                <w:szCs w:val="21"/>
              </w:rPr>
              <w:t>333,099,865.38</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本报告期期初基金份额总额</w:t>
            </w:r>
          </w:p>
        </w:tc>
        <w:tc>
          <w:tcPr>
            <w:tcW w:w="4358" w:type="dxa"/>
            <w:vAlign w:val="center"/>
          </w:tcPr>
          <w:p w:rsidR="00711C4C" w:rsidRPr="00D749D4" w:rsidRDefault="00711C4C" w:rsidP="00B3741E">
            <w:pPr>
              <w:jc w:val="right"/>
              <w:rPr>
                <w:szCs w:val="21"/>
              </w:rPr>
            </w:pPr>
            <w:r w:rsidRPr="00D749D4">
              <w:rPr>
                <w:szCs w:val="21"/>
              </w:rPr>
              <w:t>100,350,776.12</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基金总申购份额</w:t>
            </w:r>
          </w:p>
        </w:tc>
        <w:tc>
          <w:tcPr>
            <w:tcW w:w="4358" w:type="dxa"/>
            <w:vAlign w:val="center"/>
          </w:tcPr>
          <w:p w:rsidR="00711C4C" w:rsidRPr="00D749D4" w:rsidRDefault="00711C4C" w:rsidP="00B3741E">
            <w:pPr>
              <w:jc w:val="right"/>
              <w:rPr>
                <w:szCs w:val="21"/>
              </w:rPr>
            </w:pPr>
            <w:r w:rsidRPr="00D749D4">
              <w:rPr>
                <w:szCs w:val="21"/>
              </w:rPr>
              <w:t>607,155,652.44</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减：</w:t>
            </w:r>
            <w:r w:rsidRPr="00D749D4">
              <w:rPr>
                <w:szCs w:val="21"/>
              </w:rPr>
              <w:t>本报告期</w:t>
            </w:r>
            <w:r w:rsidRPr="00D749D4">
              <w:rPr>
                <w:rFonts w:hint="eastAsia"/>
                <w:szCs w:val="21"/>
              </w:rPr>
              <w:t>基金总赎回份额</w:t>
            </w:r>
          </w:p>
        </w:tc>
        <w:tc>
          <w:tcPr>
            <w:tcW w:w="4358" w:type="dxa"/>
            <w:vAlign w:val="center"/>
          </w:tcPr>
          <w:p w:rsidR="00711C4C" w:rsidRPr="00D749D4" w:rsidRDefault="00711C4C" w:rsidP="00B3741E">
            <w:pPr>
              <w:jc w:val="right"/>
              <w:rPr>
                <w:szCs w:val="21"/>
              </w:rPr>
            </w:pPr>
            <w:r w:rsidRPr="00D749D4">
              <w:rPr>
                <w:szCs w:val="21"/>
              </w:rPr>
              <w:t>341,794,551.60</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基金拆分变动份额</w:t>
            </w:r>
          </w:p>
        </w:tc>
        <w:tc>
          <w:tcPr>
            <w:tcW w:w="4358" w:type="dxa"/>
            <w:vAlign w:val="center"/>
          </w:tcPr>
          <w:p w:rsidR="00711C4C" w:rsidRPr="00D749D4" w:rsidRDefault="00711C4C" w:rsidP="00B3741E">
            <w:pPr>
              <w:jc w:val="right"/>
              <w:rPr>
                <w:szCs w:val="21"/>
              </w:rPr>
            </w:pPr>
            <w:r w:rsidRPr="00D749D4">
              <w:rPr>
                <w:szCs w:val="21"/>
              </w:rPr>
              <w:t>-</w:t>
            </w:r>
          </w:p>
        </w:tc>
      </w:tr>
      <w:tr w:rsidR="00711C4C" w:rsidRPr="00D749D4" w:rsidTr="00DF49D0">
        <w:tc>
          <w:tcPr>
            <w:tcW w:w="4928" w:type="dxa"/>
            <w:vAlign w:val="center"/>
          </w:tcPr>
          <w:p w:rsidR="00711C4C" w:rsidRPr="00D749D4" w:rsidRDefault="00E75FE6" w:rsidP="004A4847">
            <w:pPr>
              <w:rPr>
                <w:szCs w:val="21"/>
              </w:rPr>
            </w:pPr>
            <w:r w:rsidRPr="00E75FE6">
              <w:rPr>
                <w:rFonts w:hint="eastAsia"/>
                <w:szCs w:val="21"/>
              </w:rPr>
              <w:t>本报告期期末基金份额总额</w:t>
            </w:r>
          </w:p>
        </w:tc>
        <w:tc>
          <w:tcPr>
            <w:tcW w:w="4358" w:type="dxa"/>
            <w:vAlign w:val="center"/>
          </w:tcPr>
          <w:p w:rsidR="00711C4C" w:rsidRPr="00D749D4" w:rsidRDefault="00711C4C" w:rsidP="00B3741E">
            <w:pPr>
              <w:jc w:val="right"/>
              <w:rPr>
                <w:szCs w:val="21"/>
              </w:rPr>
            </w:pPr>
            <w:r w:rsidRPr="00D749D4">
              <w:rPr>
                <w:szCs w:val="21"/>
              </w:rPr>
              <w:t>365,711,876.96</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注：本基金份额变动含易方达纳斯达克</w:t>
      </w:r>
      <w:r w:rsidRPr="00D749D4">
        <w:rPr>
          <w:kern w:val="0"/>
          <w:szCs w:val="21"/>
        </w:rPr>
        <w:t>100</w:t>
      </w:r>
      <w:r w:rsidRPr="00D749D4">
        <w:rPr>
          <w:kern w:val="0"/>
          <w:szCs w:val="21"/>
        </w:rPr>
        <w:t>指数（</w:t>
      </w:r>
      <w:r w:rsidRPr="00D749D4">
        <w:rPr>
          <w:kern w:val="0"/>
          <w:szCs w:val="21"/>
        </w:rPr>
        <w:t>QDII-LOF</w:t>
      </w:r>
      <w:r w:rsidRPr="00D749D4">
        <w:rPr>
          <w:kern w:val="0"/>
          <w:szCs w:val="21"/>
        </w:rPr>
        <w:t>）人民币份额及美元现汇份额。</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10" w:name="_Toc225500054"/>
      <w:bookmarkStart w:id="311" w:name="_Toc352256010"/>
      <w:bookmarkStart w:id="312" w:name="_Toc352256078"/>
      <w:bookmarkStart w:id="313" w:name="_Toc352331256"/>
      <w:bookmarkStart w:id="314" w:name="_Toc374611685"/>
      <w:bookmarkStart w:id="315" w:name="_Toc48664254"/>
      <w:r w:rsidRPr="00964699">
        <w:rPr>
          <w:rFonts w:ascii="宋体" w:hAnsi="宋体" w:cs="Arial"/>
          <w:color w:val="000000"/>
          <w:sz w:val="21"/>
          <w:szCs w:val="21"/>
        </w:rPr>
        <w:t>10</w:t>
      </w:r>
      <w:r w:rsidR="006B4E2C" w:rsidRPr="006B4E2C">
        <w:rPr>
          <w:rFonts w:ascii="宋体" w:hAnsi="宋体" w:cs="Arial"/>
          <w:color w:val="000000"/>
          <w:sz w:val="21"/>
          <w:szCs w:val="21"/>
        </w:rPr>
        <w:tab/>
      </w:r>
      <w:r w:rsidRPr="00964699">
        <w:rPr>
          <w:rFonts w:ascii="宋体" w:hAnsi="宋体" w:cs="Arial" w:hint="eastAsia"/>
          <w:color w:val="000000"/>
          <w:sz w:val="21"/>
          <w:szCs w:val="21"/>
        </w:rPr>
        <w:t>重大事件揭示</w:t>
      </w:r>
      <w:bookmarkEnd w:id="310"/>
      <w:bookmarkEnd w:id="311"/>
      <w:bookmarkEnd w:id="312"/>
      <w:bookmarkEnd w:id="313"/>
      <w:bookmarkEnd w:id="314"/>
      <w:bookmarkEnd w:id="315"/>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6" w:name="_Toc352256011"/>
      <w:bookmarkStart w:id="317" w:name="_Toc352256079"/>
      <w:bookmarkStart w:id="318" w:name="_Toc352331257"/>
      <w:bookmarkStart w:id="319" w:name="_Toc374611686"/>
      <w:bookmarkStart w:id="320" w:name="_Toc48664255"/>
      <w:r w:rsidRPr="005D7854">
        <w:rPr>
          <w:rFonts w:ascii="宋体"/>
          <w:kern w:val="0"/>
          <w:sz w:val="21"/>
          <w:szCs w:val="21"/>
        </w:rPr>
        <w:t>10.1</w:t>
      </w:r>
      <w:r w:rsidR="00BE2F8C" w:rsidRPr="006B4E2C">
        <w:rPr>
          <w:rFonts w:ascii="宋体" w:hAnsi="宋体"/>
          <w:kern w:val="0"/>
          <w:sz w:val="21"/>
          <w:szCs w:val="21"/>
        </w:rPr>
        <w:tab/>
      </w:r>
      <w:r w:rsidR="00711C4C" w:rsidRPr="0087410D">
        <w:rPr>
          <w:rFonts w:ascii="宋体" w:hAnsi="宋体" w:hint="eastAsia"/>
          <w:kern w:val="0"/>
          <w:sz w:val="21"/>
          <w:szCs w:val="21"/>
        </w:rPr>
        <w:t>基金份额持有人大会决议</w:t>
      </w:r>
      <w:bookmarkEnd w:id="316"/>
      <w:bookmarkEnd w:id="317"/>
      <w:bookmarkEnd w:id="318"/>
      <w:bookmarkEnd w:id="319"/>
      <w:bookmarkEnd w:id="32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本报告期内未召开基金份额持有人大会。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1" w:name="_Toc352256012"/>
      <w:bookmarkStart w:id="322" w:name="_Toc352256080"/>
      <w:bookmarkStart w:id="323" w:name="_Toc352331258"/>
      <w:bookmarkStart w:id="324" w:name="_Toc374611687"/>
      <w:bookmarkStart w:id="325" w:name="_Toc48664256"/>
      <w:r w:rsidRPr="005D7854">
        <w:rPr>
          <w:rFonts w:ascii="宋体"/>
          <w:kern w:val="0"/>
          <w:sz w:val="21"/>
          <w:szCs w:val="21"/>
        </w:rPr>
        <w:t>10.2</w:t>
      </w:r>
      <w:r w:rsidR="00BE2F8C" w:rsidRPr="006B4E2C">
        <w:rPr>
          <w:rFonts w:ascii="宋体" w:hAnsi="宋体"/>
          <w:kern w:val="0"/>
          <w:sz w:val="21"/>
          <w:szCs w:val="21"/>
        </w:rPr>
        <w:tab/>
      </w:r>
      <w:r w:rsidR="00711C4C" w:rsidRPr="0087410D">
        <w:rPr>
          <w:rFonts w:ascii="宋体" w:hAnsi="宋体" w:hint="eastAsia"/>
          <w:kern w:val="0"/>
          <w:sz w:val="21"/>
          <w:szCs w:val="21"/>
        </w:rPr>
        <w:t>基金管理人、基金托管人的专门基金托管部门的重大人事变动</w:t>
      </w:r>
      <w:bookmarkEnd w:id="321"/>
      <w:bookmarkEnd w:id="322"/>
      <w:bookmarkEnd w:id="323"/>
      <w:bookmarkEnd w:id="324"/>
      <w:bookmarkEnd w:id="325"/>
    </w:p>
    <w:p w:rsidR="00CF426B" w:rsidRDefault="005F6DDD">
      <w:pPr>
        <w:tabs>
          <w:tab w:val="left" w:pos="426"/>
        </w:tabs>
        <w:spacing w:line="360" w:lineRule="auto"/>
        <w:ind w:firstLineChars="200" w:firstLine="420"/>
        <w:jc w:val="left"/>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本报告期内本基金托管人的专门基金托管部门未发生重大人事变动。</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6" w:name="_Toc352256013"/>
      <w:bookmarkStart w:id="327" w:name="_Toc352256081"/>
      <w:bookmarkStart w:id="328" w:name="_Toc352331259"/>
      <w:bookmarkStart w:id="329" w:name="_Toc374611688"/>
      <w:bookmarkStart w:id="330" w:name="_Toc48664257"/>
      <w:r w:rsidRPr="005D7854">
        <w:rPr>
          <w:rFonts w:ascii="宋体"/>
          <w:kern w:val="0"/>
          <w:sz w:val="21"/>
          <w:szCs w:val="21"/>
        </w:rPr>
        <w:t>10.3</w:t>
      </w:r>
      <w:r w:rsidR="00BE2F8C" w:rsidRPr="006B4E2C">
        <w:rPr>
          <w:rFonts w:ascii="宋体" w:hAnsi="宋体"/>
          <w:kern w:val="0"/>
          <w:sz w:val="21"/>
          <w:szCs w:val="21"/>
        </w:rPr>
        <w:tab/>
      </w:r>
      <w:r w:rsidR="00711C4C" w:rsidRPr="0087410D">
        <w:rPr>
          <w:rFonts w:ascii="宋体" w:hAnsi="宋体" w:hint="eastAsia"/>
          <w:kern w:val="0"/>
          <w:sz w:val="21"/>
          <w:szCs w:val="21"/>
        </w:rPr>
        <w:t>涉及基金管理人、基金财产、基金托管业务的诉讼</w:t>
      </w:r>
      <w:bookmarkEnd w:id="326"/>
      <w:bookmarkEnd w:id="327"/>
      <w:bookmarkEnd w:id="328"/>
      <w:bookmarkEnd w:id="329"/>
      <w:bookmarkEnd w:id="33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本报告期内无涉及本基金管理人、基金财产、基金托管业务的诉讼事项。</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1" w:name="_Toc352256014"/>
      <w:bookmarkStart w:id="332" w:name="_Toc352256082"/>
      <w:bookmarkStart w:id="333" w:name="_Toc352331260"/>
      <w:bookmarkStart w:id="334" w:name="_Toc374611689"/>
      <w:bookmarkStart w:id="335" w:name="_Toc48664258"/>
      <w:r w:rsidRPr="005D7854">
        <w:rPr>
          <w:rFonts w:ascii="宋体"/>
          <w:kern w:val="0"/>
          <w:sz w:val="21"/>
          <w:szCs w:val="21"/>
        </w:rPr>
        <w:t>10.4</w:t>
      </w:r>
      <w:r w:rsidR="00BE2F8C" w:rsidRPr="006B4E2C">
        <w:rPr>
          <w:rFonts w:ascii="宋体" w:hAnsi="宋体"/>
          <w:kern w:val="0"/>
          <w:sz w:val="21"/>
          <w:szCs w:val="21"/>
        </w:rPr>
        <w:tab/>
      </w:r>
      <w:r w:rsidR="00711C4C" w:rsidRPr="0087410D">
        <w:rPr>
          <w:rFonts w:ascii="宋体" w:hAnsi="宋体" w:hint="eastAsia"/>
          <w:kern w:val="0"/>
          <w:sz w:val="21"/>
          <w:szCs w:val="21"/>
        </w:rPr>
        <w:t>基金投资策略的改变</w:t>
      </w:r>
      <w:bookmarkEnd w:id="331"/>
      <w:bookmarkEnd w:id="332"/>
      <w:bookmarkEnd w:id="333"/>
      <w:bookmarkEnd w:id="334"/>
      <w:bookmarkEnd w:id="335"/>
    </w:p>
    <w:p w:rsidR="005D7854" w:rsidRPr="00AB0FF3" w:rsidRDefault="00711C4C" w:rsidP="005D7854">
      <w:pPr>
        <w:tabs>
          <w:tab w:val="left" w:pos="426"/>
        </w:tabs>
        <w:spacing w:line="360" w:lineRule="auto"/>
        <w:ind w:firstLineChars="200" w:firstLine="420"/>
        <w:jc w:val="left"/>
        <w:rPr>
          <w:kern w:val="0"/>
          <w:szCs w:val="21"/>
        </w:rPr>
      </w:pPr>
      <w:r w:rsidRPr="00D749D4">
        <w:rPr>
          <w:kern w:val="0"/>
          <w:szCs w:val="21"/>
        </w:rPr>
        <w:t>本报告期内本基金的投资策略未有重大变化。</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6" w:name="_Toc48664259"/>
      <w:r w:rsidRPr="005D7854">
        <w:rPr>
          <w:rFonts w:ascii="宋体"/>
          <w:kern w:val="0"/>
          <w:sz w:val="21"/>
          <w:szCs w:val="21"/>
        </w:rPr>
        <w:t>10.5</w:t>
      </w:r>
      <w:r w:rsidR="00BE2F8C" w:rsidRPr="006B4E2C">
        <w:rPr>
          <w:rFonts w:ascii="宋体" w:hAnsi="宋体"/>
          <w:kern w:val="0"/>
          <w:sz w:val="21"/>
          <w:szCs w:val="21"/>
        </w:rPr>
        <w:tab/>
      </w:r>
      <w:r w:rsidR="00711C4C" w:rsidRPr="0087410D">
        <w:rPr>
          <w:rFonts w:ascii="宋体" w:hAnsi="宋体" w:hint="eastAsia"/>
          <w:kern w:val="0"/>
          <w:sz w:val="21"/>
          <w:szCs w:val="21"/>
        </w:rPr>
        <w:t>为基金进行审计的会计师事务所情况</w:t>
      </w:r>
      <w:bookmarkEnd w:id="336"/>
    </w:p>
    <w:p w:rsidR="00711C4C" w:rsidRPr="00D749D4" w:rsidRDefault="00711C4C" w:rsidP="00AB0FF3">
      <w:pPr>
        <w:tabs>
          <w:tab w:val="left" w:pos="426"/>
        </w:tabs>
        <w:spacing w:line="360" w:lineRule="auto"/>
        <w:ind w:firstLineChars="200" w:firstLine="420"/>
        <w:jc w:val="left"/>
        <w:rPr>
          <w:kern w:val="0"/>
          <w:szCs w:val="21"/>
        </w:rPr>
      </w:pPr>
      <w:bookmarkStart w:id="337" w:name="OLE_LINK3"/>
      <w:r w:rsidRPr="00D749D4">
        <w:rPr>
          <w:kern w:val="0"/>
          <w:szCs w:val="21"/>
        </w:rPr>
        <w:t>本报告期内本基金未改聘会计师事务所。</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8" w:name="_Toc352256016"/>
      <w:bookmarkStart w:id="339" w:name="_Toc352256084"/>
      <w:bookmarkStart w:id="340" w:name="_Toc352331262"/>
      <w:bookmarkStart w:id="341" w:name="_Toc374611691"/>
      <w:bookmarkStart w:id="342" w:name="_Toc48664260"/>
      <w:bookmarkEnd w:id="337"/>
      <w:r w:rsidRPr="005D7854">
        <w:rPr>
          <w:rFonts w:ascii="宋体"/>
          <w:kern w:val="0"/>
          <w:sz w:val="21"/>
          <w:szCs w:val="21"/>
        </w:rPr>
        <w:t>10.6</w:t>
      </w:r>
      <w:r w:rsidR="00BE2F8C" w:rsidRPr="006B4E2C">
        <w:rPr>
          <w:rFonts w:ascii="宋体" w:hAnsi="宋体"/>
          <w:kern w:val="0"/>
          <w:sz w:val="21"/>
          <w:szCs w:val="21"/>
        </w:rPr>
        <w:tab/>
      </w:r>
      <w:r w:rsidR="00711C4C" w:rsidRPr="0087410D">
        <w:rPr>
          <w:rFonts w:ascii="宋体" w:hAnsi="宋体" w:hint="eastAsia"/>
          <w:kern w:val="0"/>
          <w:sz w:val="21"/>
          <w:szCs w:val="21"/>
        </w:rPr>
        <w:t>管理人、托管人及其高级管理人员受稽查或处罚等情况</w:t>
      </w:r>
      <w:bookmarkEnd w:id="338"/>
      <w:bookmarkEnd w:id="339"/>
      <w:bookmarkEnd w:id="340"/>
      <w:bookmarkEnd w:id="341"/>
      <w:bookmarkEnd w:id="342"/>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本报告期内，本基金管理人和托管人托管业务部门及其相关高级管理人员未受到稽查或处罚。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43" w:name="_Toc352256017"/>
      <w:bookmarkStart w:id="344" w:name="_Toc352256085"/>
      <w:bookmarkStart w:id="345" w:name="_Toc352331263"/>
      <w:bookmarkStart w:id="346" w:name="_Toc374611692"/>
      <w:bookmarkStart w:id="347" w:name="_Toc48664261"/>
      <w:r w:rsidRPr="005D7854">
        <w:rPr>
          <w:rFonts w:ascii="宋体"/>
          <w:kern w:val="0"/>
          <w:sz w:val="21"/>
          <w:szCs w:val="21"/>
        </w:rPr>
        <w:t>10.7</w:t>
      </w:r>
      <w:r w:rsidR="00BE2F8C" w:rsidRPr="006B4E2C">
        <w:rPr>
          <w:rFonts w:ascii="宋体" w:hAnsi="宋体"/>
          <w:kern w:val="0"/>
          <w:sz w:val="21"/>
          <w:szCs w:val="21"/>
        </w:rPr>
        <w:tab/>
      </w:r>
      <w:r w:rsidR="00711C4C" w:rsidRPr="0087410D">
        <w:rPr>
          <w:rFonts w:ascii="宋体" w:hAnsi="宋体" w:hint="eastAsia"/>
          <w:kern w:val="0"/>
          <w:sz w:val="21"/>
          <w:szCs w:val="21"/>
        </w:rPr>
        <w:t>基金租用证券公司交易单元的有关情况</w:t>
      </w:r>
      <w:bookmarkEnd w:id="343"/>
      <w:bookmarkEnd w:id="344"/>
      <w:bookmarkEnd w:id="345"/>
      <w:bookmarkEnd w:id="346"/>
      <w:bookmarkEnd w:id="347"/>
    </w:p>
    <w:p w:rsidR="00711C4C" w:rsidRPr="0087410D" w:rsidRDefault="00711C4C" w:rsidP="00DB1E0B">
      <w:pPr>
        <w:spacing w:line="360" w:lineRule="auto"/>
        <w:ind w:firstLineChars="197" w:firstLine="415"/>
        <w:rPr>
          <w:rFonts w:ascii="宋体"/>
          <w:b/>
          <w:szCs w:val="21"/>
        </w:rPr>
      </w:pPr>
      <w:bookmarkStart w:id="348" w:name="_Toc249760070"/>
      <w:r w:rsidRPr="0087410D">
        <w:rPr>
          <w:rFonts w:ascii="宋体" w:hAnsi="宋体"/>
          <w:b/>
          <w:szCs w:val="21"/>
        </w:rPr>
        <w:t>10.</w:t>
      </w:r>
      <w:r w:rsidR="00B46AA3">
        <w:rPr>
          <w:rFonts w:ascii="宋体" w:hAnsi="宋体" w:hint="eastAsia"/>
          <w:b/>
          <w:szCs w:val="21"/>
        </w:rPr>
        <w:t>7</w:t>
      </w:r>
      <w:r w:rsidRPr="0087410D">
        <w:rPr>
          <w:rFonts w:ascii="宋体" w:hAnsi="宋体"/>
          <w:b/>
          <w:szCs w:val="21"/>
        </w:rPr>
        <w:t>.</w:t>
      </w:r>
      <w:r w:rsidR="00B46AA3">
        <w:rPr>
          <w:rFonts w:ascii="宋体" w:hAnsi="宋体" w:hint="eastAsia"/>
          <w:b/>
          <w:szCs w:val="21"/>
        </w:rPr>
        <w:t>1</w:t>
      </w:r>
      <w:r w:rsidRPr="0087410D">
        <w:rPr>
          <w:rFonts w:ascii="宋体" w:hAnsi="宋体" w:hint="eastAsia"/>
          <w:b/>
          <w:szCs w:val="21"/>
        </w:rPr>
        <w:t>基金租用证券公司交易单元进行股票投资及佣金支付情况</w:t>
      </w:r>
      <w:bookmarkEnd w:id="348"/>
    </w:p>
    <w:p w:rsidR="00711C4C" w:rsidRPr="00D749D4" w:rsidRDefault="00711C4C" w:rsidP="00DB1E0B">
      <w:pPr>
        <w:pStyle w:val="a0"/>
        <w:ind w:firstLineChars="2600" w:firstLine="5460"/>
        <w:jc w:val="right"/>
        <w:rPr>
          <w:color w:val="00000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11C4C" w:rsidRPr="00D749D4" w:rsidTr="004A4847">
        <w:tc>
          <w:tcPr>
            <w:tcW w:w="1560" w:type="dxa"/>
            <w:vMerge w:val="restart"/>
            <w:vAlign w:val="center"/>
          </w:tcPr>
          <w:p w:rsidR="00711C4C" w:rsidRPr="00D749D4" w:rsidRDefault="00711C4C" w:rsidP="004A4847">
            <w:pPr>
              <w:jc w:val="center"/>
              <w:rPr>
                <w:color w:val="000000"/>
                <w:szCs w:val="21"/>
              </w:rPr>
            </w:pPr>
            <w:bookmarkStart w:id="349" w:name="_Toc249760071"/>
            <w:r w:rsidRPr="00D749D4">
              <w:rPr>
                <w:rFonts w:hint="eastAsia"/>
                <w:color w:val="000000"/>
                <w:szCs w:val="21"/>
              </w:rPr>
              <w:t>券商名称</w:t>
            </w:r>
          </w:p>
        </w:tc>
        <w:tc>
          <w:tcPr>
            <w:tcW w:w="780" w:type="dxa"/>
            <w:vMerge w:val="restart"/>
            <w:vAlign w:val="center"/>
          </w:tcPr>
          <w:p w:rsidR="00711C4C" w:rsidRPr="00D749D4" w:rsidRDefault="00711C4C" w:rsidP="004A4847">
            <w:pPr>
              <w:jc w:val="center"/>
              <w:rPr>
                <w:color w:val="000000"/>
                <w:szCs w:val="21"/>
              </w:rPr>
            </w:pPr>
            <w:r w:rsidRPr="00D749D4">
              <w:rPr>
                <w:rFonts w:hint="eastAsia"/>
                <w:color w:val="000000"/>
                <w:szCs w:val="21"/>
              </w:rPr>
              <w:t>交易单元数量</w:t>
            </w:r>
          </w:p>
        </w:tc>
        <w:tc>
          <w:tcPr>
            <w:tcW w:w="2880" w:type="dxa"/>
            <w:gridSpan w:val="2"/>
            <w:vAlign w:val="center"/>
          </w:tcPr>
          <w:p w:rsidR="00711C4C" w:rsidRPr="00D749D4" w:rsidRDefault="00711C4C" w:rsidP="004A4847">
            <w:pPr>
              <w:jc w:val="center"/>
              <w:rPr>
                <w:color w:val="000000"/>
                <w:szCs w:val="21"/>
              </w:rPr>
            </w:pPr>
            <w:r w:rsidRPr="00D749D4">
              <w:rPr>
                <w:rFonts w:hint="eastAsia"/>
                <w:color w:val="000000"/>
                <w:szCs w:val="21"/>
              </w:rPr>
              <w:t>股票交易</w:t>
            </w:r>
          </w:p>
        </w:tc>
        <w:tc>
          <w:tcPr>
            <w:tcW w:w="2700" w:type="dxa"/>
            <w:gridSpan w:val="2"/>
            <w:vAlign w:val="center"/>
          </w:tcPr>
          <w:p w:rsidR="00711C4C" w:rsidRPr="00D749D4" w:rsidRDefault="00711C4C" w:rsidP="004A4847">
            <w:pPr>
              <w:jc w:val="center"/>
              <w:rPr>
                <w:color w:val="000000"/>
                <w:szCs w:val="21"/>
              </w:rPr>
            </w:pPr>
            <w:r w:rsidRPr="00D749D4">
              <w:rPr>
                <w:rFonts w:hint="eastAsia"/>
                <w:color w:val="000000"/>
                <w:szCs w:val="21"/>
              </w:rPr>
              <w:t>应支付该券商的佣金</w:t>
            </w:r>
          </w:p>
        </w:tc>
        <w:tc>
          <w:tcPr>
            <w:tcW w:w="1080" w:type="dxa"/>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备注</w:t>
            </w:r>
          </w:p>
        </w:tc>
      </w:tr>
      <w:tr w:rsidR="00711C4C" w:rsidRPr="00D749D4" w:rsidTr="004A4847">
        <w:tc>
          <w:tcPr>
            <w:tcW w:w="9000" w:type="dxa"/>
            <w:vMerge/>
            <w:vAlign w:val="center"/>
          </w:tcPr>
          <w:p w:rsidR="00711C4C" w:rsidRPr="00D749D4" w:rsidRDefault="00711C4C" w:rsidP="004A4847">
            <w:pPr>
              <w:widowControl/>
              <w:jc w:val="left"/>
              <w:rPr>
                <w:color w:val="000000"/>
                <w:szCs w:val="21"/>
              </w:rPr>
            </w:pPr>
          </w:p>
        </w:tc>
        <w:tc>
          <w:tcPr>
            <w:tcW w:w="780" w:type="dxa"/>
            <w:vMerge/>
            <w:vAlign w:val="center"/>
          </w:tcPr>
          <w:p w:rsidR="00711C4C" w:rsidRPr="00D749D4" w:rsidRDefault="00711C4C" w:rsidP="004A4847">
            <w:pPr>
              <w:widowControl/>
              <w:jc w:val="left"/>
              <w:rPr>
                <w:color w:val="000000"/>
                <w:szCs w:val="21"/>
              </w:rPr>
            </w:pPr>
          </w:p>
        </w:tc>
        <w:tc>
          <w:tcPr>
            <w:tcW w:w="1800"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占当期股票成交总额的比例</w:t>
            </w:r>
          </w:p>
        </w:tc>
        <w:tc>
          <w:tcPr>
            <w:tcW w:w="162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佣金</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占当期佣金总量的比例</w:t>
            </w:r>
          </w:p>
        </w:tc>
        <w:tc>
          <w:tcPr>
            <w:tcW w:w="1080" w:type="dxa"/>
            <w:vMerge/>
            <w:vAlign w:val="center"/>
          </w:tcPr>
          <w:p w:rsidR="00711C4C" w:rsidRPr="00D749D4" w:rsidRDefault="00711C4C" w:rsidP="004A4847">
            <w:pPr>
              <w:widowControl/>
              <w:jc w:val="left"/>
              <w:rPr>
                <w:color w:val="000000"/>
                <w:kern w:val="0"/>
                <w:szCs w:val="21"/>
              </w:rPr>
            </w:pPr>
          </w:p>
        </w:tc>
      </w:tr>
      <w:tr w:rsidR="00CF426B">
        <w:tc>
          <w:tcPr>
            <w:tcW w:w="1560" w:type="dxa"/>
            <w:vAlign w:val="center"/>
          </w:tcPr>
          <w:p w:rsidR="00CF426B" w:rsidRDefault="005F6DDD">
            <w:pPr>
              <w:jc w:val="center"/>
            </w:pPr>
            <w:r>
              <w:rPr>
                <w:color w:val="000000"/>
                <w:szCs w:val="21"/>
              </w:rPr>
              <w:t>Goldman Sachs</w:t>
            </w:r>
          </w:p>
        </w:tc>
        <w:tc>
          <w:tcPr>
            <w:tcW w:w="780" w:type="dxa"/>
            <w:vAlign w:val="center"/>
          </w:tcPr>
          <w:p w:rsidR="00CF426B" w:rsidRDefault="005F6DDD">
            <w:pPr>
              <w:jc w:val="right"/>
            </w:pPr>
            <w:r>
              <w:rPr>
                <w:color w:val="000000"/>
                <w:szCs w:val="21"/>
              </w:rPr>
              <w:t>1</w:t>
            </w:r>
          </w:p>
        </w:tc>
        <w:tc>
          <w:tcPr>
            <w:tcW w:w="1800" w:type="dxa"/>
            <w:vAlign w:val="center"/>
          </w:tcPr>
          <w:p w:rsidR="00CF426B" w:rsidRDefault="005F6DDD">
            <w:pPr>
              <w:jc w:val="right"/>
            </w:pPr>
            <w:r>
              <w:rPr>
                <w:color w:val="000000"/>
                <w:szCs w:val="21"/>
              </w:rPr>
              <w:t>1,383,482.93</w:t>
            </w:r>
          </w:p>
        </w:tc>
        <w:tc>
          <w:tcPr>
            <w:tcW w:w="1080" w:type="dxa"/>
            <w:vAlign w:val="center"/>
          </w:tcPr>
          <w:p w:rsidR="00CF426B" w:rsidRDefault="005F6DDD">
            <w:pPr>
              <w:jc w:val="right"/>
            </w:pPr>
            <w:r>
              <w:rPr>
                <w:color w:val="000000"/>
                <w:szCs w:val="21"/>
              </w:rPr>
              <w:t>0.20%</w:t>
            </w:r>
          </w:p>
        </w:tc>
        <w:tc>
          <w:tcPr>
            <w:tcW w:w="1620" w:type="dxa"/>
            <w:vAlign w:val="center"/>
          </w:tcPr>
          <w:p w:rsidR="00CF426B" w:rsidRDefault="005F6DDD">
            <w:pPr>
              <w:jc w:val="right"/>
            </w:pPr>
            <w:r>
              <w:rPr>
                <w:color w:val="000000"/>
                <w:szCs w:val="21"/>
              </w:rPr>
              <w:t>1,118.27</w:t>
            </w:r>
          </w:p>
        </w:tc>
        <w:tc>
          <w:tcPr>
            <w:tcW w:w="1080" w:type="dxa"/>
            <w:vAlign w:val="center"/>
          </w:tcPr>
          <w:p w:rsidR="00CF426B" w:rsidRDefault="005F6DDD">
            <w:pPr>
              <w:jc w:val="right"/>
            </w:pPr>
            <w:r>
              <w:rPr>
                <w:color w:val="000000"/>
                <w:szCs w:val="21"/>
              </w:rPr>
              <w:t>2.27%</w:t>
            </w:r>
          </w:p>
        </w:tc>
        <w:tc>
          <w:tcPr>
            <w:tcW w:w="1080" w:type="dxa"/>
            <w:vAlign w:val="center"/>
          </w:tcPr>
          <w:p w:rsidR="00CF426B" w:rsidRDefault="005F6DDD">
            <w:pPr>
              <w:jc w:val="left"/>
            </w:pPr>
            <w:r>
              <w:rPr>
                <w:color w:val="000000"/>
                <w:szCs w:val="21"/>
              </w:rPr>
              <w:t>-</w:t>
            </w:r>
          </w:p>
        </w:tc>
      </w:tr>
      <w:tr w:rsidR="00CF426B">
        <w:tc>
          <w:tcPr>
            <w:tcW w:w="1560" w:type="dxa"/>
            <w:vAlign w:val="center"/>
          </w:tcPr>
          <w:p w:rsidR="00CF426B" w:rsidRDefault="005F6DDD">
            <w:pPr>
              <w:jc w:val="center"/>
            </w:pPr>
            <w:r>
              <w:rPr>
                <w:color w:val="000000"/>
                <w:szCs w:val="21"/>
              </w:rPr>
              <w:t>Citigroup Global Markets Asia Limited</w:t>
            </w:r>
          </w:p>
        </w:tc>
        <w:tc>
          <w:tcPr>
            <w:tcW w:w="780" w:type="dxa"/>
            <w:vAlign w:val="center"/>
          </w:tcPr>
          <w:p w:rsidR="00CF426B" w:rsidRDefault="005F6DDD">
            <w:pPr>
              <w:jc w:val="right"/>
            </w:pPr>
            <w:r>
              <w:rPr>
                <w:color w:val="000000"/>
                <w:szCs w:val="21"/>
              </w:rPr>
              <w:t>1</w:t>
            </w:r>
          </w:p>
        </w:tc>
        <w:tc>
          <w:tcPr>
            <w:tcW w:w="1800" w:type="dxa"/>
            <w:vAlign w:val="center"/>
          </w:tcPr>
          <w:p w:rsidR="00CF426B" w:rsidRDefault="005F6DDD">
            <w:pPr>
              <w:jc w:val="right"/>
            </w:pPr>
            <w:r>
              <w:rPr>
                <w:color w:val="000000"/>
                <w:szCs w:val="21"/>
              </w:rPr>
              <w:t>676,464,201.36</w:t>
            </w:r>
          </w:p>
        </w:tc>
        <w:tc>
          <w:tcPr>
            <w:tcW w:w="1080" w:type="dxa"/>
            <w:vAlign w:val="center"/>
          </w:tcPr>
          <w:p w:rsidR="00CF426B" w:rsidRDefault="005F6DDD">
            <w:pPr>
              <w:jc w:val="right"/>
            </w:pPr>
            <w:r>
              <w:rPr>
                <w:color w:val="000000"/>
                <w:szCs w:val="21"/>
              </w:rPr>
              <w:t>99.80%</w:t>
            </w:r>
          </w:p>
        </w:tc>
        <w:tc>
          <w:tcPr>
            <w:tcW w:w="1620" w:type="dxa"/>
            <w:vAlign w:val="center"/>
          </w:tcPr>
          <w:p w:rsidR="00CF426B" w:rsidRDefault="005F6DDD">
            <w:pPr>
              <w:jc w:val="right"/>
            </w:pPr>
            <w:r>
              <w:rPr>
                <w:color w:val="000000"/>
                <w:szCs w:val="21"/>
              </w:rPr>
              <w:t>48,101.91</w:t>
            </w:r>
          </w:p>
        </w:tc>
        <w:tc>
          <w:tcPr>
            <w:tcW w:w="1080" w:type="dxa"/>
            <w:vAlign w:val="center"/>
          </w:tcPr>
          <w:p w:rsidR="00CF426B" w:rsidRDefault="005F6DDD">
            <w:pPr>
              <w:jc w:val="right"/>
            </w:pPr>
            <w:r>
              <w:rPr>
                <w:color w:val="000000"/>
                <w:szCs w:val="21"/>
              </w:rPr>
              <w:t>97.73%</w:t>
            </w:r>
          </w:p>
        </w:tc>
        <w:tc>
          <w:tcPr>
            <w:tcW w:w="1080" w:type="dxa"/>
            <w:vAlign w:val="center"/>
          </w:tcPr>
          <w:p w:rsidR="00CF426B" w:rsidRDefault="005F6DDD">
            <w:pPr>
              <w:jc w:val="left"/>
            </w:pPr>
            <w:r>
              <w:rPr>
                <w:color w:val="000000"/>
                <w:szCs w:val="21"/>
              </w:rPr>
              <w:t>-</w:t>
            </w:r>
          </w:p>
        </w:tc>
      </w:tr>
      <w:tr w:rsidR="00CF426B">
        <w:tc>
          <w:tcPr>
            <w:tcW w:w="1560" w:type="dxa"/>
            <w:vAlign w:val="center"/>
          </w:tcPr>
          <w:p w:rsidR="00CF426B" w:rsidRDefault="005F6DDD">
            <w:pPr>
              <w:jc w:val="center"/>
            </w:pPr>
            <w:r>
              <w:rPr>
                <w:color w:val="000000"/>
                <w:szCs w:val="21"/>
              </w:rPr>
              <w:t>State Street Securities Hong Kong Limited</w:t>
            </w:r>
          </w:p>
        </w:tc>
        <w:tc>
          <w:tcPr>
            <w:tcW w:w="780" w:type="dxa"/>
            <w:vAlign w:val="center"/>
          </w:tcPr>
          <w:p w:rsidR="00CF426B" w:rsidRDefault="005F6DDD">
            <w:pPr>
              <w:jc w:val="right"/>
            </w:pPr>
            <w:r>
              <w:rPr>
                <w:color w:val="000000"/>
                <w:szCs w:val="21"/>
              </w:rPr>
              <w:t>1</w:t>
            </w:r>
          </w:p>
        </w:tc>
        <w:tc>
          <w:tcPr>
            <w:tcW w:w="1800" w:type="dxa"/>
            <w:vAlign w:val="center"/>
          </w:tcPr>
          <w:p w:rsidR="00CF426B" w:rsidRDefault="005F6DDD">
            <w:pPr>
              <w:jc w:val="right"/>
            </w:pPr>
            <w:r>
              <w:rPr>
                <w:color w:val="000000"/>
                <w:szCs w:val="21"/>
              </w:rPr>
              <w:t>-</w:t>
            </w:r>
          </w:p>
        </w:tc>
        <w:tc>
          <w:tcPr>
            <w:tcW w:w="1080" w:type="dxa"/>
            <w:vAlign w:val="center"/>
          </w:tcPr>
          <w:p w:rsidR="00CF426B" w:rsidRDefault="005F6DDD">
            <w:pPr>
              <w:jc w:val="right"/>
            </w:pPr>
            <w:r>
              <w:rPr>
                <w:color w:val="000000"/>
                <w:szCs w:val="21"/>
              </w:rPr>
              <w:t>-</w:t>
            </w:r>
          </w:p>
        </w:tc>
        <w:tc>
          <w:tcPr>
            <w:tcW w:w="1620" w:type="dxa"/>
            <w:vAlign w:val="center"/>
          </w:tcPr>
          <w:p w:rsidR="00CF426B" w:rsidRDefault="005F6DDD">
            <w:pPr>
              <w:jc w:val="right"/>
            </w:pPr>
            <w:r>
              <w:rPr>
                <w:color w:val="000000"/>
                <w:szCs w:val="21"/>
              </w:rPr>
              <w:t>-</w:t>
            </w:r>
          </w:p>
        </w:tc>
        <w:tc>
          <w:tcPr>
            <w:tcW w:w="1080" w:type="dxa"/>
            <w:vAlign w:val="center"/>
          </w:tcPr>
          <w:p w:rsidR="00CF426B" w:rsidRDefault="005F6DDD">
            <w:pPr>
              <w:jc w:val="right"/>
            </w:pPr>
            <w:r>
              <w:rPr>
                <w:color w:val="000000"/>
                <w:szCs w:val="21"/>
              </w:rPr>
              <w:t>-</w:t>
            </w:r>
          </w:p>
        </w:tc>
        <w:tc>
          <w:tcPr>
            <w:tcW w:w="1080" w:type="dxa"/>
            <w:vAlign w:val="center"/>
          </w:tcPr>
          <w:p w:rsidR="00CF426B" w:rsidRDefault="005F6DDD">
            <w:pPr>
              <w:jc w:val="left"/>
            </w:pPr>
            <w:r>
              <w:rPr>
                <w:color w:val="000000"/>
                <w:szCs w:val="21"/>
              </w:rPr>
              <w:t>-</w:t>
            </w:r>
          </w:p>
        </w:tc>
      </w:tr>
      <w:tr w:rsidR="00CF426B">
        <w:tc>
          <w:tcPr>
            <w:tcW w:w="1560" w:type="dxa"/>
            <w:vAlign w:val="center"/>
          </w:tcPr>
          <w:p w:rsidR="00CF426B" w:rsidRDefault="005F6DDD">
            <w:pPr>
              <w:jc w:val="center"/>
            </w:pPr>
            <w:r>
              <w:rPr>
                <w:color w:val="000000"/>
                <w:szCs w:val="21"/>
              </w:rPr>
              <w:t>GF Futures (Hong Kong) Co. Ltd.</w:t>
            </w:r>
          </w:p>
        </w:tc>
        <w:tc>
          <w:tcPr>
            <w:tcW w:w="780" w:type="dxa"/>
            <w:vAlign w:val="center"/>
          </w:tcPr>
          <w:p w:rsidR="00CF426B" w:rsidRDefault="005F6DDD">
            <w:pPr>
              <w:jc w:val="right"/>
            </w:pPr>
            <w:r>
              <w:rPr>
                <w:color w:val="000000"/>
                <w:szCs w:val="21"/>
              </w:rPr>
              <w:t>1</w:t>
            </w:r>
          </w:p>
        </w:tc>
        <w:tc>
          <w:tcPr>
            <w:tcW w:w="1800" w:type="dxa"/>
            <w:vAlign w:val="center"/>
          </w:tcPr>
          <w:p w:rsidR="00CF426B" w:rsidRDefault="005F6DDD">
            <w:pPr>
              <w:jc w:val="right"/>
            </w:pPr>
            <w:r>
              <w:rPr>
                <w:color w:val="000000"/>
                <w:szCs w:val="21"/>
              </w:rPr>
              <w:t>-</w:t>
            </w:r>
          </w:p>
        </w:tc>
        <w:tc>
          <w:tcPr>
            <w:tcW w:w="1080" w:type="dxa"/>
            <w:vAlign w:val="center"/>
          </w:tcPr>
          <w:p w:rsidR="00CF426B" w:rsidRDefault="005F6DDD">
            <w:pPr>
              <w:jc w:val="right"/>
            </w:pPr>
            <w:r>
              <w:rPr>
                <w:color w:val="000000"/>
                <w:szCs w:val="21"/>
              </w:rPr>
              <w:t>-</w:t>
            </w:r>
          </w:p>
        </w:tc>
        <w:tc>
          <w:tcPr>
            <w:tcW w:w="1620" w:type="dxa"/>
            <w:vAlign w:val="center"/>
          </w:tcPr>
          <w:p w:rsidR="00CF426B" w:rsidRDefault="005F6DDD">
            <w:pPr>
              <w:jc w:val="right"/>
            </w:pPr>
            <w:r>
              <w:rPr>
                <w:color w:val="000000"/>
                <w:szCs w:val="21"/>
              </w:rPr>
              <w:t>-</w:t>
            </w:r>
          </w:p>
        </w:tc>
        <w:tc>
          <w:tcPr>
            <w:tcW w:w="1080" w:type="dxa"/>
            <w:vAlign w:val="center"/>
          </w:tcPr>
          <w:p w:rsidR="00CF426B" w:rsidRDefault="005F6DDD">
            <w:pPr>
              <w:jc w:val="right"/>
            </w:pPr>
            <w:r>
              <w:rPr>
                <w:color w:val="000000"/>
                <w:szCs w:val="21"/>
              </w:rPr>
              <w:t>-</w:t>
            </w:r>
          </w:p>
        </w:tc>
        <w:tc>
          <w:tcPr>
            <w:tcW w:w="1080" w:type="dxa"/>
            <w:vAlign w:val="center"/>
          </w:tcPr>
          <w:p w:rsidR="00CF426B" w:rsidRDefault="005F6DDD">
            <w:pPr>
              <w:jc w:val="left"/>
            </w:pPr>
            <w:r>
              <w:rPr>
                <w:color w:val="000000"/>
                <w:szCs w:val="21"/>
              </w:rPr>
              <w:t>-</w:t>
            </w:r>
          </w:p>
        </w:tc>
      </w:tr>
    </w:tbl>
    <w:p w:rsidR="00CF426B" w:rsidRDefault="005F6DDD">
      <w:pPr>
        <w:tabs>
          <w:tab w:val="left" w:pos="426"/>
        </w:tabs>
        <w:spacing w:line="360" w:lineRule="auto"/>
        <w:ind w:firstLineChars="200" w:firstLine="420"/>
        <w:jc w:val="left"/>
        <w:rPr>
          <w:kern w:val="0"/>
          <w:szCs w:val="21"/>
        </w:rPr>
      </w:pPr>
      <w:r>
        <w:rPr>
          <w:kern w:val="0"/>
          <w:szCs w:val="21"/>
        </w:rPr>
        <w:t>注：</w:t>
      </w:r>
      <w:r>
        <w:rPr>
          <w:kern w:val="0"/>
          <w:szCs w:val="21"/>
        </w:rPr>
        <w:t>a</w:t>
      </w:r>
      <w:r>
        <w:rPr>
          <w:kern w:val="0"/>
          <w:szCs w:val="21"/>
        </w:rPr>
        <w:t>）本报告期内本基金无减少交易账户，于如下证券经营机构</w:t>
      </w:r>
      <w:r>
        <w:rPr>
          <w:kern w:val="0"/>
          <w:szCs w:val="21"/>
        </w:rPr>
        <w:t>GF Futures (Hong Kong) Co. Ltd.</w:t>
      </w:r>
      <w:r>
        <w:rPr>
          <w:kern w:val="0"/>
          <w:szCs w:val="21"/>
        </w:rPr>
        <w:t>新增一个交易账户。</w:t>
      </w:r>
    </w:p>
    <w:p w:rsidR="00CF426B" w:rsidRDefault="005F6DDD">
      <w:pPr>
        <w:tabs>
          <w:tab w:val="left" w:pos="426"/>
        </w:tabs>
        <w:spacing w:line="360" w:lineRule="auto"/>
        <w:ind w:firstLineChars="200" w:firstLine="420"/>
        <w:jc w:val="left"/>
        <w:rPr>
          <w:kern w:val="0"/>
          <w:szCs w:val="21"/>
        </w:rPr>
      </w:pPr>
      <w:r>
        <w:rPr>
          <w:kern w:val="0"/>
          <w:szCs w:val="21"/>
        </w:rPr>
        <w:t>b</w:t>
      </w:r>
      <w:r>
        <w:rPr>
          <w:kern w:val="0"/>
          <w:szCs w:val="21"/>
        </w:rPr>
        <w:t>）本基金管理人负责选择证券经营机构，并在该机构开立交易账户。基金交易账户的开立标准如下：</w:t>
      </w:r>
    </w:p>
    <w:p w:rsidR="00CF426B" w:rsidRDefault="005F6DDD">
      <w:pPr>
        <w:tabs>
          <w:tab w:val="left" w:pos="426"/>
        </w:tabs>
        <w:spacing w:line="360" w:lineRule="auto"/>
        <w:ind w:firstLineChars="200" w:firstLine="420"/>
        <w:jc w:val="left"/>
        <w:rPr>
          <w:kern w:val="0"/>
          <w:szCs w:val="21"/>
        </w:rPr>
      </w:pPr>
      <w:r>
        <w:rPr>
          <w:kern w:val="0"/>
          <w:szCs w:val="21"/>
        </w:rPr>
        <w:t>1</w:t>
      </w:r>
      <w:r>
        <w:rPr>
          <w:kern w:val="0"/>
          <w:szCs w:val="21"/>
        </w:rPr>
        <w:t>）交易执行能力。主要指证券经营机构能否对投资指令进行有效地执行，以及能否取得较高质量的成交结果；</w:t>
      </w:r>
    </w:p>
    <w:p w:rsidR="00CF426B" w:rsidRDefault="005F6DDD">
      <w:pPr>
        <w:tabs>
          <w:tab w:val="left" w:pos="426"/>
        </w:tabs>
        <w:spacing w:line="360" w:lineRule="auto"/>
        <w:ind w:firstLineChars="200" w:firstLine="420"/>
        <w:jc w:val="left"/>
        <w:rPr>
          <w:kern w:val="0"/>
          <w:szCs w:val="21"/>
        </w:rPr>
      </w:pPr>
      <w:r>
        <w:rPr>
          <w:kern w:val="0"/>
          <w:szCs w:val="21"/>
        </w:rPr>
        <w:t>2</w:t>
      </w:r>
      <w:r>
        <w:rPr>
          <w:kern w:val="0"/>
          <w:szCs w:val="21"/>
        </w:rPr>
        <w:t>）研究报告质量。主要指证券经营机构能否提供高质量的宏观经济研究、行业研究及市场走向、个股分析报告和专题研究报告等；</w:t>
      </w:r>
    </w:p>
    <w:p w:rsidR="00CF426B" w:rsidRDefault="005F6DDD">
      <w:pPr>
        <w:tabs>
          <w:tab w:val="left" w:pos="426"/>
        </w:tabs>
        <w:spacing w:line="360" w:lineRule="auto"/>
        <w:ind w:firstLineChars="200" w:firstLine="420"/>
        <w:jc w:val="left"/>
        <w:rPr>
          <w:kern w:val="0"/>
          <w:szCs w:val="21"/>
        </w:rPr>
      </w:pPr>
      <w:r>
        <w:rPr>
          <w:kern w:val="0"/>
          <w:szCs w:val="21"/>
        </w:rPr>
        <w:t>3</w:t>
      </w:r>
      <w:r>
        <w:rPr>
          <w:kern w:val="0"/>
          <w:szCs w:val="21"/>
        </w:rPr>
        <w:t>）提供研究服务的质量。主要包括协助安排上市公司调研、研究资料共享、路演服务、日常沟通交流、接受委托研究的服务质量等方面；</w:t>
      </w:r>
    </w:p>
    <w:p w:rsidR="00CF426B" w:rsidRDefault="005F6DDD">
      <w:pPr>
        <w:tabs>
          <w:tab w:val="left" w:pos="426"/>
        </w:tabs>
        <w:spacing w:line="360" w:lineRule="auto"/>
        <w:ind w:firstLineChars="200" w:firstLine="420"/>
        <w:jc w:val="left"/>
        <w:rPr>
          <w:kern w:val="0"/>
          <w:szCs w:val="21"/>
        </w:rPr>
      </w:pPr>
      <w:r>
        <w:rPr>
          <w:kern w:val="0"/>
          <w:szCs w:val="21"/>
        </w:rPr>
        <w:t>4</w:t>
      </w:r>
      <w:r>
        <w:rPr>
          <w:kern w:val="0"/>
          <w:szCs w:val="21"/>
        </w:rPr>
        <w:t>）法规监管资讯服务。主要包括境外投资法律规定、交易监管规则、信息披露、个人利益冲突、税收等资讯的提供与培训；</w:t>
      </w:r>
    </w:p>
    <w:p w:rsidR="00CF426B" w:rsidRDefault="005F6DDD">
      <w:pPr>
        <w:tabs>
          <w:tab w:val="left" w:pos="426"/>
        </w:tabs>
        <w:spacing w:line="360" w:lineRule="auto"/>
        <w:ind w:firstLineChars="200" w:firstLine="420"/>
        <w:jc w:val="left"/>
        <w:rPr>
          <w:kern w:val="0"/>
          <w:szCs w:val="21"/>
        </w:rPr>
      </w:pPr>
      <w:r>
        <w:rPr>
          <w:kern w:val="0"/>
          <w:szCs w:val="21"/>
        </w:rPr>
        <w:t>5</w:t>
      </w:r>
      <w:r>
        <w:rPr>
          <w:kern w:val="0"/>
          <w:szCs w:val="21"/>
        </w:rPr>
        <w:t>）价值贡献。主要是指证券经营机构对公司研究团队、投资团队在业务能力提升上所做的培训服务、对公司投资提升所作出的贡献；</w:t>
      </w:r>
    </w:p>
    <w:p w:rsidR="00CF426B" w:rsidRDefault="005F6DDD">
      <w:pPr>
        <w:tabs>
          <w:tab w:val="left" w:pos="426"/>
        </w:tabs>
        <w:spacing w:line="360" w:lineRule="auto"/>
        <w:ind w:firstLineChars="200" w:firstLine="420"/>
        <w:jc w:val="left"/>
        <w:rPr>
          <w:kern w:val="0"/>
          <w:szCs w:val="21"/>
        </w:rPr>
      </w:pPr>
      <w:r>
        <w:rPr>
          <w:kern w:val="0"/>
          <w:szCs w:val="21"/>
        </w:rPr>
        <w:t>6</w:t>
      </w:r>
      <w:r>
        <w:rPr>
          <w:kern w:val="0"/>
          <w:szCs w:val="21"/>
        </w:rPr>
        <w:t>）其他因素。主要是证券经营机构的财务状况、经营行为规范、风险管理机制、近年内有无重大违规行为等。</w:t>
      </w:r>
    </w:p>
    <w:p w:rsidR="00CF426B" w:rsidRDefault="005F6DDD">
      <w:pPr>
        <w:tabs>
          <w:tab w:val="left" w:pos="426"/>
        </w:tabs>
        <w:spacing w:line="360" w:lineRule="auto"/>
        <w:ind w:firstLineChars="200" w:firstLine="420"/>
        <w:jc w:val="left"/>
        <w:rPr>
          <w:kern w:val="0"/>
          <w:szCs w:val="21"/>
        </w:rPr>
      </w:pPr>
      <w:r>
        <w:rPr>
          <w:kern w:val="0"/>
          <w:szCs w:val="21"/>
        </w:rPr>
        <w:t>c</w:t>
      </w:r>
      <w:r>
        <w:rPr>
          <w:kern w:val="0"/>
          <w:szCs w:val="21"/>
        </w:rPr>
        <w:t>）基金交易账户的选择程序如下：</w:t>
      </w:r>
    </w:p>
    <w:p w:rsidR="00CF426B" w:rsidRDefault="005F6DDD">
      <w:pPr>
        <w:tabs>
          <w:tab w:val="left" w:pos="426"/>
        </w:tabs>
        <w:spacing w:line="360" w:lineRule="auto"/>
        <w:ind w:firstLineChars="200" w:firstLine="420"/>
        <w:jc w:val="left"/>
        <w:rPr>
          <w:kern w:val="0"/>
          <w:szCs w:val="21"/>
        </w:rPr>
      </w:pPr>
      <w:r>
        <w:rPr>
          <w:kern w:val="0"/>
          <w:szCs w:val="21"/>
        </w:rPr>
        <w:t>1</w:t>
      </w:r>
      <w:r>
        <w:rPr>
          <w:kern w:val="0"/>
          <w:szCs w:val="21"/>
        </w:rPr>
        <w:t>）本基金管理人根据上述标准考察后确定选用交易账户的证券经营机构。</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）基金管理人与所选定的证券经营机构办理开立交易账户事宜。</w:t>
      </w:r>
    </w:p>
    <w:p w:rsidR="00711C4C" w:rsidRPr="0087410D" w:rsidRDefault="00B46AA3" w:rsidP="00DB1E0B">
      <w:pPr>
        <w:spacing w:line="360" w:lineRule="auto"/>
        <w:ind w:firstLineChars="197" w:firstLine="415"/>
        <w:rPr>
          <w:rFonts w:ascii="宋体"/>
          <w:b/>
          <w:szCs w:val="21"/>
        </w:rPr>
      </w:pPr>
      <w:r w:rsidRPr="0087410D">
        <w:rPr>
          <w:rFonts w:ascii="宋体" w:hAnsi="宋体"/>
          <w:b/>
          <w:szCs w:val="21"/>
        </w:rPr>
        <w:t>10.</w:t>
      </w:r>
      <w:r>
        <w:rPr>
          <w:rFonts w:ascii="宋体" w:hAnsi="宋体" w:hint="eastAsia"/>
          <w:b/>
          <w:szCs w:val="21"/>
        </w:rPr>
        <w:t>7</w:t>
      </w:r>
      <w:r w:rsidRPr="0087410D">
        <w:rPr>
          <w:rFonts w:ascii="宋体" w:hAnsi="宋体"/>
          <w:b/>
          <w:szCs w:val="21"/>
        </w:rPr>
        <w:t>.</w:t>
      </w:r>
      <w:r>
        <w:rPr>
          <w:rFonts w:ascii="宋体" w:hAnsi="宋体" w:hint="eastAsia"/>
          <w:b/>
          <w:szCs w:val="21"/>
        </w:rPr>
        <w:t>2</w:t>
      </w:r>
      <w:r w:rsidR="00711C4C" w:rsidRPr="0087410D">
        <w:rPr>
          <w:rFonts w:ascii="宋体" w:hAnsi="宋体" w:hint="eastAsia"/>
          <w:b/>
          <w:szCs w:val="21"/>
        </w:rPr>
        <w:t>基金租用证券公司交易单元进行其他证券投资的情况</w:t>
      </w:r>
      <w:bookmarkEnd w:id="349"/>
    </w:p>
    <w:p w:rsidR="00711C4C" w:rsidRPr="00D749D4" w:rsidRDefault="00711C4C" w:rsidP="002116B9">
      <w:pPr>
        <w:wordWrap w:val="0"/>
        <w:ind w:firstLine="420"/>
        <w:jc w:val="right"/>
        <w:rPr>
          <w:color w:val="000000"/>
          <w:szCs w:val="21"/>
        </w:rPr>
      </w:pPr>
      <w:r w:rsidRPr="00D749D4">
        <w:rPr>
          <w:rFonts w:hint="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11C4C" w:rsidRPr="00D749D4" w:rsidTr="009C0E08">
        <w:tc>
          <w:tcPr>
            <w:tcW w:w="709" w:type="dxa"/>
            <w:vMerge w:val="restart"/>
            <w:vAlign w:val="center"/>
          </w:tcPr>
          <w:p w:rsidR="00711C4C" w:rsidRPr="00D749D4" w:rsidRDefault="00711C4C" w:rsidP="004A4847">
            <w:pPr>
              <w:jc w:val="center"/>
              <w:rPr>
                <w:color w:val="000000"/>
                <w:kern w:val="0"/>
                <w:szCs w:val="21"/>
              </w:rPr>
            </w:pPr>
            <w:r w:rsidRPr="00D749D4">
              <w:rPr>
                <w:rFonts w:hint="eastAsia"/>
                <w:color w:val="000000"/>
                <w:szCs w:val="21"/>
              </w:rPr>
              <w:t>券商名称</w:t>
            </w:r>
          </w:p>
        </w:tc>
        <w:tc>
          <w:tcPr>
            <w:tcW w:w="1985" w:type="dxa"/>
            <w:gridSpan w:val="2"/>
            <w:vAlign w:val="center"/>
          </w:tcPr>
          <w:p w:rsidR="00711C4C" w:rsidRPr="00D749D4" w:rsidRDefault="00711C4C" w:rsidP="004A4847">
            <w:pPr>
              <w:jc w:val="center"/>
              <w:rPr>
                <w:color w:val="000000"/>
                <w:szCs w:val="21"/>
              </w:rPr>
            </w:pPr>
            <w:r w:rsidRPr="00D749D4">
              <w:rPr>
                <w:rFonts w:hint="eastAsia"/>
                <w:color w:val="000000"/>
                <w:szCs w:val="21"/>
              </w:rPr>
              <w:t>债券交易</w:t>
            </w:r>
          </w:p>
        </w:tc>
        <w:tc>
          <w:tcPr>
            <w:tcW w:w="2023" w:type="dxa"/>
            <w:gridSpan w:val="2"/>
            <w:vAlign w:val="center"/>
          </w:tcPr>
          <w:p w:rsidR="00711C4C" w:rsidRPr="00D749D4" w:rsidRDefault="00DB1E0B" w:rsidP="004A4847">
            <w:pPr>
              <w:jc w:val="center"/>
              <w:rPr>
                <w:color w:val="000000"/>
                <w:szCs w:val="21"/>
              </w:rPr>
            </w:pPr>
            <w:r>
              <w:rPr>
                <w:rFonts w:hint="eastAsia"/>
                <w:color w:val="000000"/>
                <w:szCs w:val="21"/>
              </w:rPr>
              <w:t>债券</w:t>
            </w:r>
            <w:r w:rsidR="00711C4C" w:rsidRPr="00D749D4">
              <w:rPr>
                <w:rFonts w:hint="eastAsia"/>
                <w:color w:val="000000"/>
                <w:szCs w:val="21"/>
              </w:rPr>
              <w:t>回购交易</w:t>
            </w:r>
          </w:p>
        </w:tc>
        <w:tc>
          <w:tcPr>
            <w:tcW w:w="2164" w:type="dxa"/>
            <w:gridSpan w:val="2"/>
            <w:vAlign w:val="center"/>
          </w:tcPr>
          <w:p w:rsidR="00711C4C" w:rsidRPr="00D749D4" w:rsidRDefault="00711C4C" w:rsidP="004A4847">
            <w:pPr>
              <w:jc w:val="center"/>
              <w:rPr>
                <w:color w:val="000000"/>
                <w:szCs w:val="21"/>
              </w:rPr>
            </w:pPr>
            <w:r w:rsidRPr="00D749D4">
              <w:rPr>
                <w:rFonts w:hint="eastAsia"/>
                <w:color w:val="000000"/>
                <w:szCs w:val="21"/>
              </w:rPr>
              <w:t>权证交易</w:t>
            </w:r>
          </w:p>
        </w:tc>
        <w:tc>
          <w:tcPr>
            <w:tcW w:w="1962" w:type="dxa"/>
            <w:gridSpan w:val="2"/>
            <w:vAlign w:val="center"/>
          </w:tcPr>
          <w:p w:rsidR="00711C4C" w:rsidRPr="00D749D4" w:rsidRDefault="00711C4C" w:rsidP="004A4847">
            <w:pPr>
              <w:jc w:val="center"/>
              <w:rPr>
                <w:color w:val="000000"/>
                <w:szCs w:val="21"/>
              </w:rPr>
            </w:pPr>
            <w:r w:rsidRPr="00D749D4">
              <w:rPr>
                <w:rFonts w:hint="eastAsia"/>
                <w:color w:val="000000"/>
                <w:szCs w:val="21"/>
              </w:rPr>
              <w:t>基金交易</w:t>
            </w:r>
          </w:p>
        </w:tc>
      </w:tr>
      <w:tr w:rsidR="00711C4C" w:rsidRPr="00D749D4" w:rsidTr="009C0E08">
        <w:tc>
          <w:tcPr>
            <w:tcW w:w="709" w:type="dxa"/>
            <w:vMerge/>
            <w:vAlign w:val="center"/>
          </w:tcPr>
          <w:p w:rsidR="00711C4C" w:rsidRPr="00D749D4" w:rsidRDefault="00711C4C" w:rsidP="004A4847">
            <w:pPr>
              <w:widowControl/>
              <w:jc w:val="left"/>
              <w:rPr>
                <w:color w:val="000000"/>
                <w:kern w:val="0"/>
                <w:szCs w:val="21"/>
              </w:rPr>
            </w:pPr>
          </w:p>
        </w:tc>
        <w:tc>
          <w:tcPr>
            <w:tcW w:w="709"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76" w:type="dxa"/>
            <w:vAlign w:val="center"/>
          </w:tcPr>
          <w:p w:rsidR="00711C4C" w:rsidRPr="00D749D4" w:rsidRDefault="00711C4C" w:rsidP="004A4847">
            <w:pPr>
              <w:jc w:val="center"/>
              <w:rPr>
                <w:color w:val="000000"/>
                <w:szCs w:val="21"/>
              </w:rPr>
            </w:pPr>
            <w:r w:rsidRPr="00D749D4">
              <w:rPr>
                <w:rFonts w:hint="eastAsia"/>
                <w:color w:val="000000"/>
                <w:szCs w:val="21"/>
              </w:rPr>
              <w:t>占当期债券成交总额的比例</w:t>
            </w:r>
          </w:p>
        </w:tc>
        <w:tc>
          <w:tcPr>
            <w:tcW w:w="763"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60" w:type="dxa"/>
            <w:vAlign w:val="center"/>
          </w:tcPr>
          <w:p w:rsidR="00711C4C" w:rsidRPr="00D749D4" w:rsidRDefault="00711C4C" w:rsidP="004A4847">
            <w:pPr>
              <w:jc w:val="center"/>
              <w:rPr>
                <w:color w:val="000000"/>
                <w:szCs w:val="21"/>
              </w:rPr>
            </w:pPr>
            <w:r w:rsidRPr="00D749D4">
              <w:rPr>
                <w:rFonts w:hint="eastAsia"/>
                <w:color w:val="000000"/>
                <w:szCs w:val="21"/>
              </w:rPr>
              <w:t>占当期</w:t>
            </w:r>
            <w:r w:rsidR="00DB1E0B">
              <w:rPr>
                <w:rFonts w:hint="eastAsia"/>
                <w:color w:val="000000"/>
                <w:szCs w:val="21"/>
              </w:rPr>
              <w:t>债券</w:t>
            </w:r>
            <w:r w:rsidRPr="00D749D4">
              <w:rPr>
                <w:rFonts w:hint="eastAsia"/>
                <w:color w:val="000000"/>
                <w:szCs w:val="21"/>
              </w:rPr>
              <w:t>回购成交总额的比例</w:t>
            </w:r>
          </w:p>
        </w:tc>
        <w:tc>
          <w:tcPr>
            <w:tcW w:w="724"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440" w:type="dxa"/>
            <w:vAlign w:val="center"/>
          </w:tcPr>
          <w:p w:rsidR="00711C4C" w:rsidRPr="00D749D4" w:rsidRDefault="00711C4C" w:rsidP="004A4847">
            <w:pPr>
              <w:jc w:val="center"/>
              <w:rPr>
                <w:color w:val="000000"/>
                <w:szCs w:val="21"/>
              </w:rPr>
            </w:pPr>
            <w:r w:rsidRPr="00D749D4">
              <w:rPr>
                <w:rFonts w:hint="eastAsia"/>
                <w:color w:val="000000"/>
                <w:szCs w:val="21"/>
              </w:rPr>
              <w:t>占当期权证成交总额的比例</w:t>
            </w:r>
          </w:p>
        </w:tc>
        <w:tc>
          <w:tcPr>
            <w:tcW w:w="781" w:type="dxa"/>
            <w:vAlign w:val="center"/>
          </w:tcPr>
          <w:p w:rsidR="00711C4C" w:rsidRPr="00D749D4" w:rsidRDefault="00711C4C" w:rsidP="00B03EF5">
            <w:pPr>
              <w:jc w:val="center"/>
              <w:rPr>
                <w:color w:val="000000"/>
                <w:szCs w:val="21"/>
              </w:rPr>
            </w:pPr>
            <w:r w:rsidRPr="00D749D4">
              <w:rPr>
                <w:rFonts w:hint="eastAsia"/>
                <w:color w:val="000000"/>
                <w:szCs w:val="21"/>
              </w:rPr>
              <w:t>成交金额</w:t>
            </w:r>
          </w:p>
        </w:tc>
        <w:tc>
          <w:tcPr>
            <w:tcW w:w="1181" w:type="dxa"/>
            <w:vAlign w:val="center"/>
          </w:tcPr>
          <w:p w:rsidR="00711C4C" w:rsidRPr="00D749D4" w:rsidRDefault="00711C4C" w:rsidP="00511FD1">
            <w:pPr>
              <w:jc w:val="center"/>
              <w:rPr>
                <w:color w:val="000000"/>
                <w:szCs w:val="21"/>
              </w:rPr>
            </w:pPr>
            <w:r w:rsidRPr="00D749D4">
              <w:rPr>
                <w:rFonts w:hint="eastAsia"/>
                <w:color w:val="000000"/>
                <w:szCs w:val="21"/>
              </w:rPr>
              <w:t>占当期基金成交总额的比例</w:t>
            </w:r>
          </w:p>
        </w:tc>
      </w:tr>
      <w:tr w:rsidR="00CF426B">
        <w:tc>
          <w:tcPr>
            <w:tcW w:w="709" w:type="dxa"/>
            <w:vAlign w:val="center"/>
          </w:tcPr>
          <w:p w:rsidR="00CF426B" w:rsidRDefault="005F6DDD">
            <w:pPr>
              <w:jc w:val="left"/>
            </w:pPr>
            <w:r>
              <w:rPr>
                <w:color w:val="000000"/>
                <w:szCs w:val="21"/>
              </w:rPr>
              <w:t>Goldman Sachs</w:t>
            </w:r>
          </w:p>
        </w:tc>
        <w:tc>
          <w:tcPr>
            <w:tcW w:w="709" w:type="dxa"/>
            <w:vAlign w:val="center"/>
          </w:tcPr>
          <w:p w:rsidR="00CF426B" w:rsidRDefault="005F6DDD">
            <w:pPr>
              <w:jc w:val="right"/>
            </w:pPr>
            <w:r>
              <w:rPr>
                <w:color w:val="000000"/>
                <w:szCs w:val="21"/>
              </w:rPr>
              <w:t>-</w:t>
            </w:r>
          </w:p>
        </w:tc>
        <w:tc>
          <w:tcPr>
            <w:tcW w:w="1276" w:type="dxa"/>
            <w:vAlign w:val="center"/>
          </w:tcPr>
          <w:p w:rsidR="00CF426B" w:rsidRDefault="005F6DDD">
            <w:pPr>
              <w:jc w:val="right"/>
            </w:pPr>
            <w:r>
              <w:rPr>
                <w:color w:val="000000"/>
                <w:szCs w:val="21"/>
              </w:rPr>
              <w:t>-</w:t>
            </w:r>
          </w:p>
        </w:tc>
        <w:tc>
          <w:tcPr>
            <w:tcW w:w="763" w:type="dxa"/>
            <w:vAlign w:val="center"/>
          </w:tcPr>
          <w:p w:rsidR="00CF426B" w:rsidRDefault="005F6DDD">
            <w:pPr>
              <w:jc w:val="right"/>
            </w:pPr>
            <w:r>
              <w:rPr>
                <w:color w:val="000000"/>
                <w:szCs w:val="21"/>
              </w:rPr>
              <w:t>-</w:t>
            </w:r>
          </w:p>
        </w:tc>
        <w:tc>
          <w:tcPr>
            <w:tcW w:w="1260" w:type="dxa"/>
            <w:vAlign w:val="center"/>
          </w:tcPr>
          <w:p w:rsidR="00CF426B" w:rsidRDefault="005F6DDD">
            <w:pPr>
              <w:jc w:val="right"/>
            </w:pPr>
            <w:r>
              <w:rPr>
                <w:color w:val="000000"/>
                <w:szCs w:val="21"/>
              </w:rPr>
              <w:t>-</w:t>
            </w:r>
          </w:p>
        </w:tc>
        <w:tc>
          <w:tcPr>
            <w:tcW w:w="724" w:type="dxa"/>
            <w:vAlign w:val="center"/>
          </w:tcPr>
          <w:p w:rsidR="00CF426B" w:rsidRDefault="005F6DDD">
            <w:pPr>
              <w:jc w:val="right"/>
            </w:pPr>
            <w:r>
              <w:rPr>
                <w:color w:val="000000"/>
                <w:szCs w:val="21"/>
              </w:rPr>
              <w:t>14,300.59</w:t>
            </w:r>
          </w:p>
        </w:tc>
        <w:tc>
          <w:tcPr>
            <w:tcW w:w="1440" w:type="dxa"/>
            <w:vAlign w:val="center"/>
          </w:tcPr>
          <w:p w:rsidR="00CF426B" w:rsidRDefault="005F6DDD">
            <w:pPr>
              <w:jc w:val="right"/>
            </w:pPr>
            <w:r>
              <w:rPr>
                <w:color w:val="000000"/>
                <w:szCs w:val="21"/>
              </w:rPr>
              <w:t>100.00%</w:t>
            </w:r>
          </w:p>
        </w:tc>
        <w:tc>
          <w:tcPr>
            <w:tcW w:w="781" w:type="dxa"/>
            <w:vAlign w:val="center"/>
          </w:tcPr>
          <w:p w:rsidR="00CF426B" w:rsidRDefault="005F6DDD">
            <w:pPr>
              <w:jc w:val="right"/>
            </w:pPr>
            <w:r>
              <w:rPr>
                <w:color w:val="000000"/>
                <w:szCs w:val="21"/>
              </w:rPr>
              <w:t>-</w:t>
            </w:r>
          </w:p>
        </w:tc>
        <w:tc>
          <w:tcPr>
            <w:tcW w:w="1181" w:type="dxa"/>
            <w:vAlign w:val="center"/>
          </w:tcPr>
          <w:p w:rsidR="00CF426B" w:rsidRDefault="005F6DDD">
            <w:pPr>
              <w:jc w:val="right"/>
            </w:pPr>
            <w:r>
              <w:rPr>
                <w:color w:val="000000"/>
                <w:szCs w:val="21"/>
              </w:rPr>
              <w:t>-</w:t>
            </w:r>
          </w:p>
        </w:tc>
      </w:tr>
      <w:tr w:rsidR="00CF426B">
        <w:tc>
          <w:tcPr>
            <w:tcW w:w="709" w:type="dxa"/>
            <w:vAlign w:val="center"/>
          </w:tcPr>
          <w:p w:rsidR="00CF426B" w:rsidRDefault="005F6DDD">
            <w:pPr>
              <w:jc w:val="left"/>
            </w:pPr>
            <w:r>
              <w:rPr>
                <w:color w:val="000000"/>
                <w:szCs w:val="21"/>
              </w:rPr>
              <w:t>Citigroup Global Markets Asia Limited</w:t>
            </w:r>
          </w:p>
        </w:tc>
        <w:tc>
          <w:tcPr>
            <w:tcW w:w="709" w:type="dxa"/>
            <w:vAlign w:val="center"/>
          </w:tcPr>
          <w:p w:rsidR="00CF426B" w:rsidRDefault="005F6DDD">
            <w:pPr>
              <w:jc w:val="right"/>
            </w:pPr>
            <w:r>
              <w:rPr>
                <w:color w:val="000000"/>
                <w:szCs w:val="21"/>
              </w:rPr>
              <w:t>-</w:t>
            </w:r>
          </w:p>
        </w:tc>
        <w:tc>
          <w:tcPr>
            <w:tcW w:w="1276" w:type="dxa"/>
            <w:vAlign w:val="center"/>
          </w:tcPr>
          <w:p w:rsidR="00CF426B" w:rsidRDefault="005F6DDD">
            <w:pPr>
              <w:jc w:val="right"/>
            </w:pPr>
            <w:r>
              <w:rPr>
                <w:color w:val="000000"/>
                <w:szCs w:val="21"/>
              </w:rPr>
              <w:t>-</w:t>
            </w:r>
          </w:p>
        </w:tc>
        <w:tc>
          <w:tcPr>
            <w:tcW w:w="763" w:type="dxa"/>
            <w:vAlign w:val="center"/>
          </w:tcPr>
          <w:p w:rsidR="00CF426B" w:rsidRDefault="005F6DDD">
            <w:pPr>
              <w:jc w:val="right"/>
            </w:pPr>
            <w:r>
              <w:rPr>
                <w:color w:val="000000"/>
                <w:szCs w:val="21"/>
              </w:rPr>
              <w:t>-</w:t>
            </w:r>
          </w:p>
        </w:tc>
        <w:tc>
          <w:tcPr>
            <w:tcW w:w="1260" w:type="dxa"/>
            <w:vAlign w:val="center"/>
          </w:tcPr>
          <w:p w:rsidR="00CF426B" w:rsidRDefault="005F6DDD">
            <w:pPr>
              <w:jc w:val="right"/>
            </w:pPr>
            <w:r>
              <w:rPr>
                <w:color w:val="000000"/>
                <w:szCs w:val="21"/>
              </w:rPr>
              <w:t>-</w:t>
            </w:r>
          </w:p>
        </w:tc>
        <w:tc>
          <w:tcPr>
            <w:tcW w:w="724"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781" w:type="dxa"/>
            <w:vAlign w:val="center"/>
          </w:tcPr>
          <w:p w:rsidR="00CF426B" w:rsidRDefault="005F6DDD">
            <w:pPr>
              <w:jc w:val="right"/>
            </w:pPr>
            <w:r>
              <w:rPr>
                <w:color w:val="000000"/>
                <w:szCs w:val="21"/>
              </w:rPr>
              <w:t>9,850,377.04</w:t>
            </w:r>
          </w:p>
        </w:tc>
        <w:tc>
          <w:tcPr>
            <w:tcW w:w="1181" w:type="dxa"/>
            <w:vAlign w:val="center"/>
          </w:tcPr>
          <w:p w:rsidR="00CF426B" w:rsidRDefault="005F6DDD">
            <w:pPr>
              <w:jc w:val="right"/>
            </w:pPr>
            <w:r>
              <w:rPr>
                <w:color w:val="000000"/>
                <w:szCs w:val="21"/>
              </w:rPr>
              <w:t>100.00%</w:t>
            </w:r>
          </w:p>
        </w:tc>
      </w:tr>
      <w:tr w:rsidR="00CF426B">
        <w:tc>
          <w:tcPr>
            <w:tcW w:w="709" w:type="dxa"/>
            <w:vAlign w:val="center"/>
          </w:tcPr>
          <w:p w:rsidR="00CF426B" w:rsidRDefault="005F6DDD">
            <w:pPr>
              <w:jc w:val="left"/>
            </w:pPr>
            <w:r>
              <w:rPr>
                <w:color w:val="000000"/>
                <w:szCs w:val="21"/>
              </w:rPr>
              <w:t>State Street Securities Hong Kong Limited</w:t>
            </w:r>
          </w:p>
        </w:tc>
        <w:tc>
          <w:tcPr>
            <w:tcW w:w="709" w:type="dxa"/>
            <w:vAlign w:val="center"/>
          </w:tcPr>
          <w:p w:rsidR="00CF426B" w:rsidRDefault="005F6DDD">
            <w:pPr>
              <w:jc w:val="right"/>
            </w:pPr>
            <w:r>
              <w:rPr>
                <w:color w:val="000000"/>
                <w:szCs w:val="21"/>
              </w:rPr>
              <w:t>-</w:t>
            </w:r>
          </w:p>
        </w:tc>
        <w:tc>
          <w:tcPr>
            <w:tcW w:w="1276" w:type="dxa"/>
            <w:vAlign w:val="center"/>
          </w:tcPr>
          <w:p w:rsidR="00CF426B" w:rsidRDefault="005F6DDD">
            <w:pPr>
              <w:jc w:val="right"/>
            </w:pPr>
            <w:r>
              <w:rPr>
                <w:color w:val="000000"/>
                <w:szCs w:val="21"/>
              </w:rPr>
              <w:t>-</w:t>
            </w:r>
          </w:p>
        </w:tc>
        <w:tc>
          <w:tcPr>
            <w:tcW w:w="763" w:type="dxa"/>
            <w:vAlign w:val="center"/>
          </w:tcPr>
          <w:p w:rsidR="00CF426B" w:rsidRDefault="005F6DDD">
            <w:pPr>
              <w:jc w:val="right"/>
            </w:pPr>
            <w:r>
              <w:rPr>
                <w:color w:val="000000"/>
                <w:szCs w:val="21"/>
              </w:rPr>
              <w:t>-</w:t>
            </w:r>
          </w:p>
        </w:tc>
        <w:tc>
          <w:tcPr>
            <w:tcW w:w="1260" w:type="dxa"/>
            <w:vAlign w:val="center"/>
          </w:tcPr>
          <w:p w:rsidR="00CF426B" w:rsidRDefault="005F6DDD">
            <w:pPr>
              <w:jc w:val="right"/>
            </w:pPr>
            <w:r>
              <w:rPr>
                <w:color w:val="000000"/>
                <w:szCs w:val="21"/>
              </w:rPr>
              <w:t>-</w:t>
            </w:r>
          </w:p>
        </w:tc>
        <w:tc>
          <w:tcPr>
            <w:tcW w:w="724"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781" w:type="dxa"/>
            <w:vAlign w:val="center"/>
          </w:tcPr>
          <w:p w:rsidR="00CF426B" w:rsidRDefault="005F6DDD">
            <w:pPr>
              <w:jc w:val="right"/>
            </w:pPr>
            <w:r>
              <w:rPr>
                <w:color w:val="000000"/>
                <w:szCs w:val="21"/>
              </w:rPr>
              <w:t>-</w:t>
            </w:r>
          </w:p>
        </w:tc>
        <w:tc>
          <w:tcPr>
            <w:tcW w:w="1181" w:type="dxa"/>
            <w:vAlign w:val="center"/>
          </w:tcPr>
          <w:p w:rsidR="00CF426B" w:rsidRDefault="005F6DDD">
            <w:pPr>
              <w:jc w:val="right"/>
            </w:pPr>
            <w:r>
              <w:rPr>
                <w:color w:val="000000"/>
                <w:szCs w:val="21"/>
              </w:rPr>
              <w:t>-</w:t>
            </w:r>
          </w:p>
        </w:tc>
      </w:tr>
      <w:tr w:rsidR="00CF426B">
        <w:tc>
          <w:tcPr>
            <w:tcW w:w="709" w:type="dxa"/>
            <w:vAlign w:val="center"/>
          </w:tcPr>
          <w:p w:rsidR="00CF426B" w:rsidRDefault="005F6DDD">
            <w:pPr>
              <w:jc w:val="left"/>
            </w:pPr>
            <w:r>
              <w:rPr>
                <w:color w:val="000000"/>
                <w:szCs w:val="21"/>
              </w:rPr>
              <w:t>GF Futures (Hong Kong) Co. Ltd.</w:t>
            </w:r>
          </w:p>
        </w:tc>
        <w:tc>
          <w:tcPr>
            <w:tcW w:w="709" w:type="dxa"/>
            <w:vAlign w:val="center"/>
          </w:tcPr>
          <w:p w:rsidR="00CF426B" w:rsidRDefault="005F6DDD">
            <w:pPr>
              <w:jc w:val="right"/>
            </w:pPr>
            <w:r>
              <w:rPr>
                <w:color w:val="000000"/>
                <w:szCs w:val="21"/>
              </w:rPr>
              <w:t>-</w:t>
            </w:r>
          </w:p>
        </w:tc>
        <w:tc>
          <w:tcPr>
            <w:tcW w:w="1276" w:type="dxa"/>
            <w:vAlign w:val="center"/>
          </w:tcPr>
          <w:p w:rsidR="00CF426B" w:rsidRDefault="005F6DDD">
            <w:pPr>
              <w:jc w:val="right"/>
            </w:pPr>
            <w:r>
              <w:rPr>
                <w:color w:val="000000"/>
                <w:szCs w:val="21"/>
              </w:rPr>
              <w:t>-</w:t>
            </w:r>
          </w:p>
        </w:tc>
        <w:tc>
          <w:tcPr>
            <w:tcW w:w="763" w:type="dxa"/>
            <w:vAlign w:val="center"/>
          </w:tcPr>
          <w:p w:rsidR="00CF426B" w:rsidRDefault="005F6DDD">
            <w:pPr>
              <w:jc w:val="right"/>
            </w:pPr>
            <w:r>
              <w:rPr>
                <w:color w:val="000000"/>
                <w:szCs w:val="21"/>
              </w:rPr>
              <w:t>-</w:t>
            </w:r>
          </w:p>
        </w:tc>
        <w:tc>
          <w:tcPr>
            <w:tcW w:w="1260" w:type="dxa"/>
            <w:vAlign w:val="center"/>
          </w:tcPr>
          <w:p w:rsidR="00CF426B" w:rsidRDefault="005F6DDD">
            <w:pPr>
              <w:jc w:val="right"/>
            </w:pPr>
            <w:r>
              <w:rPr>
                <w:color w:val="000000"/>
                <w:szCs w:val="21"/>
              </w:rPr>
              <w:t>-</w:t>
            </w:r>
          </w:p>
        </w:tc>
        <w:tc>
          <w:tcPr>
            <w:tcW w:w="724" w:type="dxa"/>
            <w:vAlign w:val="center"/>
          </w:tcPr>
          <w:p w:rsidR="00CF426B" w:rsidRDefault="005F6DDD">
            <w:pPr>
              <w:jc w:val="right"/>
            </w:pPr>
            <w:r>
              <w:rPr>
                <w:color w:val="000000"/>
                <w:szCs w:val="21"/>
              </w:rPr>
              <w:t>-</w:t>
            </w:r>
          </w:p>
        </w:tc>
        <w:tc>
          <w:tcPr>
            <w:tcW w:w="1440" w:type="dxa"/>
            <w:vAlign w:val="center"/>
          </w:tcPr>
          <w:p w:rsidR="00CF426B" w:rsidRDefault="005F6DDD">
            <w:pPr>
              <w:jc w:val="right"/>
            </w:pPr>
            <w:r>
              <w:rPr>
                <w:color w:val="000000"/>
                <w:szCs w:val="21"/>
              </w:rPr>
              <w:t>-</w:t>
            </w:r>
          </w:p>
        </w:tc>
        <w:tc>
          <w:tcPr>
            <w:tcW w:w="781" w:type="dxa"/>
            <w:vAlign w:val="center"/>
          </w:tcPr>
          <w:p w:rsidR="00CF426B" w:rsidRDefault="005F6DDD">
            <w:pPr>
              <w:jc w:val="right"/>
            </w:pPr>
            <w:r>
              <w:rPr>
                <w:color w:val="000000"/>
                <w:szCs w:val="21"/>
              </w:rPr>
              <w:t>-</w:t>
            </w:r>
          </w:p>
        </w:tc>
        <w:tc>
          <w:tcPr>
            <w:tcW w:w="1181" w:type="dxa"/>
            <w:vAlign w:val="center"/>
          </w:tcPr>
          <w:p w:rsidR="00CF426B" w:rsidRDefault="005F6DDD">
            <w:pPr>
              <w:jc w:val="right"/>
            </w:pPr>
            <w:r>
              <w:rPr>
                <w:color w:val="000000"/>
                <w:szCs w:val="21"/>
              </w:rPr>
              <w:t>-</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50" w:name="_Toc352256018"/>
      <w:bookmarkStart w:id="351" w:name="_Toc352256086"/>
      <w:bookmarkStart w:id="352" w:name="_Toc352331264"/>
      <w:bookmarkStart w:id="353" w:name="_Toc374611693"/>
      <w:bookmarkStart w:id="354" w:name="_Toc48664262"/>
      <w:r w:rsidRPr="0087410D">
        <w:rPr>
          <w:rFonts w:ascii="宋体" w:hAnsi="宋体"/>
          <w:kern w:val="0"/>
          <w:sz w:val="21"/>
          <w:szCs w:val="21"/>
        </w:rPr>
        <w:t>10.8</w:t>
      </w:r>
      <w:r w:rsidR="005556AC" w:rsidRPr="006B4E2C">
        <w:rPr>
          <w:rFonts w:ascii="宋体" w:hAnsi="宋体"/>
          <w:kern w:val="0"/>
          <w:sz w:val="21"/>
          <w:szCs w:val="21"/>
        </w:rPr>
        <w:tab/>
      </w:r>
      <w:r w:rsidRPr="0087410D">
        <w:rPr>
          <w:rFonts w:ascii="宋体" w:hAnsi="宋体" w:hint="eastAsia"/>
          <w:kern w:val="0"/>
          <w:sz w:val="21"/>
          <w:szCs w:val="21"/>
        </w:rPr>
        <w:t>其他重大事件</w:t>
      </w:r>
      <w:bookmarkEnd w:id="350"/>
      <w:bookmarkEnd w:id="351"/>
      <w:bookmarkEnd w:id="352"/>
      <w:bookmarkEnd w:id="353"/>
      <w:bookmarkEnd w:id="35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11C4C" w:rsidRPr="00D749D4" w:rsidTr="004A4847">
        <w:tc>
          <w:tcPr>
            <w:tcW w:w="7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序号</w:t>
            </w:r>
          </w:p>
        </w:tc>
        <w:tc>
          <w:tcPr>
            <w:tcW w:w="43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公告事项</w:t>
            </w:r>
          </w:p>
        </w:tc>
        <w:tc>
          <w:tcPr>
            <w:tcW w:w="25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法定披露方式</w:t>
            </w:r>
          </w:p>
        </w:tc>
        <w:tc>
          <w:tcPr>
            <w:tcW w:w="144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法定披露日期</w:t>
            </w:r>
          </w:p>
        </w:tc>
      </w:tr>
      <w:tr w:rsidR="00CF426B">
        <w:tc>
          <w:tcPr>
            <w:tcW w:w="720" w:type="dxa"/>
            <w:vAlign w:val="center"/>
          </w:tcPr>
          <w:p w:rsidR="00CF426B" w:rsidRDefault="005F6DDD">
            <w:pPr>
              <w:jc w:val="center"/>
            </w:pPr>
            <w:r>
              <w:rPr>
                <w:color w:val="000000"/>
                <w:szCs w:val="21"/>
              </w:rPr>
              <w:t>1</w:t>
            </w:r>
          </w:p>
        </w:tc>
        <w:tc>
          <w:tcPr>
            <w:tcW w:w="4320" w:type="dxa"/>
            <w:vAlign w:val="center"/>
          </w:tcPr>
          <w:p w:rsidR="00CF426B" w:rsidRDefault="005F6DDD">
            <w:pPr>
              <w:jc w:val="left"/>
            </w:pPr>
            <w:r>
              <w:rPr>
                <w:color w:val="000000"/>
                <w:szCs w:val="21"/>
              </w:rPr>
              <w:t>易方达基金管理有限公司旗下部分开放式基金参加浦发银行</w:t>
            </w:r>
            <w:r>
              <w:rPr>
                <w:color w:val="000000"/>
                <w:szCs w:val="21"/>
              </w:rPr>
              <w:t>“</w:t>
            </w:r>
            <w:r>
              <w:rPr>
                <w:color w:val="000000"/>
                <w:szCs w:val="21"/>
              </w:rPr>
              <w:t>极客智投</w:t>
            </w:r>
            <w:r>
              <w:rPr>
                <w:color w:val="000000"/>
                <w:szCs w:val="21"/>
              </w:rPr>
              <w:t>”</w:t>
            </w:r>
            <w:r>
              <w:rPr>
                <w:color w:val="000000"/>
                <w:szCs w:val="21"/>
              </w:rPr>
              <w:t>申购费率优惠活动的公告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2020-01-03</w:t>
            </w:r>
          </w:p>
        </w:tc>
      </w:tr>
      <w:tr w:rsidR="00CF426B">
        <w:tc>
          <w:tcPr>
            <w:tcW w:w="720" w:type="dxa"/>
            <w:vAlign w:val="center"/>
          </w:tcPr>
          <w:p w:rsidR="00CF426B" w:rsidRDefault="005F6DDD">
            <w:pPr>
              <w:jc w:val="center"/>
            </w:pPr>
            <w:r>
              <w:rPr>
                <w:color w:val="000000"/>
                <w:szCs w:val="21"/>
              </w:rPr>
              <w:t>2</w:t>
            </w:r>
          </w:p>
        </w:tc>
        <w:tc>
          <w:tcPr>
            <w:tcW w:w="4320" w:type="dxa"/>
            <w:vAlign w:val="center"/>
          </w:tcPr>
          <w:p w:rsidR="00CF426B" w:rsidRDefault="005F6DDD">
            <w:pPr>
              <w:jc w:val="left"/>
            </w:pPr>
            <w:r>
              <w:rPr>
                <w:color w:val="000000"/>
                <w:szCs w:val="21"/>
              </w:rPr>
              <w:t>易方达纳斯达克</w:t>
            </w:r>
            <w:r>
              <w:rPr>
                <w:color w:val="000000"/>
                <w:szCs w:val="21"/>
              </w:rPr>
              <w:t>100</w:t>
            </w:r>
            <w:r>
              <w:rPr>
                <w:color w:val="000000"/>
                <w:szCs w:val="21"/>
              </w:rPr>
              <w:t>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1</w:t>
            </w:r>
            <w:r>
              <w:rPr>
                <w:color w:val="000000"/>
                <w:szCs w:val="21"/>
              </w:rPr>
              <w:t>月</w:t>
            </w:r>
            <w:r>
              <w:rPr>
                <w:color w:val="000000"/>
                <w:szCs w:val="21"/>
              </w:rPr>
              <w:t>20</w:t>
            </w:r>
            <w:r>
              <w:rPr>
                <w:color w:val="000000"/>
                <w:szCs w:val="21"/>
              </w:rPr>
              <w:t>日暂停申购、赎回、定期定额投资业务的公告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2020-01-15</w:t>
            </w:r>
          </w:p>
        </w:tc>
      </w:tr>
      <w:tr w:rsidR="00CF426B">
        <w:tc>
          <w:tcPr>
            <w:tcW w:w="720" w:type="dxa"/>
            <w:vAlign w:val="center"/>
          </w:tcPr>
          <w:p w:rsidR="00CF426B" w:rsidRDefault="005F6DDD">
            <w:pPr>
              <w:jc w:val="center"/>
            </w:pPr>
            <w:r>
              <w:rPr>
                <w:color w:val="000000"/>
                <w:szCs w:val="21"/>
              </w:rPr>
              <w:t>3</w:t>
            </w:r>
          </w:p>
        </w:tc>
        <w:tc>
          <w:tcPr>
            <w:tcW w:w="4320" w:type="dxa"/>
            <w:vAlign w:val="center"/>
          </w:tcPr>
          <w:p w:rsidR="00CF426B" w:rsidRDefault="005F6DDD">
            <w:pPr>
              <w:jc w:val="left"/>
            </w:pPr>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CF426B" w:rsidRDefault="005F6DDD">
            <w:pPr>
              <w:jc w:val="left"/>
            </w:pPr>
            <w:r>
              <w:rPr>
                <w:color w:val="000000"/>
                <w:szCs w:val="21"/>
              </w:rPr>
              <w:t>上海证券报</w:t>
            </w:r>
          </w:p>
        </w:tc>
        <w:tc>
          <w:tcPr>
            <w:tcW w:w="1440" w:type="dxa"/>
            <w:vAlign w:val="center"/>
          </w:tcPr>
          <w:p w:rsidR="00CF426B" w:rsidRDefault="005F6DDD">
            <w:pPr>
              <w:jc w:val="center"/>
            </w:pPr>
            <w:r>
              <w:rPr>
                <w:color w:val="000000"/>
                <w:szCs w:val="21"/>
              </w:rPr>
              <w:t>2020-01-18</w:t>
            </w:r>
          </w:p>
        </w:tc>
      </w:tr>
      <w:tr w:rsidR="00CF426B">
        <w:tc>
          <w:tcPr>
            <w:tcW w:w="720" w:type="dxa"/>
            <w:vAlign w:val="center"/>
          </w:tcPr>
          <w:p w:rsidR="00CF426B" w:rsidRDefault="005F6DDD">
            <w:pPr>
              <w:jc w:val="center"/>
            </w:pPr>
            <w:r>
              <w:rPr>
                <w:color w:val="000000"/>
                <w:szCs w:val="21"/>
              </w:rPr>
              <w:t>4</w:t>
            </w:r>
          </w:p>
        </w:tc>
        <w:tc>
          <w:tcPr>
            <w:tcW w:w="4320" w:type="dxa"/>
            <w:vAlign w:val="center"/>
          </w:tcPr>
          <w:p w:rsidR="00CF426B" w:rsidRDefault="005F6DDD">
            <w:pPr>
              <w:jc w:val="left"/>
            </w:pPr>
            <w:r>
              <w:rPr>
                <w:color w:val="000000"/>
                <w:szCs w:val="21"/>
              </w:rPr>
              <w:t>易方达基金管理有限公司旗下部分开放式基金参加泉州银行费率优惠活动的公告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2020-01-23</w:t>
            </w:r>
          </w:p>
        </w:tc>
      </w:tr>
      <w:tr w:rsidR="00CF426B">
        <w:tc>
          <w:tcPr>
            <w:tcW w:w="720" w:type="dxa"/>
            <w:vAlign w:val="center"/>
          </w:tcPr>
          <w:p w:rsidR="00CF426B" w:rsidRDefault="005F6DDD">
            <w:pPr>
              <w:jc w:val="center"/>
            </w:pPr>
            <w:r>
              <w:rPr>
                <w:color w:val="000000"/>
                <w:szCs w:val="21"/>
              </w:rPr>
              <w:t>5</w:t>
            </w:r>
          </w:p>
        </w:tc>
        <w:tc>
          <w:tcPr>
            <w:tcW w:w="4320" w:type="dxa"/>
            <w:vAlign w:val="center"/>
          </w:tcPr>
          <w:p w:rsidR="00CF426B" w:rsidRDefault="005F6DDD">
            <w:pPr>
              <w:jc w:val="left"/>
            </w:pPr>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2020-01-30</w:t>
            </w:r>
          </w:p>
        </w:tc>
      </w:tr>
      <w:tr w:rsidR="00CF426B">
        <w:tc>
          <w:tcPr>
            <w:tcW w:w="720" w:type="dxa"/>
            <w:vAlign w:val="center"/>
          </w:tcPr>
          <w:p w:rsidR="00CF426B" w:rsidRDefault="005F6DDD">
            <w:pPr>
              <w:jc w:val="center"/>
            </w:pPr>
            <w:r>
              <w:rPr>
                <w:color w:val="000000"/>
                <w:szCs w:val="21"/>
              </w:rPr>
              <w:t>6</w:t>
            </w:r>
          </w:p>
        </w:tc>
        <w:tc>
          <w:tcPr>
            <w:tcW w:w="4320" w:type="dxa"/>
            <w:vAlign w:val="center"/>
          </w:tcPr>
          <w:p w:rsidR="00CF426B" w:rsidRDefault="005F6DDD">
            <w:pPr>
              <w:jc w:val="left"/>
            </w:pPr>
            <w:r>
              <w:rPr>
                <w:color w:val="000000"/>
                <w:szCs w:val="21"/>
              </w:rPr>
              <w:t>易方达基金管理有限公司及全资子公司投资旗下基金相关事宜的公告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2020-02-04</w:t>
            </w:r>
          </w:p>
        </w:tc>
      </w:tr>
      <w:tr w:rsidR="00CF426B">
        <w:tc>
          <w:tcPr>
            <w:tcW w:w="720" w:type="dxa"/>
            <w:vAlign w:val="center"/>
          </w:tcPr>
          <w:p w:rsidR="00CF426B" w:rsidRDefault="005F6DDD">
            <w:pPr>
              <w:jc w:val="center"/>
            </w:pPr>
            <w:r>
              <w:rPr>
                <w:color w:val="000000"/>
                <w:szCs w:val="21"/>
              </w:rPr>
              <w:t>7</w:t>
            </w:r>
          </w:p>
        </w:tc>
        <w:tc>
          <w:tcPr>
            <w:tcW w:w="4320" w:type="dxa"/>
            <w:vAlign w:val="center"/>
          </w:tcPr>
          <w:p w:rsidR="00CF426B" w:rsidRDefault="005F6DDD">
            <w:pPr>
              <w:jc w:val="left"/>
            </w:pPr>
            <w:r>
              <w:rPr>
                <w:color w:val="000000"/>
                <w:szCs w:val="21"/>
              </w:rPr>
              <w:t>易方达纳斯达克</w:t>
            </w:r>
            <w:r>
              <w:rPr>
                <w:color w:val="000000"/>
                <w:szCs w:val="21"/>
              </w:rPr>
              <w:t>100</w:t>
            </w:r>
            <w:r>
              <w:rPr>
                <w:color w:val="000000"/>
                <w:szCs w:val="21"/>
              </w:rPr>
              <w:t>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2</w:t>
            </w:r>
            <w:r>
              <w:rPr>
                <w:color w:val="000000"/>
                <w:szCs w:val="21"/>
              </w:rPr>
              <w:t>月</w:t>
            </w:r>
            <w:r>
              <w:rPr>
                <w:color w:val="000000"/>
                <w:szCs w:val="21"/>
              </w:rPr>
              <w:t>17</w:t>
            </w:r>
            <w:r>
              <w:rPr>
                <w:color w:val="000000"/>
                <w:szCs w:val="21"/>
              </w:rPr>
              <w:t>日暂停申购、赎回、定期定额投资业务的公告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2020-02-12</w:t>
            </w:r>
          </w:p>
        </w:tc>
      </w:tr>
      <w:tr w:rsidR="00CF426B">
        <w:tc>
          <w:tcPr>
            <w:tcW w:w="720" w:type="dxa"/>
            <w:vAlign w:val="center"/>
          </w:tcPr>
          <w:p w:rsidR="00CF426B" w:rsidRDefault="005F6DDD">
            <w:pPr>
              <w:jc w:val="center"/>
            </w:pPr>
            <w:r>
              <w:rPr>
                <w:color w:val="000000"/>
                <w:szCs w:val="21"/>
              </w:rPr>
              <w:t>8</w:t>
            </w:r>
          </w:p>
        </w:tc>
        <w:tc>
          <w:tcPr>
            <w:tcW w:w="4320" w:type="dxa"/>
            <w:vAlign w:val="center"/>
          </w:tcPr>
          <w:p w:rsidR="00CF426B" w:rsidRDefault="005F6DDD">
            <w:pPr>
              <w:jc w:val="left"/>
            </w:pPr>
            <w:r>
              <w:rPr>
                <w:color w:val="000000"/>
                <w:szCs w:val="21"/>
              </w:rPr>
              <w:t>易方达基金管理有限公司旗下部分开放式基金增加好买基金为销售机构的公告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2020-03-02</w:t>
            </w:r>
          </w:p>
        </w:tc>
      </w:tr>
      <w:tr w:rsidR="00CF426B">
        <w:tc>
          <w:tcPr>
            <w:tcW w:w="720" w:type="dxa"/>
            <w:vAlign w:val="center"/>
          </w:tcPr>
          <w:p w:rsidR="00CF426B" w:rsidRDefault="005F6DDD">
            <w:pPr>
              <w:jc w:val="center"/>
            </w:pPr>
            <w:r>
              <w:rPr>
                <w:color w:val="000000"/>
                <w:szCs w:val="21"/>
              </w:rPr>
              <w:t>9</w:t>
            </w:r>
          </w:p>
        </w:tc>
        <w:tc>
          <w:tcPr>
            <w:tcW w:w="4320" w:type="dxa"/>
            <w:vAlign w:val="center"/>
          </w:tcPr>
          <w:p w:rsidR="00CF426B" w:rsidRDefault="005F6DDD">
            <w:pPr>
              <w:jc w:val="left"/>
            </w:pPr>
            <w:r>
              <w:rPr>
                <w:color w:val="000000"/>
                <w:szCs w:val="21"/>
              </w:rPr>
              <w:t>易方达基金管理有限公司旗下部分开放式基金参加中金公司费率优惠活动的公告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2020-03-05</w:t>
            </w:r>
          </w:p>
        </w:tc>
      </w:tr>
      <w:tr w:rsidR="00CF426B">
        <w:tc>
          <w:tcPr>
            <w:tcW w:w="720" w:type="dxa"/>
            <w:vAlign w:val="center"/>
          </w:tcPr>
          <w:p w:rsidR="00CF426B" w:rsidRDefault="005F6DDD">
            <w:pPr>
              <w:jc w:val="center"/>
            </w:pPr>
            <w:r>
              <w:rPr>
                <w:color w:val="000000"/>
                <w:szCs w:val="21"/>
              </w:rPr>
              <w:t>10</w:t>
            </w:r>
          </w:p>
        </w:tc>
        <w:tc>
          <w:tcPr>
            <w:tcW w:w="4320" w:type="dxa"/>
            <w:vAlign w:val="center"/>
          </w:tcPr>
          <w:p w:rsidR="00CF426B" w:rsidRDefault="005F6DDD">
            <w:pPr>
              <w:jc w:val="left"/>
            </w:pPr>
            <w:r>
              <w:rPr>
                <w:color w:val="000000"/>
                <w:szCs w:val="21"/>
              </w:rPr>
              <w:t>易方达基金管理有限公司旗下部分开放式基金参加百度百盈费率优惠活动的公告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2020-03-10</w:t>
            </w:r>
          </w:p>
        </w:tc>
      </w:tr>
      <w:tr w:rsidR="00CF426B">
        <w:tc>
          <w:tcPr>
            <w:tcW w:w="720" w:type="dxa"/>
            <w:vAlign w:val="center"/>
          </w:tcPr>
          <w:p w:rsidR="00CF426B" w:rsidRDefault="005F6DDD">
            <w:pPr>
              <w:jc w:val="center"/>
            </w:pPr>
            <w:r>
              <w:rPr>
                <w:color w:val="000000"/>
                <w:szCs w:val="21"/>
              </w:rPr>
              <w:t>11</w:t>
            </w:r>
          </w:p>
        </w:tc>
        <w:tc>
          <w:tcPr>
            <w:tcW w:w="4320" w:type="dxa"/>
            <w:vAlign w:val="center"/>
          </w:tcPr>
          <w:p w:rsidR="00CF426B" w:rsidRDefault="005F6DDD">
            <w:pPr>
              <w:jc w:val="left"/>
            </w:pPr>
            <w:r>
              <w:rPr>
                <w:color w:val="000000"/>
                <w:szCs w:val="21"/>
              </w:rPr>
              <w:t>易方达纳斯达克</w:t>
            </w:r>
            <w:r>
              <w:rPr>
                <w:color w:val="000000"/>
                <w:szCs w:val="21"/>
              </w:rPr>
              <w:t>100</w:t>
            </w:r>
            <w:r>
              <w:rPr>
                <w:color w:val="000000"/>
                <w:szCs w:val="21"/>
              </w:rPr>
              <w:t>指数证券投资基金（</w:t>
            </w:r>
            <w:r>
              <w:rPr>
                <w:color w:val="000000"/>
                <w:szCs w:val="21"/>
              </w:rPr>
              <w:t>LOF</w:t>
            </w:r>
            <w:r>
              <w:rPr>
                <w:color w:val="000000"/>
                <w:szCs w:val="21"/>
              </w:rPr>
              <w:t>）暂停大额申购业务的公告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2020-03-10</w:t>
            </w:r>
          </w:p>
        </w:tc>
      </w:tr>
      <w:tr w:rsidR="00CF426B">
        <w:tc>
          <w:tcPr>
            <w:tcW w:w="720" w:type="dxa"/>
            <w:vAlign w:val="center"/>
          </w:tcPr>
          <w:p w:rsidR="00CF426B" w:rsidRDefault="005F6DDD">
            <w:pPr>
              <w:jc w:val="center"/>
            </w:pPr>
            <w:r>
              <w:rPr>
                <w:color w:val="000000"/>
                <w:szCs w:val="21"/>
              </w:rPr>
              <w:t>12</w:t>
            </w:r>
          </w:p>
        </w:tc>
        <w:tc>
          <w:tcPr>
            <w:tcW w:w="4320" w:type="dxa"/>
            <w:vAlign w:val="center"/>
          </w:tcPr>
          <w:p w:rsidR="00CF426B" w:rsidRDefault="005F6DDD">
            <w:pPr>
              <w:jc w:val="left"/>
            </w:pPr>
            <w:r>
              <w:rPr>
                <w:color w:val="000000"/>
                <w:szCs w:val="21"/>
              </w:rPr>
              <w:t>易方达纳斯达克</w:t>
            </w:r>
            <w:r>
              <w:rPr>
                <w:color w:val="000000"/>
                <w:szCs w:val="21"/>
              </w:rPr>
              <w:t>100</w:t>
            </w:r>
            <w:r>
              <w:rPr>
                <w:color w:val="000000"/>
                <w:szCs w:val="21"/>
              </w:rPr>
              <w:t>指数证券投资基金（</w:t>
            </w:r>
            <w:r>
              <w:rPr>
                <w:color w:val="000000"/>
                <w:szCs w:val="21"/>
              </w:rPr>
              <w:t>LOF</w:t>
            </w:r>
            <w:r>
              <w:rPr>
                <w:color w:val="000000"/>
                <w:szCs w:val="21"/>
              </w:rPr>
              <w:t>）暂停申购及定期定额投资业务的公告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2020-03-11</w:t>
            </w:r>
          </w:p>
        </w:tc>
      </w:tr>
      <w:tr w:rsidR="00CF426B">
        <w:tc>
          <w:tcPr>
            <w:tcW w:w="720" w:type="dxa"/>
            <w:vAlign w:val="center"/>
          </w:tcPr>
          <w:p w:rsidR="00CF426B" w:rsidRDefault="005F6DDD">
            <w:pPr>
              <w:jc w:val="center"/>
            </w:pPr>
            <w:r>
              <w:rPr>
                <w:color w:val="000000"/>
                <w:szCs w:val="21"/>
              </w:rPr>
              <w:t>13</w:t>
            </w:r>
          </w:p>
        </w:tc>
        <w:tc>
          <w:tcPr>
            <w:tcW w:w="4320" w:type="dxa"/>
            <w:vAlign w:val="center"/>
          </w:tcPr>
          <w:p w:rsidR="00CF426B" w:rsidRDefault="005F6DDD">
            <w:pPr>
              <w:jc w:val="left"/>
            </w:pPr>
            <w:r>
              <w:rPr>
                <w:color w:val="000000"/>
                <w:szCs w:val="21"/>
              </w:rPr>
              <w:t>易方达基金管理有限公司关于旗下部分开放式基金参加腾安基金费率优惠活动的公告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2020-03-17</w:t>
            </w:r>
          </w:p>
        </w:tc>
      </w:tr>
      <w:tr w:rsidR="00CF426B">
        <w:tc>
          <w:tcPr>
            <w:tcW w:w="720" w:type="dxa"/>
            <w:vAlign w:val="center"/>
          </w:tcPr>
          <w:p w:rsidR="00CF426B" w:rsidRDefault="005F6DDD">
            <w:pPr>
              <w:jc w:val="center"/>
            </w:pPr>
            <w:r>
              <w:rPr>
                <w:color w:val="000000"/>
                <w:szCs w:val="21"/>
              </w:rPr>
              <w:t>14</w:t>
            </w:r>
          </w:p>
        </w:tc>
        <w:tc>
          <w:tcPr>
            <w:tcW w:w="4320" w:type="dxa"/>
            <w:vAlign w:val="center"/>
          </w:tcPr>
          <w:p w:rsidR="00CF426B" w:rsidRDefault="005F6DDD">
            <w:pPr>
              <w:jc w:val="left"/>
            </w:pPr>
            <w:r>
              <w:rPr>
                <w:color w:val="000000"/>
                <w:szCs w:val="21"/>
              </w:rPr>
              <w:t>易方达纳斯达克</w:t>
            </w:r>
            <w:r>
              <w:rPr>
                <w:color w:val="000000"/>
                <w:szCs w:val="21"/>
              </w:rPr>
              <w:t>100</w:t>
            </w:r>
            <w:r>
              <w:rPr>
                <w:color w:val="000000"/>
                <w:szCs w:val="21"/>
              </w:rPr>
              <w:t>指数证券投资基金（</w:t>
            </w:r>
            <w:r>
              <w:rPr>
                <w:color w:val="000000"/>
                <w:szCs w:val="21"/>
              </w:rPr>
              <w:t>LOF</w:t>
            </w:r>
            <w:r>
              <w:rPr>
                <w:color w:val="000000"/>
                <w:szCs w:val="21"/>
              </w:rPr>
              <w:t>）恢复申购、定期定额投资业务并暂停大额申购业务的公告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2020-03-19</w:t>
            </w:r>
          </w:p>
        </w:tc>
      </w:tr>
      <w:tr w:rsidR="00CF426B">
        <w:tc>
          <w:tcPr>
            <w:tcW w:w="720" w:type="dxa"/>
            <w:vAlign w:val="center"/>
          </w:tcPr>
          <w:p w:rsidR="00CF426B" w:rsidRDefault="005F6DDD">
            <w:pPr>
              <w:jc w:val="center"/>
            </w:pPr>
            <w:r>
              <w:rPr>
                <w:color w:val="000000"/>
                <w:szCs w:val="21"/>
              </w:rPr>
              <w:t>15</w:t>
            </w:r>
          </w:p>
        </w:tc>
        <w:tc>
          <w:tcPr>
            <w:tcW w:w="4320" w:type="dxa"/>
            <w:vAlign w:val="center"/>
          </w:tcPr>
          <w:p w:rsidR="00CF426B" w:rsidRDefault="005F6DDD">
            <w:pPr>
              <w:jc w:val="left"/>
            </w:pPr>
            <w:r>
              <w:rPr>
                <w:color w:val="000000"/>
                <w:szCs w:val="21"/>
              </w:rPr>
              <w:t>易方达基金管理有限公司旗下部分开放式基金增加弘业期货为销售机构的公告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2020-03-24</w:t>
            </w:r>
          </w:p>
        </w:tc>
      </w:tr>
      <w:tr w:rsidR="00CF426B">
        <w:tc>
          <w:tcPr>
            <w:tcW w:w="720" w:type="dxa"/>
            <w:vAlign w:val="center"/>
          </w:tcPr>
          <w:p w:rsidR="00CF426B" w:rsidRDefault="005F6DDD">
            <w:pPr>
              <w:jc w:val="center"/>
            </w:pPr>
            <w:r>
              <w:rPr>
                <w:color w:val="000000"/>
                <w:szCs w:val="21"/>
              </w:rPr>
              <w:t>16</w:t>
            </w:r>
          </w:p>
        </w:tc>
        <w:tc>
          <w:tcPr>
            <w:tcW w:w="4320" w:type="dxa"/>
            <w:vAlign w:val="center"/>
          </w:tcPr>
          <w:p w:rsidR="00CF426B" w:rsidRDefault="005F6DDD">
            <w:pPr>
              <w:jc w:val="left"/>
            </w:pPr>
            <w:r>
              <w:rPr>
                <w:color w:val="000000"/>
                <w:szCs w:val="21"/>
              </w:rPr>
              <w:t>易方达基金管理有限公司旗下部分开放式基金增加浙商证券为销售机构、参加浙商证券费率优惠活动的公告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2020-03-24</w:t>
            </w:r>
          </w:p>
        </w:tc>
      </w:tr>
      <w:tr w:rsidR="00CF426B">
        <w:tc>
          <w:tcPr>
            <w:tcW w:w="720" w:type="dxa"/>
            <w:vAlign w:val="center"/>
          </w:tcPr>
          <w:p w:rsidR="00CF426B" w:rsidRDefault="005F6DDD">
            <w:pPr>
              <w:jc w:val="center"/>
            </w:pPr>
            <w:r>
              <w:rPr>
                <w:color w:val="000000"/>
                <w:szCs w:val="21"/>
              </w:rPr>
              <w:t>17</w:t>
            </w:r>
          </w:p>
        </w:tc>
        <w:tc>
          <w:tcPr>
            <w:tcW w:w="4320" w:type="dxa"/>
            <w:vAlign w:val="center"/>
          </w:tcPr>
          <w:p w:rsidR="00CF426B" w:rsidRDefault="005F6DDD">
            <w:pPr>
              <w:jc w:val="left"/>
            </w:pPr>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CF426B" w:rsidRDefault="005F6DDD">
            <w:pPr>
              <w:jc w:val="left"/>
            </w:pPr>
            <w:r>
              <w:rPr>
                <w:color w:val="000000"/>
                <w:szCs w:val="21"/>
              </w:rPr>
              <w:t>上海证券报</w:t>
            </w:r>
          </w:p>
        </w:tc>
        <w:tc>
          <w:tcPr>
            <w:tcW w:w="1440" w:type="dxa"/>
            <w:vAlign w:val="center"/>
          </w:tcPr>
          <w:p w:rsidR="00CF426B" w:rsidRDefault="005F6DDD">
            <w:pPr>
              <w:jc w:val="center"/>
            </w:pPr>
            <w:r>
              <w:rPr>
                <w:color w:val="000000"/>
                <w:szCs w:val="21"/>
              </w:rPr>
              <w:t>2020-03-31</w:t>
            </w:r>
          </w:p>
        </w:tc>
      </w:tr>
      <w:tr w:rsidR="00CF426B">
        <w:tc>
          <w:tcPr>
            <w:tcW w:w="720" w:type="dxa"/>
            <w:vAlign w:val="center"/>
          </w:tcPr>
          <w:p w:rsidR="00CF426B" w:rsidRDefault="005F6DDD">
            <w:pPr>
              <w:jc w:val="center"/>
            </w:pPr>
            <w:r>
              <w:rPr>
                <w:color w:val="000000"/>
                <w:szCs w:val="21"/>
              </w:rPr>
              <w:t>18</w:t>
            </w:r>
          </w:p>
        </w:tc>
        <w:tc>
          <w:tcPr>
            <w:tcW w:w="4320" w:type="dxa"/>
            <w:vAlign w:val="center"/>
          </w:tcPr>
          <w:p w:rsidR="00CF426B" w:rsidRDefault="005F6DDD">
            <w:pPr>
              <w:jc w:val="left"/>
            </w:pPr>
            <w:r>
              <w:rPr>
                <w:color w:val="000000"/>
                <w:szCs w:val="21"/>
              </w:rPr>
              <w:t>易方达基金管理有限公司旗下部分开放式基金参加国信证券费率优惠活动的公告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2020-04-01</w:t>
            </w:r>
          </w:p>
        </w:tc>
      </w:tr>
      <w:tr w:rsidR="00CF426B">
        <w:tc>
          <w:tcPr>
            <w:tcW w:w="720" w:type="dxa"/>
            <w:vAlign w:val="center"/>
          </w:tcPr>
          <w:p w:rsidR="00CF426B" w:rsidRDefault="005F6DDD">
            <w:pPr>
              <w:jc w:val="center"/>
            </w:pPr>
            <w:r>
              <w:rPr>
                <w:color w:val="000000"/>
                <w:szCs w:val="21"/>
              </w:rPr>
              <w:t>19</w:t>
            </w:r>
          </w:p>
        </w:tc>
        <w:tc>
          <w:tcPr>
            <w:tcW w:w="4320" w:type="dxa"/>
            <w:vAlign w:val="center"/>
          </w:tcPr>
          <w:p w:rsidR="00CF426B" w:rsidRDefault="005F6DDD">
            <w:pPr>
              <w:jc w:val="left"/>
            </w:pPr>
            <w:r>
              <w:rPr>
                <w:color w:val="000000"/>
                <w:szCs w:val="21"/>
              </w:rPr>
              <w:t>易方达基金管理有限公司旗下部分开放式基金增加华泰证券为销售机构的公告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2020-04-02</w:t>
            </w:r>
          </w:p>
        </w:tc>
      </w:tr>
      <w:tr w:rsidR="00CF426B">
        <w:tc>
          <w:tcPr>
            <w:tcW w:w="720" w:type="dxa"/>
            <w:vAlign w:val="center"/>
          </w:tcPr>
          <w:p w:rsidR="00CF426B" w:rsidRDefault="005F6DDD">
            <w:pPr>
              <w:jc w:val="center"/>
            </w:pPr>
            <w:r>
              <w:rPr>
                <w:color w:val="000000"/>
                <w:szCs w:val="21"/>
              </w:rPr>
              <w:t>20</w:t>
            </w:r>
          </w:p>
        </w:tc>
        <w:tc>
          <w:tcPr>
            <w:tcW w:w="4320" w:type="dxa"/>
            <w:vAlign w:val="center"/>
          </w:tcPr>
          <w:p w:rsidR="00CF426B" w:rsidRDefault="005F6DDD">
            <w:pPr>
              <w:jc w:val="left"/>
            </w:pPr>
            <w:r>
              <w:rPr>
                <w:color w:val="000000"/>
                <w:szCs w:val="21"/>
              </w:rPr>
              <w:t>易方达纳斯达克</w:t>
            </w:r>
            <w:r>
              <w:rPr>
                <w:color w:val="000000"/>
                <w:szCs w:val="21"/>
              </w:rPr>
              <w:t>100</w:t>
            </w:r>
            <w:r>
              <w:rPr>
                <w:color w:val="000000"/>
                <w:szCs w:val="21"/>
              </w:rPr>
              <w:t>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日暂停申购、赎回、定期定额投资业务的公告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2020-04-07</w:t>
            </w:r>
          </w:p>
        </w:tc>
      </w:tr>
      <w:tr w:rsidR="00CF426B">
        <w:tc>
          <w:tcPr>
            <w:tcW w:w="720" w:type="dxa"/>
            <w:vAlign w:val="center"/>
          </w:tcPr>
          <w:p w:rsidR="00CF426B" w:rsidRDefault="005F6DDD">
            <w:pPr>
              <w:jc w:val="center"/>
            </w:pPr>
            <w:r>
              <w:rPr>
                <w:color w:val="000000"/>
                <w:szCs w:val="21"/>
              </w:rPr>
              <w:t>21</w:t>
            </w:r>
          </w:p>
        </w:tc>
        <w:tc>
          <w:tcPr>
            <w:tcW w:w="4320" w:type="dxa"/>
            <w:vAlign w:val="center"/>
          </w:tcPr>
          <w:p w:rsidR="00CF426B" w:rsidRDefault="005F6DDD">
            <w:pPr>
              <w:jc w:val="left"/>
            </w:pPr>
            <w:r>
              <w:rPr>
                <w:color w:val="000000"/>
                <w:szCs w:val="21"/>
              </w:rPr>
              <w:t>易方达基金管理有限公司关于提醒投资者及时提供或更新身份信息资料的公告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2020-04-10</w:t>
            </w:r>
          </w:p>
        </w:tc>
      </w:tr>
      <w:tr w:rsidR="00CF426B">
        <w:tc>
          <w:tcPr>
            <w:tcW w:w="720" w:type="dxa"/>
            <w:vAlign w:val="center"/>
          </w:tcPr>
          <w:p w:rsidR="00CF426B" w:rsidRDefault="005F6DDD">
            <w:pPr>
              <w:jc w:val="center"/>
            </w:pPr>
            <w:r>
              <w:rPr>
                <w:color w:val="000000"/>
                <w:szCs w:val="21"/>
              </w:rPr>
              <w:t>22</w:t>
            </w:r>
          </w:p>
        </w:tc>
        <w:tc>
          <w:tcPr>
            <w:tcW w:w="4320" w:type="dxa"/>
            <w:vAlign w:val="center"/>
          </w:tcPr>
          <w:p w:rsidR="00CF426B" w:rsidRDefault="005F6DDD">
            <w:pPr>
              <w:jc w:val="left"/>
            </w:pPr>
            <w:r>
              <w:rPr>
                <w:color w:val="000000"/>
                <w:szCs w:val="21"/>
              </w:rPr>
              <w:t>易方达基金管理有限公司旗下部分开放式基金增加海通证券为销售机构的公告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2020-04-10</w:t>
            </w:r>
          </w:p>
        </w:tc>
      </w:tr>
      <w:tr w:rsidR="00CF426B">
        <w:tc>
          <w:tcPr>
            <w:tcW w:w="720" w:type="dxa"/>
            <w:vAlign w:val="center"/>
          </w:tcPr>
          <w:p w:rsidR="00CF426B" w:rsidRDefault="005F6DDD">
            <w:pPr>
              <w:jc w:val="center"/>
            </w:pPr>
            <w:r>
              <w:rPr>
                <w:color w:val="000000"/>
                <w:szCs w:val="21"/>
              </w:rPr>
              <w:t>23</w:t>
            </w:r>
          </w:p>
        </w:tc>
        <w:tc>
          <w:tcPr>
            <w:tcW w:w="4320" w:type="dxa"/>
            <w:vAlign w:val="center"/>
          </w:tcPr>
          <w:p w:rsidR="00CF426B" w:rsidRDefault="005F6DDD">
            <w:pPr>
              <w:jc w:val="left"/>
            </w:pPr>
            <w:r>
              <w:rPr>
                <w:color w:val="000000"/>
                <w:szCs w:val="21"/>
              </w:rPr>
              <w:t>易方达基金管理有限公司旗下部分开放式基金参加诺亚正行费率优惠活动的公告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2020-04-17</w:t>
            </w:r>
          </w:p>
        </w:tc>
      </w:tr>
      <w:tr w:rsidR="00CF426B">
        <w:tc>
          <w:tcPr>
            <w:tcW w:w="720" w:type="dxa"/>
            <w:vAlign w:val="center"/>
          </w:tcPr>
          <w:p w:rsidR="00CF426B" w:rsidRDefault="005F6DDD">
            <w:pPr>
              <w:jc w:val="center"/>
            </w:pPr>
            <w:r>
              <w:rPr>
                <w:color w:val="000000"/>
                <w:szCs w:val="21"/>
              </w:rPr>
              <w:t>24</w:t>
            </w:r>
          </w:p>
        </w:tc>
        <w:tc>
          <w:tcPr>
            <w:tcW w:w="4320" w:type="dxa"/>
            <w:vAlign w:val="center"/>
          </w:tcPr>
          <w:p w:rsidR="00CF426B" w:rsidRDefault="005F6DDD">
            <w:pPr>
              <w:jc w:val="left"/>
            </w:pPr>
            <w:r>
              <w:rPr>
                <w:color w:val="000000"/>
                <w:szCs w:val="21"/>
              </w:rPr>
              <w:t>易方达基金管理有限公司旗下部分开放式基金增加平安银行为销售机构、参加平安银行费率优惠活动的公告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2020-04-20</w:t>
            </w:r>
          </w:p>
        </w:tc>
      </w:tr>
      <w:tr w:rsidR="00CF426B">
        <w:tc>
          <w:tcPr>
            <w:tcW w:w="720" w:type="dxa"/>
            <w:vAlign w:val="center"/>
          </w:tcPr>
          <w:p w:rsidR="00CF426B" w:rsidRDefault="005F6DDD">
            <w:pPr>
              <w:jc w:val="center"/>
            </w:pPr>
            <w:r>
              <w:rPr>
                <w:color w:val="000000"/>
                <w:szCs w:val="21"/>
              </w:rPr>
              <w:t>25</w:t>
            </w:r>
          </w:p>
        </w:tc>
        <w:tc>
          <w:tcPr>
            <w:tcW w:w="4320" w:type="dxa"/>
            <w:vAlign w:val="center"/>
          </w:tcPr>
          <w:p w:rsidR="00CF426B" w:rsidRDefault="005F6DDD">
            <w:pPr>
              <w:jc w:val="left"/>
            </w:pPr>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CF426B" w:rsidRDefault="005F6DDD">
            <w:pPr>
              <w:jc w:val="left"/>
            </w:pPr>
            <w:r>
              <w:rPr>
                <w:color w:val="000000"/>
                <w:szCs w:val="21"/>
              </w:rPr>
              <w:t>上海证券报</w:t>
            </w:r>
          </w:p>
        </w:tc>
        <w:tc>
          <w:tcPr>
            <w:tcW w:w="1440" w:type="dxa"/>
            <w:vAlign w:val="center"/>
          </w:tcPr>
          <w:p w:rsidR="00CF426B" w:rsidRDefault="005F6DDD">
            <w:pPr>
              <w:jc w:val="center"/>
            </w:pPr>
            <w:r>
              <w:rPr>
                <w:color w:val="000000"/>
                <w:szCs w:val="21"/>
              </w:rPr>
              <w:t>2020-04-21</w:t>
            </w:r>
          </w:p>
        </w:tc>
      </w:tr>
      <w:tr w:rsidR="00CF426B">
        <w:tc>
          <w:tcPr>
            <w:tcW w:w="720" w:type="dxa"/>
            <w:vAlign w:val="center"/>
          </w:tcPr>
          <w:p w:rsidR="00CF426B" w:rsidRDefault="005F6DDD">
            <w:pPr>
              <w:jc w:val="center"/>
            </w:pPr>
            <w:r>
              <w:rPr>
                <w:color w:val="000000"/>
                <w:szCs w:val="21"/>
              </w:rPr>
              <w:t>26</w:t>
            </w:r>
          </w:p>
        </w:tc>
        <w:tc>
          <w:tcPr>
            <w:tcW w:w="4320" w:type="dxa"/>
            <w:vAlign w:val="center"/>
          </w:tcPr>
          <w:p w:rsidR="00CF426B" w:rsidRDefault="005F6DDD">
            <w:pPr>
              <w:jc w:val="left"/>
            </w:pPr>
            <w:r>
              <w:rPr>
                <w:color w:val="000000"/>
                <w:szCs w:val="21"/>
              </w:rPr>
              <w:t>易方达基金管理有限公司旗下部分开放式基金参加国联证券费率优惠活动的公告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2020-04-22</w:t>
            </w:r>
          </w:p>
        </w:tc>
      </w:tr>
      <w:tr w:rsidR="00CF426B">
        <w:tc>
          <w:tcPr>
            <w:tcW w:w="720" w:type="dxa"/>
            <w:vAlign w:val="center"/>
          </w:tcPr>
          <w:p w:rsidR="00CF426B" w:rsidRDefault="005F6DDD">
            <w:pPr>
              <w:jc w:val="center"/>
            </w:pPr>
            <w:r>
              <w:rPr>
                <w:color w:val="000000"/>
                <w:szCs w:val="21"/>
              </w:rPr>
              <w:t>27</w:t>
            </w:r>
          </w:p>
        </w:tc>
        <w:tc>
          <w:tcPr>
            <w:tcW w:w="4320" w:type="dxa"/>
            <w:vAlign w:val="center"/>
          </w:tcPr>
          <w:p w:rsidR="00CF426B" w:rsidRDefault="005F6DDD">
            <w:pPr>
              <w:jc w:val="left"/>
            </w:pPr>
            <w:r>
              <w:rPr>
                <w:color w:val="000000"/>
                <w:szCs w:val="21"/>
              </w:rPr>
              <w:t>易方达纳斯达克</w:t>
            </w:r>
            <w:r>
              <w:rPr>
                <w:color w:val="000000"/>
                <w:szCs w:val="21"/>
              </w:rPr>
              <w:t>100</w:t>
            </w:r>
            <w:r>
              <w:rPr>
                <w:color w:val="000000"/>
                <w:szCs w:val="21"/>
              </w:rPr>
              <w:t>指数证券投资基金（</w:t>
            </w:r>
            <w:r>
              <w:rPr>
                <w:color w:val="000000"/>
                <w:szCs w:val="21"/>
              </w:rPr>
              <w:t>LOF</w:t>
            </w:r>
            <w:r>
              <w:rPr>
                <w:color w:val="000000"/>
                <w:szCs w:val="21"/>
              </w:rPr>
              <w:t>）基金经理变更公告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2020-04-23</w:t>
            </w:r>
          </w:p>
        </w:tc>
      </w:tr>
      <w:tr w:rsidR="00CF426B">
        <w:tc>
          <w:tcPr>
            <w:tcW w:w="720" w:type="dxa"/>
            <w:vAlign w:val="center"/>
          </w:tcPr>
          <w:p w:rsidR="00CF426B" w:rsidRDefault="005F6DDD">
            <w:pPr>
              <w:jc w:val="center"/>
            </w:pPr>
            <w:r>
              <w:rPr>
                <w:color w:val="000000"/>
                <w:szCs w:val="21"/>
              </w:rPr>
              <w:t>28</w:t>
            </w:r>
          </w:p>
        </w:tc>
        <w:tc>
          <w:tcPr>
            <w:tcW w:w="4320" w:type="dxa"/>
            <w:vAlign w:val="center"/>
          </w:tcPr>
          <w:p w:rsidR="00CF426B" w:rsidRDefault="005F6DDD">
            <w:pPr>
              <w:jc w:val="left"/>
            </w:pPr>
            <w:r>
              <w:rPr>
                <w:color w:val="000000"/>
                <w:szCs w:val="21"/>
              </w:rPr>
              <w:t>易方达基金管理有限公司旗下部分开放式基金参加中金公司申购费率优惠活动的公告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2020-05-14</w:t>
            </w:r>
          </w:p>
        </w:tc>
      </w:tr>
      <w:tr w:rsidR="00CF426B">
        <w:tc>
          <w:tcPr>
            <w:tcW w:w="720" w:type="dxa"/>
            <w:vAlign w:val="center"/>
          </w:tcPr>
          <w:p w:rsidR="00CF426B" w:rsidRDefault="005F6DDD">
            <w:pPr>
              <w:jc w:val="center"/>
            </w:pPr>
            <w:r>
              <w:rPr>
                <w:color w:val="000000"/>
                <w:szCs w:val="21"/>
              </w:rPr>
              <w:t>29</w:t>
            </w:r>
          </w:p>
        </w:tc>
        <w:tc>
          <w:tcPr>
            <w:tcW w:w="4320" w:type="dxa"/>
            <w:vAlign w:val="center"/>
          </w:tcPr>
          <w:p w:rsidR="00CF426B" w:rsidRDefault="005F6DDD">
            <w:pPr>
              <w:jc w:val="left"/>
            </w:pPr>
            <w:r>
              <w:rPr>
                <w:color w:val="000000"/>
                <w:szCs w:val="21"/>
              </w:rPr>
              <w:t>易方达基金管理有限公司旗下部分开放式基金增加万和证券为销售机构的公告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2020-05-18</w:t>
            </w:r>
          </w:p>
        </w:tc>
      </w:tr>
      <w:tr w:rsidR="00CF426B">
        <w:tc>
          <w:tcPr>
            <w:tcW w:w="720" w:type="dxa"/>
            <w:vAlign w:val="center"/>
          </w:tcPr>
          <w:p w:rsidR="00CF426B" w:rsidRDefault="005F6DDD">
            <w:pPr>
              <w:jc w:val="center"/>
            </w:pPr>
            <w:r>
              <w:rPr>
                <w:color w:val="000000"/>
                <w:szCs w:val="21"/>
              </w:rPr>
              <w:t>30</w:t>
            </w:r>
          </w:p>
        </w:tc>
        <w:tc>
          <w:tcPr>
            <w:tcW w:w="4320" w:type="dxa"/>
            <w:vAlign w:val="center"/>
          </w:tcPr>
          <w:p w:rsidR="00CF426B" w:rsidRDefault="005F6DDD">
            <w:pPr>
              <w:jc w:val="left"/>
            </w:pPr>
            <w:r>
              <w:rPr>
                <w:color w:val="000000"/>
                <w:szCs w:val="21"/>
              </w:rPr>
              <w:t>易方达纳斯达克</w:t>
            </w:r>
            <w:r>
              <w:rPr>
                <w:color w:val="000000"/>
                <w:szCs w:val="21"/>
              </w:rPr>
              <w:t>100</w:t>
            </w:r>
            <w:r>
              <w:rPr>
                <w:color w:val="000000"/>
                <w:szCs w:val="21"/>
              </w:rPr>
              <w:t>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5</w:t>
            </w:r>
            <w:r>
              <w:rPr>
                <w:color w:val="000000"/>
                <w:szCs w:val="21"/>
              </w:rPr>
              <w:t>月</w:t>
            </w:r>
            <w:r>
              <w:rPr>
                <w:color w:val="000000"/>
                <w:szCs w:val="21"/>
              </w:rPr>
              <w:t>25</w:t>
            </w:r>
            <w:r>
              <w:rPr>
                <w:color w:val="000000"/>
                <w:szCs w:val="21"/>
              </w:rPr>
              <w:t>日暂停申购、赎回、定期定额投资业务的公告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2020-05-20</w:t>
            </w:r>
          </w:p>
        </w:tc>
      </w:tr>
      <w:tr w:rsidR="00CF426B">
        <w:tc>
          <w:tcPr>
            <w:tcW w:w="720" w:type="dxa"/>
            <w:vAlign w:val="center"/>
          </w:tcPr>
          <w:p w:rsidR="00CF426B" w:rsidRDefault="005F6DDD">
            <w:pPr>
              <w:jc w:val="center"/>
            </w:pPr>
            <w:r>
              <w:rPr>
                <w:color w:val="000000"/>
                <w:szCs w:val="21"/>
              </w:rPr>
              <w:t>31</w:t>
            </w:r>
          </w:p>
        </w:tc>
        <w:tc>
          <w:tcPr>
            <w:tcW w:w="4320" w:type="dxa"/>
            <w:vAlign w:val="center"/>
          </w:tcPr>
          <w:p w:rsidR="00CF426B" w:rsidRDefault="005F6DDD">
            <w:pPr>
              <w:jc w:val="left"/>
            </w:pPr>
            <w:r>
              <w:rPr>
                <w:color w:val="000000"/>
                <w:szCs w:val="21"/>
              </w:rPr>
              <w:t>易方达基金管理有限公司旗下部分开放式基金参加华夏财富费率优惠活动的公告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2020-05-23</w:t>
            </w:r>
          </w:p>
        </w:tc>
      </w:tr>
      <w:tr w:rsidR="00CF426B">
        <w:tc>
          <w:tcPr>
            <w:tcW w:w="720" w:type="dxa"/>
            <w:vAlign w:val="center"/>
          </w:tcPr>
          <w:p w:rsidR="00CF426B" w:rsidRDefault="005F6DDD">
            <w:pPr>
              <w:jc w:val="center"/>
            </w:pPr>
            <w:r>
              <w:rPr>
                <w:color w:val="000000"/>
                <w:szCs w:val="21"/>
              </w:rPr>
              <w:t>32</w:t>
            </w:r>
          </w:p>
        </w:tc>
        <w:tc>
          <w:tcPr>
            <w:tcW w:w="4320" w:type="dxa"/>
            <w:vAlign w:val="center"/>
          </w:tcPr>
          <w:p w:rsidR="00CF426B" w:rsidRDefault="005F6DDD">
            <w:pPr>
              <w:jc w:val="left"/>
            </w:pPr>
            <w:r>
              <w:rPr>
                <w:color w:val="000000"/>
                <w:szCs w:val="21"/>
              </w:rPr>
              <w:t>易方达基金管理有限公司关于调整旗下部分开放式基金在招商银行最低定期定额投资金额限制的公告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2020-06-04</w:t>
            </w:r>
          </w:p>
        </w:tc>
      </w:tr>
      <w:tr w:rsidR="00CF426B">
        <w:tc>
          <w:tcPr>
            <w:tcW w:w="720" w:type="dxa"/>
            <w:vAlign w:val="center"/>
          </w:tcPr>
          <w:p w:rsidR="00CF426B" w:rsidRDefault="005F6DDD">
            <w:pPr>
              <w:jc w:val="center"/>
            </w:pPr>
            <w:r>
              <w:rPr>
                <w:color w:val="000000"/>
                <w:szCs w:val="21"/>
              </w:rPr>
              <w:t>33</w:t>
            </w:r>
          </w:p>
        </w:tc>
        <w:tc>
          <w:tcPr>
            <w:tcW w:w="4320" w:type="dxa"/>
            <w:vAlign w:val="center"/>
          </w:tcPr>
          <w:p w:rsidR="00CF426B" w:rsidRDefault="005F6DDD">
            <w:pPr>
              <w:jc w:val="left"/>
            </w:pPr>
            <w:r>
              <w:rPr>
                <w:color w:val="000000"/>
                <w:szCs w:val="21"/>
              </w:rPr>
              <w:t>易方达基金管理有限公司高级管理人员变更公告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2020-06-22</w:t>
            </w:r>
          </w:p>
        </w:tc>
      </w:tr>
      <w:tr w:rsidR="00CF426B">
        <w:tc>
          <w:tcPr>
            <w:tcW w:w="720" w:type="dxa"/>
            <w:vAlign w:val="center"/>
          </w:tcPr>
          <w:p w:rsidR="00CF426B" w:rsidRDefault="005F6DDD">
            <w:pPr>
              <w:jc w:val="center"/>
            </w:pPr>
            <w:r>
              <w:rPr>
                <w:color w:val="000000"/>
                <w:szCs w:val="21"/>
              </w:rPr>
              <w:t>34</w:t>
            </w:r>
          </w:p>
        </w:tc>
        <w:tc>
          <w:tcPr>
            <w:tcW w:w="4320" w:type="dxa"/>
            <w:vAlign w:val="center"/>
          </w:tcPr>
          <w:p w:rsidR="00CF426B" w:rsidRDefault="005F6DDD">
            <w:pPr>
              <w:jc w:val="left"/>
            </w:pPr>
            <w:r>
              <w:rPr>
                <w:color w:val="000000"/>
                <w:szCs w:val="21"/>
              </w:rPr>
              <w:t>易方达纳斯达克</w:t>
            </w:r>
            <w:r>
              <w:rPr>
                <w:color w:val="000000"/>
                <w:szCs w:val="21"/>
              </w:rPr>
              <w:t>100</w:t>
            </w:r>
            <w:r>
              <w:rPr>
                <w:color w:val="000000"/>
                <w:szCs w:val="21"/>
              </w:rPr>
              <w:t>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7</w:t>
            </w:r>
            <w:r>
              <w:rPr>
                <w:color w:val="000000"/>
                <w:szCs w:val="21"/>
              </w:rPr>
              <w:t>月</w:t>
            </w:r>
            <w:r>
              <w:rPr>
                <w:color w:val="000000"/>
                <w:szCs w:val="21"/>
              </w:rPr>
              <w:t>3</w:t>
            </w:r>
            <w:r>
              <w:rPr>
                <w:color w:val="000000"/>
                <w:szCs w:val="21"/>
              </w:rPr>
              <w:t>日暂停申购、赎回、定期定额投资业务的公告</w:t>
            </w:r>
          </w:p>
        </w:tc>
        <w:tc>
          <w:tcPr>
            <w:tcW w:w="2520" w:type="dxa"/>
            <w:vAlign w:val="center"/>
          </w:tcPr>
          <w:p w:rsidR="00CF426B" w:rsidRDefault="005F6DDD">
            <w:pPr>
              <w:jc w:val="left"/>
            </w:pPr>
            <w:r>
              <w:rPr>
                <w:color w:val="000000"/>
                <w:szCs w:val="21"/>
              </w:rPr>
              <w:t>上海证券报、基金管理人网站及中国证监会基金电子披露网站</w:t>
            </w:r>
          </w:p>
        </w:tc>
        <w:tc>
          <w:tcPr>
            <w:tcW w:w="1440" w:type="dxa"/>
            <w:vAlign w:val="center"/>
          </w:tcPr>
          <w:p w:rsidR="00CF426B" w:rsidRDefault="005F6DDD">
            <w:pPr>
              <w:jc w:val="center"/>
            </w:pPr>
            <w:r>
              <w:rPr>
                <w:color w:val="000000"/>
                <w:szCs w:val="21"/>
              </w:rPr>
              <w:t>2020-06-30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55" w:name="_Toc225500055"/>
      <w:bookmarkStart w:id="356" w:name="_Toc352256020"/>
      <w:bookmarkStart w:id="357" w:name="_Toc352256088"/>
      <w:bookmarkStart w:id="358" w:name="_Toc352331266"/>
      <w:bookmarkStart w:id="359" w:name="_Toc374611695"/>
      <w:bookmarkStart w:id="360" w:name="_Toc48664263"/>
      <w:r w:rsidRPr="00964699">
        <w:rPr>
          <w:rFonts w:ascii="宋体" w:hAnsi="宋体" w:cs="Arial"/>
          <w:color w:val="000000"/>
          <w:sz w:val="21"/>
          <w:szCs w:val="21"/>
        </w:rPr>
        <w:t>11</w:t>
      </w:r>
      <w:r w:rsidR="006B4E2C" w:rsidRPr="006B4E2C">
        <w:rPr>
          <w:rFonts w:ascii="宋体" w:hAnsi="宋体" w:cs="Arial"/>
          <w:color w:val="000000"/>
          <w:sz w:val="21"/>
          <w:szCs w:val="21"/>
        </w:rPr>
        <w:tab/>
      </w:r>
      <w:r w:rsidRPr="00964699">
        <w:rPr>
          <w:rFonts w:ascii="宋体" w:hAnsi="宋体" w:cs="Arial" w:hint="eastAsia"/>
          <w:color w:val="000000"/>
          <w:sz w:val="21"/>
          <w:szCs w:val="21"/>
        </w:rPr>
        <w:t>备查文件目录</w:t>
      </w:r>
      <w:bookmarkEnd w:id="355"/>
      <w:bookmarkEnd w:id="356"/>
      <w:bookmarkEnd w:id="357"/>
      <w:bookmarkEnd w:id="358"/>
      <w:bookmarkEnd w:id="359"/>
      <w:bookmarkEnd w:id="360"/>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1" w:name="_Toc352256021"/>
      <w:bookmarkStart w:id="362" w:name="_Toc352256089"/>
      <w:bookmarkStart w:id="363" w:name="_Toc352331267"/>
      <w:bookmarkStart w:id="364" w:name="_Toc374611696"/>
      <w:bookmarkStart w:id="365" w:name="_Toc48664264"/>
      <w:r w:rsidRPr="0087410D">
        <w:rPr>
          <w:rFonts w:ascii="宋体" w:hAnsi="宋体"/>
          <w:kern w:val="0"/>
          <w:sz w:val="21"/>
          <w:szCs w:val="21"/>
        </w:rPr>
        <w:t>11.1</w:t>
      </w:r>
      <w:r w:rsidR="00BE2F8C" w:rsidRPr="006B4E2C">
        <w:rPr>
          <w:rFonts w:ascii="宋体" w:hAnsi="宋体"/>
          <w:kern w:val="0"/>
          <w:sz w:val="21"/>
          <w:szCs w:val="21"/>
        </w:rPr>
        <w:tab/>
      </w:r>
      <w:r w:rsidRPr="0087410D">
        <w:rPr>
          <w:rFonts w:ascii="宋体" w:hAnsi="宋体" w:hint="eastAsia"/>
          <w:kern w:val="0"/>
          <w:sz w:val="21"/>
          <w:szCs w:val="21"/>
        </w:rPr>
        <w:t>备查文件目录</w:t>
      </w:r>
      <w:bookmarkEnd w:id="361"/>
      <w:bookmarkEnd w:id="362"/>
      <w:bookmarkEnd w:id="363"/>
      <w:bookmarkEnd w:id="364"/>
      <w:bookmarkEnd w:id="365"/>
    </w:p>
    <w:p w:rsidR="00CF426B" w:rsidRDefault="005F6DDD">
      <w:pPr>
        <w:tabs>
          <w:tab w:val="left" w:pos="426"/>
        </w:tabs>
        <w:spacing w:line="360" w:lineRule="auto"/>
        <w:ind w:firstLineChars="200" w:firstLine="420"/>
        <w:jc w:val="left"/>
        <w:rPr>
          <w:kern w:val="0"/>
          <w:szCs w:val="21"/>
        </w:rPr>
      </w:pPr>
      <w:r>
        <w:rPr>
          <w:kern w:val="0"/>
          <w:szCs w:val="21"/>
        </w:rPr>
        <w:t xml:space="preserve">1. </w:t>
      </w:r>
      <w:r>
        <w:rPr>
          <w:kern w:val="0"/>
          <w:szCs w:val="21"/>
        </w:rPr>
        <w:t>中国证监会准予易方达纳斯达克</w:t>
      </w:r>
      <w:r>
        <w:rPr>
          <w:kern w:val="0"/>
          <w:szCs w:val="21"/>
        </w:rPr>
        <w:t>100</w:t>
      </w:r>
      <w:r>
        <w:rPr>
          <w:kern w:val="0"/>
          <w:szCs w:val="21"/>
        </w:rPr>
        <w:t>指数证券投资基金（</w:t>
      </w:r>
      <w:r>
        <w:rPr>
          <w:kern w:val="0"/>
          <w:szCs w:val="21"/>
        </w:rPr>
        <w:t>LOF</w:t>
      </w:r>
      <w:r>
        <w:rPr>
          <w:kern w:val="0"/>
          <w:szCs w:val="21"/>
        </w:rPr>
        <w:t>）注册的文件；</w:t>
      </w:r>
    </w:p>
    <w:p w:rsidR="00CF426B" w:rsidRDefault="005F6DDD">
      <w:pPr>
        <w:tabs>
          <w:tab w:val="left" w:pos="426"/>
        </w:tabs>
        <w:spacing w:line="360" w:lineRule="auto"/>
        <w:ind w:firstLineChars="200" w:firstLine="420"/>
        <w:jc w:val="left"/>
        <w:rPr>
          <w:kern w:val="0"/>
          <w:szCs w:val="21"/>
        </w:rPr>
      </w:pPr>
      <w:r>
        <w:rPr>
          <w:kern w:val="0"/>
          <w:szCs w:val="21"/>
        </w:rPr>
        <w:t xml:space="preserve">2. </w:t>
      </w:r>
      <w:r>
        <w:rPr>
          <w:kern w:val="0"/>
          <w:szCs w:val="21"/>
        </w:rPr>
        <w:t>《易方达纳斯达克</w:t>
      </w:r>
      <w:r>
        <w:rPr>
          <w:kern w:val="0"/>
          <w:szCs w:val="21"/>
        </w:rPr>
        <w:t>100</w:t>
      </w:r>
      <w:r>
        <w:rPr>
          <w:kern w:val="0"/>
          <w:szCs w:val="21"/>
        </w:rPr>
        <w:t>指数证券投资基金（</w:t>
      </w:r>
      <w:r>
        <w:rPr>
          <w:kern w:val="0"/>
          <w:szCs w:val="21"/>
        </w:rPr>
        <w:t>LOF</w:t>
      </w:r>
      <w:r>
        <w:rPr>
          <w:kern w:val="0"/>
          <w:szCs w:val="21"/>
        </w:rPr>
        <w:t>）基金合同》；</w:t>
      </w:r>
    </w:p>
    <w:p w:rsidR="00CF426B" w:rsidRDefault="005F6DDD">
      <w:pPr>
        <w:tabs>
          <w:tab w:val="left" w:pos="426"/>
        </w:tabs>
        <w:spacing w:line="360" w:lineRule="auto"/>
        <w:ind w:firstLineChars="200" w:firstLine="420"/>
        <w:jc w:val="left"/>
        <w:rPr>
          <w:kern w:val="0"/>
          <w:szCs w:val="21"/>
        </w:rPr>
      </w:pPr>
      <w:r>
        <w:rPr>
          <w:kern w:val="0"/>
          <w:szCs w:val="21"/>
        </w:rPr>
        <w:t xml:space="preserve">3. </w:t>
      </w:r>
      <w:r>
        <w:rPr>
          <w:kern w:val="0"/>
          <w:szCs w:val="21"/>
        </w:rPr>
        <w:t>《易方达纳斯达克</w:t>
      </w:r>
      <w:r>
        <w:rPr>
          <w:kern w:val="0"/>
          <w:szCs w:val="21"/>
        </w:rPr>
        <w:t>100</w:t>
      </w:r>
      <w:r>
        <w:rPr>
          <w:kern w:val="0"/>
          <w:szCs w:val="21"/>
        </w:rPr>
        <w:t>指数证券投资基金（</w:t>
      </w:r>
      <w:r>
        <w:rPr>
          <w:kern w:val="0"/>
          <w:szCs w:val="21"/>
        </w:rPr>
        <w:t>LOF</w:t>
      </w:r>
      <w:r>
        <w:rPr>
          <w:kern w:val="0"/>
          <w:szCs w:val="21"/>
        </w:rPr>
        <w:t>）托管协议》；</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4. </w:t>
      </w:r>
      <w:r w:rsidRPr="00D749D4">
        <w:rPr>
          <w:kern w:val="0"/>
          <w:szCs w:val="21"/>
        </w:rPr>
        <w:t>基金管理人业务资格批件和营业执照。</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6" w:name="_Toc352256022"/>
      <w:bookmarkStart w:id="367" w:name="_Toc352256090"/>
      <w:bookmarkStart w:id="368" w:name="_Toc352331268"/>
      <w:bookmarkStart w:id="369" w:name="_Toc374611697"/>
      <w:bookmarkStart w:id="370" w:name="_Toc48664265"/>
      <w:r w:rsidRPr="0087410D">
        <w:rPr>
          <w:rFonts w:ascii="宋体" w:hAnsi="宋体"/>
          <w:kern w:val="0"/>
          <w:sz w:val="21"/>
          <w:szCs w:val="21"/>
        </w:rPr>
        <w:t>11.2</w:t>
      </w:r>
      <w:r w:rsidR="00BE2F8C" w:rsidRPr="006B4E2C">
        <w:rPr>
          <w:rFonts w:ascii="宋体" w:hAnsi="宋体"/>
          <w:kern w:val="0"/>
          <w:sz w:val="21"/>
          <w:szCs w:val="21"/>
        </w:rPr>
        <w:tab/>
      </w:r>
      <w:r w:rsidRPr="0087410D">
        <w:rPr>
          <w:rFonts w:ascii="宋体" w:hAnsi="宋体" w:hint="eastAsia"/>
          <w:kern w:val="0"/>
          <w:sz w:val="21"/>
          <w:szCs w:val="21"/>
        </w:rPr>
        <w:t>存放地点</w:t>
      </w:r>
      <w:bookmarkEnd w:id="366"/>
      <w:bookmarkEnd w:id="367"/>
      <w:bookmarkEnd w:id="368"/>
      <w:bookmarkEnd w:id="369"/>
      <w:bookmarkEnd w:id="37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广州市天河区珠江新城珠江东路</w:t>
      </w:r>
      <w:r w:rsidRPr="00D749D4">
        <w:rPr>
          <w:kern w:val="0"/>
          <w:szCs w:val="21"/>
        </w:rPr>
        <w:t>30</w:t>
      </w:r>
      <w:r w:rsidRPr="00D749D4">
        <w:rPr>
          <w:kern w:val="0"/>
          <w:szCs w:val="21"/>
        </w:rPr>
        <w:t>号广州银行大厦</w:t>
      </w:r>
      <w:r w:rsidRPr="00D749D4">
        <w:rPr>
          <w:kern w:val="0"/>
          <w:szCs w:val="21"/>
        </w:rPr>
        <w:t>40-43</w:t>
      </w:r>
      <w:r w:rsidRPr="00D749D4">
        <w:rPr>
          <w:kern w:val="0"/>
          <w:szCs w:val="21"/>
        </w:rPr>
        <w:t>楼。</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71" w:name="_Toc352256023"/>
      <w:bookmarkStart w:id="372" w:name="_Toc352256091"/>
      <w:bookmarkStart w:id="373" w:name="_Toc352331269"/>
      <w:bookmarkStart w:id="374" w:name="_Toc374611698"/>
      <w:bookmarkStart w:id="375" w:name="_Toc48664266"/>
      <w:r w:rsidRPr="0087410D">
        <w:rPr>
          <w:rFonts w:ascii="宋体" w:hAnsi="宋体"/>
          <w:kern w:val="0"/>
          <w:sz w:val="21"/>
          <w:szCs w:val="21"/>
        </w:rPr>
        <w:t>11.3</w:t>
      </w:r>
      <w:r w:rsidR="00BE2F8C" w:rsidRPr="006B4E2C">
        <w:rPr>
          <w:rFonts w:ascii="宋体" w:hAnsi="宋体"/>
          <w:kern w:val="0"/>
          <w:sz w:val="21"/>
          <w:szCs w:val="21"/>
        </w:rPr>
        <w:tab/>
      </w:r>
      <w:r w:rsidRPr="0087410D">
        <w:rPr>
          <w:rFonts w:ascii="宋体" w:hAnsi="宋体" w:hint="eastAsia"/>
          <w:kern w:val="0"/>
          <w:sz w:val="21"/>
          <w:szCs w:val="21"/>
        </w:rPr>
        <w:t>查阅方式</w:t>
      </w:r>
      <w:bookmarkEnd w:id="371"/>
      <w:bookmarkEnd w:id="372"/>
      <w:bookmarkEnd w:id="373"/>
      <w:bookmarkEnd w:id="374"/>
      <w:bookmarkEnd w:id="37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投资者可在营业时间免费查阅，也可按工本费购买复印件。</w:t>
      </w: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2116B9">
      <w:pPr>
        <w:spacing w:line="360" w:lineRule="auto"/>
        <w:ind w:left="840"/>
        <w:jc w:val="right"/>
        <w:rPr>
          <w:b/>
          <w:bCs/>
          <w:szCs w:val="21"/>
        </w:rPr>
      </w:pPr>
      <w:r w:rsidRPr="00D749D4">
        <w:rPr>
          <w:b/>
          <w:bCs/>
          <w:szCs w:val="21"/>
        </w:rPr>
        <w:t>易方达基金管理有限公司</w:t>
      </w:r>
    </w:p>
    <w:p w:rsidR="00711C4C" w:rsidRPr="00D749D4" w:rsidRDefault="00711C4C" w:rsidP="002116B9">
      <w:pPr>
        <w:spacing w:line="360" w:lineRule="auto"/>
        <w:ind w:left="840"/>
        <w:jc w:val="right"/>
        <w:rPr>
          <w:b/>
          <w:bCs/>
          <w:szCs w:val="21"/>
        </w:rPr>
      </w:pPr>
      <w:r w:rsidRPr="00D749D4">
        <w:rPr>
          <w:b/>
          <w:bCs/>
          <w:szCs w:val="21"/>
        </w:rPr>
        <w:t>二〇二〇年八月二十八日</w:t>
      </w:r>
    </w:p>
    <w:sectPr w:rsidR="00711C4C" w:rsidRPr="00D749D4"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A0F" w:rsidRDefault="00D45A0F">
      <w:r>
        <w:separator/>
      </w:r>
    </w:p>
  </w:endnote>
  <w:endnote w:type="continuationSeparator" w:id="0">
    <w:p w:rsidR="00D45A0F" w:rsidRDefault="00D4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83B2A" w:rsidRDefault="00683B2A" w:rsidP="00C03B3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161E65">
      <w:rPr>
        <w:noProof/>
        <w:kern w:val="0"/>
        <w:szCs w:val="21"/>
      </w:rPr>
      <w:t>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161E65">
      <w:rPr>
        <w:noProof/>
        <w:kern w:val="0"/>
        <w:szCs w:val="21"/>
      </w:rPr>
      <w:t>29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A0F" w:rsidRDefault="00D45A0F">
      <w:r>
        <w:separator/>
      </w:r>
    </w:p>
  </w:footnote>
  <w:footnote w:type="continuationSeparator" w:id="0">
    <w:p w:rsidR="00D45A0F" w:rsidRDefault="00D45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Pr="00964684" w:rsidRDefault="00683B2A" w:rsidP="009D66C1">
    <w:pPr>
      <w:pStyle w:val="aa"/>
      <w:pBdr>
        <w:bottom w:val="single" w:sz="6" w:space="0" w:color="auto"/>
      </w:pBdr>
      <w:jc w:val="right"/>
    </w:pPr>
    <w:r w:rsidRPr="00964684">
      <w:t>易方达纳斯达克</w:t>
    </w:r>
    <w:r w:rsidRPr="00964684">
      <w:t>100</w:t>
    </w:r>
    <w:r w:rsidRPr="00964684">
      <w:t>指数证券投资基金（</w:t>
    </w:r>
    <w:r w:rsidRPr="00964684">
      <w:t>LOF</w:t>
    </w:r>
    <w:r w:rsidRPr="00964684">
      <w:t>）</w:t>
    </w:r>
    <w:r w:rsidRPr="00964684">
      <w:t>2020</w:t>
    </w:r>
    <w:r w:rsidRPr="00964684">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EBD"/>
    <w:rsid w:val="000019B6"/>
    <w:rsid w:val="00001B33"/>
    <w:rsid w:val="00001B39"/>
    <w:rsid w:val="00002644"/>
    <w:rsid w:val="00003577"/>
    <w:rsid w:val="0000403B"/>
    <w:rsid w:val="00004337"/>
    <w:rsid w:val="00005172"/>
    <w:rsid w:val="0000551D"/>
    <w:rsid w:val="00005911"/>
    <w:rsid w:val="00005D29"/>
    <w:rsid w:val="000061CF"/>
    <w:rsid w:val="000070E6"/>
    <w:rsid w:val="000102A7"/>
    <w:rsid w:val="00010918"/>
    <w:rsid w:val="00010A83"/>
    <w:rsid w:val="00010A8E"/>
    <w:rsid w:val="00010AC3"/>
    <w:rsid w:val="00010C1F"/>
    <w:rsid w:val="00010F11"/>
    <w:rsid w:val="00011081"/>
    <w:rsid w:val="00011EB5"/>
    <w:rsid w:val="0001280C"/>
    <w:rsid w:val="00013749"/>
    <w:rsid w:val="00013CAE"/>
    <w:rsid w:val="00015ADB"/>
    <w:rsid w:val="00015E54"/>
    <w:rsid w:val="000162AF"/>
    <w:rsid w:val="00016604"/>
    <w:rsid w:val="00016CEB"/>
    <w:rsid w:val="00016F07"/>
    <w:rsid w:val="00017581"/>
    <w:rsid w:val="0001767C"/>
    <w:rsid w:val="00020583"/>
    <w:rsid w:val="00021813"/>
    <w:rsid w:val="00021DD4"/>
    <w:rsid w:val="000221FE"/>
    <w:rsid w:val="00023BE7"/>
    <w:rsid w:val="00024491"/>
    <w:rsid w:val="0002453B"/>
    <w:rsid w:val="000246E6"/>
    <w:rsid w:val="00024C15"/>
    <w:rsid w:val="00024C62"/>
    <w:rsid w:val="00024CA0"/>
    <w:rsid w:val="00025106"/>
    <w:rsid w:val="00026D19"/>
    <w:rsid w:val="000274FE"/>
    <w:rsid w:val="000276C9"/>
    <w:rsid w:val="00027CFC"/>
    <w:rsid w:val="00027F5F"/>
    <w:rsid w:val="00030268"/>
    <w:rsid w:val="0003228A"/>
    <w:rsid w:val="000322D5"/>
    <w:rsid w:val="0003271C"/>
    <w:rsid w:val="000327EA"/>
    <w:rsid w:val="00032ADD"/>
    <w:rsid w:val="00032FE1"/>
    <w:rsid w:val="000331EA"/>
    <w:rsid w:val="00033E6C"/>
    <w:rsid w:val="00033EC1"/>
    <w:rsid w:val="000343C8"/>
    <w:rsid w:val="00034BA5"/>
    <w:rsid w:val="000358FE"/>
    <w:rsid w:val="00036C37"/>
    <w:rsid w:val="00036CFB"/>
    <w:rsid w:val="00037267"/>
    <w:rsid w:val="000378BC"/>
    <w:rsid w:val="00037CF2"/>
    <w:rsid w:val="00037FCF"/>
    <w:rsid w:val="000400FF"/>
    <w:rsid w:val="00040DAC"/>
    <w:rsid w:val="000415E6"/>
    <w:rsid w:val="00041BC8"/>
    <w:rsid w:val="000421B8"/>
    <w:rsid w:val="000429DF"/>
    <w:rsid w:val="00042AAD"/>
    <w:rsid w:val="000430CA"/>
    <w:rsid w:val="0004381B"/>
    <w:rsid w:val="00043ABF"/>
    <w:rsid w:val="00044158"/>
    <w:rsid w:val="000445E4"/>
    <w:rsid w:val="00045C75"/>
    <w:rsid w:val="000471B4"/>
    <w:rsid w:val="0004739F"/>
    <w:rsid w:val="00050260"/>
    <w:rsid w:val="0005049D"/>
    <w:rsid w:val="000510AB"/>
    <w:rsid w:val="000514E0"/>
    <w:rsid w:val="00053091"/>
    <w:rsid w:val="0005346A"/>
    <w:rsid w:val="000534CD"/>
    <w:rsid w:val="00053DBC"/>
    <w:rsid w:val="00053EED"/>
    <w:rsid w:val="00053F17"/>
    <w:rsid w:val="0005448A"/>
    <w:rsid w:val="00054C64"/>
    <w:rsid w:val="00055AF1"/>
    <w:rsid w:val="00056F23"/>
    <w:rsid w:val="000573B5"/>
    <w:rsid w:val="00060423"/>
    <w:rsid w:val="00060597"/>
    <w:rsid w:val="00060A2C"/>
    <w:rsid w:val="00060CB4"/>
    <w:rsid w:val="00061167"/>
    <w:rsid w:val="00061371"/>
    <w:rsid w:val="00062997"/>
    <w:rsid w:val="00063D34"/>
    <w:rsid w:val="00063FEA"/>
    <w:rsid w:val="000642EA"/>
    <w:rsid w:val="000643C3"/>
    <w:rsid w:val="0006475F"/>
    <w:rsid w:val="00064AE3"/>
    <w:rsid w:val="00064FC8"/>
    <w:rsid w:val="000664F5"/>
    <w:rsid w:val="00066524"/>
    <w:rsid w:val="00066860"/>
    <w:rsid w:val="000671A3"/>
    <w:rsid w:val="00067CC5"/>
    <w:rsid w:val="00070CD1"/>
    <w:rsid w:val="00071022"/>
    <w:rsid w:val="0007171B"/>
    <w:rsid w:val="000717A1"/>
    <w:rsid w:val="000720AF"/>
    <w:rsid w:val="000726C0"/>
    <w:rsid w:val="00072DE0"/>
    <w:rsid w:val="00073DB1"/>
    <w:rsid w:val="00073F87"/>
    <w:rsid w:val="00075A98"/>
    <w:rsid w:val="00076397"/>
    <w:rsid w:val="000763A9"/>
    <w:rsid w:val="000764CB"/>
    <w:rsid w:val="00076CC5"/>
    <w:rsid w:val="000801F4"/>
    <w:rsid w:val="00080423"/>
    <w:rsid w:val="0008141B"/>
    <w:rsid w:val="000814F7"/>
    <w:rsid w:val="00081A3D"/>
    <w:rsid w:val="00081D05"/>
    <w:rsid w:val="00082038"/>
    <w:rsid w:val="0008226A"/>
    <w:rsid w:val="00083968"/>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8ED"/>
    <w:rsid w:val="0009091B"/>
    <w:rsid w:val="00090D5E"/>
    <w:rsid w:val="000917D5"/>
    <w:rsid w:val="000919B7"/>
    <w:rsid w:val="00093E08"/>
    <w:rsid w:val="00093E3E"/>
    <w:rsid w:val="00094009"/>
    <w:rsid w:val="00094876"/>
    <w:rsid w:val="00094F9F"/>
    <w:rsid w:val="000951F7"/>
    <w:rsid w:val="00095912"/>
    <w:rsid w:val="00095CE0"/>
    <w:rsid w:val="00096933"/>
    <w:rsid w:val="00096995"/>
    <w:rsid w:val="00096B18"/>
    <w:rsid w:val="0009709F"/>
    <w:rsid w:val="00097230"/>
    <w:rsid w:val="000A010B"/>
    <w:rsid w:val="000A1448"/>
    <w:rsid w:val="000A1BFB"/>
    <w:rsid w:val="000A2464"/>
    <w:rsid w:val="000A3022"/>
    <w:rsid w:val="000A38DE"/>
    <w:rsid w:val="000A457E"/>
    <w:rsid w:val="000A4672"/>
    <w:rsid w:val="000A4FEF"/>
    <w:rsid w:val="000A53FD"/>
    <w:rsid w:val="000A549A"/>
    <w:rsid w:val="000A578A"/>
    <w:rsid w:val="000A6557"/>
    <w:rsid w:val="000A72F2"/>
    <w:rsid w:val="000A743C"/>
    <w:rsid w:val="000B0C56"/>
    <w:rsid w:val="000B0EAB"/>
    <w:rsid w:val="000B2714"/>
    <w:rsid w:val="000B2B57"/>
    <w:rsid w:val="000B2C8D"/>
    <w:rsid w:val="000B36CC"/>
    <w:rsid w:val="000B3E43"/>
    <w:rsid w:val="000B417C"/>
    <w:rsid w:val="000B4365"/>
    <w:rsid w:val="000B5CC0"/>
    <w:rsid w:val="000B682A"/>
    <w:rsid w:val="000B696A"/>
    <w:rsid w:val="000B6D23"/>
    <w:rsid w:val="000C01F9"/>
    <w:rsid w:val="000C05AB"/>
    <w:rsid w:val="000C0871"/>
    <w:rsid w:val="000C0CA5"/>
    <w:rsid w:val="000C0F55"/>
    <w:rsid w:val="000C127D"/>
    <w:rsid w:val="000C15BE"/>
    <w:rsid w:val="000C1723"/>
    <w:rsid w:val="000C1B20"/>
    <w:rsid w:val="000C224F"/>
    <w:rsid w:val="000C2367"/>
    <w:rsid w:val="000C2BDC"/>
    <w:rsid w:val="000C3FD9"/>
    <w:rsid w:val="000C40FA"/>
    <w:rsid w:val="000C4107"/>
    <w:rsid w:val="000C45E7"/>
    <w:rsid w:val="000C45F5"/>
    <w:rsid w:val="000C5E39"/>
    <w:rsid w:val="000C5E98"/>
    <w:rsid w:val="000C5F67"/>
    <w:rsid w:val="000C698D"/>
    <w:rsid w:val="000C705C"/>
    <w:rsid w:val="000C7ADC"/>
    <w:rsid w:val="000C7AE4"/>
    <w:rsid w:val="000D01F4"/>
    <w:rsid w:val="000D0B89"/>
    <w:rsid w:val="000D12C1"/>
    <w:rsid w:val="000D1497"/>
    <w:rsid w:val="000D1519"/>
    <w:rsid w:val="000D3145"/>
    <w:rsid w:val="000D36D1"/>
    <w:rsid w:val="000D4AAD"/>
    <w:rsid w:val="000D52DC"/>
    <w:rsid w:val="000D6054"/>
    <w:rsid w:val="000D619B"/>
    <w:rsid w:val="000D788B"/>
    <w:rsid w:val="000E1057"/>
    <w:rsid w:val="000E148A"/>
    <w:rsid w:val="000E18DB"/>
    <w:rsid w:val="000E28C9"/>
    <w:rsid w:val="000E34ED"/>
    <w:rsid w:val="000E4456"/>
    <w:rsid w:val="000E6184"/>
    <w:rsid w:val="000E67FE"/>
    <w:rsid w:val="000E6DA9"/>
    <w:rsid w:val="000E7C24"/>
    <w:rsid w:val="000F03B2"/>
    <w:rsid w:val="000F0C0A"/>
    <w:rsid w:val="000F175F"/>
    <w:rsid w:val="000F17D1"/>
    <w:rsid w:val="000F1EE4"/>
    <w:rsid w:val="000F2C75"/>
    <w:rsid w:val="000F3506"/>
    <w:rsid w:val="000F350C"/>
    <w:rsid w:val="000F3D90"/>
    <w:rsid w:val="000F3F09"/>
    <w:rsid w:val="000F4232"/>
    <w:rsid w:val="000F593E"/>
    <w:rsid w:val="000F60F3"/>
    <w:rsid w:val="000F60FF"/>
    <w:rsid w:val="000F6198"/>
    <w:rsid w:val="000F635F"/>
    <w:rsid w:val="000F6C61"/>
    <w:rsid w:val="000F6D5D"/>
    <w:rsid w:val="00100C12"/>
    <w:rsid w:val="001013A8"/>
    <w:rsid w:val="00102CC8"/>
    <w:rsid w:val="001030B5"/>
    <w:rsid w:val="0010352B"/>
    <w:rsid w:val="00103A9E"/>
    <w:rsid w:val="001049B6"/>
    <w:rsid w:val="00104A39"/>
    <w:rsid w:val="00104DE3"/>
    <w:rsid w:val="001051C6"/>
    <w:rsid w:val="00105211"/>
    <w:rsid w:val="0010577B"/>
    <w:rsid w:val="00105C9C"/>
    <w:rsid w:val="001069ED"/>
    <w:rsid w:val="00106C1F"/>
    <w:rsid w:val="00107C33"/>
    <w:rsid w:val="001116BA"/>
    <w:rsid w:val="0011177A"/>
    <w:rsid w:val="0011179E"/>
    <w:rsid w:val="00111C71"/>
    <w:rsid w:val="001138DF"/>
    <w:rsid w:val="00113B73"/>
    <w:rsid w:val="001141C0"/>
    <w:rsid w:val="001150A3"/>
    <w:rsid w:val="00116B10"/>
    <w:rsid w:val="00116E31"/>
    <w:rsid w:val="00120169"/>
    <w:rsid w:val="00120E31"/>
    <w:rsid w:val="00120EED"/>
    <w:rsid w:val="001212B4"/>
    <w:rsid w:val="00121A03"/>
    <w:rsid w:val="00122E81"/>
    <w:rsid w:val="0012304E"/>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1EC2"/>
    <w:rsid w:val="0013226C"/>
    <w:rsid w:val="0013264D"/>
    <w:rsid w:val="0013275B"/>
    <w:rsid w:val="00132E82"/>
    <w:rsid w:val="0013374F"/>
    <w:rsid w:val="00135467"/>
    <w:rsid w:val="00135F71"/>
    <w:rsid w:val="00136211"/>
    <w:rsid w:val="001364D3"/>
    <w:rsid w:val="001366C4"/>
    <w:rsid w:val="0013686A"/>
    <w:rsid w:val="00136BE0"/>
    <w:rsid w:val="0013718B"/>
    <w:rsid w:val="00137BB5"/>
    <w:rsid w:val="00137BB9"/>
    <w:rsid w:val="00137D50"/>
    <w:rsid w:val="00140038"/>
    <w:rsid w:val="00142280"/>
    <w:rsid w:val="0014241E"/>
    <w:rsid w:val="001424C6"/>
    <w:rsid w:val="00142A56"/>
    <w:rsid w:val="001432A7"/>
    <w:rsid w:val="00143BE5"/>
    <w:rsid w:val="00144280"/>
    <w:rsid w:val="00144AAD"/>
    <w:rsid w:val="00144DF5"/>
    <w:rsid w:val="00144E37"/>
    <w:rsid w:val="001455C7"/>
    <w:rsid w:val="00145A97"/>
    <w:rsid w:val="00145B50"/>
    <w:rsid w:val="00145CAE"/>
    <w:rsid w:val="00145FB8"/>
    <w:rsid w:val="0014633E"/>
    <w:rsid w:val="00146485"/>
    <w:rsid w:val="00146A28"/>
    <w:rsid w:val="00146FBA"/>
    <w:rsid w:val="00147492"/>
    <w:rsid w:val="0015080E"/>
    <w:rsid w:val="00150AD6"/>
    <w:rsid w:val="0015173F"/>
    <w:rsid w:val="00151B23"/>
    <w:rsid w:val="001522A6"/>
    <w:rsid w:val="001529AD"/>
    <w:rsid w:val="00152B88"/>
    <w:rsid w:val="001535AE"/>
    <w:rsid w:val="00153B40"/>
    <w:rsid w:val="00153B9D"/>
    <w:rsid w:val="00153BCF"/>
    <w:rsid w:val="001543FC"/>
    <w:rsid w:val="00154ADA"/>
    <w:rsid w:val="00154B08"/>
    <w:rsid w:val="0015531A"/>
    <w:rsid w:val="00155875"/>
    <w:rsid w:val="001558FD"/>
    <w:rsid w:val="00155A35"/>
    <w:rsid w:val="00157418"/>
    <w:rsid w:val="00157B5A"/>
    <w:rsid w:val="0016050B"/>
    <w:rsid w:val="00161E65"/>
    <w:rsid w:val="0016380C"/>
    <w:rsid w:val="00163816"/>
    <w:rsid w:val="00163B27"/>
    <w:rsid w:val="0016425E"/>
    <w:rsid w:val="00164BF7"/>
    <w:rsid w:val="00165317"/>
    <w:rsid w:val="001657AB"/>
    <w:rsid w:val="00165A14"/>
    <w:rsid w:val="0017073D"/>
    <w:rsid w:val="00170D38"/>
    <w:rsid w:val="00171484"/>
    <w:rsid w:val="0017173B"/>
    <w:rsid w:val="00171BAD"/>
    <w:rsid w:val="00171F2C"/>
    <w:rsid w:val="001731C7"/>
    <w:rsid w:val="00173AF1"/>
    <w:rsid w:val="001744B4"/>
    <w:rsid w:val="001751EF"/>
    <w:rsid w:val="00175625"/>
    <w:rsid w:val="001756A1"/>
    <w:rsid w:val="001761EE"/>
    <w:rsid w:val="00176D47"/>
    <w:rsid w:val="00176EAA"/>
    <w:rsid w:val="00177030"/>
    <w:rsid w:val="0017725A"/>
    <w:rsid w:val="0017747A"/>
    <w:rsid w:val="00177C4B"/>
    <w:rsid w:val="00177F6A"/>
    <w:rsid w:val="001811E0"/>
    <w:rsid w:val="00182708"/>
    <w:rsid w:val="00182A38"/>
    <w:rsid w:val="0018325A"/>
    <w:rsid w:val="00183BA8"/>
    <w:rsid w:val="00183D7A"/>
    <w:rsid w:val="00183D8B"/>
    <w:rsid w:val="00183F2D"/>
    <w:rsid w:val="00184CAE"/>
    <w:rsid w:val="00186199"/>
    <w:rsid w:val="00186F7A"/>
    <w:rsid w:val="001871A6"/>
    <w:rsid w:val="00187CB2"/>
    <w:rsid w:val="00190673"/>
    <w:rsid w:val="00190AE2"/>
    <w:rsid w:val="00190E27"/>
    <w:rsid w:val="001928F7"/>
    <w:rsid w:val="00192AD3"/>
    <w:rsid w:val="00193182"/>
    <w:rsid w:val="00193575"/>
    <w:rsid w:val="0019389D"/>
    <w:rsid w:val="00193A94"/>
    <w:rsid w:val="00193B62"/>
    <w:rsid w:val="00194537"/>
    <w:rsid w:val="0019563C"/>
    <w:rsid w:val="001956CA"/>
    <w:rsid w:val="00195B79"/>
    <w:rsid w:val="00196BCF"/>
    <w:rsid w:val="00197D79"/>
    <w:rsid w:val="001A02F4"/>
    <w:rsid w:val="001A088E"/>
    <w:rsid w:val="001A0F4A"/>
    <w:rsid w:val="001A1B13"/>
    <w:rsid w:val="001A1D38"/>
    <w:rsid w:val="001A21A9"/>
    <w:rsid w:val="001A2A97"/>
    <w:rsid w:val="001A364F"/>
    <w:rsid w:val="001A39B7"/>
    <w:rsid w:val="001A42FA"/>
    <w:rsid w:val="001A4AEC"/>
    <w:rsid w:val="001A5051"/>
    <w:rsid w:val="001A59D8"/>
    <w:rsid w:val="001A5FA6"/>
    <w:rsid w:val="001A644F"/>
    <w:rsid w:val="001A668F"/>
    <w:rsid w:val="001A71CC"/>
    <w:rsid w:val="001A7F30"/>
    <w:rsid w:val="001B017D"/>
    <w:rsid w:val="001B2F0C"/>
    <w:rsid w:val="001B30CA"/>
    <w:rsid w:val="001B3513"/>
    <w:rsid w:val="001B353A"/>
    <w:rsid w:val="001B3D3E"/>
    <w:rsid w:val="001B3F69"/>
    <w:rsid w:val="001B44F6"/>
    <w:rsid w:val="001B4CEC"/>
    <w:rsid w:val="001B50CD"/>
    <w:rsid w:val="001B52FE"/>
    <w:rsid w:val="001B5FC5"/>
    <w:rsid w:val="001B7890"/>
    <w:rsid w:val="001C005A"/>
    <w:rsid w:val="001C00CF"/>
    <w:rsid w:val="001C0806"/>
    <w:rsid w:val="001C1110"/>
    <w:rsid w:val="001C156D"/>
    <w:rsid w:val="001C1C77"/>
    <w:rsid w:val="001C2F9C"/>
    <w:rsid w:val="001C3399"/>
    <w:rsid w:val="001C37F6"/>
    <w:rsid w:val="001C4642"/>
    <w:rsid w:val="001C4928"/>
    <w:rsid w:val="001C4D9F"/>
    <w:rsid w:val="001C4EB6"/>
    <w:rsid w:val="001C5289"/>
    <w:rsid w:val="001C6288"/>
    <w:rsid w:val="001C67A1"/>
    <w:rsid w:val="001C7C6D"/>
    <w:rsid w:val="001D0538"/>
    <w:rsid w:val="001D05B1"/>
    <w:rsid w:val="001D0634"/>
    <w:rsid w:val="001D0EF1"/>
    <w:rsid w:val="001D0F6A"/>
    <w:rsid w:val="001D21BC"/>
    <w:rsid w:val="001D2A80"/>
    <w:rsid w:val="001D2D34"/>
    <w:rsid w:val="001D2DDC"/>
    <w:rsid w:val="001D2E47"/>
    <w:rsid w:val="001D2FA5"/>
    <w:rsid w:val="001D35E0"/>
    <w:rsid w:val="001D5016"/>
    <w:rsid w:val="001D5045"/>
    <w:rsid w:val="001D5281"/>
    <w:rsid w:val="001D5494"/>
    <w:rsid w:val="001D5A44"/>
    <w:rsid w:val="001D5E7C"/>
    <w:rsid w:val="001D6213"/>
    <w:rsid w:val="001D6BEF"/>
    <w:rsid w:val="001D7137"/>
    <w:rsid w:val="001D724B"/>
    <w:rsid w:val="001D730C"/>
    <w:rsid w:val="001E03BE"/>
    <w:rsid w:val="001E07AE"/>
    <w:rsid w:val="001E09F9"/>
    <w:rsid w:val="001E0AAA"/>
    <w:rsid w:val="001E0F28"/>
    <w:rsid w:val="001E0F82"/>
    <w:rsid w:val="001E11D3"/>
    <w:rsid w:val="001E15F1"/>
    <w:rsid w:val="001E1C4F"/>
    <w:rsid w:val="001E2332"/>
    <w:rsid w:val="001E287E"/>
    <w:rsid w:val="001E2A6A"/>
    <w:rsid w:val="001E3BB1"/>
    <w:rsid w:val="001E3D5B"/>
    <w:rsid w:val="001E3DC2"/>
    <w:rsid w:val="001E49F3"/>
    <w:rsid w:val="001E56FF"/>
    <w:rsid w:val="001E5C6B"/>
    <w:rsid w:val="001E6862"/>
    <w:rsid w:val="001E6EBF"/>
    <w:rsid w:val="001E7E49"/>
    <w:rsid w:val="001F0307"/>
    <w:rsid w:val="001F03E1"/>
    <w:rsid w:val="001F0DE9"/>
    <w:rsid w:val="001F147B"/>
    <w:rsid w:val="001F221F"/>
    <w:rsid w:val="001F2246"/>
    <w:rsid w:val="001F2DE7"/>
    <w:rsid w:val="001F3CC6"/>
    <w:rsid w:val="001F3F50"/>
    <w:rsid w:val="001F4530"/>
    <w:rsid w:val="001F5CE2"/>
    <w:rsid w:val="001F5DBA"/>
    <w:rsid w:val="001F5DE3"/>
    <w:rsid w:val="001F5F74"/>
    <w:rsid w:val="002000DE"/>
    <w:rsid w:val="002010DE"/>
    <w:rsid w:val="00201962"/>
    <w:rsid w:val="00201B58"/>
    <w:rsid w:val="00201DDA"/>
    <w:rsid w:val="00202968"/>
    <w:rsid w:val="00202C32"/>
    <w:rsid w:val="00203031"/>
    <w:rsid w:val="00203940"/>
    <w:rsid w:val="00203973"/>
    <w:rsid w:val="00203AEF"/>
    <w:rsid w:val="00207387"/>
    <w:rsid w:val="00207E26"/>
    <w:rsid w:val="00210F5D"/>
    <w:rsid w:val="002116B9"/>
    <w:rsid w:val="00211A26"/>
    <w:rsid w:val="00212249"/>
    <w:rsid w:val="002125F7"/>
    <w:rsid w:val="00212901"/>
    <w:rsid w:val="00213709"/>
    <w:rsid w:val="0021397C"/>
    <w:rsid w:val="00214463"/>
    <w:rsid w:val="00214756"/>
    <w:rsid w:val="00214A8D"/>
    <w:rsid w:val="00215152"/>
    <w:rsid w:val="00215CF2"/>
    <w:rsid w:val="00215D9F"/>
    <w:rsid w:val="00216310"/>
    <w:rsid w:val="0021645F"/>
    <w:rsid w:val="00216BCE"/>
    <w:rsid w:val="00217867"/>
    <w:rsid w:val="00220533"/>
    <w:rsid w:val="00220542"/>
    <w:rsid w:val="00220D7F"/>
    <w:rsid w:val="002210EB"/>
    <w:rsid w:val="00221174"/>
    <w:rsid w:val="00222DE3"/>
    <w:rsid w:val="002233F0"/>
    <w:rsid w:val="002243A2"/>
    <w:rsid w:val="00224952"/>
    <w:rsid w:val="0022498A"/>
    <w:rsid w:val="00225756"/>
    <w:rsid w:val="00225ADC"/>
    <w:rsid w:val="00225CEB"/>
    <w:rsid w:val="0022692D"/>
    <w:rsid w:val="00231116"/>
    <w:rsid w:val="002318F3"/>
    <w:rsid w:val="0023323F"/>
    <w:rsid w:val="00233A86"/>
    <w:rsid w:val="00234202"/>
    <w:rsid w:val="00235842"/>
    <w:rsid w:val="002359EB"/>
    <w:rsid w:val="002363AB"/>
    <w:rsid w:val="00236412"/>
    <w:rsid w:val="00236933"/>
    <w:rsid w:val="0023727B"/>
    <w:rsid w:val="00237317"/>
    <w:rsid w:val="00237579"/>
    <w:rsid w:val="00237675"/>
    <w:rsid w:val="00237C6D"/>
    <w:rsid w:val="0024096B"/>
    <w:rsid w:val="00241582"/>
    <w:rsid w:val="00241B45"/>
    <w:rsid w:val="002424D7"/>
    <w:rsid w:val="0024260D"/>
    <w:rsid w:val="00242657"/>
    <w:rsid w:val="002428F6"/>
    <w:rsid w:val="00242FA2"/>
    <w:rsid w:val="00243C23"/>
    <w:rsid w:val="0024402C"/>
    <w:rsid w:val="00244D4F"/>
    <w:rsid w:val="00245012"/>
    <w:rsid w:val="0024504E"/>
    <w:rsid w:val="00245761"/>
    <w:rsid w:val="002457D3"/>
    <w:rsid w:val="0024651F"/>
    <w:rsid w:val="00247729"/>
    <w:rsid w:val="00251072"/>
    <w:rsid w:val="0025158D"/>
    <w:rsid w:val="00251C7E"/>
    <w:rsid w:val="00252697"/>
    <w:rsid w:val="0025281A"/>
    <w:rsid w:val="00253D3C"/>
    <w:rsid w:val="00254022"/>
    <w:rsid w:val="002544D7"/>
    <w:rsid w:val="00255292"/>
    <w:rsid w:val="002561CC"/>
    <w:rsid w:val="00257578"/>
    <w:rsid w:val="00260200"/>
    <w:rsid w:val="00260B06"/>
    <w:rsid w:val="00260BFB"/>
    <w:rsid w:val="00260DA3"/>
    <w:rsid w:val="00261D93"/>
    <w:rsid w:val="00261E92"/>
    <w:rsid w:val="00262029"/>
    <w:rsid w:val="00262553"/>
    <w:rsid w:val="002631B5"/>
    <w:rsid w:val="00263BBD"/>
    <w:rsid w:val="002648D8"/>
    <w:rsid w:val="00265262"/>
    <w:rsid w:val="00265AFB"/>
    <w:rsid w:val="00265F8F"/>
    <w:rsid w:val="00267ACC"/>
    <w:rsid w:val="00267EE3"/>
    <w:rsid w:val="00267F59"/>
    <w:rsid w:val="002700E9"/>
    <w:rsid w:val="00270CE9"/>
    <w:rsid w:val="002716BD"/>
    <w:rsid w:val="0027235A"/>
    <w:rsid w:val="002733AB"/>
    <w:rsid w:val="00273CDB"/>
    <w:rsid w:val="00273F86"/>
    <w:rsid w:val="002741BE"/>
    <w:rsid w:val="0027424C"/>
    <w:rsid w:val="002752EA"/>
    <w:rsid w:val="00275D56"/>
    <w:rsid w:val="00275EAD"/>
    <w:rsid w:val="00276B03"/>
    <w:rsid w:val="00276C3A"/>
    <w:rsid w:val="002773FB"/>
    <w:rsid w:val="002774F0"/>
    <w:rsid w:val="00277722"/>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6E3"/>
    <w:rsid w:val="002916F1"/>
    <w:rsid w:val="00291A70"/>
    <w:rsid w:val="00291A85"/>
    <w:rsid w:val="00291F6F"/>
    <w:rsid w:val="00292F1B"/>
    <w:rsid w:val="0029379A"/>
    <w:rsid w:val="00293C97"/>
    <w:rsid w:val="002942CB"/>
    <w:rsid w:val="00294D8F"/>
    <w:rsid w:val="00295D5A"/>
    <w:rsid w:val="002964F9"/>
    <w:rsid w:val="0029690F"/>
    <w:rsid w:val="002969CC"/>
    <w:rsid w:val="00297D85"/>
    <w:rsid w:val="002A07F4"/>
    <w:rsid w:val="002A090A"/>
    <w:rsid w:val="002A0B47"/>
    <w:rsid w:val="002A0DF8"/>
    <w:rsid w:val="002A1381"/>
    <w:rsid w:val="002A1551"/>
    <w:rsid w:val="002A1F14"/>
    <w:rsid w:val="002A2678"/>
    <w:rsid w:val="002A2E01"/>
    <w:rsid w:val="002A32E5"/>
    <w:rsid w:val="002A34B9"/>
    <w:rsid w:val="002A398F"/>
    <w:rsid w:val="002A3DFD"/>
    <w:rsid w:val="002A46A7"/>
    <w:rsid w:val="002A4F2C"/>
    <w:rsid w:val="002A5C6B"/>
    <w:rsid w:val="002A5D31"/>
    <w:rsid w:val="002A5E63"/>
    <w:rsid w:val="002A714F"/>
    <w:rsid w:val="002A75D7"/>
    <w:rsid w:val="002B09C0"/>
    <w:rsid w:val="002B1851"/>
    <w:rsid w:val="002B1EC9"/>
    <w:rsid w:val="002B27FF"/>
    <w:rsid w:val="002B2F4E"/>
    <w:rsid w:val="002B3707"/>
    <w:rsid w:val="002B5C8E"/>
    <w:rsid w:val="002B6004"/>
    <w:rsid w:val="002B6688"/>
    <w:rsid w:val="002B6793"/>
    <w:rsid w:val="002B7562"/>
    <w:rsid w:val="002B780B"/>
    <w:rsid w:val="002B7D25"/>
    <w:rsid w:val="002C03E0"/>
    <w:rsid w:val="002C1260"/>
    <w:rsid w:val="002C1726"/>
    <w:rsid w:val="002C21A6"/>
    <w:rsid w:val="002C26D5"/>
    <w:rsid w:val="002C4E2E"/>
    <w:rsid w:val="002C5777"/>
    <w:rsid w:val="002C5889"/>
    <w:rsid w:val="002C5909"/>
    <w:rsid w:val="002C65FA"/>
    <w:rsid w:val="002C661D"/>
    <w:rsid w:val="002C747C"/>
    <w:rsid w:val="002C7C89"/>
    <w:rsid w:val="002D1A0F"/>
    <w:rsid w:val="002D2260"/>
    <w:rsid w:val="002D22BF"/>
    <w:rsid w:val="002D237C"/>
    <w:rsid w:val="002D32E3"/>
    <w:rsid w:val="002D33F1"/>
    <w:rsid w:val="002D353D"/>
    <w:rsid w:val="002D4733"/>
    <w:rsid w:val="002D528B"/>
    <w:rsid w:val="002D52AD"/>
    <w:rsid w:val="002D58D8"/>
    <w:rsid w:val="002D5EB1"/>
    <w:rsid w:val="002D67F2"/>
    <w:rsid w:val="002D7777"/>
    <w:rsid w:val="002D77FF"/>
    <w:rsid w:val="002E0394"/>
    <w:rsid w:val="002E0644"/>
    <w:rsid w:val="002E0FEB"/>
    <w:rsid w:val="002E171B"/>
    <w:rsid w:val="002E1BCA"/>
    <w:rsid w:val="002E204F"/>
    <w:rsid w:val="002E2625"/>
    <w:rsid w:val="002E319D"/>
    <w:rsid w:val="002E4AD5"/>
    <w:rsid w:val="002E4C2D"/>
    <w:rsid w:val="002E72C5"/>
    <w:rsid w:val="002F0F79"/>
    <w:rsid w:val="002F100F"/>
    <w:rsid w:val="002F19F9"/>
    <w:rsid w:val="002F1C9E"/>
    <w:rsid w:val="002F1EB2"/>
    <w:rsid w:val="002F2450"/>
    <w:rsid w:val="002F280E"/>
    <w:rsid w:val="002F2CBB"/>
    <w:rsid w:val="002F3470"/>
    <w:rsid w:val="002F3709"/>
    <w:rsid w:val="002F3A6C"/>
    <w:rsid w:val="002F4296"/>
    <w:rsid w:val="002F430E"/>
    <w:rsid w:val="002F5777"/>
    <w:rsid w:val="002F60EA"/>
    <w:rsid w:val="002F62F1"/>
    <w:rsid w:val="002F680E"/>
    <w:rsid w:val="002F7330"/>
    <w:rsid w:val="00300951"/>
    <w:rsid w:val="00300E8A"/>
    <w:rsid w:val="0030216B"/>
    <w:rsid w:val="003023C9"/>
    <w:rsid w:val="003029E6"/>
    <w:rsid w:val="00302CA8"/>
    <w:rsid w:val="00302DE9"/>
    <w:rsid w:val="00303EA9"/>
    <w:rsid w:val="00304860"/>
    <w:rsid w:val="00304E23"/>
    <w:rsid w:val="00305084"/>
    <w:rsid w:val="00305871"/>
    <w:rsid w:val="00305AA6"/>
    <w:rsid w:val="00305BCF"/>
    <w:rsid w:val="00306026"/>
    <w:rsid w:val="00306408"/>
    <w:rsid w:val="00306B13"/>
    <w:rsid w:val="00306B4F"/>
    <w:rsid w:val="00307249"/>
    <w:rsid w:val="00310349"/>
    <w:rsid w:val="00310CCF"/>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1423"/>
    <w:rsid w:val="0032160D"/>
    <w:rsid w:val="00321618"/>
    <w:rsid w:val="00321E8C"/>
    <w:rsid w:val="00321FDA"/>
    <w:rsid w:val="00322318"/>
    <w:rsid w:val="003227FB"/>
    <w:rsid w:val="00322A86"/>
    <w:rsid w:val="00323041"/>
    <w:rsid w:val="00323AE8"/>
    <w:rsid w:val="00323B32"/>
    <w:rsid w:val="00324548"/>
    <w:rsid w:val="0032494A"/>
    <w:rsid w:val="003251F4"/>
    <w:rsid w:val="00325408"/>
    <w:rsid w:val="0032555D"/>
    <w:rsid w:val="00325753"/>
    <w:rsid w:val="00326927"/>
    <w:rsid w:val="003273A3"/>
    <w:rsid w:val="003277CD"/>
    <w:rsid w:val="00327AA3"/>
    <w:rsid w:val="003303E3"/>
    <w:rsid w:val="00330651"/>
    <w:rsid w:val="00331A88"/>
    <w:rsid w:val="003329EA"/>
    <w:rsid w:val="00332C6E"/>
    <w:rsid w:val="00332D73"/>
    <w:rsid w:val="0033368C"/>
    <w:rsid w:val="003338BE"/>
    <w:rsid w:val="00334A21"/>
    <w:rsid w:val="00336AA2"/>
    <w:rsid w:val="00337271"/>
    <w:rsid w:val="00337917"/>
    <w:rsid w:val="00337B1B"/>
    <w:rsid w:val="00337ED3"/>
    <w:rsid w:val="003400FD"/>
    <w:rsid w:val="00340345"/>
    <w:rsid w:val="003405DA"/>
    <w:rsid w:val="003407A5"/>
    <w:rsid w:val="003410A1"/>
    <w:rsid w:val="00341188"/>
    <w:rsid w:val="0034147B"/>
    <w:rsid w:val="003424CB"/>
    <w:rsid w:val="003427BF"/>
    <w:rsid w:val="003439DB"/>
    <w:rsid w:val="00344FBE"/>
    <w:rsid w:val="00346759"/>
    <w:rsid w:val="00346C6F"/>
    <w:rsid w:val="00350238"/>
    <w:rsid w:val="0035109C"/>
    <w:rsid w:val="00351752"/>
    <w:rsid w:val="00351F0A"/>
    <w:rsid w:val="00352648"/>
    <w:rsid w:val="003532D4"/>
    <w:rsid w:val="00353A03"/>
    <w:rsid w:val="00353AC6"/>
    <w:rsid w:val="00353E6B"/>
    <w:rsid w:val="003540A5"/>
    <w:rsid w:val="003542B7"/>
    <w:rsid w:val="0035432B"/>
    <w:rsid w:val="00354765"/>
    <w:rsid w:val="00354E10"/>
    <w:rsid w:val="0035753E"/>
    <w:rsid w:val="00357B15"/>
    <w:rsid w:val="00357BB3"/>
    <w:rsid w:val="003602EA"/>
    <w:rsid w:val="00360F81"/>
    <w:rsid w:val="00361E7E"/>
    <w:rsid w:val="00363564"/>
    <w:rsid w:val="003648F2"/>
    <w:rsid w:val="00364C48"/>
    <w:rsid w:val="00364FA1"/>
    <w:rsid w:val="00366B02"/>
    <w:rsid w:val="003671F5"/>
    <w:rsid w:val="00370AA4"/>
    <w:rsid w:val="003711F2"/>
    <w:rsid w:val="003717FC"/>
    <w:rsid w:val="00371FF4"/>
    <w:rsid w:val="003723C2"/>
    <w:rsid w:val="0037275D"/>
    <w:rsid w:val="00372797"/>
    <w:rsid w:val="003736DD"/>
    <w:rsid w:val="0037470E"/>
    <w:rsid w:val="00374D1B"/>
    <w:rsid w:val="00375CC4"/>
    <w:rsid w:val="00376103"/>
    <w:rsid w:val="003767B3"/>
    <w:rsid w:val="00376B49"/>
    <w:rsid w:val="00376FC5"/>
    <w:rsid w:val="003771E2"/>
    <w:rsid w:val="00377520"/>
    <w:rsid w:val="003778BE"/>
    <w:rsid w:val="00380273"/>
    <w:rsid w:val="00380404"/>
    <w:rsid w:val="00380D36"/>
    <w:rsid w:val="00380F49"/>
    <w:rsid w:val="003819F9"/>
    <w:rsid w:val="00381AE2"/>
    <w:rsid w:val="003822D3"/>
    <w:rsid w:val="0038480C"/>
    <w:rsid w:val="00384DC9"/>
    <w:rsid w:val="00384EBD"/>
    <w:rsid w:val="0038566E"/>
    <w:rsid w:val="00385C66"/>
    <w:rsid w:val="00385EDA"/>
    <w:rsid w:val="00386630"/>
    <w:rsid w:val="00386A6C"/>
    <w:rsid w:val="00390206"/>
    <w:rsid w:val="00390379"/>
    <w:rsid w:val="00390741"/>
    <w:rsid w:val="003909FB"/>
    <w:rsid w:val="00390B25"/>
    <w:rsid w:val="00390DD9"/>
    <w:rsid w:val="00392AE5"/>
    <w:rsid w:val="003933F1"/>
    <w:rsid w:val="003936AD"/>
    <w:rsid w:val="003937F7"/>
    <w:rsid w:val="00393A83"/>
    <w:rsid w:val="003955D3"/>
    <w:rsid w:val="00395CAA"/>
    <w:rsid w:val="00395F75"/>
    <w:rsid w:val="00395F76"/>
    <w:rsid w:val="00396588"/>
    <w:rsid w:val="00396863"/>
    <w:rsid w:val="00396B27"/>
    <w:rsid w:val="00396F0A"/>
    <w:rsid w:val="00397156"/>
    <w:rsid w:val="00397960"/>
    <w:rsid w:val="003A0663"/>
    <w:rsid w:val="003A10D5"/>
    <w:rsid w:val="003A1FE0"/>
    <w:rsid w:val="003A2780"/>
    <w:rsid w:val="003A2C23"/>
    <w:rsid w:val="003A3BC4"/>
    <w:rsid w:val="003A458A"/>
    <w:rsid w:val="003A49BA"/>
    <w:rsid w:val="003A51A7"/>
    <w:rsid w:val="003A551D"/>
    <w:rsid w:val="003A647F"/>
    <w:rsid w:val="003A6B26"/>
    <w:rsid w:val="003A7E6F"/>
    <w:rsid w:val="003B05F2"/>
    <w:rsid w:val="003B0F3D"/>
    <w:rsid w:val="003B2F13"/>
    <w:rsid w:val="003B3353"/>
    <w:rsid w:val="003B405E"/>
    <w:rsid w:val="003B446F"/>
    <w:rsid w:val="003B4712"/>
    <w:rsid w:val="003B47EB"/>
    <w:rsid w:val="003B48BA"/>
    <w:rsid w:val="003B4F62"/>
    <w:rsid w:val="003B55A6"/>
    <w:rsid w:val="003B57D3"/>
    <w:rsid w:val="003B59CA"/>
    <w:rsid w:val="003B6067"/>
    <w:rsid w:val="003C0135"/>
    <w:rsid w:val="003C018A"/>
    <w:rsid w:val="003C08E3"/>
    <w:rsid w:val="003C09B5"/>
    <w:rsid w:val="003C0B69"/>
    <w:rsid w:val="003C0F62"/>
    <w:rsid w:val="003C1176"/>
    <w:rsid w:val="003C1D9A"/>
    <w:rsid w:val="003C1F58"/>
    <w:rsid w:val="003C264B"/>
    <w:rsid w:val="003C3232"/>
    <w:rsid w:val="003C35CB"/>
    <w:rsid w:val="003C48B1"/>
    <w:rsid w:val="003C57A7"/>
    <w:rsid w:val="003C5C2B"/>
    <w:rsid w:val="003C6943"/>
    <w:rsid w:val="003C6BD2"/>
    <w:rsid w:val="003C7294"/>
    <w:rsid w:val="003C792F"/>
    <w:rsid w:val="003C7ABD"/>
    <w:rsid w:val="003C7B20"/>
    <w:rsid w:val="003C7C3D"/>
    <w:rsid w:val="003D08F8"/>
    <w:rsid w:val="003D124B"/>
    <w:rsid w:val="003D18F3"/>
    <w:rsid w:val="003D2655"/>
    <w:rsid w:val="003D2CC1"/>
    <w:rsid w:val="003D33F2"/>
    <w:rsid w:val="003D3725"/>
    <w:rsid w:val="003D4FFC"/>
    <w:rsid w:val="003D51ED"/>
    <w:rsid w:val="003D535A"/>
    <w:rsid w:val="003D569B"/>
    <w:rsid w:val="003D5A2B"/>
    <w:rsid w:val="003D73EF"/>
    <w:rsid w:val="003D78B5"/>
    <w:rsid w:val="003E099F"/>
    <w:rsid w:val="003E244F"/>
    <w:rsid w:val="003E37AE"/>
    <w:rsid w:val="003E3AC2"/>
    <w:rsid w:val="003E5165"/>
    <w:rsid w:val="003E62A6"/>
    <w:rsid w:val="003E648D"/>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0F2"/>
    <w:rsid w:val="003F7C45"/>
    <w:rsid w:val="003F7E6B"/>
    <w:rsid w:val="00400241"/>
    <w:rsid w:val="0040132C"/>
    <w:rsid w:val="0040145D"/>
    <w:rsid w:val="004016C4"/>
    <w:rsid w:val="00401D95"/>
    <w:rsid w:val="00401DCE"/>
    <w:rsid w:val="0040231A"/>
    <w:rsid w:val="00403562"/>
    <w:rsid w:val="00403AC6"/>
    <w:rsid w:val="004049BD"/>
    <w:rsid w:val="00404EB5"/>
    <w:rsid w:val="00405085"/>
    <w:rsid w:val="00405D28"/>
    <w:rsid w:val="0040629D"/>
    <w:rsid w:val="004066FC"/>
    <w:rsid w:val="00407481"/>
    <w:rsid w:val="00407753"/>
    <w:rsid w:val="00407C10"/>
    <w:rsid w:val="00407E90"/>
    <w:rsid w:val="004113B4"/>
    <w:rsid w:val="00413323"/>
    <w:rsid w:val="004141C0"/>
    <w:rsid w:val="00414503"/>
    <w:rsid w:val="00414827"/>
    <w:rsid w:val="004153B3"/>
    <w:rsid w:val="00415772"/>
    <w:rsid w:val="004161F8"/>
    <w:rsid w:val="004163FD"/>
    <w:rsid w:val="0041683D"/>
    <w:rsid w:val="00416C10"/>
    <w:rsid w:val="00417241"/>
    <w:rsid w:val="00417976"/>
    <w:rsid w:val="00417A0E"/>
    <w:rsid w:val="0042053A"/>
    <w:rsid w:val="004213D6"/>
    <w:rsid w:val="00421425"/>
    <w:rsid w:val="004222D0"/>
    <w:rsid w:val="00422440"/>
    <w:rsid w:val="00422916"/>
    <w:rsid w:val="0042395D"/>
    <w:rsid w:val="00423BA3"/>
    <w:rsid w:val="00424213"/>
    <w:rsid w:val="00424EF3"/>
    <w:rsid w:val="0042551C"/>
    <w:rsid w:val="004267DB"/>
    <w:rsid w:val="004268BB"/>
    <w:rsid w:val="00426A4B"/>
    <w:rsid w:val="00426D91"/>
    <w:rsid w:val="00427130"/>
    <w:rsid w:val="00427AA3"/>
    <w:rsid w:val="00430724"/>
    <w:rsid w:val="0043097C"/>
    <w:rsid w:val="00431047"/>
    <w:rsid w:val="00431B86"/>
    <w:rsid w:val="00432E06"/>
    <w:rsid w:val="004332B5"/>
    <w:rsid w:val="0043367B"/>
    <w:rsid w:val="00433EED"/>
    <w:rsid w:val="00436196"/>
    <w:rsid w:val="004375A2"/>
    <w:rsid w:val="00437C96"/>
    <w:rsid w:val="00437FFE"/>
    <w:rsid w:val="004408EC"/>
    <w:rsid w:val="004416A4"/>
    <w:rsid w:val="00441E6A"/>
    <w:rsid w:val="00442AEE"/>
    <w:rsid w:val="00443C8F"/>
    <w:rsid w:val="00444C60"/>
    <w:rsid w:val="00444E35"/>
    <w:rsid w:val="0044502D"/>
    <w:rsid w:val="00445F6B"/>
    <w:rsid w:val="0044755D"/>
    <w:rsid w:val="00447CEF"/>
    <w:rsid w:val="00447E28"/>
    <w:rsid w:val="00450BA9"/>
    <w:rsid w:val="00450F23"/>
    <w:rsid w:val="004515EB"/>
    <w:rsid w:val="00452481"/>
    <w:rsid w:val="004528FA"/>
    <w:rsid w:val="00453DC8"/>
    <w:rsid w:val="00455165"/>
    <w:rsid w:val="004576F7"/>
    <w:rsid w:val="00457804"/>
    <w:rsid w:val="00460AEF"/>
    <w:rsid w:val="00460C52"/>
    <w:rsid w:val="00461B6F"/>
    <w:rsid w:val="00462279"/>
    <w:rsid w:val="00463182"/>
    <w:rsid w:val="004646BF"/>
    <w:rsid w:val="00464744"/>
    <w:rsid w:val="004665A8"/>
    <w:rsid w:val="004665E3"/>
    <w:rsid w:val="0046760F"/>
    <w:rsid w:val="0047237D"/>
    <w:rsid w:val="00472561"/>
    <w:rsid w:val="004731F1"/>
    <w:rsid w:val="00473AE0"/>
    <w:rsid w:val="00473EB5"/>
    <w:rsid w:val="00474021"/>
    <w:rsid w:val="0047456B"/>
    <w:rsid w:val="00474836"/>
    <w:rsid w:val="00475251"/>
    <w:rsid w:val="00475D19"/>
    <w:rsid w:val="00476749"/>
    <w:rsid w:val="00477400"/>
    <w:rsid w:val="0048088E"/>
    <w:rsid w:val="00480BC8"/>
    <w:rsid w:val="00481265"/>
    <w:rsid w:val="004814BF"/>
    <w:rsid w:val="00482649"/>
    <w:rsid w:val="00483630"/>
    <w:rsid w:val="004836EA"/>
    <w:rsid w:val="00483F72"/>
    <w:rsid w:val="00485215"/>
    <w:rsid w:val="00485340"/>
    <w:rsid w:val="00485740"/>
    <w:rsid w:val="0048587E"/>
    <w:rsid w:val="00486200"/>
    <w:rsid w:val="004868C8"/>
    <w:rsid w:val="00486C9C"/>
    <w:rsid w:val="00486D6A"/>
    <w:rsid w:val="00487815"/>
    <w:rsid w:val="00487C2B"/>
    <w:rsid w:val="004900FF"/>
    <w:rsid w:val="0049021B"/>
    <w:rsid w:val="0049054D"/>
    <w:rsid w:val="00490561"/>
    <w:rsid w:val="0049125B"/>
    <w:rsid w:val="004914B6"/>
    <w:rsid w:val="00491C58"/>
    <w:rsid w:val="00491FAB"/>
    <w:rsid w:val="00492081"/>
    <w:rsid w:val="0049227D"/>
    <w:rsid w:val="0049297D"/>
    <w:rsid w:val="004929F2"/>
    <w:rsid w:val="00492F5E"/>
    <w:rsid w:val="00493E9D"/>
    <w:rsid w:val="00495A03"/>
    <w:rsid w:val="00495E28"/>
    <w:rsid w:val="00497079"/>
    <w:rsid w:val="00497450"/>
    <w:rsid w:val="00497F49"/>
    <w:rsid w:val="004A01B1"/>
    <w:rsid w:val="004A0C09"/>
    <w:rsid w:val="004A1135"/>
    <w:rsid w:val="004A1BBA"/>
    <w:rsid w:val="004A23C2"/>
    <w:rsid w:val="004A2E5E"/>
    <w:rsid w:val="004A2F25"/>
    <w:rsid w:val="004A3336"/>
    <w:rsid w:val="004A3E3C"/>
    <w:rsid w:val="004A4069"/>
    <w:rsid w:val="004A42E5"/>
    <w:rsid w:val="004A455B"/>
    <w:rsid w:val="004A4847"/>
    <w:rsid w:val="004A484E"/>
    <w:rsid w:val="004A6513"/>
    <w:rsid w:val="004A7CCE"/>
    <w:rsid w:val="004B0440"/>
    <w:rsid w:val="004B0E6D"/>
    <w:rsid w:val="004B16E8"/>
    <w:rsid w:val="004B19EA"/>
    <w:rsid w:val="004B1B08"/>
    <w:rsid w:val="004B202D"/>
    <w:rsid w:val="004B288B"/>
    <w:rsid w:val="004B2ACB"/>
    <w:rsid w:val="004B2CA5"/>
    <w:rsid w:val="004B2DFC"/>
    <w:rsid w:val="004B412E"/>
    <w:rsid w:val="004B43D9"/>
    <w:rsid w:val="004B4702"/>
    <w:rsid w:val="004B56C2"/>
    <w:rsid w:val="004B5B92"/>
    <w:rsid w:val="004B5DB7"/>
    <w:rsid w:val="004B5F65"/>
    <w:rsid w:val="004B6250"/>
    <w:rsid w:val="004B66F3"/>
    <w:rsid w:val="004B68EC"/>
    <w:rsid w:val="004B76B1"/>
    <w:rsid w:val="004C0057"/>
    <w:rsid w:val="004C030A"/>
    <w:rsid w:val="004C0541"/>
    <w:rsid w:val="004C07EB"/>
    <w:rsid w:val="004C0BBF"/>
    <w:rsid w:val="004C1D08"/>
    <w:rsid w:val="004C1D55"/>
    <w:rsid w:val="004C2836"/>
    <w:rsid w:val="004C2C46"/>
    <w:rsid w:val="004C405B"/>
    <w:rsid w:val="004C47DF"/>
    <w:rsid w:val="004C54CA"/>
    <w:rsid w:val="004C6169"/>
    <w:rsid w:val="004C686E"/>
    <w:rsid w:val="004C6CE2"/>
    <w:rsid w:val="004C7214"/>
    <w:rsid w:val="004C7235"/>
    <w:rsid w:val="004C753B"/>
    <w:rsid w:val="004C7673"/>
    <w:rsid w:val="004C7955"/>
    <w:rsid w:val="004D0213"/>
    <w:rsid w:val="004D047F"/>
    <w:rsid w:val="004D0B63"/>
    <w:rsid w:val="004D12C7"/>
    <w:rsid w:val="004D1529"/>
    <w:rsid w:val="004D29F1"/>
    <w:rsid w:val="004D29F3"/>
    <w:rsid w:val="004D3D96"/>
    <w:rsid w:val="004D40BB"/>
    <w:rsid w:val="004D4854"/>
    <w:rsid w:val="004D4EA1"/>
    <w:rsid w:val="004D50A7"/>
    <w:rsid w:val="004D5316"/>
    <w:rsid w:val="004D575C"/>
    <w:rsid w:val="004D650F"/>
    <w:rsid w:val="004D7269"/>
    <w:rsid w:val="004D74EE"/>
    <w:rsid w:val="004D7F01"/>
    <w:rsid w:val="004E0140"/>
    <w:rsid w:val="004E0607"/>
    <w:rsid w:val="004E08FC"/>
    <w:rsid w:val="004E0B6E"/>
    <w:rsid w:val="004E16F3"/>
    <w:rsid w:val="004E2133"/>
    <w:rsid w:val="004E2BD2"/>
    <w:rsid w:val="004E34BB"/>
    <w:rsid w:val="004E37C3"/>
    <w:rsid w:val="004E395B"/>
    <w:rsid w:val="004E3C7D"/>
    <w:rsid w:val="004E4CD7"/>
    <w:rsid w:val="004E5EDB"/>
    <w:rsid w:val="004E60FB"/>
    <w:rsid w:val="004E73A5"/>
    <w:rsid w:val="004E758A"/>
    <w:rsid w:val="004E7924"/>
    <w:rsid w:val="004F09DD"/>
    <w:rsid w:val="004F1C42"/>
    <w:rsid w:val="004F23BF"/>
    <w:rsid w:val="004F23CE"/>
    <w:rsid w:val="004F23D7"/>
    <w:rsid w:val="004F26BD"/>
    <w:rsid w:val="004F2C5A"/>
    <w:rsid w:val="004F2CA9"/>
    <w:rsid w:val="004F3E31"/>
    <w:rsid w:val="004F409E"/>
    <w:rsid w:val="004F4541"/>
    <w:rsid w:val="004F4601"/>
    <w:rsid w:val="004F5BD1"/>
    <w:rsid w:val="004F6780"/>
    <w:rsid w:val="004F779C"/>
    <w:rsid w:val="004F7846"/>
    <w:rsid w:val="005000A6"/>
    <w:rsid w:val="005000D4"/>
    <w:rsid w:val="005004EE"/>
    <w:rsid w:val="005007AB"/>
    <w:rsid w:val="0050087E"/>
    <w:rsid w:val="00500B1E"/>
    <w:rsid w:val="00500B24"/>
    <w:rsid w:val="00500C17"/>
    <w:rsid w:val="005027F4"/>
    <w:rsid w:val="005036C2"/>
    <w:rsid w:val="00504309"/>
    <w:rsid w:val="0050492E"/>
    <w:rsid w:val="005051C9"/>
    <w:rsid w:val="00505F96"/>
    <w:rsid w:val="00506389"/>
    <w:rsid w:val="00506FF7"/>
    <w:rsid w:val="0051084C"/>
    <w:rsid w:val="00510A69"/>
    <w:rsid w:val="00510CAF"/>
    <w:rsid w:val="0051114C"/>
    <w:rsid w:val="00511597"/>
    <w:rsid w:val="0051164A"/>
    <w:rsid w:val="00511915"/>
    <w:rsid w:val="005119A4"/>
    <w:rsid w:val="00511AC6"/>
    <w:rsid w:val="00511FD1"/>
    <w:rsid w:val="00512235"/>
    <w:rsid w:val="005125A4"/>
    <w:rsid w:val="005128C5"/>
    <w:rsid w:val="00512905"/>
    <w:rsid w:val="00512D8B"/>
    <w:rsid w:val="00512E85"/>
    <w:rsid w:val="005136C7"/>
    <w:rsid w:val="0051478B"/>
    <w:rsid w:val="00514C1C"/>
    <w:rsid w:val="00515142"/>
    <w:rsid w:val="0051524F"/>
    <w:rsid w:val="0051566A"/>
    <w:rsid w:val="00515D7B"/>
    <w:rsid w:val="00515DD8"/>
    <w:rsid w:val="005166E9"/>
    <w:rsid w:val="00516C92"/>
    <w:rsid w:val="00517917"/>
    <w:rsid w:val="0052009E"/>
    <w:rsid w:val="005200F7"/>
    <w:rsid w:val="0052030F"/>
    <w:rsid w:val="00520AB5"/>
    <w:rsid w:val="00520D7F"/>
    <w:rsid w:val="00521596"/>
    <w:rsid w:val="00522066"/>
    <w:rsid w:val="005222FA"/>
    <w:rsid w:val="005233E4"/>
    <w:rsid w:val="00523DB1"/>
    <w:rsid w:val="005247B4"/>
    <w:rsid w:val="00525740"/>
    <w:rsid w:val="00525E59"/>
    <w:rsid w:val="005266CB"/>
    <w:rsid w:val="00526EF3"/>
    <w:rsid w:val="005278EE"/>
    <w:rsid w:val="00530822"/>
    <w:rsid w:val="00530A21"/>
    <w:rsid w:val="005310DD"/>
    <w:rsid w:val="00531851"/>
    <w:rsid w:val="005318CC"/>
    <w:rsid w:val="0053199E"/>
    <w:rsid w:val="00531D65"/>
    <w:rsid w:val="005321E1"/>
    <w:rsid w:val="00532255"/>
    <w:rsid w:val="005323FE"/>
    <w:rsid w:val="00532FAE"/>
    <w:rsid w:val="005334E4"/>
    <w:rsid w:val="005349B1"/>
    <w:rsid w:val="00535AA4"/>
    <w:rsid w:val="00535D6A"/>
    <w:rsid w:val="00535DA3"/>
    <w:rsid w:val="005364A6"/>
    <w:rsid w:val="005364AE"/>
    <w:rsid w:val="0053652C"/>
    <w:rsid w:val="0053659B"/>
    <w:rsid w:val="005368A0"/>
    <w:rsid w:val="005374BC"/>
    <w:rsid w:val="0054069B"/>
    <w:rsid w:val="00540EC2"/>
    <w:rsid w:val="00541141"/>
    <w:rsid w:val="005427DC"/>
    <w:rsid w:val="00543177"/>
    <w:rsid w:val="00543188"/>
    <w:rsid w:val="005432F0"/>
    <w:rsid w:val="00543367"/>
    <w:rsid w:val="0054384E"/>
    <w:rsid w:val="00543BFA"/>
    <w:rsid w:val="00545B1F"/>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1AA"/>
    <w:rsid w:val="005553C4"/>
    <w:rsid w:val="005556AC"/>
    <w:rsid w:val="005558FA"/>
    <w:rsid w:val="0055637C"/>
    <w:rsid w:val="00556B00"/>
    <w:rsid w:val="0055753F"/>
    <w:rsid w:val="00557618"/>
    <w:rsid w:val="00557782"/>
    <w:rsid w:val="00560866"/>
    <w:rsid w:val="00560C94"/>
    <w:rsid w:val="00560FD5"/>
    <w:rsid w:val="00561C0A"/>
    <w:rsid w:val="00562765"/>
    <w:rsid w:val="0056283B"/>
    <w:rsid w:val="0056291C"/>
    <w:rsid w:val="00563E82"/>
    <w:rsid w:val="00564289"/>
    <w:rsid w:val="005643FD"/>
    <w:rsid w:val="005646BB"/>
    <w:rsid w:val="005647F9"/>
    <w:rsid w:val="00564B19"/>
    <w:rsid w:val="00564C4B"/>
    <w:rsid w:val="0056514C"/>
    <w:rsid w:val="0056586F"/>
    <w:rsid w:val="00565A63"/>
    <w:rsid w:val="00566588"/>
    <w:rsid w:val="0056662E"/>
    <w:rsid w:val="0056696C"/>
    <w:rsid w:val="00566A26"/>
    <w:rsid w:val="00566F23"/>
    <w:rsid w:val="00566F6B"/>
    <w:rsid w:val="00567012"/>
    <w:rsid w:val="00567EA5"/>
    <w:rsid w:val="00570514"/>
    <w:rsid w:val="005705B3"/>
    <w:rsid w:val="00570D5E"/>
    <w:rsid w:val="00571A41"/>
    <w:rsid w:val="005721D0"/>
    <w:rsid w:val="0057275D"/>
    <w:rsid w:val="00572919"/>
    <w:rsid w:val="00572C41"/>
    <w:rsid w:val="0057329C"/>
    <w:rsid w:val="00573AD5"/>
    <w:rsid w:val="00573D1A"/>
    <w:rsid w:val="00574103"/>
    <w:rsid w:val="00574DA2"/>
    <w:rsid w:val="00575B68"/>
    <w:rsid w:val="00575DA6"/>
    <w:rsid w:val="0057658C"/>
    <w:rsid w:val="00576B82"/>
    <w:rsid w:val="00577104"/>
    <w:rsid w:val="0057737F"/>
    <w:rsid w:val="005800A9"/>
    <w:rsid w:val="00580488"/>
    <w:rsid w:val="0058074D"/>
    <w:rsid w:val="00580EF2"/>
    <w:rsid w:val="00580FD1"/>
    <w:rsid w:val="00581A62"/>
    <w:rsid w:val="00582FAD"/>
    <w:rsid w:val="00583489"/>
    <w:rsid w:val="0058391F"/>
    <w:rsid w:val="005839A2"/>
    <w:rsid w:val="00583A80"/>
    <w:rsid w:val="00584188"/>
    <w:rsid w:val="00584E33"/>
    <w:rsid w:val="00585123"/>
    <w:rsid w:val="00585432"/>
    <w:rsid w:val="00585AD4"/>
    <w:rsid w:val="00585CAA"/>
    <w:rsid w:val="00586819"/>
    <w:rsid w:val="00586E9A"/>
    <w:rsid w:val="00587419"/>
    <w:rsid w:val="005900D3"/>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532"/>
    <w:rsid w:val="005A0742"/>
    <w:rsid w:val="005A1318"/>
    <w:rsid w:val="005A19CD"/>
    <w:rsid w:val="005A1C30"/>
    <w:rsid w:val="005A1CC6"/>
    <w:rsid w:val="005A31C9"/>
    <w:rsid w:val="005A3295"/>
    <w:rsid w:val="005A46FF"/>
    <w:rsid w:val="005A4AFF"/>
    <w:rsid w:val="005A65F0"/>
    <w:rsid w:val="005A7758"/>
    <w:rsid w:val="005A7DB8"/>
    <w:rsid w:val="005B011E"/>
    <w:rsid w:val="005B028B"/>
    <w:rsid w:val="005B0764"/>
    <w:rsid w:val="005B2E84"/>
    <w:rsid w:val="005B352F"/>
    <w:rsid w:val="005B3E66"/>
    <w:rsid w:val="005B3FE8"/>
    <w:rsid w:val="005B436C"/>
    <w:rsid w:val="005B477E"/>
    <w:rsid w:val="005B4EF1"/>
    <w:rsid w:val="005B4F97"/>
    <w:rsid w:val="005B52A4"/>
    <w:rsid w:val="005B5CA4"/>
    <w:rsid w:val="005B6E01"/>
    <w:rsid w:val="005B7476"/>
    <w:rsid w:val="005B7688"/>
    <w:rsid w:val="005B7849"/>
    <w:rsid w:val="005B7B0E"/>
    <w:rsid w:val="005C0DFA"/>
    <w:rsid w:val="005C0FF0"/>
    <w:rsid w:val="005C1AF8"/>
    <w:rsid w:val="005C219B"/>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15AE"/>
    <w:rsid w:val="005D1A7B"/>
    <w:rsid w:val="005D1EDD"/>
    <w:rsid w:val="005D456F"/>
    <w:rsid w:val="005D45B3"/>
    <w:rsid w:val="005D4AB3"/>
    <w:rsid w:val="005D4CEB"/>
    <w:rsid w:val="005D5344"/>
    <w:rsid w:val="005D5DA8"/>
    <w:rsid w:val="005D61EB"/>
    <w:rsid w:val="005D65F7"/>
    <w:rsid w:val="005D7854"/>
    <w:rsid w:val="005E0AE0"/>
    <w:rsid w:val="005E518C"/>
    <w:rsid w:val="005E5F9A"/>
    <w:rsid w:val="005E6628"/>
    <w:rsid w:val="005F02B8"/>
    <w:rsid w:val="005F0444"/>
    <w:rsid w:val="005F04E6"/>
    <w:rsid w:val="005F1138"/>
    <w:rsid w:val="005F17EC"/>
    <w:rsid w:val="005F1C2F"/>
    <w:rsid w:val="005F2F3F"/>
    <w:rsid w:val="005F36F5"/>
    <w:rsid w:val="005F39D5"/>
    <w:rsid w:val="005F3AB5"/>
    <w:rsid w:val="005F3E05"/>
    <w:rsid w:val="005F3E08"/>
    <w:rsid w:val="005F43B9"/>
    <w:rsid w:val="005F4BBF"/>
    <w:rsid w:val="005F55D6"/>
    <w:rsid w:val="005F5CA9"/>
    <w:rsid w:val="005F68CB"/>
    <w:rsid w:val="005F6BDE"/>
    <w:rsid w:val="005F6DDD"/>
    <w:rsid w:val="005F7A42"/>
    <w:rsid w:val="005F7F90"/>
    <w:rsid w:val="00600242"/>
    <w:rsid w:val="006024C5"/>
    <w:rsid w:val="00602652"/>
    <w:rsid w:val="00603062"/>
    <w:rsid w:val="006033E3"/>
    <w:rsid w:val="0060347A"/>
    <w:rsid w:val="00605FC7"/>
    <w:rsid w:val="00606218"/>
    <w:rsid w:val="00606CA3"/>
    <w:rsid w:val="00606E91"/>
    <w:rsid w:val="00607018"/>
    <w:rsid w:val="006077ED"/>
    <w:rsid w:val="00607C5F"/>
    <w:rsid w:val="00610954"/>
    <w:rsid w:val="00610CBE"/>
    <w:rsid w:val="00610E1F"/>
    <w:rsid w:val="0061321C"/>
    <w:rsid w:val="00614CA1"/>
    <w:rsid w:val="00615C2C"/>
    <w:rsid w:val="00615E7F"/>
    <w:rsid w:val="00616D42"/>
    <w:rsid w:val="00617C69"/>
    <w:rsid w:val="0062038A"/>
    <w:rsid w:val="006203A8"/>
    <w:rsid w:val="00620E59"/>
    <w:rsid w:val="00621132"/>
    <w:rsid w:val="00622656"/>
    <w:rsid w:val="00622A77"/>
    <w:rsid w:val="00622C05"/>
    <w:rsid w:val="0062386E"/>
    <w:rsid w:val="00623D9A"/>
    <w:rsid w:val="00623F01"/>
    <w:rsid w:val="006242FB"/>
    <w:rsid w:val="00624738"/>
    <w:rsid w:val="00625DAD"/>
    <w:rsid w:val="0062670B"/>
    <w:rsid w:val="00626E2D"/>
    <w:rsid w:val="006272DE"/>
    <w:rsid w:val="00627A55"/>
    <w:rsid w:val="00627D94"/>
    <w:rsid w:val="00630490"/>
    <w:rsid w:val="006304D3"/>
    <w:rsid w:val="00630AB9"/>
    <w:rsid w:val="00630B42"/>
    <w:rsid w:val="006310FC"/>
    <w:rsid w:val="006313B1"/>
    <w:rsid w:val="00631688"/>
    <w:rsid w:val="006320D8"/>
    <w:rsid w:val="00632540"/>
    <w:rsid w:val="00632E88"/>
    <w:rsid w:val="0063454C"/>
    <w:rsid w:val="00634DBB"/>
    <w:rsid w:val="00634FD8"/>
    <w:rsid w:val="00635744"/>
    <w:rsid w:val="00635EA5"/>
    <w:rsid w:val="00637C26"/>
    <w:rsid w:val="00640732"/>
    <w:rsid w:val="006416CC"/>
    <w:rsid w:val="0064185E"/>
    <w:rsid w:val="00642072"/>
    <w:rsid w:val="0064348A"/>
    <w:rsid w:val="00643503"/>
    <w:rsid w:val="00643EB5"/>
    <w:rsid w:val="006440ED"/>
    <w:rsid w:val="0064467C"/>
    <w:rsid w:val="00644F1E"/>
    <w:rsid w:val="00645213"/>
    <w:rsid w:val="00645279"/>
    <w:rsid w:val="00645293"/>
    <w:rsid w:val="006468CB"/>
    <w:rsid w:val="006469D9"/>
    <w:rsid w:val="00646CF8"/>
    <w:rsid w:val="00650A2D"/>
    <w:rsid w:val="0065165A"/>
    <w:rsid w:val="00651B78"/>
    <w:rsid w:val="00652263"/>
    <w:rsid w:val="0065238F"/>
    <w:rsid w:val="00652881"/>
    <w:rsid w:val="00652985"/>
    <w:rsid w:val="00652E23"/>
    <w:rsid w:val="006533AE"/>
    <w:rsid w:val="00653C38"/>
    <w:rsid w:val="006551AE"/>
    <w:rsid w:val="0065749C"/>
    <w:rsid w:val="00661974"/>
    <w:rsid w:val="006619F2"/>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307E"/>
    <w:rsid w:val="0067333F"/>
    <w:rsid w:val="006739C0"/>
    <w:rsid w:val="00673F6D"/>
    <w:rsid w:val="00674850"/>
    <w:rsid w:val="00675116"/>
    <w:rsid w:val="00675D03"/>
    <w:rsid w:val="00676016"/>
    <w:rsid w:val="00676462"/>
    <w:rsid w:val="00676EA7"/>
    <w:rsid w:val="006805DF"/>
    <w:rsid w:val="00681B97"/>
    <w:rsid w:val="00682EC2"/>
    <w:rsid w:val="00683B2A"/>
    <w:rsid w:val="00683B33"/>
    <w:rsid w:val="00683F61"/>
    <w:rsid w:val="00686A36"/>
    <w:rsid w:val="00687AD5"/>
    <w:rsid w:val="00687FBD"/>
    <w:rsid w:val="0069211A"/>
    <w:rsid w:val="00692775"/>
    <w:rsid w:val="00692B81"/>
    <w:rsid w:val="00692C4F"/>
    <w:rsid w:val="006934A5"/>
    <w:rsid w:val="00693B90"/>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102E"/>
    <w:rsid w:val="006A28BF"/>
    <w:rsid w:val="006A2EA3"/>
    <w:rsid w:val="006A303F"/>
    <w:rsid w:val="006A350E"/>
    <w:rsid w:val="006A3CC1"/>
    <w:rsid w:val="006A3F9D"/>
    <w:rsid w:val="006A4899"/>
    <w:rsid w:val="006A4EB0"/>
    <w:rsid w:val="006A62E1"/>
    <w:rsid w:val="006A6566"/>
    <w:rsid w:val="006A72C6"/>
    <w:rsid w:val="006A7310"/>
    <w:rsid w:val="006B02DA"/>
    <w:rsid w:val="006B08FB"/>
    <w:rsid w:val="006B0A5A"/>
    <w:rsid w:val="006B14BF"/>
    <w:rsid w:val="006B2065"/>
    <w:rsid w:val="006B275B"/>
    <w:rsid w:val="006B2D79"/>
    <w:rsid w:val="006B30BF"/>
    <w:rsid w:val="006B33E1"/>
    <w:rsid w:val="006B38C6"/>
    <w:rsid w:val="006B3940"/>
    <w:rsid w:val="006B45A6"/>
    <w:rsid w:val="006B4E2C"/>
    <w:rsid w:val="006B51A2"/>
    <w:rsid w:val="006B6171"/>
    <w:rsid w:val="006B62F0"/>
    <w:rsid w:val="006B6ACC"/>
    <w:rsid w:val="006B6C6B"/>
    <w:rsid w:val="006B7D7B"/>
    <w:rsid w:val="006C09B6"/>
    <w:rsid w:val="006C168D"/>
    <w:rsid w:val="006C17E9"/>
    <w:rsid w:val="006C2BF5"/>
    <w:rsid w:val="006C3989"/>
    <w:rsid w:val="006C4A40"/>
    <w:rsid w:val="006C4C26"/>
    <w:rsid w:val="006C4E56"/>
    <w:rsid w:val="006C5063"/>
    <w:rsid w:val="006C5CE0"/>
    <w:rsid w:val="006C5E49"/>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84E"/>
    <w:rsid w:val="006D3B4D"/>
    <w:rsid w:val="006D41EF"/>
    <w:rsid w:val="006D4922"/>
    <w:rsid w:val="006D53AA"/>
    <w:rsid w:val="006D6993"/>
    <w:rsid w:val="006D6ECF"/>
    <w:rsid w:val="006D70F0"/>
    <w:rsid w:val="006D7432"/>
    <w:rsid w:val="006D78AA"/>
    <w:rsid w:val="006E0D09"/>
    <w:rsid w:val="006E1909"/>
    <w:rsid w:val="006E241F"/>
    <w:rsid w:val="006E24EE"/>
    <w:rsid w:val="006E25BD"/>
    <w:rsid w:val="006E2C5C"/>
    <w:rsid w:val="006E3379"/>
    <w:rsid w:val="006E34B7"/>
    <w:rsid w:val="006E36B8"/>
    <w:rsid w:val="006E3874"/>
    <w:rsid w:val="006E53C3"/>
    <w:rsid w:val="006E5585"/>
    <w:rsid w:val="006E5842"/>
    <w:rsid w:val="006E59EA"/>
    <w:rsid w:val="006E5BAC"/>
    <w:rsid w:val="006E5E32"/>
    <w:rsid w:val="006E62D5"/>
    <w:rsid w:val="006E633A"/>
    <w:rsid w:val="006E6A14"/>
    <w:rsid w:val="006E6B16"/>
    <w:rsid w:val="006E6DE8"/>
    <w:rsid w:val="006E780C"/>
    <w:rsid w:val="006F0BA7"/>
    <w:rsid w:val="006F0EB9"/>
    <w:rsid w:val="006F0F01"/>
    <w:rsid w:val="006F174D"/>
    <w:rsid w:val="006F1F41"/>
    <w:rsid w:val="006F32EF"/>
    <w:rsid w:val="006F3615"/>
    <w:rsid w:val="006F3788"/>
    <w:rsid w:val="006F3C54"/>
    <w:rsid w:val="006F4CD8"/>
    <w:rsid w:val="006F4EBF"/>
    <w:rsid w:val="006F53D9"/>
    <w:rsid w:val="006F5812"/>
    <w:rsid w:val="006F609A"/>
    <w:rsid w:val="006F7FDA"/>
    <w:rsid w:val="007002DB"/>
    <w:rsid w:val="007004DC"/>
    <w:rsid w:val="00701093"/>
    <w:rsid w:val="007022C4"/>
    <w:rsid w:val="007026E9"/>
    <w:rsid w:val="00703C8B"/>
    <w:rsid w:val="00703E8A"/>
    <w:rsid w:val="00704372"/>
    <w:rsid w:val="00704A44"/>
    <w:rsid w:val="00704F60"/>
    <w:rsid w:val="00706045"/>
    <w:rsid w:val="00706EA3"/>
    <w:rsid w:val="007078BE"/>
    <w:rsid w:val="00707D46"/>
    <w:rsid w:val="007104BE"/>
    <w:rsid w:val="00710BF6"/>
    <w:rsid w:val="00711522"/>
    <w:rsid w:val="007118A6"/>
    <w:rsid w:val="00711C4C"/>
    <w:rsid w:val="007124FE"/>
    <w:rsid w:val="00712533"/>
    <w:rsid w:val="00712985"/>
    <w:rsid w:val="00713186"/>
    <w:rsid w:val="00713757"/>
    <w:rsid w:val="00713758"/>
    <w:rsid w:val="007137D8"/>
    <w:rsid w:val="00714064"/>
    <w:rsid w:val="00715517"/>
    <w:rsid w:val="00716A38"/>
    <w:rsid w:val="00717772"/>
    <w:rsid w:val="007200E5"/>
    <w:rsid w:val="00720622"/>
    <w:rsid w:val="00720C17"/>
    <w:rsid w:val="00721AF1"/>
    <w:rsid w:val="0072280F"/>
    <w:rsid w:val="00722B5E"/>
    <w:rsid w:val="007235F5"/>
    <w:rsid w:val="00723B2C"/>
    <w:rsid w:val="007253CC"/>
    <w:rsid w:val="00725668"/>
    <w:rsid w:val="00726F5A"/>
    <w:rsid w:val="0072708F"/>
    <w:rsid w:val="00727AEC"/>
    <w:rsid w:val="00730172"/>
    <w:rsid w:val="00730E81"/>
    <w:rsid w:val="00731000"/>
    <w:rsid w:val="00731204"/>
    <w:rsid w:val="007319BC"/>
    <w:rsid w:val="0073222B"/>
    <w:rsid w:val="00732582"/>
    <w:rsid w:val="00732D1D"/>
    <w:rsid w:val="00733249"/>
    <w:rsid w:val="007332C4"/>
    <w:rsid w:val="00733C68"/>
    <w:rsid w:val="00734381"/>
    <w:rsid w:val="00735EAA"/>
    <w:rsid w:val="00736034"/>
    <w:rsid w:val="0073681C"/>
    <w:rsid w:val="0073725B"/>
    <w:rsid w:val="00737E96"/>
    <w:rsid w:val="00740189"/>
    <w:rsid w:val="0074033C"/>
    <w:rsid w:val="0074050E"/>
    <w:rsid w:val="00740AC8"/>
    <w:rsid w:val="00740B66"/>
    <w:rsid w:val="00740D02"/>
    <w:rsid w:val="007418FE"/>
    <w:rsid w:val="00741AF8"/>
    <w:rsid w:val="00741EBE"/>
    <w:rsid w:val="00742112"/>
    <w:rsid w:val="00742181"/>
    <w:rsid w:val="007424EC"/>
    <w:rsid w:val="0074272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18B4"/>
    <w:rsid w:val="00762144"/>
    <w:rsid w:val="0076230F"/>
    <w:rsid w:val="00762ABF"/>
    <w:rsid w:val="00762C75"/>
    <w:rsid w:val="00762F29"/>
    <w:rsid w:val="0076433C"/>
    <w:rsid w:val="00764A94"/>
    <w:rsid w:val="00764B26"/>
    <w:rsid w:val="00764EA6"/>
    <w:rsid w:val="007651A9"/>
    <w:rsid w:val="007651E5"/>
    <w:rsid w:val="0076524F"/>
    <w:rsid w:val="00765584"/>
    <w:rsid w:val="00765808"/>
    <w:rsid w:val="007665B2"/>
    <w:rsid w:val="007670DC"/>
    <w:rsid w:val="00767356"/>
    <w:rsid w:val="00767D52"/>
    <w:rsid w:val="00770F2A"/>
    <w:rsid w:val="0077111A"/>
    <w:rsid w:val="00771AF3"/>
    <w:rsid w:val="0077213A"/>
    <w:rsid w:val="007721E2"/>
    <w:rsid w:val="00772272"/>
    <w:rsid w:val="007728E6"/>
    <w:rsid w:val="0077369F"/>
    <w:rsid w:val="0077463A"/>
    <w:rsid w:val="0077480B"/>
    <w:rsid w:val="00774AB3"/>
    <w:rsid w:val="00774D0F"/>
    <w:rsid w:val="00774D7B"/>
    <w:rsid w:val="007756ED"/>
    <w:rsid w:val="0077589D"/>
    <w:rsid w:val="0077617F"/>
    <w:rsid w:val="0077659C"/>
    <w:rsid w:val="00776A3D"/>
    <w:rsid w:val="0077707A"/>
    <w:rsid w:val="007776BF"/>
    <w:rsid w:val="00780B65"/>
    <w:rsid w:val="007819A1"/>
    <w:rsid w:val="00782981"/>
    <w:rsid w:val="00783BA5"/>
    <w:rsid w:val="00783FE9"/>
    <w:rsid w:val="007847F3"/>
    <w:rsid w:val="00784F9E"/>
    <w:rsid w:val="0078533C"/>
    <w:rsid w:val="007857FB"/>
    <w:rsid w:val="0078581E"/>
    <w:rsid w:val="007863A3"/>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3680"/>
    <w:rsid w:val="007A3BCD"/>
    <w:rsid w:val="007A51FD"/>
    <w:rsid w:val="007A5214"/>
    <w:rsid w:val="007A5357"/>
    <w:rsid w:val="007A59B8"/>
    <w:rsid w:val="007A65AF"/>
    <w:rsid w:val="007A7682"/>
    <w:rsid w:val="007A7F42"/>
    <w:rsid w:val="007B0E14"/>
    <w:rsid w:val="007B2862"/>
    <w:rsid w:val="007B2FD8"/>
    <w:rsid w:val="007B3968"/>
    <w:rsid w:val="007B3B0A"/>
    <w:rsid w:val="007B45AF"/>
    <w:rsid w:val="007B4DD0"/>
    <w:rsid w:val="007B611E"/>
    <w:rsid w:val="007B662A"/>
    <w:rsid w:val="007B684F"/>
    <w:rsid w:val="007B6C81"/>
    <w:rsid w:val="007B6D23"/>
    <w:rsid w:val="007B71DC"/>
    <w:rsid w:val="007B7743"/>
    <w:rsid w:val="007C04F4"/>
    <w:rsid w:val="007C0CFB"/>
    <w:rsid w:val="007C2139"/>
    <w:rsid w:val="007C26B6"/>
    <w:rsid w:val="007C27DE"/>
    <w:rsid w:val="007C299E"/>
    <w:rsid w:val="007C2DFD"/>
    <w:rsid w:val="007C3F97"/>
    <w:rsid w:val="007C4821"/>
    <w:rsid w:val="007C525F"/>
    <w:rsid w:val="007C5321"/>
    <w:rsid w:val="007C5E8A"/>
    <w:rsid w:val="007C5F4B"/>
    <w:rsid w:val="007C6AAB"/>
    <w:rsid w:val="007C6B7E"/>
    <w:rsid w:val="007C6EA8"/>
    <w:rsid w:val="007C7B84"/>
    <w:rsid w:val="007C7E09"/>
    <w:rsid w:val="007D1F86"/>
    <w:rsid w:val="007D1FE9"/>
    <w:rsid w:val="007D28C9"/>
    <w:rsid w:val="007D326B"/>
    <w:rsid w:val="007D38F0"/>
    <w:rsid w:val="007D3CC8"/>
    <w:rsid w:val="007D430A"/>
    <w:rsid w:val="007D466A"/>
    <w:rsid w:val="007D47FB"/>
    <w:rsid w:val="007D4DD3"/>
    <w:rsid w:val="007D576A"/>
    <w:rsid w:val="007D62F9"/>
    <w:rsid w:val="007D63A4"/>
    <w:rsid w:val="007D6542"/>
    <w:rsid w:val="007D7313"/>
    <w:rsid w:val="007E0AE1"/>
    <w:rsid w:val="007E1AA2"/>
    <w:rsid w:val="007E1EE3"/>
    <w:rsid w:val="007E1F2C"/>
    <w:rsid w:val="007E2429"/>
    <w:rsid w:val="007E2793"/>
    <w:rsid w:val="007E279D"/>
    <w:rsid w:val="007E2836"/>
    <w:rsid w:val="007E2D69"/>
    <w:rsid w:val="007E3B9A"/>
    <w:rsid w:val="007E46E8"/>
    <w:rsid w:val="007E470F"/>
    <w:rsid w:val="007E4C1F"/>
    <w:rsid w:val="007E500F"/>
    <w:rsid w:val="007E55C0"/>
    <w:rsid w:val="007E67A2"/>
    <w:rsid w:val="007E7028"/>
    <w:rsid w:val="007F01DE"/>
    <w:rsid w:val="007F0759"/>
    <w:rsid w:val="007F0BCC"/>
    <w:rsid w:val="007F0D5B"/>
    <w:rsid w:val="007F156E"/>
    <w:rsid w:val="007F1C97"/>
    <w:rsid w:val="007F1CF3"/>
    <w:rsid w:val="007F25C0"/>
    <w:rsid w:val="007F2E6F"/>
    <w:rsid w:val="007F30BB"/>
    <w:rsid w:val="007F3D6A"/>
    <w:rsid w:val="007F4C96"/>
    <w:rsid w:val="007F532F"/>
    <w:rsid w:val="007F5F52"/>
    <w:rsid w:val="007F672A"/>
    <w:rsid w:val="007F6A1D"/>
    <w:rsid w:val="007F77C6"/>
    <w:rsid w:val="007F79D4"/>
    <w:rsid w:val="008003A1"/>
    <w:rsid w:val="008006B7"/>
    <w:rsid w:val="00800FDB"/>
    <w:rsid w:val="00801273"/>
    <w:rsid w:val="00802081"/>
    <w:rsid w:val="008020F6"/>
    <w:rsid w:val="0080298E"/>
    <w:rsid w:val="00802F04"/>
    <w:rsid w:val="00803354"/>
    <w:rsid w:val="00803833"/>
    <w:rsid w:val="00804316"/>
    <w:rsid w:val="008044F8"/>
    <w:rsid w:val="00804B55"/>
    <w:rsid w:val="008050BC"/>
    <w:rsid w:val="00805D3E"/>
    <w:rsid w:val="00806461"/>
    <w:rsid w:val="008064C1"/>
    <w:rsid w:val="0081096D"/>
    <w:rsid w:val="00810EAD"/>
    <w:rsid w:val="00811833"/>
    <w:rsid w:val="00814BDE"/>
    <w:rsid w:val="00814DBC"/>
    <w:rsid w:val="008154DF"/>
    <w:rsid w:val="008174D4"/>
    <w:rsid w:val="0082002E"/>
    <w:rsid w:val="0082083C"/>
    <w:rsid w:val="00820C54"/>
    <w:rsid w:val="00820F37"/>
    <w:rsid w:val="00820FE6"/>
    <w:rsid w:val="008213FD"/>
    <w:rsid w:val="00821A66"/>
    <w:rsid w:val="00822476"/>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20ED"/>
    <w:rsid w:val="00832A0F"/>
    <w:rsid w:val="008353D5"/>
    <w:rsid w:val="00835408"/>
    <w:rsid w:val="008358A2"/>
    <w:rsid w:val="008359DA"/>
    <w:rsid w:val="0083698C"/>
    <w:rsid w:val="00837CEF"/>
    <w:rsid w:val="00837E2F"/>
    <w:rsid w:val="00840035"/>
    <w:rsid w:val="008406F6"/>
    <w:rsid w:val="00842661"/>
    <w:rsid w:val="008428A9"/>
    <w:rsid w:val="00842D1E"/>
    <w:rsid w:val="00844112"/>
    <w:rsid w:val="008444D6"/>
    <w:rsid w:val="008456C9"/>
    <w:rsid w:val="0084611D"/>
    <w:rsid w:val="00846177"/>
    <w:rsid w:val="0084654D"/>
    <w:rsid w:val="00846C9F"/>
    <w:rsid w:val="00847BD6"/>
    <w:rsid w:val="00850137"/>
    <w:rsid w:val="00850C62"/>
    <w:rsid w:val="00852B48"/>
    <w:rsid w:val="00852FB9"/>
    <w:rsid w:val="00853148"/>
    <w:rsid w:val="0085474D"/>
    <w:rsid w:val="00856481"/>
    <w:rsid w:val="00856484"/>
    <w:rsid w:val="008567A2"/>
    <w:rsid w:val="00856E6C"/>
    <w:rsid w:val="00857988"/>
    <w:rsid w:val="00857DE1"/>
    <w:rsid w:val="00860793"/>
    <w:rsid w:val="00863011"/>
    <w:rsid w:val="00863C5B"/>
    <w:rsid w:val="00863D2E"/>
    <w:rsid w:val="00864E32"/>
    <w:rsid w:val="00865075"/>
    <w:rsid w:val="00865DC9"/>
    <w:rsid w:val="00865E2D"/>
    <w:rsid w:val="0086615F"/>
    <w:rsid w:val="0086748F"/>
    <w:rsid w:val="00870FBB"/>
    <w:rsid w:val="00872757"/>
    <w:rsid w:val="00872CE4"/>
    <w:rsid w:val="0087391D"/>
    <w:rsid w:val="00873AA4"/>
    <w:rsid w:val="00873ABD"/>
    <w:rsid w:val="00873CA8"/>
    <w:rsid w:val="00873F3E"/>
    <w:rsid w:val="00873F5D"/>
    <w:rsid w:val="0087410D"/>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1933"/>
    <w:rsid w:val="0089214A"/>
    <w:rsid w:val="00892226"/>
    <w:rsid w:val="008922FA"/>
    <w:rsid w:val="00892D3E"/>
    <w:rsid w:val="008936DC"/>
    <w:rsid w:val="00893784"/>
    <w:rsid w:val="00893E53"/>
    <w:rsid w:val="008945EB"/>
    <w:rsid w:val="00894C2A"/>
    <w:rsid w:val="008957D1"/>
    <w:rsid w:val="00896530"/>
    <w:rsid w:val="0089690B"/>
    <w:rsid w:val="00896A5F"/>
    <w:rsid w:val="0089728F"/>
    <w:rsid w:val="008976C0"/>
    <w:rsid w:val="00897708"/>
    <w:rsid w:val="00897D88"/>
    <w:rsid w:val="008A17AF"/>
    <w:rsid w:val="008A1A3F"/>
    <w:rsid w:val="008A1F98"/>
    <w:rsid w:val="008A2C65"/>
    <w:rsid w:val="008A2F16"/>
    <w:rsid w:val="008A32AC"/>
    <w:rsid w:val="008A36AE"/>
    <w:rsid w:val="008A3B1C"/>
    <w:rsid w:val="008A48C3"/>
    <w:rsid w:val="008A4E18"/>
    <w:rsid w:val="008A520C"/>
    <w:rsid w:val="008A5493"/>
    <w:rsid w:val="008A552E"/>
    <w:rsid w:val="008A596C"/>
    <w:rsid w:val="008A5A5D"/>
    <w:rsid w:val="008A64C4"/>
    <w:rsid w:val="008A6630"/>
    <w:rsid w:val="008A6789"/>
    <w:rsid w:val="008A6BF7"/>
    <w:rsid w:val="008A6CC1"/>
    <w:rsid w:val="008A72FB"/>
    <w:rsid w:val="008A7F03"/>
    <w:rsid w:val="008B009C"/>
    <w:rsid w:val="008B1426"/>
    <w:rsid w:val="008B1823"/>
    <w:rsid w:val="008B1B4E"/>
    <w:rsid w:val="008B24DC"/>
    <w:rsid w:val="008B2BDF"/>
    <w:rsid w:val="008B4198"/>
    <w:rsid w:val="008B586A"/>
    <w:rsid w:val="008B5A07"/>
    <w:rsid w:val="008B609E"/>
    <w:rsid w:val="008B6651"/>
    <w:rsid w:val="008B6E16"/>
    <w:rsid w:val="008B7110"/>
    <w:rsid w:val="008B7A20"/>
    <w:rsid w:val="008C0DF9"/>
    <w:rsid w:val="008C2029"/>
    <w:rsid w:val="008C2138"/>
    <w:rsid w:val="008C267C"/>
    <w:rsid w:val="008C2E44"/>
    <w:rsid w:val="008C3427"/>
    <w:rsid w:val="008C381D"/>
    <w:rsid w:val="008C3BC2"/>
    <w:rsid w:val="008C4413"/>
    <w:rsid w:val="008C4F76"/>
    <w:rsid w:val="008C55AD"/>
    <w:rsid w:val="008C61D6"/>
    <w:rsid w:val="008C649D"/>
    <w:rsid w:val="008C64F1"/>
    <w:rsid w:val="008C712F"/>
    <w:rsid w:val="008C7C1A"/>
    <w:rsid w:val="008D0DC1"/>
    <w:rsid w:val="008D1326"/>
    <w:rsid w:val="008D1BB0"/>
    <w:rsid w:val="008D20FF"/>
    <w:rsid w:val="008D2ACC"/>
    <w:rsid w:val="008D2B9A"/>
    <w:rsid w:val="008D3DE6"/>
    <w:rsid w:val="008D4223"/>
    <w:rsid w:val="008D44CC"/>
    <w:rsid w:val="008D46E3"/>
    <w:rsid w:val="008D4CED"/>
    <w:rsid w:val="008D50F9"/>
    <w:rsid w:val="008D5CAF"/>
    <w:rsid w:val="008D6709"/>
    <w:rsid w:val="008E083A"/>
    <w:rsid w:val="008E12AD"/>
    <w:rsid w:val="008E21BC"/>
    <w:rsid w:val="008E22FF"/>
    <w:rsid w:val="008E2450"/>
    <w:rsid w:val="008E28D9"/>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8E1"/>
    <w:rsid w:val="008F5442"/>
    <w:rsid w:val="008F653E"/>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4A1"/>
    <w:rsid w:val="00906753"/>
    <w:rsid w:val="00907264"/>
    <w:rsid w:val="00907488"/>
    <w:rsid w:val="0090765F"/>
    <w:rsid w:val="00907DE6"/>
    <w:rsid w:val="00910642"/>
    <w:rsid w:val="00910ABE"/>
    <w:rsid w:val="00911305"/>
    <w:rsid w:val="0091212A"/>
    <w:rsid w:val="00912590"/>
    <w:rsid w:val="00913200"/>
    <w:rsid w:val="00914EAB"/>
    <w:rsid w:val="009152D8"/>
    <w:rsid w:val="009154FD"/>
    <w:rsid w:val="00915A1D"/>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1040"/>
    <w:rsid w:val="00931663"/>
    <w:rsid w:val="00931D22"/>
    <w:rsid w:val="00932CC7"/>
    <w:rsid w:val="00935306"/>
    <w:rsid w:val="00935CDE"/>
    <w:rsid w:val="0093605E"/>
    <w:rsid w:val="00936688"/>
    <w:rsid w:val="00936F09"/>
    <w:rsid w:val="00937683"/>
    <w:rsid w:val="00937AC9"/>
    <w:rsid w:val="00937CFA"/>
    <w:rsid w:val="00940291"/>
    <w:rsid w:val="009406B3"/>
    <w:rsid w:val="00940DFB"/>
    <w:rsid w:val="00942286"/>
    <w:rsid w:val="00942EFD"/>
    <w:rsid w:val="00942F30"/>
    <w:rsid w:val="00943748"/>
    <w:rsid w:val="00943AB7"/>
    <w:rsid w:val="00943CEE"/>
    <w:rsid w:val="009444F4"/>
    <w:rsid w:val="00944674"/>
    <w:rsid w:val="0094485C"/>
    <w:rsid w:val="00945727"/>
    <w:rsid w:val="00945C03"/>
    <w:rsid w:val="00945CC4"/>
    <w:rsid w:val="00945CF5"/>
    <w:rsid w:val="0094691C"/>
    <w:rsid w:val="00947C95"/>
    <w:rsid w:val="00947EED"/>
    <w:rsid w:val="009500A1"/>
    <w:rsid w:val="009502B0"/>
    <w:rsid w:val="0095037E"/>
    <w:rsid w:val="00951D97"/>
    <w:rsid w:val="00951E56"/>
    <w:rsid w:val="00952230"/>
    <w:rsid w:val="00952AAD"/>
    <w:rsid w:val="0095337F"/>
    <w:rsid w:val="00953B2B"/>
    <w:rsid w:val="00954567"/>
    <w:rsid w:val="009547B3"/>
    <w:rsid w:val="00954A89"/>
    <w:rsid w:val="00956671"/>
    <w:rsid w:val="00956EEA"/>
    <w:rsid w:val="00957466"/>
    <w:rsid w:val="009576F7"/>
    <w:rsid w:val="00960722"/>
    <w:rsid w:val="00961356"/>
    <w:rsid w:val="009623F1"/>
    <w:rsid w:val="00962401"/>
    <w:rsid w:val="00962510"/>
    <w:rsid w:val="0096260B"/>
    <w:rsid w:val="0096275C"/>
    <w:rsid w:val="009627FF"/>
    <w:rsid w:val="0096290F"/>
    <w:rsid w:val="00962A27"/>
    <w:rsid w:val="00962B9D"/>
    <w:rsid w:val="00962EDC"/>
    <w:rsid w:val="00964684"/>
    <w:rsid w:val="00964699"/>
    <w:rsid w:val="00964E3D"/>
    <w:rsid w:val="009664D5"/>
    <w:rsid w:val="009668A9"/>
    <w:rsid w:val="009670C1"/>
    <w:rsid w:val="00970C69"/>
    <w:rsid w:val="00971262"/>
    <w:rsid w:val="00971F1C"/>
    <w:rsid w:val="009720F0"/>
    <w:rsid w:val="0097211D"/>
    <w:rsid w:val="009724F9"/>
    <w:rsid w:val="0097263C"/>
    <w:rsid w:val="00972883"/>
    <w:rsid w:val="00972DF9"/>
    <w:rsid w:val="00972E10"/>
    <w:rsid w:val="009738AD"/>
    <w:rsid w:val="00973BC4"/>
    <w:rsid w:val="00974694"/>
    <w:rsid w:val="009746CA"/>
    <w:rsid w:val="00974E7C"/>
    <w:rsid w:val="00977134"/>
    <w:rsid w:val="00977B31"/>
    <w:rsid w:val="00980013"/>
    <w:rsid w:val="0098010E"/>
    <w:rsid w:val="0098030F"/>
    <w:rsid w:val="00980E65"/>
    <w:rsid w:val="0098122D"/>
    <w:rsid w:val="00981963"/>
    <w:rsid w:val="009831B9"/>
    <w:rsid w:val="00983A16"/>
    <w:rsid w:val="00983C82"/>
    <w:rsid w:val="009844D6"/>
    <w:rsid w:val="00984520"/>
    <w:rsid w:val="00984A36"/>
    <w:rsid w:val="0098545C"/>
    <w:rsid w:val="00985F36"/>
    <w:rsid w:val="009862F1"/>
    <w:rsid w:val="00986F70"/>
    <w:rsid w:val="009871EA"/>
    <w:rsid w:val="00991675"/>
    <w:rsid w:val="00992BA2"/>
    <w:rsid w:val="00992F83"/>
    <w:rsid w:val="0099344F"/>
    <w:rsid w:val="00993577"/>
    <w:rsid w:val="00993832"/>
    <w:rsid w:val="00993A3C"/>
    <w:rsid w:val="0099508A"/>
    <w:rsid w:val="00996717"/>
    <w:rsid w:val="009967D7"/>
    <w:rsid w:val="009974EB"/>
    <w:rsid w:val="00997A12"/>
    <w:rsid w:val="00997F82"/>
    <w:rsid w:val="009A0C49"/>
    <w:rsid w:val="009A1126"/>
    <w:rsid w:val="009A439E"/>
    <w:rsid w:val="009A5564"/>
    <w:rsid w:val="009A6036"/>
    <w:rsid w:val="009A7469"/>
    <w:rsid w:val="009B07EE"/>
    <w:rsid w:val="009B1584"/>
    <w:rsid w:val="009B1B32"/>
    <w:rsid w:val="009B21CA"/>
    <w:rsid w:val="009B2648"/>
    <w:rsid w:val="009B3060"/>
    <w:rsid w:val="009B424E"/>
    <w:rsid w:val="009B4317"/>
    <w:rsid w:val="009B4EBB"/>
    <w:rsid w:val="009B529C"/>
    <w:rsid w:val="009B5677"/>
    <w:rsid w:val="009B61B2"/>
    <w:rsid w:val="009B679E"/>
    <w:rsid w:val="009B7332"/>
    <w:rsid w:val="009B7420"/>
    <w:rsid w:val="009B7B46"/>
    <w:rsid w:val="009C0294"/>
    <w:rsid w:val="009C03E5"/>
    <w:rsid w:val="009C08B6"/>
    <w:rsid w:val="009C0920"/>
    <w:rsid w:val="009C0E08"/>
    <w:rsid w:val="009C12C3"/>
    <w:rsid w:val="009C196C"/>
    <w:rsid w:val="009C1B5C"/>
    <w:rsid w:val="009C1FD2"/>
    <w:rsid w:val="009C36E6"/>
    <w:rsid w:val="009C3730"/>
    <w:rsid w:val="009C37BD"/>
    <w:rsid w:val="009C3888"/>
    <w:rsid w:val="009C3AAC"/>
    <w:rsid w:val="009C4D19"/>
    <w:rsid w:val="009C5260"/>
    <w:rsid w:val="009C5F6C"/>
    <w:rsid w:val="009C5FDB"/>
    <w:rsid w:val="009C63D4"/>
    <w:rsid w:val="009C693E"/>
    <w:rsid w:val="009C6B2C"/>
    <w:rsid w:val="009C6ED6"/>
    <w:rsid w:val="009C70CB"/>
    <w:rsid w:val="009C7623"/>
    <w:rsid w:val="009C7E41"/>
    <w:rsid w:val="009D07C7"/>
    <w:rsid w:val="009D09BA"/>
    <w:rsid w:val="009D14EB"/>
    <w:rsid w:val="009D1B18"/>
    <w:rsid w:val="009D1E70"/>
    <w:rsid w:val="009D1EA4"/>
    <w:rsid w:val="009D27AA"/>
    <w:rsid w:val="009D2B8B"/>
    <w:rsid w:val="009D2BFD"/>
    <w:rsid w:val="009D2FF8"/>
    <w:rsid w:val="009D3F20"/>
    <w:rsid w:val="009D428F"/>
    <w:rsid w:val="009D4991"/>
    <w:rsid w:val="009D597B"/>
    <w:rsid w:val="009D5A89"/>
    <w:rsid w:val="009D5BB5"/>
    <w:rsid w:val="009D6657"/>
    <w:rsid w:val="009D66C1"/>
    <w:rsid w:val="009D696D"/>
    <w:rsid w:val="009D6993"/>
    <w:rsid w:val="009D6ED2"/>
    <w:rsid w:val="009D7B2C"/>
    <w:rsid w:val="009D7DB4"/>
    <w:rsid w:val="009E0603"/>
    <w:rsid w:val="009E08B3"/>
    <w:rsid w:val="009E0F1A"/>
    <w:rsid w:val="009E140D"/>
    <w:rsid w:val="009E43DD"/>
    <w:rsid w:val="009E4465"/>
    <w:rsid w:val="009E5318"/>
    <w:rsid w:val="009E6401"/>
    <w:rsid w:val="009E6C54"/>
    <w:rsid w:val="009E72E8"/>
    <w:rsid w:val="009F03A9"/>
    <w:rsid w:val="009F04C8"/>
    <w:rsid w:val="009F0812"/>
    <w:rsid w:val="009F0E02"/>
    <w:rsid w:val="009F19D3"/>
    <w:rsid w:val="009F1B6A"/>
    <w:rsid w:val="009F2408"/>
    <w:rsid w:val="009F248B"/>
    <w:rsid w:val="009F2A25"/>
    <w:rsid w:val="009F3A1A"/>
    <w:rsid w:val="009F4569"/>
    <w:rsid w:val="009F4C7D"/>
    <w:rsid w:val="009F5235"/>
    <w:rsid w:val="009F531A"/>
    <w:rsid w:val="009F56E0"/>
    <w:rsid w:val="009F5EB9"/>
    <w:rsid w:val="009F6344"/>
    <w:rsid w:val="009F6550"/>
    <w:rsid w:val="009F6B65"/>
    <w:rsid w:val="009F6D94"/>
    <w:rsid w:val="009F786E"/>
    <w:rsid w:val="009F7B30"/>
    <w:rsid w:val="00A00817"/>
    <w:rsid w:val="00A00902"/>
    <w:rsid w:val="00A0098B"/>
    <w:rsid w:val="00A01A28"/>
    <w:rsid w:val="00A0294E"/>
    <w:rsid w:val="00A039FF"/>
    <w:rsid w:val="00A04524"/>
    <w:rsid w:val="00A046F6"/>
    <w:rsid w:val="00A04979"/>
    <w:rsid w:val="00A05758"/>
    <w:rsid w:val="00A05ACE"/>
    <w:rsid w:val="00A06DBC"/>
    <w:rsid w:val="00A10C6C"/>
    <w:rsid w:val="00A114B9"/>
    <w:rsid w:val="00A11895"/>
    <w:rsid w:val="00A1211A"/>
    <w:rsid w:val="00A13A2E"/>
    <w:rsid w:val="00A13A65"/>
    <w:rsid w:val="00A13A67"/>
    <w:rsid w:val="00A14589"/>
    <w:rsid w:val="00A14AE3"/>
    <w:rsid w:val="00A151A0"/>
    <w:rsid w:val="00A16253"/>
    <w:rsid w:val="00A16675"/>
    <w:rsid w:val="00A21955"/>
    <w:rsid w:val="00A22BB6"/>
    <w:rsid w:val="00A22CD6"/>
    <w:rsid w:val="00A234EC"/>
    <w:rsid w:val="00A24128"/>
    <w:rsid w:val="00A2417A"/>
    <w:rsid w:val="00A25642"/>
    <w:rsid w:val="00A26668"/>
    <w:rsid w:val="00A2681F"/>
    <w:rsid w:val="00A27804"/>
    <w:rsid w:val="00A320F6"/>
    <w:rsid w:val="00A3276D"/>
    <w:rsid w:val="00A334D1"/>
    <w:rsid w:val="00A34257"/>
    <w:rsid w:val="00A346FC"/>
    <w:rsid w:val="00A34F44"/>
    <w:rsid w:val="00A3655D"/>
    <w:rsid w:val="00A36822"/>
    <w:rsid w:val="00A36AB5"/>
    <w:rsid w:val="00A374FD"/>
    <w:rsid w:val="00A3754B"/>
    <w:rsid w:val="00A402DD"/>
    <w:rsid w:val="00A4069E"/>
    <w:rsid w:val="00A40BBF"/>
    <w:rsid w:val="00A411D1"/>
    <w:rsid w:val="00A43389"/>
    <w:rsid w:val="00A434A7"/>
    <w:rsid w:val="00A43687"/>
    <w:rsid w:val="00A43E71"/>
    <w:rsid w:val="00A4526F"/>
    <w:rsid w:val="00A45753"/>
    <w:rsid w:val="00A457B8"/>
    <w:rsid w:val="00A46E47"/>
    <w:rsid w:val="00A47B15"/>
    <w:rsid w:val="00A47F47"/>
    <w:rsid w:val="00A5094A"/>
    <w:rsid w:val="00A51708"/>
    <w:rsid w:val="00A52F84"/>
    <w:rsid w:val="00A533CC"/>
    <w:rsid w:val="00A54284"/>
    <w:rsid w:val="00A5465A"/>
    <w:rsid w:val="00A54FB5"/>
    <w:rsid w:val="00A552C0"/>
    <w:rsid w:val="00A56B05"/>
    <w:rsid w:val="00A56C06"/>
    <w:rsid w:val="00A56E50"/>
    <w:rsid w:val="00A574AE"/>
    <w:rsid w:val="00A57678"/>
    <w:rsid w:val="00A57972"/>
    <w:rsid w:val="00A579F5"/>
    <w:rsid w:val="00A57F07"/>
    <w:rsid w:val="00A57F83"/>
    <w:rsid w:val="00A60E2F"/>
    <w:rsid w:val="00A6138C"/>
    <w:rsid w:val="00A627AD"/>
    <w:rsid w:val="00A62F1C"/>
    <w:rsid w:val="00A63246"/>
    <w:rsid w:val="00A63284"/>
    <w:rsid w:val="00A63458"/>
    <w:rsid w:val="00A6372D"/>
    <w:rsid w:val="00A64CB8"/>
    <w:rsid w:val="00A66065"/>
    <w:rsid w:val="00A66D10"/>
    <w:rsid w:val="00A67018"/>
    <w:rsid w:val="00A671D2"/>
    <w:rsid w:val="00A67289"/>
    <w:rsid w:val="00A672F3"/>
    <w:rsid w:val="00A673DC"/>
    <w:rsid w:val="00A701AD"/>
    <w:rsid w:val="00A7076E"/>
    <w:rsid w:val="00A709BE"/>
    <w:rsid w:val="00A70D85"/>
    <w:rsid w:val="00A7162E"/>
    <w:rsid w:val="00A71E1F"/>
    <w:rsid w:val="00A72D71"/>
    <w:rsid w:val="00A73112"/>
    <w:rsid w:val="00A73617"/>
    <w:rsid w:val="00A747D2"/>
    <w:rsid w:val="00A7511E"/>
    <w:rsid w:val="00A75123"/>
    <w:rsid w:val="00A753C0"/>
    <w:rsid w:val="00A75705"/>
    <w:rsid w:val="00A75F35"/>
    <w:rsid w:val="00A765A9"/>
    <w:rsid w:val="00A77BF3"/>
    <w:rsid w:val="00A77C69"/>
    <w:rsid w:val="00A80874"/>
    <w:rsid w:val="00A80FAE"/>
    <w:rsid w:val="00A812B1"/>
    <w:rsid w:val="00A82C61"/>
    <w:rsid w:val="00A8301B"/>
    <w:rsid w:val="00A83049"/>
    <w:rsid w:val="00A8343E"/>
    <w:rsid w:val="00A83945"/>
    <w:rsid w:val="00A83953"/>
    <w:rsid w:val="00A83CD7"/>
    <w:rsid w:val="00A8400B"/>
    <w:rsid w:val="00A8416A"/>
    <w:rsid w:val="00A846DA"/>
    <w:rsid w:val="00A853D8"/>
    <w:rsid w:val="00A8661E"/>
    <w:rsid w:val="00A8695A"/>
    <w:rsid w:val="00A86ACF"/>
    <w:rsid w:val="00A8708E"/>
    <w:rsid w:val="00A90104"/>
    <w:rsid w:val="00A903B6"/>
    <w:rsid w:val="00A90440"/>
    <w:rsid w:val="00A90F4F"/>
    <w:rsid w:val="00A919AD"/>
    <w:rsid w:val="00A91F90"/>
    <w:rsid w:val="00A92579"/>
    <w:rsid w:val="00A936F9"/>
    <w:rsid w:val="00A947AA"/>
    <w:rsid w:val="00A94888"/>
    <w:rsid w:val="00A94990"/>
    <w:rsid w:val="00A9681C"/>
    <w:rsid w:val="00A96867"/>
    <w:rsid w:val="00A96B3D"/>
    <w:rsid w:val="00A97141"/>
    <w:rsid w:val="00A97820"/>
    <w:rsid w:val="00AA1B53"/>
    <w:rsid w:val="00AA1DEA"/>
    <w:rsid w:val="00AA256D"/>
    <w:rsid w:val="00AA311D"/>
    <w:rsid w:val="00AA3556"/>
    <w:rsid w:val="00AA35FD"/>
    <w:rsid w:val="00AA364F"/>
    <w:rsid w:val="00AA3D9A"/>
    <w:rsid w:val="00AA3DB7"/>
    <w:rsid w:val="00AA40BB"/>
    <w:rsid w:val="00AA41D3"/>
    <w:rsid w:val="00AA554C"/>
    <w:rsid w:val="00AA64EC"/>
    <w:rsid w:val="00AB0039"/>
    <w:rsid w:val="00AB0D96"/>
    <w:rsid w:val="00AB0FF3"/>
    <w:rsid w:val="00AB15A3"/>
    <w:rsid w:val="00AB177A"/>
    <w:rsid w:val="00AB216D"/>
    <w:rsid w:val="00AB2F94"/>
    <w:rsid w:val="00AB2FD1"/>
    <w:rsid w:val="00AB3012"/>
    <w:rsid w:val="00AB321C"/>
    <w:rsid w:val="00AB3679"/>
    <w:rsid w:val="00AB3CED"/>
    <w:rsid w:val="00AB3DBE"/>
    <w:rsid w:val="00AB437F"/>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222"/>
    <w:rsid w:val="00AC3FF3"/>
    <w:rsid w:val="00AC4938"/>
    <w:rsid w:val="00AC4A34"/>
    <w:rsid w:val="00AC4BC1"/>
    <w:rsid w:val="00AC5715"/>
    <w:rsid w:val="00AC7D8D"/>
    <w:rsid w:val="00AD04BD"/>
    <w:rsid w:val="00AD0765"/>
    <w:rsid w:val="00AD0A83"/>
    <w:rsid w:val="00AD0F00"/>
    <w:rsid w:val="00AD14B8"/>
    <w:rsid w:val="00AD296B"/>
    <w:rsid w:val="00AD299E"/>
    <w:rsid w:val="00AD55A8"/>
    <w:rsid w:val="00AD5A2E"/>
    <w:rsid w:val="00AD5CA4"/>
    <w:rsid w:val="00AD6076"/>
    <w:rsid w:val="00AD634F"/>
    <w:rsid w:val="00AD68A1"/>
    <w:rsid w:val="00AD6A91"/>
    <w:rsid w:val="00AD7214"/>
    <w:rsid w:val="00AE04DB"/>
    <w:rsid w:val="00AE0C58"/>
    <w:rsid w:val="00AE0E09"/>
    <w:rsid w:val="00AE1066"/>
    <w:rsid w:val="00AE14DD"/>
    <w:rsid w:val="00AE1A2D"/>
    <w:rsid w:val="00AE264E"/>
    <w:rsid w:val="00AE2CB7"/>
    <w:rsid w:val="00AE2FA5"/>
    <w:rsid w:val="00AE3A4F"/>
    <w:rsid w:val="00AE4518"/>
    <w:rsid w:val="00AE49D9"/>
    <w:rsid w:val="00AE4C42"/>
    <w:rsid w:val="00AE5D7F"/>
    <w:rsid w:val="00AE79F0"/>
    <w:rsid w:val="00AF07B0"/>
    <w:rsid w:val="00AF0A86"/>
    <w:rsid w:val="00AF0AFC"/>
    <w:rsid w:val="00AF109C"/>
    <w:rsid w:val="00AF1752"/>
    <w:rsid w:val="00AF2896"/>
    <w:rsid w:val="00AF3D7C"/>
    <w:rsid w:val="00AF3F1D"/>
    <w:rsid w:val="00AF42FC"/>
    <w:rsid w:val="00AF4AC5"/>
    <w:rsid w:val="00AF4C2C"/>
    <w:rsid w:val="00AF597D"/>
    <w:rsid w:val="00AF6EC1"/>
    <w:rsid w:val="00AF7416"/>
    <w:rsid w:val="00AF784D"/>
    <w:rsid w:val="00AF7CE9"/>
    <w:rsid w:val="00B00331"/>
    <w:rsid w:val="00B0033F"/>
    <w:rsid w:val="00B00E46"/>
    <w:rsid w:val="00B01102"/>
    <w:rsid w:val="00B014A1"/>
    <w:rsid w:val="00B01A80"/>
    <w:rsid w:val="00B03EF5"/>
    <w:rsid w:val="00B046AF"/>
    <w:rsid w:val="00B06036"/>
    <w:rsid w:val="00B0606F"/>
    <w:rsid w:val="00B061F5"/>
    <w:rsid w:val="00B07C27"/>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17B2E"/>
    <w:rsid w:val="00B20203"/>
    <w:rsid w:val="00B203C4"/>
    <w:rsid w:val="00B20863"/>
    <w:rsid w:val="00B20CDD"/>
    <w:rsid w:val="00B20E37"/>
    <w:rsid w:val="00B224DF"/>
    <w:rsid w:val="00B22683"/>
    <w:rsid w:val="00B22BC9"/>
    <w:rsid w:val="00B22E81"/>
    <w:rsid w:val="00B232FE"/>
    <w:rsid w:val="00B23996"/>
    <w:rsid w:val="00B23A8A"/>
    <w:rsid w:val="00B23BBE"/>
    <w:rsid w:val="00B23CB2"/>
    <w:rsid w:val="00B240CC"/>
    <w:rsid w:val="00B249E9"/>
    <w:rsid w:val="00B24E14"/>
    <w:rsid w:val="00B24F98"/>
    <w:rsid w:val="00B2561A"/>
    <w:rsid w:val="00B256C1"/>
    <w:rsid w:val="00B25A64"/>
    <w:rsid w:val="00B25B94"/>
    <w:rsid w:val="00B26911"/>
    <w:rsid w:val="00B26EB9"/>
    <w:rsid w:val="00B271F2"/>
    <w:rsid w:val="00B27436"/>
    <w:rsid w:val="00B277C4"/>
    <w:rsid w:val="00B277E0"/>
    <w:rsid w:val="00B31884"/>
    <w:rsid w:val="00B31D19"/>
    <w:rsid w:val="00B32155"/>
    <w:rsid w:val="00B32396"/>
    <w:rsid w:val="00B32782"/>
    <w:rsid w:val="00B32AB3"/>
    <w:rsid w:val="00B32DAE"/>
    <w:rsid w:val="00B33825"/>
    <w:rsid w:val="00B34BB2"/>
    <w:rsid w:val="00B34E7C"/>
    <w:rsid w:val="00B35AF6"/>
    <w:rsid w:val="00B36228"/>
    <w:rsid w:val="00B366A3"/>
    <w:rsid w:val="00B368EA"/>
    <w:rsid w:val="00B36ED1"/>
    <w:rsid w:val="00B3741E"/>
    <w:rsid w:val="00B37EEF"/>
    <w:rsid w:val="00B418AD"/>
    <w:rsid w:val="00B41DAD"/>
    <w:rsid w:val="00B4229C"/>
    <w:rsid w:val="00B42F1A"/>
    <w:rsid w:val="00B43790"/>
    <w:rsid w:val="00B4430B"/>
    <w:rsid w:val="00B443D9"/>
    <w:rsid w:val="00B44531"/>
    <w:rsid w:val="00B445EA"/>
    <w:rsid w:val="00B44F95"/>
    <w:rsid w:val="00B46587"/>
    <w:rsid w:val="00B46AA3"/>
    <w:rsid w:val="00B47037"/>
    <w:rsid w:val="00B474B5"/>
    <w:rsid w:val="00B47AD2"/>
    <w:rsid w:val="00B47CF7"/>
    <w:rsid w:val="00B50686"/>
    <w:rsid w:val="00B50C50"/>
    <w:rsid w:val="00B50ED1"/>
    <w:rsid w:val="00B513C0"/>
    <w:rsid w:val="00B52CF8"/>
    <w:rsid w:val="00B53708"/>
    <w:rsid w:val="00B53DCB"/>
    <w:rsid w:val="00B5428F"/>
    <w:rsid w:val="00B54370"/>
    <w:rsid w:val="00B54DEA"/>
    <w:rsid w:val="00B55185"/>
    <w:rsid w:val="00B55C03"/>
    <w:rsid w:val="00B55F0B"/>
    <w:rsid w:val="00B5695D"/>
    <w:rsid w:val="00B56A70"/>
    <w:rsid w:val="00B602D5"/>
    <w:rsid w:val="00B60638"/>
    <w:rsid w:val="00B606F8"/>
    <w:rsid w:val="00B60A44"/>
    <w:rsid w:val="00B60F31"/>
    <w:rsid w:val="00B616D5"/>
    <w:rsid w:val="00B61872"/>
    <w:rsid w:val="00B61923"/>
    <w:rsid w:val="00B621D6"/>
    <w:rsid w:val="00B63AF2"/>
    <w:rsid w:val="00B64278"/>
    <w:rsid w:val="00B65747"/>
    <w:rsid w:val="00B65D6F"/>
    <w:rsid w:val="00B65FAD"/>
    <w:rsid w:val="00B66174"/>
    <w:rsid w:val="00B67B37"/>
    <w:rsid w:val="00B67C23"/>
    <w:rsid w:val="00B67F6D"/>
    <w:rsid w:val="00B7079B"/>
    <w:rsid w:val="00B70BE5"/>
    <w:rsid w:val="00B70DC7"/>
    <w:rsid w:val="00B721A4"/>
    <w:rsid w:val="00B72B5B"/>
    <w:rsid w:val="00B72EFF"/>
    <w:rsid w:val="00B746E4"/>
    <w:rsid w:val="00B74A6F"/>
    <w:rsid w:val="00B74D64"/>
    <w:rsid w:val="00B750C2"/>
    <w:rsid w:val="00B75411"/>
    <w:rsid w:val="00B7546A"/>
    <w:rsid w:val="00B756CB"/>
    <w:rsid w:val="00B75735"/>
    <w:rsid w:val="00B77142"/>
    <w:rsid w:val="00B8010E"/>
    <w:rsid w:val="00B80879"/>
    <w:rsid w:val="00B80A2C"/>
    <w:rsid w:val="00B80D3B"/>
    <w:rsid w:val="00B80F9D"/>
    <w:rsid w:val="00B8135C"/>
    <w:rsid w:val="00B814BB"/>
    <w:rsid w:val="00B81730"/>
    <w:rsid w:val="00B81B3E"/>
    <w:rsid w:val="00B81F60"/>
    <w:rsid w:val="00B82123"/>
    <w:rsid w:val="00B823D4"/>
    <w:rsid w:val="00B8314A"/>
    <w:rsid w:val="00B841AC"/>
    <w:rsid w:val="00B844A6"/>
    <w:rsid w:val="00B85873"/>
    <w:rsid w:val="00B85E95"/>
    <w:rsid w:val="00B865B0"/>
    <w:rsid w:val="00B865DC"/>
    <w:rsid w:val="00B870E8"/>
    <w:rsid w:val="00B874A9"/>
    <w:rsid w:val="00B874E9"/>
    <w:rsid w:val="00B875E3"/>
    <w:rsid w:val="00B87ACB"/>
    <w:rsid w:val="00B87C29"/>
    <w:rsid w:val="00B90780"/>
    <w:rsid w:val="00B90968"/>
    <w:rsid w:val="00B90ADA"/>
    <w:rsid w:val="00B90BDF"/>
    <w:rsid w:val="00B90DD1"/>
    <w:rsid w:val="00B918BB"/>
    <w:rsid w:val="00B91BC2"/>
    <w:rsid w:val="00B92319"/>
    <w:rsid w:val="00B9240D"/>
    <w:rsid w:val="00B94960"/>
    <w:rsid w:val="00B9543E"/>
    <w:rsid w:val="00B95D0A"/>
    <w:rsid w:val="00B96F6E"/>
    <w:rsid w:val="00B9702A"/>
    <w:rsid w:val="00B979D4"/>
    <w:rsid w:val="00BA0703"/>
    <w:rsid w:val="00BA22A8"/>
    <w:rsid w:val="00BA309F"/>
    <w:rsid w:val="00BA3B8F"/>
    <w:rsid w:val="00BA3E48"/>
    <w:rsid w:val="00BA430B"/>
    <w:rsid w:val="00BA4905"/>
    <w:rsid w:val="00BA4BD3"/>
    <w:rsid w:val="00BA5B51"/>
    <w:rsid w:val="00BA6060"/>
    <w:rsid w:val="00BA6E49"/>
    <w:rsid w:val="00BB0187"/>
    <w:rsid w:val="00BB0E56"/>
    <w:rsid w:val="00BB1473"/>
    <w:rsid w:val="00BB1EB3"/>
    <w:rsid w:val="00BB2678"/>
    <w:rsid w:val="00BB29CC"/>
    <w:rsid w:val="00BB2F80"/>
    <w:rsid w:val="00BB3077"/>
    <w:rsid w:val="00BB31D5"/>
    <w:rsid w:val="00BB33A8"/>
    <w:rsid w:val="00BB3927"/>
    <w:rsid w:val="00BB3D8C"/>
    <w:rsid w:val="00BB4B39"/>
    <w:rsid w:val="00BB53AF"/>
    <w:rsid w:val="00BB5BDF"/>
    <w:rsid w:val="00BB5C26"/>
    <w:rsid w:val="00BB64B7"/>
    <w:rsid w:val="00BB6591"/>
    <w:rsid w:val="00BB6A40"/>
    <w:rsid w:val="00BC013A"/>
    <w:rsid w:val="00BC0AAA"/>
    <w:rsid w:val="00BC12F7"/>
    <w:rsid w:val="00BC162A"/>
    <w:rsid w:val="00BC2343"/>
    <w:rsid w:val="00BC2A29"/>
    <w:rsid w:val="00BC2E1B"/>
    <w:rsid w:val="00BC3F52"/>
    <w:rsid w:val="00BC43D7"/>
    <w:rsid w:val="00BC4ED3"/>
    <w:rsid w:val="00BC5824"/>
    <w:rsid w:val="00BC60A6"/>
    <w:rsid w:val="00BC6B20"/>
    <w:rsid w:val="00BC702F"/>
    <w:rsid w:val="00BC7377"/>
    <w:rsid w:val="00BD0145"/>
    <w:rsid w:val="00BD0707"/>
    <w:rsid w:val="00BD0ECF"/>
    <w:rsid w:val="00BD13C1"/>
    <w:rsid w:val="00BD3038"/>
    <w:rsid w:val="00BD30C8"/>
    <w:rsid w:val="00BD38F4"/>
    <w:rsid w:val="00BD3EB4"/>
    <w:rsid w:val="00BD4C5B"/>
    <w:rsid w:val="00BD4F01"/>
    <w:rsid w:val="00BD5359"/>
    <w:rsid w:val="00BD556E"/>
    <w:rsid w:val="00BD5C65"/>
    <w:rsid w:val="00BD68B0"/>
    <w:rsid w:val="00BD7BCC"/>
    <w:rsid w:val="00BE16E9"/>
    <w:rsid w:val="00BE1E11"/>
    <w:rsid w:val="00BE238F"/>
    <w:rsid w:val="00BE2730"/>
    <w:rsid w:val="00BE2A17"/>
    <w:rsid w:val="00BE2D83"/>
    <w:rsid w:val="00BE2F8C"/>
    <w:rsid w:val="00BE31BE"/>
    <w:rsid w:val="00BE3A1D"/>
    <w:rsid w:val="00BE3B92"/>
    <w:rsid w:val="00BE487E"/>
    <w:rsid w:val="00BE528E"/>
    <w:rsid w:val="00BE6018"/>
    <w:rsid w:val="00BE6A9C"/>
    <w:rsid w:val="00BE7086"/>
    <w:rsid w:val="00BE7278"/>
    <w:rsid w:val="00BF1F57"/>
    <w:rsid w:val="00BF20FD"/>
    <w:rsid w:val="00BF2239"/>
    <w:rsid w:val="00BF22C6"/>
    <w:rsid w:val="00BF27DD"/>
    <w:rsid w:val="00BF34C2"/>
    <w:rsid w:val="00BF37E9"/>
    <w:rsid w:val="00BF3804"/>
    <w:rsid w:val="00BF3B4E"/>
    <w:rsid w:val="00BF3B89"/>
    <w:rsid w:val="00BF4086"/>
    <w:rsid w:val="00BF426C"/>
    <w:rsid w:val="00BF4594"/>
    <w:rsid w:val="00BF569C"/>
    <w:rsid w:val="00BF58D0"/>
    <w:rsid w:val="00BF6027"/>
    <w:rsid w:val="00BF6702"/>
    <w:rsid w:val="00BF7561"/>
    <w:rsid w:val="00BF7952"/>
    <w:rsid w:val="00BF7D6A"/>
    <w:rsid w:val="00C0021D"/>
    <w:rsid w:val="00C00300"/>
    <w:rsid w:val="00C00A6C"/>
    <w:rsid w:val="00C00B8B"/>
    <w:rsid w:val="00C013E1"/>
    <w:rsid w:val="00C01611"/>
    <w:rsid w:val="00C028D5"/>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521"/>
    <w:rsid w:val="00C142AD"/>
    <w:rsid w:val="00C142C1"/>
    <w:rsid w:val="00C14A30"/>
    <w:rsid w:val="00C1518C"/>
    <w:rsid w:val="00C152FE"/>
    <w:rsid w:val="00C15D1B"/>
    <w:rsid w:val="00C16739"/>
    <w:rsid w:val="00C168DD"/>
    <w:rsid w:val="00C176CC"/>
    <w:rsid w:val="00C200E3"/>
    <w:rsid w:val="00C20E37"/>
    <w:rsid w:val="00C21031"/>
    <w:rsid w:val="00C221A4"/>
    <w:rsid w:val="00C221B9"/>
    <w:rsid w:val="00C22428"/>
    <w:rsid w:val="00C225EA"/>
    <w:rsid w:val="00C226E6"/>
    <w:rsid w:val="00C22CCE"/>
    <w:rsid w:val="00C232BC"/>
    <w:rsid w:val="00C23BA2"/>
    <w:rsid w:val="00C2485F"/>
    <w:rsid w:val="00C248B1"/>
    <w:rsid w:val="00C24B63"/>
    <w:rsid w:val="00C256C3"/>
    <w:rsid w:val="00C262A0"/>
    <w:rsid w:val="00C26A4E"/>
    <w:rsid w:val="00C31195"/>
    <w:rsid w:val="00C31774"/>
    <w:rsid w:val="00C3180E"/>
    <w:rsid w:val="00C32AF2"/>
    <w:rsid w:val="00C33051"/>
    <w:rsid w:val="00C33204"/>
    <w:rsid w:val="00C338EB"/>
    <w:rsid w:val="00C33B4C"/>
    <w:rsid w:val="00C33B7F"/>
    <w:rsid w:val="00C34389"/>
    <w:rsid w:val="00C3465D"/>
    <w:rsid w:val="00C347D5"/>
    <w:rsid w:val="00C35C57"/>
    <w:rsid w:val="00C379E9"/>
    <w:rsid w:val="00C403CD"/>
    <w:rsid w:val="00C40ECA"/>
    <w:rsid w:val="00C411AC"/>
    <w:rsid w:val="00C41B04"/>
    <w:rsid w:val="00C42041"/>
    <w:rsid w:val="00C42BD9"/>
    <w:rsid w:val="00C43934"/>
    <w:rsid w:val="00C43935"/>
    <w:rsid w:val="00C439FB"/>
    <w:rsid w:val="00C43AA8"/>
    <w:rsid w:val="00C43F23"/>
    <w:rsid w:val="00C441A4"/>
    <w:rsid w:val="00C452E1"/>
    <w:rsid w:val="00C45BFC"/>
    <w:rsid w:val="00C45C1B"/>
    <w:rsid w:val="00C463C9"/>
    <w:rsid w:val="00C47648"/>
    <w:rsid w:val="00C47852"/>
    <w:rsid w:val="00C50011"/>
    <w:rsid w:val="00C51827"/>
    <w:rsid w:val="00C5254B"/>
    <w:rsid w:val="00C53973"/>
    <w:rsid w:val="00C5437F"/>
    <w:rsid w:val="00C5569A"/>
    <w:rsid w:val="00C55D39"/>
    <w:rsid w:val="00C55FBF"/>
    <w:rsid w:val="00C56CD3"/>
    <w:rsid w:val="00C57E68"/>
    <w:rsid w:val="00C601C9"/>
    <w:rsid w:val="00C616D0"/>
    <w:rsid w:val="00C6234C"/>
    <w:rsid w:val="00C623C6"/>
    <w:rsid w:val="00C631D3"/>
    <w:rsid w:val="00C645E6"/>
    <w:rsid w:val="00C64813"/>
    <w:rsid w:val="00C64D82"/>
    <w:rsid w:val="00C64FBC"/>
    <w:rsid w:val="00C65A83"/>
    <w:rsid w:val="00C65B28"/>
    <w:rsid w:val="00C66A00"/>
    <w:rsid w:val="00C66CBE"/>
    <w:rsid w:val="00C67118"/>
    <w:rsid w:val="00C67276"/>
    <w:rsid w:val="00C67DDD"/>
    <w:rsid w:val="00C70139"/>
    <w:rsid w:val="00C7072A"/>
    <w:rsid w:val="00C7191D"/>
    <w:rsid w:val="00C728C2"/>
    <w:rsid w:val="00C72C6F"/>
    <w:rsid w:val="00C734B5"/>
    <w:rsid w:val="00C73BE3"/>
    <w:rsid w:val="00C74453"/>
    <w:rsid w:val="00C7473A"/>
    <w:rsid w:val="00C74951"/>
    <w:rsid w:val="00C754EB"/>
    <w:rsid w:val="00C757E0"/>
    <w:rsid w:val="00C75AB0"/>
    <w:rsid w:val="00C75EDE"/>
    <w:rsid w:val="00C76166"/>
    <w:rsid w:val="00C76598"/>
    <w:rsid w:val="00C76B7B"/>
    <w:rsid w:val="00C76BBD"/>
    <w:rsid w:val="00C76DE2"/>
    <w:rsid w:val="00C772BA"/>
    <w:rsid w:val="00C77555"/>
    <w:rsid w:val="00C800F4"/>
    <w:rsid w:val="00C802D1"/>
    <w:rsid w:val="00C8036C"/>
    <w:rsid w:val="00C80CD8"/>
    <w:rsid w:val="00C80F23"/>
    <w:rsid w:val="00C81151"/>
    <w:rsid w:val="00C82CC6"/>
    <w:rsid w:val="00C839CB"/>
    <w:rsid w:val="00C841CE"/>
    <w:rsid w:val="00C84593"/>
    <w:rsid w:val="00C850A3"/>
    <w:rsid w:val="00C85C32"/>
    <w:rsid w:val="00C85D4F"/>
    <w:rsid w:val="00C85F45"/>
    <w:rsid w:val="00C86C8C"/>
    <w:rsid w:val="00C87473"/>
    <w:rsid w:val="00C87568"/>
    <w:rsid w:val="00C87FD0"/>
    <w:rsid w:val="00C902C8"/>
    <w:rsid w:val="00C90DB6"/>
    <w:rsid w:val="00C91797"/>
    <w:rsid w:val="00C91927"/>
    <w:rsid w:val="00C92603"/>
    <w:rsid w:val="00C93649"/>
    <w:rsid w:val="00C9394F"/>
    <w:rsid w:val="00C93B1A"/>
    <w:rsid w:val="00C96D24"/>
    <w:rsid w:val="00C96F5F"/>
    <w:rsid w:val="00C97055"/>
    <w:rsid w:val="00C97D41"/>
    <w:rsid w:val="00CA1E82"/>
    <w:rsid w:val="00CA2B4F"/>
    <w:rsid w:val="00CA30C3"/>
    <w:rsid w:val="00CA3549"/>
    <w:rsid w:val="00CA5927"/>
    <w:rsid w:val="00CA5D23"/>
    <w:rsid w:val="00CA635E"/>
    <w:rsid w:val="00CA6BB0"/>
    <w:rsid w:val="00CA6C6B"/>
    <w:rsid w:val="00CA70CE"/>
    <w:rsid w:val="00CA79EC"/>
    <w:rsid w:val="00CB002C"/>
    <w:rsid w:val="00CB1CD9"/>
    <w:rsid w:val="00CB1E4B"/>
    <w:rsid w:val="00CB259F"/>
    <w:rsid w:val="00CB3917"/>
    <w:rsid w:val="00CB39C2"/>
    <w:rsid w:val="00CB45FC"/>
    <w:rsid w:val="00CB4C8C"/>
    <w:rsid w:val="00CB4E90"/>
    <w:rsid w:val="00CB5850"/>
    <w:rsid w:val="00CB5C99"/>
    <w:rsid w:val="00CB633B"/>
    <w:rsid w:val="00CB659D"/>
    <w:rsid w:val="00CB6782"/>
    <w:rsid w:val="00CB6E3E"/>
    <w:rsid w:val="00CC080A"/>
    <w:rsid w:val="00CC0D0F"/>
    <w:rsid w:val="00CC1275"/>
    <w:rsid w:val="00CC12EE"/>
    <w:rsid w:val="00CC15C6"/>
    <w:rsid w:val="00CC1EEC"/>
    <w:rsid w:val="00CC2A0F"/>
    <w:rsid w:val="00CC5767"/>
    <w:rsid w:val="00CC5D2F"/>
    <w:rsid w:val="00CC667C"/>
    <w:rsid w:val="00CC68CC"/>
    <w:rsid w:val="00CC6CB9"/>
    <w:rsid w:val="00CC701E"/>
    <w:rsid w:val="00CC7735"/>
    <w:rsid w:val="00CD0310"/>
    <w:rsid w:val="00CD268B"/>
    <w:rsid w:val="00CD2E48"/>
    <w:rsid w:val="00CD4680"/>
    <w:rsid w:val="00CD4826"/>
    <w:rsid w:val="00CD4E19"/>
    <w:rsid w:val="00CD6219"/>
    <w:rsid w:val="00CD700F"/>
    <w:rsid w:val="00CD70EB"/>
    <w:rsid w:val="00CD7319"/>
    <w:rsid w:val="00CE04BC"/>
    <w:rsid w:val="00CE0A6E"/>
    <w:rsid w:val="00CE148E"/>
    <w:rsid w:val="00CE208D"/>
    <w:rsid w:val="00CE2453"/>
    <w:rsid w:val="00CE335A"/>
    <w:rsid w:val="00CE356D"/>
    <w:rsid w:val="00CE3FA4"/>
    <w:rsid w:val="00CE44F8"/>
    <w:rsid w:val="00CE485F"/>
    <w:rsid w:val="00CE5277"/>
    <w:rsid w:val="00CE5B4D"/>
    <w:rsid w:val="00CE6358"/>
    <w:rsid w:val="00CE6686"/>
    <w:rsid w:val="00CE6E97"/>
    <w:rsid w:val="00CE7868"/>
    <w:rsid w:val="00CE7968"/>
    <w:rsid w:val="00CE796C"/>
    <w:rsid w:val="00CE7EE0"/>
    <w:rsid w:val="00CF0DB0"/>
    <w:rsid w:val="00CF1B70"/>
    <w:rsid w:val="00CF1DD1"/>
    <w:rsid w:val="00CF2161"/>
    <w:rsid w:val="00CF2307"/>
    <w:rsid w:val="00CF26AE"/>
    <w:rsid w:val="00CF2D54"/>
    <w:rsid w:val="00CF311F"/>
    <w:rsid w:val="00CF426B"/>
    <w:rsid w:val="00CF5047"/>
    <w:rsid w:val="00CF52EF"/>
    <w:rsid w:val="00CF53DD"/>
    <w:rsid w:val="00D0099B"/>
    <w:rsid w:val="00D01344"/>
    <w:rsid w:val="00D01B90"/>
    <w:rsid w:val="00D024CD"/>
    <w:rsid w:val="00D02C7C"/>
    <w:rsid w:val="00D034DA"/>
    <w:rsid w:val="00D03538"/>
    <w:rsid w:val="00D0421D"/>
    <w:rsid w:val="00D04379"/>
    <w:rsid w:val="00D046FD"/>
    <w:rsid w:val="00D047F7"/>
    <w:rsid w:val="00D049B8"/>
    <w:rsid w:val="00D04C8A"/>
    <w:rsid w:val="00D04EB2"/>
    <w:rsid w:val="00D0516C"/>
    <w:rsid w:val="00D05751"/>
    <w:rsid w:val="00D05B56"/>
    <w:rsid w:val="00D05BBE"/>
    <w:rsid w:val="00D05C2F"/>
    <w:rsid w:val="00D05D4F"/>
    <w:rsid w:val="00D05EE7"/>
    <w:rsid w:val="00D068D0"/>
    <w:rsid w:val="00D06FE0"/>
    <w:rsid w:val="00D07307"/>
    <w:rsid w:val="00D076A9"/>
    <w:rsid w:val="00D07754"/>
    <w:rsid w:val="00D078D1"/>
    <w:rsid w:val="00D07B2E"/>
    <w:rsid w:val="00D1188B"/>
    <w:rsid w:val="00D1293B"/>
    <w:rsid w:val="00D129A8"/>
    <w:rsid w:val="00D12FB9"/>
    <w:rsid w:val="00D13431"/>
    <w:rsid w:val="00D135F2"/>
    <w:rsid w:val="00D13D00"/>
    <w:rsid w:val="00D147C0"/>
    <w:rsid w:val="00D14C21"/>
    <w:rsid w:val="00D15696"/>
    <w:rsid w:val="00D15C51"/>
    <w:rsid w:val="00D16C68"/>
    <w:rsid w:val="00D17FDD"/>
    <w:rsid w:val="00D200BD"/>
    <w:rsid w:val="00D201AA"/>
    <w:rsid w:val="00D204A7"/>
    <w:rsid w:val="00D20AA5"/>
    <w:rsid w:val="00D21059"/>
    <w:rsid w:val="00D22399"/>
    <w:rsid w:val="00D26223"/>
    <w:rsid w:val="00D2662C"/>
    <w:rsid w:val="00D27FA3"/>
    <w:rsid w:val="00D30264"/>
    <w:rsid w:val="00D30711"/>
    <w:rsid w:val="00D3176C"/>
    <w:rsid w:val="00D31B3F"/>
    <w:rsid w:val="00D321AF"/>
    <w:rsid w:val="00D33751"/>
    <w:rsid w:val="00D34AB9"/>
    <w:rsid w:val="00D35D4A"/>
    <w:rsid w:val="00D36F6E"/>
    <w:rsid w:val="00D372B0"/>
    <w:rsid w:val="00D37343"/>
    <w:rsid w:val="00D41F0A"/>
    <w:rsid w:val="00D42034"/>
    <w:rsid w:val="00D4205E"/>
    <w:rsid w:val="00D44EB8"/>
    <w:rsid w:val="00D45A0F"/>
    <w:rsid w:val="00D47399"/>
    <w:rsid w:val="00D47BB2"/>
    <w:rsid w:val="00D47D04"/>
    <w:rsid w:val="00D5056A"/>
    <w:rsid w:val="00D510A0"/>
    <w:rsid w:val="00D51F73"/>
    <w:rsid w:val="00D527EE"/>
    <w:rsid w:val="00D529C4"/>
    <w:rsid w:val="00D53929"/>
    <w:rsid w:val="00D539B5"/>
    <w:rsid w:val="00D539D0"/>
    <w:rsid w:val="00D53A15"/>
    <w:rsid w:val="00D53B5E"/>
    <w:rsid w:val="00D53F2B"/>
    <w:rsid w:val="00D540DC"/>
    <w:rsid w:val="00D54CA4"/>
    <w:rsid w:val="00D55616"/>
    <w:rsid w:val="00D5574C"/>
    <w:rsid w:val="00D55DAC"/>
    <w:rsid w:val="00D561C5"/>
    <w:rsid w:val="00D57FDF"/>
    <w:rsid w:val="00D6153F"/>
    <w:rsid w:val="00D61982"/>
    <w:rsid w:val="00D619CC"/>
    <w:rsid w:val="00D61A2D"/>
    <w:rsid w:val="00D61EA9"/>
    <w:rsid w:val="00D61EFF"/>
    <w:rsid w:val="00D62655"/>
    <w:rsid w:val="00D6267A"/>
    <w:rsid w:val="00D62998"/>
    <w:rsid w:val="00D636B6"/>
    <w:rsid w:val="00D647DE"/>
    <w:rsid w:val="00D6501F"/>
    <w:rsid w:val="00D65347"/>
    <w:rsid w:val="00D67D12"/>
    <w:rsid w:val="00D700D9"/>
    <w:rsid w:val="00D70309"/>
    <w:rsid w:val="00D705FF"/>
    <w:rsid w:val="00D70B0C"/>
    <w:rsid w:val="00D70DE6"/>
    <w:rsid w:val="00D7145C"/>
    <w:rsid w:val="00D7332F"/>
    <w:rsid w:val="00D744BC"/>
    <w:rsid w:val="00D749D4"/>
    <w:rsid w:val="00D74B55"/>
    <w:rsid w:val="00D7527B"/>
    <w:rsid w:val="00D7585A"/>
    <w:rsid w:val="00D7604B"/>
    <w:rsid w:val="00D77C53"/>
    <w:rsid w:val="00D77E96"/>
    <w:rsid w:val="00D80618"/>
    <w:rsid w:val="00D8068C"/>
    <w:rsid w:val="00D807DF"/>
    <w:rsid w:val="00D81006"/>
    <w:rsid w:val="00D821B2"/>
    <w:rsid w:val="00D82339"/>
    <w:rsid w:val="00D82494"/>
    <w:rsid w:val="00D82FF2"/>
    <w:rsid w:val="00D830B9"/>
    <w:rsid w:val="00D83774"/>
    <w:rsid w:val="00D83C1D"/>
    <w:rsid w:val="00D84A4B"/>
    <w:rsid w:val="00D84E83"/>
    <w:rsid w:val="00D85631"/>
    <w:rsid w:val="00D85739"/>
    <w:rsid w:val="00D86669"/>
    <w:rsid w:val="00D878DC"/>
    <w:rsid w:val="00D90A81"/>
    <w:rsid w:val="00D90B7D"/>
    <w:rsid w:val="00D90B81"/>
    <w:rsid w:val="00D90CC7"/>
    <w:rsid w:val="00D90DCE"/>
    <w:rsid w:val="00D91946"/>
    <w:rsid w:val="00D92168"/>
    <w:rsid w:val="00D9231C"/>
    <w:rsid w:val="00D92356"/>
    <w:rsid w:val="00D92A5E"/>
    <w:rsid w:val="00D935BD"/>
    <w:rsid w:val="00D93EEC"/>
    <w:rsid w:val="00D940B5"/>
    <w:rsid w:val="00D953F2"/>
    <w:rsid w:val="00D9582D"/>
    <w:rsid w:val="00D95CB0"/>
    <w:rsid w:val="00D9654F"/>
    <w:rsid w:val="00D966FE"/>
    <w:rsid w:val="00D977C0"/>
    <w:rsid w:val="00D97E14"/>
    <w:rsid w:val="00DA00A3"/>
    <w:rsid w:val="00DA13F3"/>
    <w:rsid w:val="00DA1B8B"/>
    <w:rsid w:val="00DA2DE3"/>
    <w:rsid w:val="00DA3633"/>
    <w:rsid w:val="00DA400B"/>
    <w:rsid w:val="00DA4328"/>
    <w:rsid w:val="00DA4909"/>
    <w:rsid w:val="00DA6443"/>
    <w:rsid w:val="00DA66DE"/>
    <w:rsid w:val="00DA6B5E"/>
    <w:rsid w:val="00DA7146"/>
    <w:rsid w:val="00DA716A"/>
    <w:rsid w:val="00DA7B82"/>
    <w:rsid w:val="00DB015E"/>
    <w:rsid w:val="00DB02EE"/>
    <w:rsid w:val="00DB0843"/>
    <w:rsid w:val="00DB15A0"/>
    <w:rsid w:val="00DB1E0B"/>
    <w:rsid w:val="00DB1F1F"/>
    <w:rsid w:val="00DB1F4F"/>
    <w:rsid w:val="00DB2CD0"/>
    <w:rsid w:val="00DB2F75"/>
    <w:rsid w:val="00DB37EE"/>
    <w:rsid w:val="00DB401F"/>
    <w:rsid w:val="00DB4450"/>
    <w:rsid w:val="00DB4EE7"/>
    <w:rsid w:val="00DB521D"/>
    <w:rsid w:val="00DB5971"/>
    <w:rsid w:val="00DB5A26"/>
    <w:rsid w:val="00DB5D51"/>
    <w:rsid w:val="00DB5F53"/>
    <w:rsid w:val="00DB6E27"/>
    <w:rsid w:val="00DB7B69"/>
    <w:rsid w:val="00DC0A2F"/>
    <w:rsid w:val="00DC0DBE"/>
    <w:rsid w:val="00DC1C8F"/>
    <w:rsid w:val="00DC1F57"/>
    <w:rsid w:val="00DC234A"/>
    <w:rsid w:val="00DC35DD"/>
    <w:rsid w:val="00DC41E4"/>
    <w:rsid w:val="00DC496E"/>
    <w:rsid w:val="00DC5116"/>
    <w:rsid w:val="00DC59DF"/>
    <w:rsid w:val="00DC7C77"/>
    <w:rsid w:val="00DC7FD5"/>
    <w:rsid w:val="00DD00B4"/>
    <w:rsid w:val="00DD02FF"/>
    <w:rsid w:val="00DD0925"/>
    <w:rsid w:val="00DD0BA4"/>
    <w:rsid w:val="00DD24F9"/>
    <w:rsid w:val="00DD26EC"/>
    <w:rsid w:val="00DD2DFB"/>
    <w:rsid w:val="00DD3604"/>
    <w:rsid w:val="00DD3F4D"/>
    <w:rsid w:val="00DD6CC4"/>
    <w:rsid w:val="00DD6F2E"/>
    <w:rsid w:val="00DD72E1"/>
    <w:rsid w:val="00DD796C"/>
    <w:rsid w:val="00DD7EA2"/>
    <w:rsid w:val="00DE00F2"/>
    <w:rsid w:val="00DE117F"/>
    <w:rsid w:val="00DE22D3"/>
    <w:rsid w:val="00DE2D17"/>
    <w:rsid w:val="00DE353C"/>
    <w:rsid w:val="00DE38DE"/>
    <w:rsid w:val="00DE401C"/>
    <w:rsid w:val="00DE4757"/>
    <w:rsid w:val="00DE5954"/>
    <w:rsid w:val="00DE5E53"/>
    <w:rsid w:val="00DE6E2F"/>
    <w:rsid w:val="00DE6F47"/>
    <w:rsid w:val="00DE71B3"/>
    <w:rsid w:val="00DE76F1"/>
    <w:rsid w:val="00DE7D13"/>
    <w:rsid w:val="00DE7DD2"/>
    <w:rsid w:val="00DF1EAE"/>
    <w:rsid w:val="00DF2AF6"/>
    <w:rsid w:val="00DF3816"/>
    <w:rsid w:val="00DF3818"/>
    <w:rsid w:val="00DF3F94"/>
    <w:rsid w:val="00DF4369"/>
    <w:rsid w:val="00DF49D0"/>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42A1"/>
    <w:rsid w:val="00E04B32"/>
    <w:rsid w:val="00E055F8"/>
    <w:rsid w:val="00E05E82"/>
    <w:rsid w:val="00E069E3"/>
    <w:rsid w:val="00E07425"/>
    <w:rsid w:val="00E1043E"/>
    <w:rsid w:val="00E104FA"/>
    <w:rsid w:val="00E1082A"/>
    <w:rsid w:val="00E10956"/>
    <w:rsid w:val="00E10B68"/>
    <w:rsid w:val="00E110B5"/>
    <w:rsid w:val="00E11166"/>
    <w:rsid w:val="00E111F4"/>
    <w:rsid w:val="00E12818"/>
    <w:rsid w:val="00E12887"/>
    <w:rsid w:val="00E12D39"/>
    <w:rsid w:val="00E13182"/>
    <w:rsid w:val="00E14523"/>
    <w:rsid w:val="00E14972"/>
    <w:rsid w:val="00E14A89"/>
    <w:rsid w:val="00E14CB9"/>
    <w:rsid w:val="00E151F2"/>
    <w:rsid w:val="00E15383"/>
    <w:rsid w:val="00E15C82"/>
    <w:rsid w:val="00E15D8D"/>
    <w:rsid w:val="00E1738C"/>
    <w:rsid w:val="00E17797"/>
    <w:rsid w:val="00E179FD"/>
    <w:rsid w:val="00E17AF8"/>
    <w:rsid w:val="00E17C9D"/>
    <w:rsid w:val="00E201C0"/>
    <w:rsid w:val="00E213D3"/>
    <w:rsid w:val="00E21ABD"/>
    <w:rsid w:val="00E22775"/>
    <w:rsid w:val="00E22D28"/>
    <w:rsid w:val="00E22F81"/>
    <w:rsid w:val="00E22F87"/>
    <w:rsid w:val="00E230E3"/>
    <w:rsid w:val="00E23C97"/>
    <w:rsid w:val="00E24727"/>
    <w:rsid w:val="00E24D5F"/>
    <w:rsid w:val="00E250DB"/>
    <w:rsid w:val="00E265A7"/>
    <w:rsid w:val="00E26FC5"/>
    <w:rsid w:val="00E27B80"/>
    <w:rsid w:val="00E30EDF"/>
    <w:rsid w:val="00E31B43"/>
    <w:rsid w:val="00E31FBA"/>
    <w:rsid w:val="00E33513"/>
    <w:rsid w:val="00E33A4F"/>
    <w:rsid w:val="00E33F3E"/>
    <w:rsid w:val="00E341E5"/>
    <w:rsid w:val="00E34315"/>
    <w:rsid w:val="00E35FBC"/>
    <w:rsid w:val="00E36AAE"/>
    <w:rsid w:val="00E37198"/>
    <w:rsid w:val="00E3774C"/>
    <w:rsid w:val="00E41013"/>
    <w:rsid w:val="00E41313"/>
    <w:rsid w:val="00E41773"/>
    <w:rsid w:val="00E41ACD"/>
    <w:rsid w:val="00E42F01"/>
    <w:rsid w:val="00E42FE6"/>
    <w:rsid w:val="00E437E1"/>
    <w:rsid w:val="00E43B4A"/>
    <w:rsid w:val="00E44D25"/>
    <w:rsid w:val="00E44E78"/>
    <w:rsid w:val="00E45C40"/>
    <w:rsid w:val="00E460B6"/>
    <w:rsid w:val="00E46BD2"/>
    <w:rsid w:val="00E473D4"/>
    <w:rsid w:val="00E474CF"/>
    <w:rsid w:val="00E47AFD"/>
    <w:rsid w:val="00E513F6"/>
    <w:rsid w:val="00E5161B"/>
    <w:rsid w:val="00E51A4C"/>
    <w:rsid w:val="00E51EC6"/>
    <w:rsid w:val="00E51F89"/>
    <w:rsid w:val="00E5203E"/>
    <w:rsid w:val="00E52F3B"/>
    <w:rsid w:val="00E52F80"/>
    <w:rsid w:val="00E53BEE"/>
    <w:rsid w:val="00E53D94"/>
    <w:rsid w:val="00E53DEA"/>
    <w:rsid w:val="00E5424B"/>
    <w:rsid w:val="00E544BA"/>
    <w:rsid w:val="00E55B64"/>
    <w:rsid w:val="00E55F8A"/>
    <w:rsid w:val="00E573EF"/>
    <w:rsid w:val="00E61498"/>
    <w:rsid w:val="00E616DB"/>
    <w:rsid w:val="00E62442"/>
    <w:rsid w:val="00E627A4"/>
    <w:rsid w:val="00E62A5E"/>
    <w:rsid w:val="00E630ED"/>
    <w:rsid w:val="00E6395F"/>
    <w:rsid w:val="00E63CEC"/>
    <w:rsid w:val="00E6437C"/>
    <w:rsid w:val="00E65237"/>
    <w:rsid w:val="00E66367"/>
    <w:rsid w:val="00E67862"/>
    <w:rsid w:val="00E67ADD"/>
    <w:rsid w:val="00E70ACF"/>
    <w:rsid w:val="00E70D46"/>
    <w:rsid w:val="00E712A9"/>
    <w:rsid w:val="00E713BC"/>
    <w:rsid w:val="00E7233E"/>
    <w:rsid w:val="00E72444"/>
    <w:rsid w:val="00E724CD"/>
    <w:rsid w:val="00E726A8"/>
    <w:rsid w:val="00E72D3D"/>
    <w:rsid w:val="00E72EAD"/>
    <w:rsid w:val="00E7410F"/>
    <w:rsid w:val="00E74EC5"/>
    <w:rsid w:val="00E75161"/>
    <w:rsid w:val="00E75FE6"/>
    <w:rsid w:val="00E76B86"/>
    <w:rsid w:val="00E773F4"/>
    <w:rsid w:val="00E8000D"/>
    <w:rsid w:val="00E809F3"/>
    <w:rsid w:val="00E80C21"/>
    <w:rsid w:val="00E820BD"/>
    <w:rsid w:val="00E8227B"/>
    <w:rsid w:val="00E8342F"/>
    <w:rsid w:val="00E84210"/>
    <w:rsid w:val="00E844CD"/>
    <w:rsid w:val="00E847A7"/>
    <w:rsid w:val="00E84FE5"/>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C27"/>
    <w:rsid w:val="00E92EEF"/>
    <w:rsid w:val="00E936DA"/>
    <w:rsid w:val="00E9399B"/>
    <w:rsid w:val="00E939A7"/>
    <w:rsid w:val="00E94008"/>
    <w:rsid w:val="00E94762"/>
    <w:rsid w:val="00E94BDB"/>
    <w:rsid w:val="00E95208"/>
    <w:rsid w:val="00E956BA"/>
    <w:rsid w:val="00E958C3"/>
    <w:rsid w:val="00E95C9D"/>
    <w:rsid w:val="00E96B52"/>
    <w:rsid w:val="00EA0018"/>
    <w:rsid w:val="00EA08BE"/>
    <w:rsid w:val="00EA0A85"/>
    <w:rsid w:val="00EA1023"/>
    <w:rsid w:val="00EA14B0"/>
    <w:rsid w:val="00EA2244"/>
    <w:rsid w:val="00EA4DDC"/>
    <w:rsid w:val="00EA6FA7"/>
    <w:rsid w:val="00EB067F"/>
    <w:rsid w:val="00EB150C"/>
    <w:rsid w:val="00EB17BE"/>
    <w:rsid w:val="00EB1A1B"/>
    <w:rsid w:val="00EB1F02"/>
    <w:rsid w:val="00EB2A00"/>
    <w:rsid w:val="00EB2E64"/>
    <w:rsid w:val="00EB2FEF"/>
    <w:rsid w:val="00EB3290"/>
    <w:rsid w:val="00EB43CB"/>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5256"/>
    <w:rsid w:val="00EC549A"/>
    <w:rsid w:val="00EC57B0"/>
    <w:rsid w:val="00EC638F"/>
    <w:rsid w:val="00EC68BF"/>
    <w:rsid w:val="00EC7927"/>
    <w:rsid w:val="00ED095E"/>
    <w:rsid w:val="00ED0F8D"/>
    <w:rsid w:val="00ED1A0B"/>
    <w:rsid w:val="00ED27DD"/>
    <w:rsid w:val="00ED312F"/>
    <w:rsid w:val="00ED31E5"/>
    <w:rsid w:val="00ED4E9C"/>
    <w:rsid w:val="00ED5162"/>
    <w:rsid w:val="00ED697C"/>
    <w:rsid w:val="00EE06CA"/>
    <w:rsid w:val="00EE1E0C"/>
    <w:rsid w:val="00EE354D"/>
    <w:rsid w:val="00EE43AD"/>
    <w:rsid w:val="00EE4874"/>
    <w:rsid w:val="00EE48D6"/>
    <w:rsid w:val="00EE4A6E"/>
    <w:rsid w:val="00EE4BAB"/>
    <w:rsid w:val="00EE4D3B"/>
    <w:rsid w:val="00EE511D"/>
    <w:rsid w:val="00EE5197"/>
    <w:rsid w:val="00EE7922"/>
    <w:rsid w:val="00EE79A6"/>
    <w:rsid w:val="00EF11DF"/>
    <w:rsid w:val="00EF130D"/>
    <w:rsid w:val="00EF30E0"/>
    <w:rsid w:val="00EF3A81"/>
    <w:rsid w:val="00EF3D05"/>
    <w:rsid w:val="00EF42CF"/>
    <w:rsid w:val="00EF4D71"/>
    <w:rsid w:val="00EF5403"/>
    <w:rsid w:val="00EF567D"/>
    <w:rsid w:val="00EF5B08"/>
    <w:rsid w:val="00EF5CBA"/>
    <w:rsid w:val="00EF5F11"/>
    <w:rsid w:val="00EF6111"/>
    <w:rsid w:val="00F005A0"/>
    <w:rsid w:val="00F01835"/>
    <w:rsid w:val="00F01891"/>
    <w:rsid w:val="00F01DE9"/>
    <w:rsid w:val="00F0229D"/>
    <w:rsid w:val="00F02B1B"/>
    <w:rsid w:val="00F032BB"/>
    <w:rsid w:val="00F032C8"/>
    <w:rsid w:val="00F03567"/>
    <w:rsid w:val="00F03DD3"/>
    <w:rsid w:val="00F04BBE"/>
    <w:rsid w:val="00F0580C"/>
    <w:rsid w:val="00F059CF"/>
    <w:rsid w:val="00F06616"/>
    <w:rsid w:val="00F07485"/>
    <w:rsid w:val="00F07EDE"/>
    <w:rsid w:val="00F10BC6"/>
    <w:rsid w:val="00F11352"/>
    <w:rsid w:val="00F11AD0"/>
    <w:rsid w:val="00F12313"/>
    <w:rsid w:val="00F13D34"/>
    <w:rsid w:val="00F14308"/>
    <w:rsid w:val="00F14602"/>
    <w:rsid w:val="00F1498D"/>
    <w:rsid w:val="00F14DDF"/>
    <w:rsid w:val="00F152AD"/>
    <w:rsid w:val="00F157CA"/>
    <w:rsid w:val="00F15BA3"/>
    <w:rsid w:val="00F15D52"/>
    <w:rsid w:val="00F165B7"/>
    <w:rsid w:val="00F20C9C"/>
    <w:rsid w:val="00F21827"/>
    <w:rsid w:val="00F21A00"/>
    <w:rsid w:val="00F2285F"/>
    <w:rsid w:val="00F23155"/>
    <w:rsid w:val="00F23EE4"/>
    <w:rsid w:val="00F24236"/>
    <w:rsid w:val="00F248D7"/>
    <w:rsid w:val="00F24E0E"/>
    <w:rsid w:val="00F2525F"/>
    <w:rsid w:val="00F25504"/>
    <w:rsid w:val="00F25707"/>
    <w:rsid w:val="00F26693"/>
    <w:rsid w:val="00F268B6"/>
    <w:rsid w:val="00F26A13"/>
    <w:rsid w:val="00F26CEB"/>
    <w:rsid w:val="00F27D3B"/>
    <w:rsid w:val="00F30F7A"/>
    <w:rsid w:val="00F31261"/>
    <w:rsid w:val="00F31334"/>
    <w:rsid w:val="00F31BB3"/>
    <w:rsid w:val="00F31C67"/>
    <w:rsid w:val="00F323C3"/>
    <w:rsid w:val="00F32A15"/>
    <w:rsid w:val="00F32EE6"/>
    <w:rsid w:val="00F32F3C"/>
    <w:rsid w:val="00F339EC"/>
    <w:rsid w:val="00F3443B"/>
    <w:rsid w:val="00F34D12"/>
    <w:rsid w:val="00F34FDD"/>
    <w:rsid w:val="00F35279"/>
    <w:rsid w:val="00F35AE7"/>
    <w:rsid w:val="00F35CC2"/>
    <w:rsid w:val="00F35F1A"/>
    <w:rsid w:val="00F36130"/>
    <w:rsid w:val="00F36278"/>
    <w:rsid w:val="00F3644F"/>
    <w:rsid w:val="00F36B71"/>
    <w:rsid w:val="00F373AE"/>
    <w:rsid w:val="00F37554"/>
    <w:rsid w:val="00F37D22"/>
    <w:rsid w:val="00F4032F"/>
    <w:rsid w:val="00F40360"/>
    <w:rsid w:val="00F40444"/>
    <w:rsid w:val="00F40CE6"/>
    <w:rsid w:val="00F41B59"/>
    <w:rsid w:val="00F42099"/>
    <w:rsid w:val="00F423BD"/>
    <w:rsid w:val="00F42AFB"/>
    <w:rsid w:val="00F42ED8"/>
    <w:rsid w:val="00F431C5"/>
    <w:rsid w:val="00F432FF"/>
    <w:rsid w:val="00F433C2"/>
    <w:rsid w:val="00F4457F"/>
    <w:rsid w:val="00F44B9C"/>
    <w:rsid w:val="00F456D2"/>
    <w:rsid w:val="00F45B08"/>
    <w:rsid w:val="00F45D9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6024"/>
    <w:rsid w:val="00F565E8"/>
    <w:rsid w:val="00F56CB4"/>
    <w:rsid w:val="00F57182"/>
    <w:rsid w:val="00F5754B"/>
    <w:rsid w:val="00F576DE"/>
    <w:rsid w:val="00F57747"/>
    <w:rsid w:val="00F578BC"/>
    <w:rsid w:val="00F60B47"/>
    <w:rsid w:val="00F633F1"/>
    <w:rsid w:val="00F63668"/>
    <w:rsid w:val="00F63BF7"/>
    <w:rsid w:val="00F6453E"/>
    <w:rsid w:val="00F65215"/>
    <w:rsid w:val="00F655C6"/>
    <w:rsid w:val="00F65617"/>
    <w:rsid w:val="00F65A88"/>
    <w:rsid w:val="00F66494"/>
    <w:rsid w:val="00F700B9"/>
    <w:rsid w:val="00F7011F"/>
    <w:rsid w:val="00F710BE"/>
    <w:rsid w:val="00F71BF5"/>
    <w:rsid w:val="00F72016"/>
    <w:rsid w:val="00F72DAD"/>
    <w:rsid w:val="00F736D2"/>
    <w:rsid w:val="00F7564C"/>
    <w:rsid w:val="00F76220"/>
    <w:rsid w:val="00F769BE"/>
    <w:rsid w:val="00F7735C"/>
    <w:rsid w:val="00F77BD5"/>
    <w:rsid w:val="00F82E6B"/>
    <w:rsid w:val="00F83662"/>
    <w:rsid w:val="00F838C0"/>
    <w:rsid w:val="00F83CFF"/>
    <w:rsid w:val="00F84863"/>
    <w:rsid w:val="00F85F83"/>
    <w:rsid w:val="00F8605E"/>
    <w:rsid w:val="00F86739"/>
    <w:rsid w:val="00F86F1D"/>
    <w:rsid w:val="00F87E7F"/>
    <w:rsid w:val="00F90EC2"/>
    <w:rsid w:val="00F91049"/>
    <w:rsid w:val="00F912FD"/>
    <w:rsid w:val="00F91426"/>
    <w:rsid w:val="00F91D43"/>
    <w:rsid w:val="00F92B65"/>
    <w:rsid w:val="00F9367F"/>
    <w:rsid w:val="00F9512B"/>
    <w:rsid w:val="00F95411"/>
    <w:rsid w:val="00F9545E"/>
    <w:rsid w:val="00F95D28"/>
    <w:rsid w:val="00F9619C"/>
    <w:rsid w:val="00F96339"/>
    <w:rsid w:val="00F96B79"/>
    <w:rsid w:val="00F9759C"/>
    <w:rsid w:val="00F97859"/>
    <w:rsid w:val="00F97973"/>
    <w:rsid w:val="00F97B71"/>
    <w:rsid w:val="00FA06A3"/>
    <w:rsid w:val="00FA0E23"/>
    <w:rsid w:val="00FA19BB"/>
    <w:rsid w:val="00FA2CFC"/>
    <w:rsid w:val="00FA2D1E"/>
    <w:rsid w:val="00FA2DDA"/>
    <w:rsid w:val="00FA34CA"/>
    <w:rsid w:val="00FA3E3E"/>
    <w:rsid w:val="00FA450E"/>
    <w:rsid w:val="00FA4A55"/>
    <w:rsid w:val="00FA4D4F"/>
    <w:rsid w:val="00FA54E8"/>
    <w:rsid w:val="00FA5FE8"/>
    <w:rsid w:val="00FA668B"/>
    <w:rsid w:val="00FA67CF"/>
    <w:rsid w:val="00FA6EDF"/>
    <w:rsid w:val="00FA7F6F"/>
    <w:rsid w:val="00FB10EC"/>
    <w:rsid w:val="00FB1382"/>
    <w:rsid w:val="00FB1607"/>
    <w:rsid w:val="00FB1B1B"/>
    <w:rsid w:val="00FB2D17"/>
    <w:rsid w:val="00FB2F69"/>
    <w:rsid w:val="00FB368B"/>
    <w:rsid w:val="00FB3A3A"/>
    <w:rsid w:val="00FB4217"/>
    <w:rsid w:val="00FB4379"/>
    <w:rsid w:val="00FB446A"/>
    <w:rsid w:val="00FB45FF"/>
    <w:rsid w:val="00FB55D8"/>
    <w:rsid w:val="00FB5D97"/>
    <w:rsid w:val="00FB61EA"/>
    <w:rsid w:val="00FB6694"/>
    <w:rsid w:val="00FB6C7A"/>
    <w:rsid w:val="00FB6E11"/>
    <w:rsid w:val="00FB732E"/>
    <w:rsid w:val="00FB79F7"/>
    <w:rsid w:val="00FC09E7"/>
    <w:rsid w:val="00FC1CA5"/>
    <w:rsid w:val="00FC1D8E"/>
    <w:rsid w:val="00FC1DEA"/>
    <w:rsid w:val="00FC2733"/>
    <w:rsid w:val="00FC2979"/>
    <w:rsid w:val="00FC3048"/>
    <w:rsid w:val="00FC5041"/>
    <w:rsid w:val="00FC6D6C"/>
    <w:rsid w:val="00FC6DDD"/>
    <w:rsid w:val="00FC71A8"/>
    <w:rsid w:val="00FD1BEF"/>
    <w:rsid w:val="00FD1C3C"/>
    <w:rsid w:val="00FD24F6"/>
    <w:rsid w:val="00FD2DB1"/>
    <w:rsid w:val="00FD38A8"/>
    <w:rsid w:val="00FD3A23"/>
    <w:rsid w:val="00FD5348"/>
    <w:rsid w:val="00FD6AC8"/>
    <w:rsid w:val="00FD7D0D"/>
    <w:rsid w:val="00FE06DF"/>
    <w:rsid w:val="00FE0A6C"/>
    <w:rsid w:val="00FE1727"/>
    <w:rsid w:val="00FE1738"/>
    <w:rsid w:val="00FE3638"/>
    <w:rsid w:val="00FE3EA1"/>
    <w:rsid w:val="00FE4818"/>
    <w:rsid w:val="00FE4CA4"/>
    <w:rsid w:val="00FE5AE4"/>
    <w:rsid w:val="00FE5B93"/>
    <w:rsid w:val="00FE5D80"/>
    <w:rsid w:val="00FE637F"/>
    <w:rsid w:val="00FE64DC"/>
    <w:rsid w:val="00FE64EE"/>
    <w:rsid w:val="00FE73F7"/>
    <w:rsid w:val="00FE745E"/>
    <w:rsid w:val="00FE7865"/>
    <w:rsid w:val="00FF05DE"/>
    <w:rsid w:val="00FF06C4"/>
    <w:rsid w:val="00FF0BB0"/>
    <w:rsid w:val="00FF0BB2"/>
    <w:rsid w:val="00FF1342"/>
    <w:rsid w:val="00FF1513"/>
    <w:rsid w:val="00FF1577"/>
    <w:rsid w:val="00FF17B1"/>
    <w:rsid w:val="00FF17DD"/>
    <w:rsid w:val="00FF2145"/>
    <w:rsid w:val="00FF2276"/>
    <w:rsid w:val="00FF2741"/>
    <w:rsid w:val="00FF314D"/>
    <w:rsid w:val="00FF3334"/>
    <w:rsid w:val="00FF338B"/>
    <w:rsid w:val="00FF50AB"/>
    <w:rsid w:val="00FF54A3"/>
    <w:rsid w:val="00FF5733"/>
    <w:rsid w:val="00FF59BE"/>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4A1F3FC6-01BD-4F4D-A955-274DD796D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paragraph" w:styleId="40">
    <w:name w:val="heading 4"/>
    <w:basedOn w:val="a"/>
    <w:next w:val="a"/>
    <w:link w:val="4Char"/>
    <w:uiPriority w:val="99"/>
    <w:qFormat/>
    <w:locked/>
    <w:rsid w:val="00910642"/>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character" w:customStyle="1" w:styleId="4Char">
    <w:name w:val="标题 4 Char"/>
    <w:link w:val="40"/>
    <w:uiPriority w:val="99"/>
    <w:locked/>
    <w:rsid w:val="00910642"/>
    <w:rPr>
      <w:rFonts w:ascii="Cambria" w:eastAsia="宋体" w:hAnsi="Cambria" w:cs="Times New Roman"/>
      <w:b/>
      <w:bCs/>
      <w:kern w:val="2"/>
      <w:sz w:val="28"/>
      <w:szCs w:val="28"/>
    </w:rPr>
  </w:style>
  <w:style w:type="paragraph" w:styleId="a4">
    <w:name w:val="Balloon Text"/>
    <w:basedOn w:val="a"/>
    <w:link w:val="Char"/>
    <w:uiPriority w:val="99"/>
    <w:semiHidden/>
    <w:rsid w:val="00FB732E"/>
    <w:rPr>
      <w:sz w:val="18"/>
      <w:szCs w:val="20"/>
    </w:rPr>
  </w:style>
  <w:style w:type="character" w:customStyle="1" w:styleId="Char">
    <w:name w:val="批注框文本 Char"/>
    <w:link w:val="a4"/>
    <w:uiPriority w:val="99"/>
    <w:semiHidden/>
    <w:locked/>
    <w:rsid w:val="006D141C"/>
    <w:rPr>
      <w:kern w:val="2"/>
      <w:sz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0">
    <w:name w:val="正文文本缩进 Char"/>
    <w:link w:val="a5"/>
    <w:uiPriority w:val="99"/>
    <w:locked/>
    <w:rsid w:val="006D141C"/>
    <w:rPr>
      <w:rFonts w:ascii="Arial Unicode MS" w:eastAsia="Arial Unicode MS"/>
      <w:sz w:val="24"/>
    </w:rPr>
  </w:style>
  <w:style w:type="paragraph" w:styleId="a6">
    <w:name w:val="Plain Text"/>
    <w:basedOn w:val="a"/>
    <w:link w:val="Char1"/>
    <w:uiPriority w:val="99"/>
    <w:rsid w:val="00FB732E"/>
    <w:rPr>
      <w:rFonts w:ascii="宋体" w:hAnsi="Courier New"/>
      <w:szCs w:val="20"/>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7">
    <w:name w:val="footer"/>
    <w:basedOn w:val="a"/>
    <w:link w:val="Char2"/>
    <w:uiPriority w:val="99"/>
    <w:rsid w:val="00FB732E"/>
    <w:pPr>
      <w:tabs>
        <w:tab w:val="center" w:pos="4153"/>
        <w:tab w:val="right" w:pos="8306"/>
      </w:tabs>
      <w:snapToGrid w:val="0"/>
      <w:jc w:val="left"/>
    </w:pPr>
    <w:rPr>
      <w:sz w:val="18"/>
      <w:szCs w:val="20"/>
    </w:rPr>
  </w:style>
  <w:style w:type="character" w:customStyle="1" w:styleId="Char2">
    <w:name w:val="页脚 Char"/>
    <w:link w:val="a7"/>
    <w:uiPriority w:val="99"/>
    <w:locked/>
    <w:rsid w:val="006D141C"/>
    <w:rPr>
      <w:kern w:val="2"/>
      <w:sz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3">
    <w:name w:val="页眉 Char"/>
    <w:link w:val="aa"/>
    <w:uiPriority w:val="99"/>
    <w:locked/>
    <w:rsid w:val="006D141C"/>
    <w:rPr>
      <w:kern w:val="2"/>
      <w:sz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style>
  <w:style w:type="paragraph" w:styleId="ad">
    <w:name w:val="Body Text"/>
    <w:basedOn w:val="a"/>
    <w:link w:val="Char4"/>
    <w:uiPriority w:val="99"/>
    <w:rsid w:val="00FB732E"/>
    <w:pPr>
      <w:spacing w:after="120"/>
    </w:pPr>
    <w:rPr>
      <w:sz w:val="24"/>
      <w:szCs w:val="20"/>
    </w:rPr>
  </w:style>
  <w:style w:type="character" w:customStyle="1" w:styleId="Char4">
    <w:name w:val="正文文本 Char"/>
    <w:link w:val="ad"/>
    <w:uiPriority w:val="99"/>
    <w:locked/>
    <w:rsid w:val="006D141C"/>
    <w:rPr>
      <w:kern w:val="2"/>
      <w:sz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semiHidden/>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rsid w:val="003A2780"/>
    <w:pPr>
      <w:tabs>
        <w:tab w:val="left" w:pos="1260"/>
        <w:tab w:val="right" w:leader="dot" w:pos="8834"/>
      </w:tabs>
      <w:ind w:leftChars="200" w:left="420"/>
    </w:pPr>
    <w:rPr>
      <w:rFonts w:ascii="宋体"/>
      <w:noProof/>
      <w:sz w:val="24"/>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9A439E"/>
    <w:pPr>
      <w:tabs>
        <w:tab w:val="left" w:pos="420"/>
        <w:tab w:val="right" w:leader="dot" w:pos="9072"/>
      </w:tabs>
    </w:pPr>
  </w:style>
  <w:style w:type="paragraph" w:styleId="32">
    <w:name w:val="toc 3"/>
    <w:basedOn w:val="a"/>
    <w:next w:val="a"/>
    <w:autoRedefine/>
    <w:uiPriority w:val="99"/>
    <w:semiHidden/>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character" w:styleId="af8">
    <w:name w:val="Strong"/>
    <w:uiPriority w:val="22"/>
    <w:qFormat/>
    <w:locked/>
    <w:rsid w:val="00490561"/>
    <w:rPr>
      <w:rFonts w:cs="Times New Roman"/>
      <w:b/>
      <w:bCs/>
    </w:rPr>
  </w:style>
  <w:style w:type="paragraph" w:customStyle="1" w:styleId="af9">
    <w:name w:val="目录模式"/>
    <w:basedOn w:val="22"/>
    <w:link w:val="Charb"/>
    <w:uiPriority w:val="99"/>
    <w:rsid w:val="00F655C6"/>
    <w:rPr>
      <w:rFonts w:hAnsi="宋体"/>
    </w:rPr>
  </w:style>
  <w:style w:type="paragraph" w:customStyle="1" w:styleId="12">
    <w:name w:val="样式1"/>
    <w:basedOn w:val="22"/>
    <w:link w:val="1Char0"/>
    <w:autoRedefine/>
    <w:uiPriority w:val="99"/>
    <w:rsid w:val="00F655C6"/>
    <w:rPr>
      <w:rFonts w:hAnsi="宋体"/>
    </w:rPr>
  </w:style>
  <w:style w:type="character" w:customStyle="1" w:styleId="2Char1">
    <w:name w:val="目录 2 Char"/>
    <w:link w:val="22"/>
    <w:uiPriority w:val="99"/>
    <w:locked/>
    <w:rsid w:val="003A2780"/>
    <w:rPr>
      <w:rFonts w:ascii="宋体" w:eastAsia="宋体" w:cs="Times New Roman"/>
      <w:noProof/>
      <w:kern w:val="2"/>
      <w:sz w:val="24"/>
      <w:szCs w:val="24"/>
    </w:rPr>
  </w:style>
  <w:style w:type="character" w:customStyle="1" w:styleId="Charb">
    <w:name w:val="目录模式 Char"/>
    <w:link w:val="af9"/>
    <w:uiPriority w:val="99"/>
    <w:locked/>
    <w:rsid w:val="00F655C6"/>
    <w:rPr>
      <w:rFonts w:ascii="宋体" w:eastAsia="宋体" w:hAnsi="宋体" w:cs="Times New Roman"/>
      <w:noProof/>
      <w:kern w:val="2"/>
      <w:sz w:val="24"/>
      <w:szCs w:val="24"/>
    </w:rPr>
  </w:style>
  <w:style w:type="character" w:customStyle="1" w:styleId="1Char0">
    <w:name w:val="样式1 Char"/>
    <w:link w:val="12"/>
    <w:uiPriority w:val="99"/>
    <w:locked/>
    <w:rsid w:val="00F655C6"/>
    <w:rPr>
      <w:rFonts w:ascii="宋体" w:eastAsia="宋体" w:hAnsi="宋体" w:cs="Times New Roman"/>
      <w:noProof/>
      <w:kern w:val="2"/>
      <w:sz w:val="24"/>
      <w:szCs w:val="24"/>
    </w:rPr>
  </w:style>
  <w:style w:type="numbering" w:customStyle="1" w:styleId="5">
    <w:name w:val="样式5"/>
    <w:rsid w:val="00583CC6"/>
    <w:pPr>
      <w:numPr>
        <w:numId w:val="8"/>
      </w:numPr>
    </w:pPr>
  </w:style>
  <w:style w:type="numbering" w:customStyle="1" w:styleId="3">
    <w:name w:val="样式3"/>
    <w:rsid w:val="00583CC6"/>
    <w:pPr>
      <w:numPr>
        <w:numId w:val="7"/>
      </w:numPr>
    </w:pPr>
  </w:style>
  <w:style w:type="numbering" w:customStyle="1" w:styleId="4">
    <w:name w:val="样式4"/>
    <w:rsid w:val="00583CC6"/>
    <w:pPr>
      <w:numPr>
        <w:numId w:val="9"/>
      </w:numPr>
    </w:pPr>
  </w:style>
  <w:style w:type="numbering" w:customStyle="1" w:styleId="2">
    <w:name w:val="样式2"/>
    <w:rsid w:val="00583CC6"/>
    <w:pPr>
      <w:numPr>
        <w:numId w:val="16"/>
      </w:numPr>
    </w:pPr>
  </w:style>
  <w:style w:type="paragraph" w:customStyle="1" w:styleId="13">
    <w:name w:val="1"/>
    <w:basedOn w:val="a"/>
    <w:rsid w:val="00B26911"/>
    <w:pPr>
      <w:autoSpaceDE w:val="0"/>
      <w:autoSpaceDN w:val="0"/>
      <w:adjustRightInd w:val="0"/>
      <w:jc w:val="left"/>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02308">
      <w:bodyDiv w:val="1"/>
      <w:marLeft w:val="0"/>
      <w:marRight w:val="0"/>
      <w:marTop w:val="0"/>
      <w:marBottom w:val="0"/>
      <w:divBdr>
        <w:top w:val="none" w:sz="0" w:space="0" w:color="auto"/>
        <w:left w:val="none" w:sz="0" w:space="0" w:color="auto"/>
        <w:bottom w:val="none" w:sz="0" w:space="0" w:color="auto"/>
        <w:right w:val="none" w:sz="0" w:space="0" w:color="auto"/>
      </w:divBdr>
    </w:div>
    <w:div w:id="456416841">
      <w:bodyDiv w:val="1"/>
      <w:marLeft w:val="0"/>
      <w:marRight w:val="0"/>
      <w:marTop w:val="0"/>
      <w:marBottom w:val="0"/>
      <w:divBdr>
        <w:top w:val="none" w:sz="0" w:space="0" w:color="auto"/>
        <w:left w:val="none" w:sz="0" w:space="0" w:color="auto"/>
        <w:bottom w:val="none" w:sz="0" w:space="0" w:color="auto"/>
        <w:right w:val="none" w:sz="0" w:space="0" w:color="auto"/>
      </w:divBdr>
    </w:div>
    <w:div w:id="481386008">
      <w:bodyDiv w:val="1"/>
      <w:marLeft w:val="0"/>
      <w:marRight w:val="0"/>
      <w:marTop w:val="0"/>
      <w:marBottom w:val="0"/>
      <w:divBdr>
        <w:top w:val="none" w:sz="0" w:space="0" w:color="auto"/>
        <w:left w:val="none" w:sz="0" w:space="0" w:color="auto"/>
        <w:bottom w:val="none" w:sz="0" w:space="0" w:color="auto"/>
        <w:right w:val="none" w:sz="0" w:space="0" w:color="auto"/>
      </w:divBdr>
    </w:div>
    <w:div w:id="506407090">
      <w:bodyDiv w:val="1"/>
      <w:marLeft w:val="0"/>
      <w:marRight w:val="0"/>
      <w:marTop w:val="0"/>
      <w:marBottom w:val="0"/>
      <w:divBdr>
        <w:top w:val="none" w:sz="0" w:space="0" w:color="auto"/>
        <w:left w:val="none" w:sz="0" w:space="0" w:color="auto"/>
        <w:bottom w:val="none" w:sz="0" w:space="0" w:color="auto"/>
        <w:right w:val="none" w:sz="0" w:space="0" w:color="auto"/>
      </w:divBdr>
    </w:div>
    <w:div w:id="905839736">
      <w:marLeft w:val="0"/>
      <w:marRight w:val="0"/>
      <w:marTop w:val="0"/>
      <w:marBottom w:val="0"/>
      <w:divBdr>
        <w:top w:val="none" w:sz="0" w:space="0" w:color="auto"/>
        <w:left w:val="none" w:sz="0" w:space="0" w:color="auto"/>
        <w:bottom w:val="none" w:sz="0" w:space="0" w:color="auto"/>
        <w:right w:val="none" w:sz="0" w:space="0" w:color="auto"/>
      </w:divBdr>
    </w:div>
    <w:div w:id="905839737">
      <w:marLeft w:val="0"/>
      <w:marRight w:val="0"/>
      <w:marTop w:val="0"/>
      <w:marBottom w:val="0"/>
      <w:divBdr>
        <w:top w:val="none" w:sz="0" w:space="0" w:color="auto"/>
        <w:left w:val="none" w:sz="0" w:space="0" w:color="auto"/>
        <w:bottom w:val="none" w:sz="0" w:space="0" w:color="auto"/>
        <w:right w:val="none" w:sz="0" w:space="0" w:color="auto"/>
      </w:divBdr>
    </w:div>
    <w:div w:id="905839738">
      <w:marLeft w:val="0"/>
      <w:marRight w:val="0"/>
      <w:marTop w:val="0"/>
      <w:marBottom w:val="0"/>
      <w:divBdr>
        <w:top w:val="none" w:sz="0" w:space="0" w:color="auto"/>
        <w:left w:val="none" w:sz="0" w:space="0" w:color="auto"/>
        <w:bottom w:val="none" w:sz="0" w:space="0" w:color="auto"/>
        <w:right w:val="none" w:sz="0" w:space="0" w:color="auto"/>
      </w:divBdr>
    </w:div>
    <w:div w:id="905839739">
      <w:marLeft w:val="0"/>
      <w:marRight w:val="0"/>
      <w:marTop w:val="0"/>
      <w:marBottom w:val="0"/>
      <w:divBdr>
        <w:top w:val="none" w:sz="0" w:space="0" w:color="auto"/>
        <w:left w:val="none" w:sz="0" w:space="0" w:color="auto"/>
        <w:bottom w:val="none" w:sz="0" w:space="0" w:color="auto"/>
        <w:right w:val="none" w:sz="0" w:space="0" w:color="auto"/>
      </w:divBdr>
    </w:div>
    <w:div w:id="905839740">
      <w:marLeft w:val="0"/>
      <w:marRight w:val="0"/>
      <w:marTop w:val="0"/>
      <w:marBottom w:val="0"/>
      <w:divBdr>
        <w:top w:val="none" w:sz="0" w:space="0" w:color="auto"/>
        <w:left w:val="none" w:sz="0" w:space="0" w:color="auto"/>
        <w:bottom w:val="none" w:sz="0" w:space="0" w:color="auto"/>
        <w:right w:val="none" w:sz="0" w:space="0" w:color="auto"/>
      </w:divBdr>
    </w:div>
    <w:div w:id="905839741">
      <w:marLeft w:val="0"/>
      <w:marRight w:val="0"/>
      <w:marTop w:val="0"/>
      <w:marBottom w:val="0"/>
      <w:divBdr>
        <w:top w:val="none" w:sz="0" w:space="0" w:color="auto"/>
        <w:left w:val="none" w:sz="0" w:space="0" w:color="auto"/>
        <w:bottom w:val="none" w:sz="0" w:space="0" w:color="auto"/>
        <w:right w:val="none" w:sz="0" w:space="0" w:color="auto"/>
      </w:divBdr>
    </w:div>
    <w:div w:id="905839742">
      <w:marLeft w:val="0"/>
      <w:marRight w:val="0"/>
      <w:marTop w:val="0"/>
      <w:marBottom w:val="0"/>
      <w:divBdr>
        <w:top w:val="none" w:sz="0" w:space="0" w:color="auto"/>
        <w:left w:val="none" w:sz="0" w:space="0" w:color="auto"/>
        <w:bottom w:val="none" w:sz="0" w:space="0" w:color="auto"/>
        <w:right w:val="none" w:sz="0" w:space="0" w:color="auto"/>
      </w:divBdr>
    </w:div>
    <w:div w:id="905839743">
      <w:marLeft w:val="0"/>
      <w:marRight w:val="0"/>
      <w:marTop w:val="0"/>
      <w:marBottom w:val="0"/>
      <w:divBdr>
        <w:top w:val="none" w:sz="0" w:space="0" w:color="auto"/>
        <w:left w:val="none" w:sz="0" w:space="0" w:color="auto"/>
        <w:bottom w:val="none" w:sz="0" w:space="0" w:color="auto"/>
        <w:right w:val="none" w:sz="0" w:space="0" w:color="auto"/>
      </w:divBdr>
    </w:div>
    <w:div w:id="905839744">
      <w:marLeft w:val="0"/>
      <w:marRight w:val="0"/>
      <w:marTop w:val="0"/>
      <w:marBottom w:val="0"/>
      <w:divBdr>
        <w:top w:val="none" w:sz="0" w:space="0" w:color="auto"/>
        <w:left w:val="none" w:sz="0" w:space="0" w:color="auto"/>
        <w:bottom w:val="none" w:sz="0" w:space="0" w:color="auto"/>
        <w:right w:val="none" w:sz="0" w:space="0" w:color="auto"/>
      </w:divBdr>
    </w:div>
    <w:div w:id="905839745">
      <w:marLeft w:val="0"/>
      <w:marRight w:val="0"/>
      <w:marTop w:val="0"/>
      <w:marBottom w:val="0"/>
      <w:divBdr>
        <w:top w:val="none" w:sz="0" w:space="0" w:color="auto"/>
        <w:left w:val="none" w:sz="0" w:space="0" w:color="auto"/>
        <w:bottom w:val="none" w:sz="0" w:space="0" w:color="auto"/>
        <w:right w:val="none" w:sz="0" w:space="0" w:color="auto"/>
      </w:divBdr>
    </w:div>
    <w:div w:id="905839746">
      <w:marLeft w:val="0"/>
      <w:marRight w:val="0"/>
      <w:marTop w:val="0"/>
      <w:marBottom w:val="0"/>
      <w:divBdr>
        <w:top w:val="none" w:sz="0" w:space="0" w:color="auto"/>
        <w:left w:val="none" w:sz="0" w:space="0" w:color="auto"/>
        <w:bottom w:val="none" w:sz="0" w:space="0" w:color="auto"/>
        <w:right w:val="none" w:sz="0" w:space="0" w:color="auto"/>
      </w:divBdr>
    </w:div>
    <w:div w:id="905839747">
      <w:marLeft w:val="0"/>
      <w:marRight w:val="0"/>
      <w:marTop w:val="0"/>
      <w:marBottom w:val="0"/>
      <w:divBdr>
        <w:top w:val="none" w:sz="0" w:space="0" w:color="auto"/>
        <w:left w:val="none" w:sz="0" w:space="0" w:color="auto"/>
        <w:bottom w:val="none" w:sz="0" w:space="0" w:color="auto"/>
        <w:right w:val="none" w:sz="0" w:space="0" w:color="auto"/>
      </w:divBdr>
    </w:div>
    <w:div w:id="905839748">
      <w:marLeft w:val="0"/>
      <w:marRight w:val="0"/>
      <w:marTop w:val="0"/>
      <w:marBottom w:val="0"/>
      <w:divBdr>
        <w:top w:val="none" w:sz="0" w:space="0" w:color="auto"/>
        <w:left w:val="none" w:sz="0" w:space="0" w:color="auto"/>
        <w:bottom w:val="none" w:sz="0" w:space="0" w:color="auto"/>
        <w:right w:val="none" w:sz="0" w:space="0" w:color="auto"/>
      </w:divBdr>
    </w:div>
    <w:div w:id="905839749">
      <w:marLeft w:val="0"/>
      <w:marRight w:val="0"/>
      <w:marTop w:val="0"/>
      <w:marBottom w:val="0"/>
      <w:divBdr>
        <w:top w:val="none" w:sz="0" w:space="0" w:color="auto"/>
        <w:left w:val="none" w:sz="0" w:space="0" w:color="auto"/>
        <w:bottom w:val="none" w:sz="0" w:space="0" w:color="auto"/>
        <w:right w:val="none" w:sz="0" w:space="0" w:color="auto"/>
      </w:divBdr>
    </w:div>
    <w:div w:id="905839750">
      <w:marLeft w:val="0"/>
      <w:marRight w:val="0"/>
      <w:marTop w:val="0"/>
      <w:marBottom w:val="0"/>
      <w:divBdr>
        <w:top w:val="none" w:sz="0" w:space="0" w:color="auto"/>
        <w:left w:val="none" w:sz="0" w:space="0" w:color="auto"/>
        <w:bottom w:val="none" w:sz="0" w:space="0" w:color="auto"/>
        <w:right w:val="none" w:sz="0" w:space="0" w:color="auto"/>
      </w:divBdr>
    </w:div>
    <w:div w:id="905839751">
      <w:marLeft w:val="0"/>
      <w:marRight w:val="0"/>
      <w:marTop w:val="0"/>
      <w:marBottom w:val="0"/>
      <w:divBdr>
        <w:top w:val="none" w:sz="0" w:space="0" w:color="auto"/>
        <w:left w:val="none" w:sz="0" w:space="0" w:color="auto"/>
        <w:bottom w:val="none" w:sz="0" w:space="0" w:color="auto"/>
        <w:right w:val="none" w:sz="0" w:space="0" w:color="auto"/>
      </w:divBdr>
    </w:div>
    <w:div w:id="905839752">
      <w:marLeft w:val="0"/>
      <w:marRight w:val="0"/>
      <w:marTop w:val="0"/>
      <w:marBottom w:val="0"/>
      <w:divBdr>
        <w:top w:val="none" w:sz="0" w:space="0" w:color="auto"/>
        <w:left w:val="none" w:sz="0" w:space="0" w:color="auto"/>
        <w:bottom w:val="none" w:sz="0" w:space="0" w:color="auto"/>
        <w:right w:val="none" w:sz="0" w:space="0" w:color="auto"/>
      </w:divBdr>
    </w:div>
    <w:div w:id="905839753">
      <w:marLeft w:val="0"/>
      <w:marRight w:val="0"/>
      <w:marTop w:val="0"/>
      <w:marBottom w:val="0"/>
      <w:divBdr>
        <w:top w:val="none" w:sz="0" w:space="0" w:color="auto"/>
        <w:left w:val="none" w:sz="0" w:space="0" w:color="auto"/>
        <w:bottom w:val="none" w:sz="0" w:space="0" w:color="auto"/>
        <w:right w:val="none" w:sz="0" w:space="0" w:color="auto"/>
      </w:divBdr>
    </w:div>
    <w:div w:id="905839754">
      <w:marLeft w:val="0"/>
      <w:marRight w:val="0"/>
      <w:marTop w:val="0"/>
      <w:marBottom w:val="0"/>
      <w:divBdr>
        <w:top w:val="none" w:sz="0" w:space="0" w:color="auto"/>
        <w:left w:val="none" w:sz="0" w:space="0" w:color="auto"/>
        <w:bottom w:val="none" w:sz="0" w:space="0" w:color="auto"/>
        <w:right w:val="none" w:sz="0" w:space="0" w:color="auto"/>
      </w:divBdr>
    </w:div>
    <w:div w:id="905839755">
      <w:marLeft w:val="0"/>
      <w:marRight w:val="0"/>
      <w:marTop w:val="0"/>
      <w:marBottom w:val="0"/>
      <w:divBdr>
        <w:top w:val="none" w:sz="0" w:space="0" w:color="auto"/>
        <w:left w:val="none" w:sz="0" w:space="0" w:color="auto"/>
        <w:bottom w:val="none" w:sz="0" w:space="0" w:color="auto"/>
        <w:right w:val="none" w:sz="0" w:space="0" w:color="auto"/>
      </w:divBdr>
    </w:div>
    <w:div w:id="905839756">
      <w:marLeft w:val="0"/>
      <w:marRight w:val="0"/>
      <w:marTop w:val="0"/>
      <w:marBottom w:val="0"/>
      <w:divBdr>
        <w:top w:val="none" w:sz="0" w:space="0" w:color="auto"/>
        <w:left w:val="none" w:sz="0" w:space="0" w:color="auto"/>
        <w:bottom w:val="none" w:sz="0" w:space="0" w:color="auto"/>
        <w:right w:val="none" w:sz="0" w:space="0" w:color="auto"/>
      </w:divBdr>
    </w:div>
    <w:div w:id="905839757">
      <w:marLeft w:val="0"/>
      <w:marRight w:val="0"/>
      <w:marTop w:val="0"/>
      <w:marBottom w:val="0"/>
      <w:divBdr>
        <w:top w:val="none" w:sz="0" w:space="0" w:color="auto"/>
        <w:left w:val="none" w:sz="0" w:space="0" w:color="auto"/>
        <w:bottom w:val="none" w:sz="0" w:space="0" w:color="auto"/>
        <w:right w:val="none" w:sz="0" w:space="0" w:color="auto"/>
      </w:divBdr>
    </w:div>
    <w:div w:id="905839758">
      <w:marLeft w:val="0"/>
      <w:marRight w:val="0"/>
      <w:marTop w:val="0"/>
      <w:marBottom w:val="0"/>
      <w:divBdr>
        <w:top w:val="none" w:sz="0" w:space="0" w:color="auto"/>
        <w:left w:val="none" w:sz="0" w:space="0" w:color="auto"/>
        <w:bottom w:val="none" w:sz="0" w:space="0" w:color="auto"/>
        <w:right w:val="none" w:sz="0" w:space="0" w:color="auto"/>
      </w:divBdr>
    </w:div>
    <w:div w:id="905839759">
      <w:marLeft w:val="0"/>
      <w:marRight w:val="0"/>
      <w:marTop w:val="0"/>
      <w:marBottom w:val="0"/>
      <w:divBdr>
        <w:top w:val="none" w:sz="0" w:space="0" w:color="auto"/>
        <w:left w:val="none" w:sz="0" w:space="0" w:color="auto"/>
        <w:bottom w:val="none" w:sz="0" w:space="0" w:color="auto"/>
        <w:right w:val="none" w:sz="0" w:space="0" w:color="auto"/>
      </w:divBdr>
    </w:div>
    <w:div w:id="905839760">
      <w:marLeft w:val="0"/>
      <w:marRight w:val="0"/>
      <w:marTop w:val="0"/>
      <w:marBottom w:val="0"/>
      <w:divBdr>
        <w:top w:val="none" w:sz="0" w:space="0" w:color="auto"/>
        <w:left w:val="none" w:sz="0" w:space="0" w:color="auto"/>
        <w:bottom w:val="none" w:sz="0" w:space="0" w:color="auto"/>
        <w:right w:val="none" w:sz="0" w:space="0" w:color="auto"/>
      </w:divBdr>
    </w:div>
    <w:div w:id="905839761">
      <w:marLeft w:val="0"/>
      <w:marRight w:val="0"/>
      <w:marTop w:val="0"/>
      <w:marBottom w:val="0"/>
      <w:divBdr>
        <w:top w:val="none" w:sz="0" w:space="0" w:color="auto"/>
        <w:left w:val="none" w:sz="0" w:space="0" w:color="auto"/>
        <w:bottom w:val="none" w:sz="0" w:space="0" w:color="auto"/>
        <w:right w:val="none" w:sz="0" w:space="0" w:color="auto"/>
      </w:divBdr>
      <w:divsChild>
        <w:div w:id="905839885">
          <w:marLeft w:val="0"/>
          <w:marRight w:val="0"/>
          <w:marTop w:val="0"/>
          <w:marBottom w:val="0"/>
          <w:divBdr>
            <w:top w:val="none" w:sz="0" w:space="0" w:color="auto"/>
            <w:left w:val="none" w:sz="0" w:space="0" w:color="auto"/>
            <w:bottom w:val="none" w:sz="0" w:space="0" w:color="auto"/>
            <w:right w:val="none" w:sz="0" w:space="0" w:color="auto"/>
          </w:divBdr>
        </w:div>
      </w:divsChild>
    </w:div>
    <w:div w:id="905839762">
      <w:marLeft w:val="0"/>
      <w:marRight w:val="0"/>
      <w:marTop w:val="0"/>
      <w:marBottom w:val="0"/>
      <w:divBdr>
        <w:top w:val="none" w:sz="0" w:space="0" w:color="auto"/>
        <w:left w:val="none" w:sz="0" w:space="0" w:color="auto"/>
        <w:bottom w:val="none" w:sz="0" w:space="0" w:color="auto"/>
        <w:right w:val="none" w:sz="0" w:space="0" w:color="auto"/>
      </w:divBdr>
    </w:div>
    <w:div w:id="905839763">
      <w:marLeft w:val="0"/>
      <w:marRight w:val="0"/>
      <w:marTop w:val="0"/>
      <w:marBottom w:val="0"/>
      <w:divBdr>
        <w:top w:val="none" w:sz="0" w:space="0" w:color="auto"/>
        <w:left w:val="none" w:sz="0" w:space="0" w:color="auto"/>
        <w:bottom w:val="none" w:sz="0" w:space="0" w:color="auto"/>
        <w:right w:val="none" w:sz="0" w:space="0" w:color="auto"/>
      </w:divBdr>
    </w:div>
    <w:div w:id="905839764">
      <w:marLeft w:val="0"/>
      <w:marRight w:val="0"/>
      <w:marTop w:val="0"/>
      <w:marBottom w:val="0"/>
      <w:divBdr>
        <w:top w:val="none" w:sz="0" w:space="0" w:color="auto"/>
        <w:left w:val="none" w:sz="0" w:space="0" w:color="auto"/>
        <w:bottom w:val="none" w:sz="0" w:space="0" w:color="auto"/>
        <w:right w:val="none" w:sz="0" w:space="0" w:color="auto"/>
      </w:divBdr>
    </w:div>
    <w:div w:id="905839765">
      <w:marLeft w:val="0"/>
      <w:marRight w:val="0"/>
      <w:marTop w:val="0"/>
      <w:marBottom w:val="0"/>
      <w:divBdr>
        <w:top w:val="none" w:sz="0" w:space="0" w:color="auto"/>
        <w:left w:val="none" w:sz="0" w:space="0" w:color="auto"/>
        <w:bottom w:val="none" w:sz="0" w:space="0" w:color="auto"/>
        <w:right w:val="none" w:sz="0" w:space="0" w:color="auto"/>
      </w:divBdr>
    </w:div>
    <w:div w:id="905839766">
      <w:marLeft w:val="0"/>
      <w:marRight w:val="0"/>
      <w:marTop w:val="0"/>
      <w:marBottom w:val="0"/>
      <w:divBdr>
        <w:top w:val="none" w:sz="0" w:space="0" w:color="auto"/>
        <w:left w:val="none" w:sz="0" w:space="0" w:color="auto"/>
        <w:bottom w:val="none" w:sz="0" w:space="0" w:color="auto"/>
        <w:right w:val="none" w:sz="0" w:space="0" w:color="auto"/>
      </w:divBdr>
    </w:div>
    <w:div w:id="905839767">
      <w:marLeft w:val="0"/>
      <w:marRight w:val="0"/>
      <w:marTop w:val="0"/>
      <w:marBottom w:val="0"/>
      <w:divBdr>
        <w:top w:val="none" w:sz="0" w:space="0" w:color="auto"/>
        <w:left w:val="none" w:sz="0" w:space="0" w:color="auto"/>
        <w:bottom w:val="none" w:sz="0" w:space="0" w:color="auto"/>
        <w:right w:val="none" w:sz="0" w:space="0" w:color="auto"/>
      </w:divBdr>
    </w:div>
    <w:div w:id="905839768">
      <w:marLeft w:val="0"/>
      <w:marRight w:val="0"/>
      <w:marTop w:val="0"/>
      <w:marBottom w:val="0"/>
      <w:divBdr>
        <w:top w:val="none" w:sz="0" w:space="0" w:color="auto"/>
        <w:left w:val="none" w:sz="0" w:space="0" w:color="auto"/>
        <w:bottom w:val="none" w:sz="0" w:space="0" w:color="auto"/>
        <w:right w:val="none" w:sz="0" w:space="0" w:color="auto"/>
      </w:divBdr>
    </w:div>
    <w:div w:id="905839769">
      <w:marLeft w:val="0"/>
      <w:marRight w:val="0"/>
      <w:marTop w:val="0"/>
      <w:marBottom w:val="0"/>
      <w:divBdr>
        <w:top w:val="none" w:sz="0" w:space="0" w:color="auto"/>
        <w:left w:val="none" w:sz="0" w:space="0" w:color="auto"/>
        <w:bottom w:val="none" w:sz="0" w:space="0" w:color="auto"/>
        <w:right w:val="none" w:sz="0" w:space="0" w:color="auto"/>
      </w:divBdr>
    </w:div>
    <w:div w:id="905839770">
      <w:marLeft w:val="0"/>
      <w:marRight w:val="0"/>
      <w:marTop w:val="0"/>
      <w:marBottom w:val="0"/>
      <w:divBdr>
        <w:top w:val="none" w:sz="0" w:space="0" w:color="auto"/>
        <w:left w:val="none" w:sz="0" w:space="0" w:color="auto"/>
        <w:bottom w:val="none" w:sz="0" w:space="0" w:color="auto"/>
        <w:right w:val="none" w:sz="0" w:space="0" w:color="auto"/>
      </w:divBdr>
    </w:div>
    <w:div w:id="905839771">
      <w:marLeft w:val="0"/>
      <w:marRight w:val="0"/>
      <w:marTop w:val="0"/>
      <w:marBottom w:val="0"/>
      <w:divBdr>
        <w:top w:val="none" w:sz="0" w:space="0" w:color="auto"/>
        <w:left w:val="none" w:sz="0" w:space="0" w:color="auto"/>
        <w:bottom w:val="none" w:sz="0" w:space="0" w:color="auto"/>
        <w:right w:val="none" w:sz="0" w:space="0" w:color="auto"/>
      </w:divBdr>
    </w:div>
    <w:div w:id="905839772">
      <w:marLeft w:val="0"/>
      <w:marRight w:val="0"/>
      <w:marTop w:val="0"/>
      <w:marBottom w:val="0"/>
      <w:divBdr>
        <w:top w:val="none" w:sz="0" w:space="0" w:color="auto"/>
        <w:left w:val="none" w:sz="0" w:space="0" w:color="auto"/>
        <w:bottom w:val="none" w:sz="0" w:space="0" w:color="auto"/>
        <w:right w:val="none" w:sz="0" w:space="0" w:color="auto"/>
      </w:divBdr>
    </w:div>
    <w:div w:id="905839773">
      <w:marLeft w:val="0"/>
      <w:marRight w:val="0"/>
      <w:marTop w:val="0"/>
      <w:marBottom w:val="0"/>
      <w:divBdr>
        <w:top w:val="none" w:sz="0" w:space="0" w:color="auto"/>
        <w:left w:val="none" w:sz="0" w:space="0" w:color="auto"/>
        <w:bottom w:val="none" w:sz="0" w:space="0" w:color="auto"/>
        <w:right w:val="none" w:sz="0" w:space="0" w:color="auto"/>
      </w:divBdr>
    </w:div>
    <w:div w:id="905839774">
      <w:marLeft w:val="0"/>
      <w:marRight w:val="0"/>
      <w:marTop w:val="0"/>
      <w:marBottom w:val="0"/>
      <w:divBdr>
        <w:top w:val="none" w:sz="0" w:space="0" w:color="auto"/>
        <w:left w:val="none" w:sz="0" w:space="0" w:color="auto"/>
        <w:bottom w:val="none" w:sz="0" w:space="0" w:color="auto"/>
        <w:right w:val="none" w:sz="0" w:space="0" w:color="auto"/>
      </w:divBdr>
    </w:div>
    <w:div w:id="905839775">
      <w:marLeft w:val="0"/>
      <w:marRight w:val="0"/>
      <w:marTop w:val="0"/>
      <w:marBottom w:val="0"/>
      <w:divBdr>
        <w:top w:val="none" w:sz="0" w:space="0" w:color="auto"/>
        <w:left w:val="none" w:sz="0" w:space="0" w:color="auto"/>
        <w:bottom w:val="none" w:sz="0" w:space="0" w:color="auto"/>
        <w:right w:val="none" w:sz="0" w:space="0" w:color="auto"/>
      </w:divBdr>
    </w:div>
    <w:div w:id="905839776">
      <w:marLeft w:val="0"/>
      <w:marRight w:val="0"/>
      <w:marTop w:val="0"/>
      <w:marBottom w:val="0"/>
      <w:divBdr>
        <w:top w:val="none" w:sz="0" w:space="0" w:color="auto"/>
        <w:left w:val="none" w:sz="0" w:space="0" w:color="auto"/>
        <w:bottom w:val="none" w:sz="0" w:space="0" w:color="auto"/>
        <w:right w:val="none" w:sz="0" w:space="0" w:color="auto"/>
      </w:divBdr>
    </w:div>
    <w:div w:id="905839777">
      <w:marLeft w:val="0"/>
      <w:marRight w:val="0"/>
      <w:marTop w:val="0"/>
      <w:marBottom w:val="0"/>
      <w:divBdr>
        <w:top w:val="none" w:sz="0" w:space="0" w:color="auto"/>
        <w:left w:val="none" w:sz="0" w:space="0" w:color="auto"/>
        <w:bottom w:val="none" w:sz="0" w:space="0" w:color="auto"/>
        <w:right w:val="none" w:sz="0" w:space="0" w:color="auto"/>
      </w:divBdr>
    </w:div>
    <w:div w:id="905839778">
      <w:marLeft w:val="0"/>
      <w:marRight w:val="0"/>
      <w:marTop w:val="0"/>
      <w:marBottom w:val="0"/>
      <w:divBdr>
        <w:top w:val="none" w:sz="0" w:space="0" w:color="auto"/>
        <w:left w:val="none" w:sz="0" w:space="0" w:color="auto"/>
        <w:bottom w:val="none" w:sz="0" w:space="0" w:color="auto"/>
        <w:right w:val="none" w:sz="0" w:space="0" w:color="auto"/>
      </w:divBdr>
    </w:div>
    <w:div w:id="905839779">
      <w:marLeft w:val="0"/>
      <w:marRight w:val="0"/>
      <w:marTop w:val="0"/>
      <w:marBottom w:val="0"/>
      <w:divBdr>
        <w:top w:val="none" w:sz="0" w:space="0" w:color="auto"/>
        <w:left w:val="none" w:sz="0" w:space="0" w:color="auto"/>
        <w:bottom w:val="none" w:sz="0" w:space="0" w:color="auto"/>
        <w:right w:val="none" w:sz="0" w:space="0" w:color="auto"/>
      </w:divBdr>
    </w:div>
    <w:div w:id="905839780">
      <w:marLeft w:val="0"/>
      <w:marRight w:val="0"/>
      <w:marTop w:val="0"/>
      <w:marBottom w:val="0"/>
      <w:divBdr>
        <w:top w:val="none" w:sz="0" w:space="0" w:color="auto"/>
        <w:left w:val="none" w:sz="0" w:space="0" w:color="auto"/>
        <w:bottom w:val="none" w:sz="0" w:space="0" w:color="auto"/>
        <w:right w:val="none" w:sz="0" w:space="0" w:color="auto"/>
      </w:divBdr>
    </w:div>
    <w:div w:id="905839781">
      <w:marLeft w:val="0"/>
      <w:marRight w:val="0"/>
      <w:marTop w:val="0"/>
      <w:marBottom w:val="0"/>
      <w:divBdr>
        <w:top w:val="none" w:sz="0" w:space="0" w:color="auto"/>
        <w:left w:val="none" w:sz="0" w:space="0" w:color="auto"/>
        <w:bottom w:val="none" w:sz="0" w:space="0" w:color="auto"/>
        <w:right w:val="none" w:sz="0" w:space="0" w:color="auto"/>
      </w:divBdr>
    </w:div>
    <w:div w:id="905839782">
      <w:marLeft w:val="0"/>
      <w:marRight w:val="0"/>
      <w:marTop w:val="0"/>
      <w:marBottom w:val="0"/>
      <w:divBdr>
        <w:top w:val="none" w:sz="0" w:space="0" w:color="auto"/>
        <w:left w:val="none" w:sz="0" w:space="0" w:color="auto"/>
        <w:bottom w:val="none" w:sz="0" w:space="0" w:color="auto"/>
        <w:right w:val="none" w:sz="0" w:space="0" w:color="auto"/>
      </w:divBdr>
    </w:div>
    <w:div w:id="905839783">
      <w:marLeft w:val="0"/>
      <w:marRight w:val="0"/>
      <w:marTop w:val="0"/>
      <w:marBottom w:val="0"/>
      <w:divBdr>
        <w:top w:val="none" w:sz="0" w:space="0" w:color="auto"/>
        <w:left w:val="none" w:sz="0" w:space="0" w:color="auto"/>
        <w:bottom w:val="none" w:sz="0" w:space="0" w:color="auto"/>
        <w:right w:val="none" w:sz="0" w:space="0" w:color="auto"/>
      </w:divBdr>
    </w:div>
    <w:div w:id="905839784">
      <w:marLeft w:val="0"/>
      <w:marRight w:val="0"/>
      <w:marTop w:val="0"/>
      <w:marBottom w:val="0"/>
      <w:divBdr>
        <w:top w:val="none" w:sz="0" w:space="0" w:color="auto"/>
        <w:left w:val="none" w:sz="0" w:space="0" w:color="auto"/>
        <w:bottom w:val="none" w:sz="0" w:space="0" w:color="auto"/>
        <w:right w:val="none" w:sz="0" w:space="0" w:color="auto"/>
      </w:divBdr>
    </w:div>
    <w:div w:id="905839785">
      <w:marLeft w:val="0"/>
      <w:marRight w:val="0"/>
      <w:marTop w:val="0"/>
      <w:marBottom w:val="0"/>
      <w:divBdr>
        <w:top w:val="none" w:sz="0" w:space="0" w:color="auto"/>
        <w:left w:val="none" w:sz="0" w:space="0" w:color="auto"/>
        <w:bottom w:val="none" w:sz="0" w:space="0" w:color="auto"/>
        <w:right w:val="none" w:sz="0" w:space="0" w:color="auto"/>
      </w:divBdr>
    </w:div>
    <w:div w:id="905839786">
      <w:marLeft w:val="0"/>
      <w:marRight w:val="0"/>
      <w:marTop w:val="0"/>
      <w:marBottom w:val="0"/>
      <w:divBdr>
        <w:top w:val="none" w:sz="0" w:space="0" w:color="auto"/>
        <w:left w:val="none" w:sz="0" w:space="0" w:color="auto"/>
        <w:bottom w:val="none" w:sz="0" w:space="0" w:color="auto"/>
        <w:right w:val="none" w:sz="0" w:space="0" w:color="auto"/>
      </w:divBdr>
    </w:div>
    <w:div w:id="905839787">
      <w:marLeft w:val="0"/>
      <w:marRight w:val="0"/>
      <w:marTop w:val="0"/>
      <w:marBottom w:val="0"/>
      <w:divBdr>
        <w:top w:val="none" w:sz="0" w:space="0" w:color="auto"/>
        <w:left w:val="none" w:sz="0" w:space="0" w:color="auto"/>
        <w:bottom w:val="none" w:sz="0" w:space="0" w:color="auto"/>
        <w:right w:val="none" w:sz="0" w:space="0" w:color="auto"/>
      </w:divBdr>
    </w:div>
    <w:div w:id="905839788">
      <w:marLeft w:val="0"/>
      <w:marRight w:val="0"/>
      <w:marTop w:val="0"/>
      <w:marBottom w:val="0"/>
      <w:divBdr>
        <w:top w:val="none" w:sz="0" w:space="0" w:color="auto"/>
        <w:left w:val="none" w:sz="0" w:space="0" w:color="auto"/>
        <w:bottom w:val="none" w:sz="0" w:space="0" w:color="auto"/>
        <w:right w:val="none" w:sz="0" w:space="0" w:color="auto"/>
      </w:divBdr>
    </w:div>
    <w:div w:id="905839789">
      <w:marLeft w:val="0"/>
      <w:marRight w:val="0"/>
      <w:marTop w:val="0"/>
      <w:marBottom w:val="0"/>
      <w:divBdr>
        <w:top w:val="none" w:sz="0" w:space="0" w:color="auto"/>
        <w:left w:val="none" w:sz="0" w:space="0" w:color="auto"/>
        <w:bottom w:val="none" w:sz="0" w:space="0" w:color="auto"/>
        <w:right w:val="none" w:sz="0" w:space="0" w:color="auto"/>
      </w:divBdr>
    </w:div>
    <w:div w:id="905839790">
      <w:marLeft w:val="0"/>
      <w:marRight w:val="0"/>
      <w:marTop w:val="0"/>
      <w:marBottom w:val="0"/>
      <w:divBdr>
        <w:top w:val="none" w:sz="0" w:space="0" w:color="auto"/>
        <w:left w:val="none" w:sz="0" w:space="0" w:color="auto"/>
        <w:bottom w:val="none" w:sz="0" w:space="0" w:color="auto"/>
        <w:right w:val="none" w:sz="0" w:space="0" w:color="auto"/>
      </w:divBdr>
    </w:div>
    <w:div w:id="905839791">
      <w:marLeft w:val="0"/>
      <w:marRight w:val="0"/>
      <w:marTop w:val="0"/>
      <w:marBottom w:val="0"/>
      <w:divBdr>
        <w:top w:val="none" w:sz="0" w:space="0" w:color="auto"/>
        <w:left w:val="none" w:sz="0" w:space="0" w:color="auto"/>
        <w:bottom w:val="none" w:sz="0" w:space="0" w:color="auto"/>
        <w:right w:val="none" w:sz="0" w:space="0" w:color="auto"/>
      </w:divBdr>
    </w:div>
    <w:div w:id="905839792">
      <w:marLeft w:val="0"/>
      <w:marRight w:val="0"/>
      <w:marTop w:val="0"/>
      <w:marBottom w:val="0"/>
      <w:divBdr>
        <w:top w:val="none" w:sz="0" w:space="0" w:color="auto"/>
        <w:left w:val="none" w:sz="0" w:space="0" w:color="auto"/>
        <w:bottom w:val="none" w:sz="0" w:space="0" w:color="auto"/>
        <w:right w:val="none" w:sz="0" w:space="0" w:color="auto"/>
      </w:divBdr>
    </w:div>
    <w:div w:id="905839793">
      <w:marLeft w:val="0"/>
      <w:marRight w:val="0"/>
      <w:marTop w:val="0"/>
      <w:marBottom w:val="0"/>
      <w:divBdr>
        <w:top w:val="none" w:sz="0" w:space="0" w:color="auto"/>
        <w:left w:val="none" w:sz="0" w:space="0" w:color="auto"/>
        <w:bottom w:val="none" w:sz="0" w:space="0" w:color="auto"/>
        <w:right w:val="none" w:sz="0" w:space="0" w:color="auto"/>
      </w:divBdr>
    </w:div>
    <w:div w:id="905839794">
      <w:marLeft w:val="0"/>
      <w:marRight w:val="0"/>
      <w:marTop w:val="0"/>
      <w:marBottom w:val="0"/>
      <w:divBdr>
        <w:top w:val="none" w:sz="0" w:space="0" w:color="auto"/>
        <w:left w:val="none" w:sz="0" w:space="0" w:color="auto"/>
        <w:bottom w:val="none" w:sz="0" w:space="0" w:color="auto"/>
        <w:right w:val="none" w:sz="0" w:space="0" w:color="auto"/>
      </w:divBdr>
    </w:div>
    <w:div w:id="905839795">
      <w:marLeft w:val="0"/>
      <w:marRight w:val="0"/>
      <w:marTop w:val="0"/>
      <w:marBottom w:val="0"/>
      <w:divBdr>
        <w:top w:val="none" w:sz="0" w:space="0" w:color="auto"/>
        <w:left w:val="none" w:sz="0" w:space="0" w:color="auto"/>
        <w:bottom w:val="none" w:sz="0" w:space="0" w:color="auto"/>
        <w:right w:val="none" w:sz="0" w:space="0" w:color="auto"/>
      </w:divBdr>
    </w:div>
    <w:div w:id="905839796">
      <w:marLeft w:val="0"/>
      <w:marRight w:val="0"/>
      <w:marTop w:val="0"/>
      <w:marBottom w:val="0"/>
      <w:divBdr>
        <w:top w:val="none" w:sz="0" w:space="0" w:color="auto"/>
        <w:left w:val="none" w:sz="0" w:space="0" w:color="auto"/>
        <w:bottom w:val="none" w:sz="0" w:space="0" w:color="auto"/>
        <w:right w:val="none" w:sz="0" w:space="0" w:color="auto"/>
      </w:divBdr>
    </w:div>
    <w:div w:id="905839797">
      <w:marLeft w:val="0"/>
      <w:marRight w:val="0"/>
      <w:marTop w:val="0"/>
      <w:marBottom w:val="0"/>
      <w:divBdr>
        <w:top w:val="none" w:sz="0" w:space="0" w:color="auto"/>
        <w:left w:val="none" w:sz="0" w:space="0" w:color="auto"/>
        <w:bottom w:val="none" w:sz="0" w:space="0" w:color="auto"/>
        <w:right w:val="none" w:sz="0" w:space="0" w:color="auto"/>
      </w:divBdr>
    </w:div>
    <w:div w:id="905839798">
      <w:marLeft w:val="0"/>
      <w:marRight w:val="0"/>
      <w:marTop w:val="0"/>
      <w:marBottom w:val="0"/>
      <w:divBdr>
        <w:top w:val="none" w:sz="0" w:space="0" w:color="auto"/>
        <w:left w:val="none" w:sz="0" w:space="0" w:color="auto"/>
        <w:bottom w:val="none" w:sz="0" w:space="0" w:color="auto"/>
        <w:right w:val="none" w:sz="0" w:space="0" w:color="auto"/>
      </w:divBdr>
    </w:div>
    <w:div w:id="905839799">
      <w:marLeft w:val="0"/>
      <w:marRight w:val="0"/>
      <w:marTop w:val="0"/>
      <w:marBottom w:val="0"/>
      <w:divBdr>
        <w:top w:val="none" w:sz="0" w:space="0" w:color="auto"/>
        <w:left w:val="none" w:sz="0" w:space="0" w:color="auto"/>
        <w:bottom w:val="none" w:sz="0" w:space="0" w:color="auto"/>
        <w:right w:val="none" w:sz="0" w:space="0" w:color="auto"/>
      </w:divBdr>
    </w:div>
    <w:div w:id="905839800">
      <w:marLeft w:val="0"/>
      <w:marRight w:val="0"/>
      <w:marTop w:val="0"/>
      <w:marBottom w:val="0"/>
      <w:divBdr>
        <w:top w:val="none" w:sz="0" w:space="0" w:color="auto"/>
        <w:left w:val="none" w:sz="0" w:space="0" w:color="auto"/>
        <w:bottom w:val="none" w:sz="0" w:space="0" w:color="auto"/>
        <w:right w:val="none" w:sz="0" w:space="0" w:color="auto"/>
      </w:divBdr>
    </w:div>
    <w:div w:id="905839801">
      <w:marLeft w:val="0"/>
      <w:marRight w:val="0"/>
      <w:marTop w:val="0"/>
      <w:marBottom w:val="0"/>
      <w:divBdr>
        <w:top w:val="none" w:sz="0" w:space="0" w:color="auto"/>
        <w:left w:val="none" w:sz="0" w:space="0" w:color="auto"/>
        <w:bottom w:val="none" w:sz="0" w:space="0" w:color="auto"/>
        <w:right w:val="none" w:sz="0" w:space="0" w:color="auto"/>
      </w:divBdr>
    </w:div>
    <w:div w:id="905839802">
      <w:marLeft w:val="0"/>
      <w:marRight w:val="0"/>
      <w:marTop w:val="0"/>
      <w:marBottom w:val="0"/>
      <w:divBdr>
        <w:top w:val="none" w:sz="0" w:space="0" w:color="auto"/>
        <w:left w:val="none" w:sz="0" w:space="0" w:color="auto"/>
        <w:bottom w:val="none" w:sz="0" w:space="0" w:color="auto"/>
        <w:right w:val="none" w:sz="0" w:space="0" w:color="auto"/>
      </w:divBdr>
    </w:div>
    <w:div w:id="905839803">
      <w:marLeft w:val="0"/>
      <w:marRight w:val="0"/>
      <w:marTop w:val="0"/>
      <w:marBottom w:val="0"/>
      <w:divBdr>
        <w:top w:val="none" w:sz="0" w:space="0" w:color="auto"/>
        <w:left w:val="none" w:sz="0" w:space="0" w:color="auto"/>
        <w:bottom w:val="none" w:sz="0" w:space="0" w:color="auto"/>
        <w:right w:val="none" w:sz="0" w:space="0" w:color="auto"/>
      </w:divBdr>
    </w:div>
    <w:div w:id="905839804">
      <w:marLeft w:val="0"/>
      <w:marRight w:val="0"/>
      <w:marTop w:val="0"/>
      <w:marBottom w:val="0"/>
      <w:divBdr>
        <w:top w:val="none" w:sz="0" w:space="0" w:color="auto"/>
        <w:left w:val="none" w:sz="0" w:space="0" w:color="auto"/>
        <w:bottom w:val="none" w:sz="0" w:space="0" w:color="auto"/>
        <w:right w:val="none" w:sz="0" w:space="0" w:color="auto"/>
      </w:divBdr>
    </w:div>
    <w:div w:id="905839805">
      <w:marLeft w:val="0"/>
      <w:marRight w:val="0"/>
      <w:marTop w:val="0"/>
      <w:marBottom w:val="0"/>
      <w:divBdr>
        <w:top w:val="none" w:sz="0" w:space="0" w:color="auto"/>
        <w:left w:val="none" w:sz="0" w:space="0" w:color="auto"/>
        <w:bottom w:val="none" w:sz="0" w:space="0" w:color="auto"/>
        <w:right w:val="none" w:sz="0" w:space="0" w:color="auto"/>
      </w:divBdr>
    </w:div>
    <w:div w:id="905839806">
      <w:marLeft w:val="0"/>
      <w:marRight w:val="0"/>
      <w:marTop w:val="0"/>
      <w:marBottom w:val="0"/>
      <w:divBdr>
        <w:top w:val="none" w:sz="0" w:space="0" w:color="auto"/>
        <w:left w:val="none" w:sz="0" w:space="0" w:color="auto"/>
        <w:bottom w:val="none" w:sz="0" w:space="0" w:color="auto"/>
        <w:right w:val="none" w:sz="0" w:space="0" w:color="auto"/>
      </w:divBdr>
    </w:div>
    <w:div w:id="905839807">
      <w:marLeft w:val="0"/>
      <w:marRight w:val="0"/>
      <w:marTop w:val="0"/>
      <w:marBottom w:val="0"/>
      <w:divBdr>
        <w:top w:val="none" w:sz="0" w:space="0" w:color="auto"/>
        <w:left w:val="none" w:sz="0" w:space="0" w:color="auto"/>
        <w:bottom w:val="none" w:sz="0" w:space="0" w:color="auto"/>
        <w:right w:val="none" w:sz="0" w:space="0" w:color="auto"/>
      </w:divBdr>
    </w:div>
    <w:div w:id="905839808">
      <w:marLeft w:val="0"/>
      <w:marRight w:val="0"/>
      <w:marTop w:val="0"/>
      <w:marBottom w:val="0"/>
      <w:divBdr>
        <w:top w:val="none" w:sz="0" w:space="0" w:color="auto"/>
        <w:left w:val="none" w:sz="0" w:space="0" w:color="auto"/>
        <w:bottom w:val="none" w:sz="0" w:space="0" w:color="auto"/>
        <w:right w:val="none" w:sz="0" w:space="0" w:color="auto"/>
      </w:divBdr>
    </w:div>
    <w:div w:id="905839809">
      <w:marLeft w:val="0"/>
      <w:marRight w:val="0"/>
      <w:marTop w:val="0"/>
      <w:marBottom w:val="0"/>
      <w:divBdr>
        <w:top w:val="none" w:sz="0" w:space="0" w:color="auto"/>
        <w:left w:val="none" w:sz="0" w:space="0" w:color="auto"/>
        <w:bottom w:val="none" w:sz="0" w:space="0" w:color="auto"/>
        <w:right w:val="none" w:sz="0" w:space="0" w:color="auto"/>
      </w:divBdr>
    </w:div>
    <w:div w:id="905839810">
      <w:marLeft w:val="0"/>
      <w:marRight w:val="0"/>
      <w:marTop w:val="0"/>
      <w:marBottom w:val="0"/>
      <w:divBdr>
        <w:top w:val="none" w:sz="0" w:space="0" w:color="auto"/>
        <w:left w:val="none" w:sz="0" w:space="0" w:color="auto"/>
        <w:bottom w:val="none" w:sz="0" w:space="0" w:color="auto"/>
        <w:right w:val="none" w:sz="0" w:space="0" w:color="auto"/>
      </w:divBdr>
    </w:div>
    <w:div w:id="905839811">
      <w:marLeft w:val="0"/>
      <w:marRight w:val="0"/>
      <w:marTop w:val="0"/>
      <w:marBottom w:val="0"/>
      <w:divBdr>
        <w:top w:val="none" w:sz="0" w:space="0" w:color="auto"/>
        <w:left w:val="none" w:sz="0" w:space="0" w:color="auto"/>
        <w:bottom w:val="none" w:sz="0" w:space="0" w:color="auto"/>
        <w:right w:val="none" w:sz="0" w:space="0" w:color="auto"/>
      </w:divBdr>
    </w:div>
    <w:div w:id="905839812">
      <w:marLeft w:val="0"/>
      <w:marRight w:val="0"/>
      <w:marTop w:val="0"/>
      <w:marBottom w:val="0"/>
      <w:divBdr>
        <w:top w:val="none" w:sz="0" w:space="0" w:color="auto"/>
        <w:left w:val="none" w:sz="0" w:space="0" w:color="auto"/>
        <w:bottom w:val="none" w:sz="0" w:space="0" w:color="auto"/>
        <w:right w:val="none" w:sz="0" w:space="0" w:color="auto"/>
      </w:divBdr>
    </w:div>
    <w:div w:id="905839813">
      <w:marLeft w:val="0"/>
      <w:marRight w:val="0"/>
      <w:marTop w:val="0"/>
      <w:marBottom w:val="0"/>
      <w:divBdr>
        <w:top w:val="none" w:sz="0" w:space="0" w:color="auto"/>
        <w:left w:val="none" w:sz="0" w:space="0" w:color="auto"/>
        <w:bottom w:val="none" w:sz="0" w:space="0" w:color="auto"/>
        <w:right w:val="none" w:sz="0" w:space="0" w:color="auto"/>
      </w:divBdr>
    </w:div>
    <w:div w:id="905839814">
      <w:marLeft w:val="0"/>
      <w:marRight w:val="0"/>
      <w:marTop w:val="0"/>
      <w:marBottom w:val="0"/>
      <w:divBdr>
        <w:top w:val="none" w:sz="0" w:space="0" w:color="auto"/>
        <w:left w:val="none" w:sz="0" w:space="0" w:color="auto"/>
        <w:bottom w:val="none" w:sz="0" w:space="0" w:color="auto"/>
        <w:right w:val="none" w:sz="0" w:space="0" w:color="auto"/>
      </w:divBdr>
    </w:div>
    <w:div w:id="905839815">
      <w:marLeft w:val="0"/>
      <w:marRight w:val="0"/>
      <w:marTop w:val="0"/>
      <w:marBottom w:val="0"/>
      <w:divBdr>
        <w:top w:val="none" w:sz="0" w:space="0" w:color="auto"/>
        <w:left w:val="none" w:sz="0" w:space="0" w:color="auto"/>
        <w:bottom w:val="none" w:sz="0" w:space="0" w:color="auto"/>
        <w:right w:val="none" w:sz="0" w:space="0" w:color="auto"/>
      </w:divBdr>
    </w:div>
    <w:div w:id="905839816">
      <w:marLeft w:val="0"/>
      <w:marRight w:val="0"/>
      <w:marTop w:val="0"/>
      <w:marBottom w:val="0"/>
      <w:divBdr>
        <w:top w:val="none" w:sz="0" w:space="0" w:color="auto"/>
        <w:left w:val="none" w:sz="0" w:space="0" w:color="auto"/>
        <w:bottom w:val="none" w:sz="0" w:space="0" w:color="auto"/>
        <w:right w:val="none" w:sz="0" w:space="0" w:color="auto"/>
      </w:divBdr>
    </w:div>
    <w:div w:id="905839817">
      <w:marLeft w:val="0"/>
      <w:marRight w:val="0"/>
      <w:marTop w:val="0"/>
      <w:marBottom w:val="0"/>
      <w:divBdr>
        <w:top w:val="none" w:sz="0" w:space="0" w:color="auto"/>
        <w:left w:val="none" w:sz="0" w:space="0" w:color="auto"/>
        <w:bottom w:val="none" w:sz="0" w:space="0" w:color="auto"/>
        <w:right w:val="none" w:sz="0" w:space="0" w:color="auto"/>
      </w:divBdr>
    </w:div>
    <w:div w:id="905839818">
      <w:marLeft w:val="0"/>
      <w:marRight w:val="0"/>
      <w:marTop w:val="0"/>
      <w:marBottom w:val="0"/>
      <w:divBdr>
        <w:top w:val="none" w:sz="0" w:space="0" w:color="auto"/>
        <w:left w:val="none" w:sz="0" w:space="0" w:color="auto"/>
        <w:bottom w:val="none" w:sz="0" w:space="0" w:color="auto"/>
        <w:right w:val="none" w:sz="0" w:space="0" w:color="auto"/>
      </w:divBdr>
    </w:div>
    <w:div w:id="905839819">
      <w:marLeft w:val="0"/>
      <w:marRight w:val="0"/>
      <w:marTop w:val="0"/>
      <w:marBottom w:val="0"/>
      <w:divBdr>
        <w:top w:val="none" w:sz="0" w:space="0" w:color="auto"/>
        <w:left w:val="none" w:sz="0" w:space="0" w:color="auto"/>
        <w:bottom w:val="none" w:sz="0" w:space="0" w:color="auto"/>
        <w:right w:val="none" w:sz="0" w:space="0" w:color="auto"/>
      </w:divBdr>
    </w:div>
    <w:div w:id="905839820">
      <w:marLeft w:val="0"/>
      <w:marRight w:val="0"/>
      <w:marTop w:val="0"/>
      <w:marBottom w:val="0"/>
      <w:divBdr>
        <w:top w:val="none" w:sz="0" w:space="0" w:color="auto"/>
        <w:left w:val="none" w:sz="0" w:space="0" w:color="auto"/>
        <w:bottom w:val="none" w:sz="0" w:space="0" w:color="auto"/>
        <w:right w:val="none" w:sz="0" w:space="0" w:color="auto"/>
      </w:divBdr>
    </w:div>
    <w:div w:id="905839821">
      <w:marLeft w:val="0"/>
      <w:marRight w:val="0"/>
      <w:marTop w:val="0"/>
      <w:marBottom w:val="0"/>
      <w:divBdr>
        <w:top w:val="none" w:sz="0" w:space="0" w:color="auto"/>
        <w:left w:val="none" w:sz="0" w:space="0" w:color="auto"/>
        <w:bottom w:val="none" w:sz="0" w:space="0" w:color="auto"/>
        <w:right w:val="none" w:sz="0" w:space="0" w:color="auto"/>
      </w:divBdr>
    </w:div>
    <w:div w:id="905839822">
      <w:marLeft w:val="0"/>
      <w:marRight w:val="0"/>
      <w:marTop w:val="0"/>
      <w:marBottom w:val="0"/>
      <w:divBdr>
        <w:top w:val="none" w:sz="0" w:space="0" w:color="auto"/>
        <w:left w:val="none" w:sz="0" w:space="0" w:color="auto"/>
        <w:bottom w:val="none" w:sz="0" w:space="0" w:color="auto"/>
        <w:right w:val="none" w:sz="0" w:space="0" w:color="auto"/>
      </w:divBdr>
    </w:div>
    <w:div w:id="905839823">
      <w:marLeft w:val="0"/>
      <w:marRight w:val="0"/>
      <w:marTop w:val="0"/>
      <w:marBottom w:val="0"/>
      <w:divBdr>
        <w:top w:val="none" w:sz="0" w:space="0" w:color="auto"/>
        <w:left w:val="none" w:sz="0" w:space="0" w:color="auto"/>
        <w:bottom w:val="none" w:sz="0" w:space="0" w:color="auto"/>
        <w:right w:val="none" w:sz="0" w:space="0" w:color="auto"/>
      </w:divBdr>
    </w:div>
    <w:div w:id="905839824">
      <w:marLeft w:val="0"/>
      <w:marRight w:val="0"/>
      <w:marTop w:val="0"/>
      <w:marBottom w:val="0"/>
      <w:divBdr>
        <w:top w:val="none" w:sz="0" w:space="0" w:color="auto"/>
        <w:left w:val="none" w:sz="0" w:space="0" w:color="auto"/>
        <w:bottom w:val="none" w:sz="0" w:space="0" w:color="auto"/>
        <w:right w:val="none" w:sz="0" w:space="0" w:color="auto"/>
      </w:divBdr>
    </w:div>
    <w:div w:id="905839825">
      <w:marLeft w:val="0"/>
      <w:marRight w:val="0"/>
      <w:marTop w:val="0"/>
      <w:marBottom w:val="0"/>
      <w:divBdr>
        <w:top w:val="none" w:sz="0" w:space="0" w:color="auto"/>
        <w:left w:val="none" w:sz="0" w:space="0" w:color="auto"/>
        <w:bottom w:val="none" w:sz="0" w:space="0" w:color="auto"/>
        <w:right w:val="none" w:sz="0" w:space="0" w:color="auto"/>
      </w:divBdr>
    </w:div>
    <w:div w:id="905839826">
      <w:marLeft w:val="0"/>
      <w:marRight w:val="0"/>
      <w:marTop w:val="0"/>
      <w:marBottom w:val="0"/>
      <w:divBdr>
        <w:top w:val="none" w:sz="0" w:space="0" w:color="auto"/>
        <w:left w:val="none" w:sz="0" w:space="0" w:color="auto"/>
        <w:bottom w:val="none" w:sz="0" w:space="0" w:color="auto"/>
        <w:right w:val="none" w:sz="0" w:space="0" w:color="auto"/>
      </w:divBdr>
    </w:div>
    <w:div w:id="905839827">
      <w:marLeft w:val="0"/>
      <w:marRight w:val="0"/>
      <w:marTop w:val="0"/>
      <w:marBottom w:val="0"/>
      <w:divBdr>
        <w:top w:val="none" w:sz="0" w:space="0" w:color="auto"/>
        <w:left w:val="none" w:sz="0" w:space="0" w:color="auto"/>
        <w:bottom w:val="none" w:sz="0" w:space="0" w:color="auto"/>
        <w:right w:val="none" w:sz="0" w:space="0" w:color="auto"/>
      </w:divBdr>
    </w:div>
    <w:div w:id="905839828">
      <w:marLeft w:val="0"/>
      <w:marRight w:val="0"/>
      <w:marTop w:val="0"/>
      <w:marBottom w:val="0"/>
      <w:divBdr>
        <w:top w:val="none" w:sz="0" w:space="0" w:color="auto"/>
        <w:left w:val="none" w:sz="0" w:space="0" w:color="auto"/>
        <w:bottom w:val="none" w:sz="0" w:space="0" w:color="auto"/>
        <w:right w:val="none" w:sz="0" w:space="0" w:color="auto"/>
      </w:divBdr>
    </w:div>
    <w:div w:id="905839829">
      <w:marLeft w:val="0"/>
      <w:marRight w:val="0"/>
      <w:marTop w:val="0"/>
      <w:marBottom w:val="0"/>
      <w:divBdr>
        <w:top w:val="none" w:sz="0" w:space="0" w:color="auto"/>
        <w:left w:val="none" w:sz="0" w:space="0" w:color="auto"/>
        <w:bottom w:val="none" w:sz="0" w:space="0" w:color="auto"/>
        <w:right w:val="none" w:sz="0" w:space="0" w:color="auto"/>
      </w:divBdr>
    </w:div>
    <w:div w:id="905839830">
      <w:marLeft w:val="0"/>
      <w:marRight w:val="0"/>
      <w:marTop w:val="0"/>
      <w:marBottom w:val="0"/>
      <w:divBdr>
        <w:top w:val="none" w:sz="0" w:space="0" w:color="auto"/>
        <w:left w:val="none" w:sz="0" w:space="0" w:color="auto"/>
        <w:bottom w:val="none" w:sz="0" w:space="0" w:color="auto"/>
        <w:right w:val="none" w:sz="0" w:space="0" w:color="auto"/>
      </w:divBdr>
    </w:div>
    <w:div w:id="905839831">
      <w:marLeft w:val="0"/>
      <w:marRight w:val="0"/>
      <w:marTop w:val="0"/>
      <w:marBottom w:val="0"/>
      <w:divBdr>
        <w:top w:val="none" w:sz="0" w:space="0" w:color="auto"/>
        <w:left w:val="none" w:sz="0" w:space="0" w:color="auto"/>
        <w:bottom w:val="none" w:sz="0" w:space="0" w:color="auto"/>
        <w:right w:val="none" w:sz="0" w:space="0" w:color="auto"/>
      </w:divBdr>
    </w:div>
    <w:div w:id="905839832">
      <w:marLeft w:val="0"/>
      <w:marRight w:val="0"/>
      <w:marTop w:val="0"/>
      <w:marBottom w:val="0"/>
      <w:divBdr>
        <w:top w:val="none" w:sz="0" w:space="0" w:color="auto"/>
        <w:left w:val="none" w:sz="0" w:space="0" w:color="auto"/>
        <w:bottom w:val="none" w:sz="0" w:space="0" w:color="auto"/>
        <w:right w:val="none" w:sz="0" w:space="0" w:color="auto"/>
      </w:divBdr>
    </w:div>
    <w:div w:id="905839833">
      <w:marLeft w:val="0"/>
      <w:marRight w:val="0"/>
      <w:marTop w:val="0"/>
      <w:marBottom w:val="0"/>
      <w:divBdr>
        <w:top w:val="none" w:sz="0" w:space="0" w:color="auto"/>
        <w:left w:val="none" w:sz="0" w:space="0" w:color="auto"/>
        <w:bottom w:val="none" w:sz="0" w:space="0" w:color="auto"/>
        <w:right w:val="none" w:sz="0" w:space="0" w:color="auto"/>
      </w:divBdr>
    </w:div>
    <w:div w:id="905839834">
      <w:marLeft w:val="0"/>
      <w:marRight w:val="0"/>
      <w:marTop w:val="0"/>
      <w:marBottom w:val="0"/>
      <w:divBdr>
        <w:top w:val="none" w:sz="0" w:space="0" w:color="auto"/>
        <w:left w:val="none" w:sz="0" w:space="0" w:color="auto"/>
        <w:bottom w:val="none" w:sz="0" w:space="0" w:color="auto"/>
        <w:right w:val="none" w:sz="0" w:space="0" w:color="auto"/>
      </w:divBdr>
    </w:div>
    <w:div w:id="905839835">
      <w:marLeft w:val="0"/>
      <w:marRight w:val="0"/>
      <w:marTop w:val="0"/>
      <w:marBottom w:val="0"/>
      <w:divBdr>
        <w:top w:val="none" w:sz="0" w:space="0" w:color="auto"/>
        <w:left w:val="none" w:sz="0" w:space="0" w:color="auto"/>
        <w:bottom w:val="none" w:sz="0" w:space="0" w:color="auto"/>
        <w:right w:val="none" w:sz="0" w:space="0" w:color="auto"/>
      </w:divBdr>
    </w:div>
    <w:div w:id="905839836">
      <w:marLeft w:val="0"/>
      <w:marRight w:val="0"/>
      <w:marTop w:val="0"/>
      <w:marBottom w:val="0"/>
      <w:divBdr>
        <w:top w:val="none" w:sz="0" w:space="0" w:color="auto"/>
        <w:left w:val="none" w:sz="0" w:space="0" w:color="auto"/>
        <w:bottom w:val="none" w:sz="0" w:space="0" w:color="auto"/>
        <w:right w:val="none" w:sz="0" w:space="0" w:color="auto"/>
      </w:divBdr>
    </w:div>
    <w:div w:id="905839837">
      <w:marLeft w:val="0"/>
      <w:marRight w:val="0"/>
      <w:marTop w:val="0"/>
      <w:marBottom w:val="0"/>
      <w:divBdr>
        <w:top w:val="none" w:sz="0" w:space="0" w:color="auto"/>
        <w:left w:val="none" w:sz="0" w:space="0" w:color="auto"/>
        <w:bottom w:val="none" w:sz="0" w:space="0" w:color="auto"/>
        <w:right w:val="none" w:sz="0" w:space="0" w:color="auto"/>
      </w:divBdr>
    </w:div>
    <w:div w:id="905839838">
      <w:marLeft w:val="0"/>
      <w:marRight w:val="0"/>
      <w:marTop w:val="0"/>
      <w:marBottom w:val="0"/>
      <w:divBdr>
        <w:top w:val="none" w:sz="0" w:space="0" w:color="auto"/>
        <w:left w:val="none" w:sz="0" w:space="0" w:color="auto"/>
        <w:bottom w:val="none" w:sz="0" w:space="0" w:color="auto"/>
        <w:right w:val="none" w:sz="0" w:space="0" w:color="auto"/>
      </w:divBdr>
    </w:div>
    <w:div w:id="905839839">
      <w:marLeft w:val="0"/>
      <w:marRight w:val="0"/>
      <w:marTop w:val="0"/>
      <w:marBottom w:val="0"/>
      <w:divBdr>
        <w:top w:val="none" w:sz="0" w:space="0" w:color="auto"/>
        <w:left w:val="none" w:sz="0" w:space="0" w:color="auto"/>
        <w:bottom w:val="none" w:sz="0" w:space="0" w:color="auto"/>
        <w:right w:val="none" w:sz="0" w:space="0" w:color="auto"/>
      </w:divBdr>
    </w:div>
    <w:div w:id="905839840">
      <w:marLeft w:val="0"/>
      <w:marRight w:val="0"/>
      <w:marTop w:val="0"/>
      <w:marBottom w:val="0"/>
      <w:divBdr>
        <w:top w:val="none" w:sz="0" w:space="0" w:color="auto"/>
        <w:left w:val="none" w:sz="0" w:space="0" w:color="auto"/>
        <w:bottom w:val="none" w:sz="0" w:space="0" w:color="auto"/>
        <w:right w:val="none" w:sz="0" w:space="0" w:color="auto"/>
      </w:divBdr>
    </w:div>
    <w:div w:id="905839841">
      <w:marLeft w:val="0"/>
      <w:marRight w:val="0"/>
      <w:marTop w:val="0"/>
      <w:marBottom w:val="0"/>
      <w:divBdr>
        <w:top w:val="none" w:sz="0" w:space="0" w:color="auto"/>
        <w:left w:val="none" w:sz="0" w:space="0" w:color="auto"/>
        <w:bottom w:val="none" w:sz="0" w:space="0" w:color="auto"/>
        <w:right w:val="none" w:sz="0" w:space="0" w:color="auto"/>
      </w:divBdr>
    </w:div>
    <w:div w:id="905839842">
      <w:marLeft w:val="0"/>
      <w:marRight w:val="0"/>
      <w:marTop w:val="0"/>
      <w:marBottom w:val="0"/>
      <w:divBdr>
        <w:top w:val="none" w:sz="0" w:space="0" w:color="auto"/>
        <w:left w:val="none" w:sz="0" w:space="0" w:color="auto"/>
        <w:bottom w:val="none" w:sz="0" w:space="0" w:color="auto"/>
        <w:right w:val="none" w:sz="0" w:space="0" w:color="auto"/>
      </w:divBdr>
    </w:div>
    <w:div w:id="905839843">
      <w:marLeft w:val="0"/>
      <w:marRight w:val="0"/>
      <w:marTop w:val="0"/>
      <w:marBottom w:val="0"/>
      <w:divBdr>
        <w:top w:val="none" w:sz="0" w:space="0" w:color="auto"/>
        <w:left w:val="none" w:sz="0" w:space="0" w:color="auto"/>
        <w:bottom w:val="none" w:sz="0" w:space="0" w:color="auto"/>
        <w:right w:val="none" w:sz="0" w:space="0" w:color="auto"/>
      </w:divBdr>
    </w:div>
    <w:div w:id="905839844">
      <w:marLeft w:val="0"/>
      <w:marRight w:val="0"/>
      <w:marTop w:val="0"/>
      <w:marBottom w:val="0"/>
      <w:divBdr>
        <w:top w:val="none" w:sz="0" w:space="0" w:color="auto"/>
        <w:left w:val="none" w:sz="0" w:space="0" w:color="auto"/>
        <w:bottom w:val="none" w:sz="0" w:space="0" w:color="auto"/>
        <w:right w:val="none" w:sz="0" w:space="0" w:color="auto"/>
      </w:divBdr>
    </w:div>
    <w:div w:id="905839845">
      <w:marLeft w:val="0"/>
      <w:marRight w:val="0"/>
      <w:marTop w:val="0"/>
      <w:marBottom w:val="0"/>
      <w:divBdr>
        <w:top w:val="none" w:sz="0" w:space="0" w:color="auto"/>
        <w:left w:val="none" w:sz="0" w:space="0" w:color="auto"/>
        <w:bottom w:val="none" w:sz="0" w:space="0" w:color="auto"/>
        <w:right w:val="none" w:sz="0" w:space="0" w:color="auto"/>
      </w:divBdr>
    </w:div>
    <w:div w:id="905839846">
      <w:marLeft w:val="0"/>
      <w:marRight w:val="0"/>
      <w:marTop w:val="0"/>
      <w:marBottom w:val="0"/>
      <w:divBdr>
        <w:top w:val="none" w:sz="0" w:space="0" w:color="auto"/>
        <w:left w:val="none" w:sz="0" w:space="0" w:color="auto"/>
        <w:bottom w:val="none" w:sz="0" w:space="0" w:color="auto"/>
        <w:right w:val="none" w:sz="0" w:space="0" w:color="auto"/>
      </w:divBdr>
    </w:div>
    <w:div w:id="905839847">
      <w:marLeft w:val="0"/>
      <w:marRight w:val="0"/>
      <w:marTop w:val="0"/>
      <w:marBottom w:val="0"/>
      <w:divBdr>
        <w:top w:val="none" w:sz="0" w:space="0" w:color="auto"/>
        <w:left w:val="none" w:sz="0" w:space="0" w:color="auto"/>
        <w:bottom w:val="none" w:sz="0" w:space="0" w:color="auto"/>
        <w:right w:val="none" w:sz="0" w:space="0" w:color="auto"/>
      </w:divBdr>
    </w:div>
    <w:div w:id="905839848">
      <w:marLeft w:val="0"/>
      <w:marRight w:val="0"/>
      <w:marTop w:val="0"/>
      <w:marBottom w:val="0"/>
      <w:divBdr>
        <w:top w:val="none" w:sz="0" w:space="0" w:color="auto"/>
        <w:left w:val="none" w:sz="0" w:space="0" w:color="auto"/>
        <w:bottom w:val="none" w:sz="0" w:space="0" w:color="auto"/>
        <w:right w:val="none" w:sz="0" w:space="0" w:color="auto"/>
      </w:divBdr>
    </w:div>
    <w:div w:id="905839849">
      <w:marLeft w:val="0"/>
      <w:marRight w:val="0"/>
      <w:marTop w:val="0"/>
      <w:marBottom w:val="0"/>
      <w:divBdr>
        <w:top w:val="none" w:sz="0" w:space="0" w:color="auto"/>
        <w:left w:val="none" w:sz="0" w:space="0" w:color="auto"/>
        <w:bottom w:val="none" w:sz="0" w:space="0" w:color="auto"/>
        <w:right w:val="none" w:sz="0" w:space="0" w:color="auto"/>
      </w:divBdr>
    </w:div>
    <w:div w:id="905839850">
      <w:marLeft w:val="0"/>
      <w:marRight w:val="0"/>
      <w:marTop w:val="0"/>
      <w:marBottom w:val="0"/>
      <w:divBdr>
        <w:top w:val="none" w:sz="0" w:space="0" w:color="auto"/>
        <w:left w:val="none" w:sz="0" w:space="0" w:color="auto"/>
        <w:bottom w:val="none" w:sz="0" w:space="0" w:color="auto"/>
        <w:right w:val="none" w:sz="0" w:space="0" w:color="auto"/>
      </w:divBdr>
    </w:div>
    <w:div w:id="905839851">
      <w:marLeft w:val="0"/>
      <w:marRight w:val="0"/>
      <w:marTop w:val="0"/>
      <w:marBottom w:val="0"/>
      <w:divBdr>
        <w:top w:val="none" w:sz="0" w:space="0" w:color="auto"/>
        <w:left w:val="none" w:sz="0" w:space="0" w:color="auto"/>
        <w:bottom w:val="none" w:sz="0" w:space="0" w:color="auto"/>
        <w:right w:val="none" w:sz="0" w:space="0" w:color="auto"/>
      </w:divBdr>
    </w:div>
    <w:div w:id="905839852">
      <w:marLeft w:val="0"/>
      <w:marRight w:val="0"/>
      <w:marTop w:val="0"/>
      <w:marBottom w:val="0"/>
      <w:divBdr>
        <w:top w:val="none" w:sz="0" w:space="0" w:color="auto"/>
        <w:left w:val="none" w:sz="0" w:space="0" w:color="auto"/>
        <w:bottom w:val="none" w:sz="0" w:space="0" w:color="auto"/>
        <w:right w:val="none" w:sz="0" w:space="0" w:color="auto"/>
      </w:divBdr>
    </w:div>
    <w:div w:id="905839853">
      <w:marLeft w:val="0"/>
      <w:marRight w:val="0"/>
      <w:marTop w:val="0"/>
      <w:marBottom w:val="0"/>
      <w:divBdr>
        <w:top w:val="none" w:sz="0" w:space="0" w:color="auto"/>
        <w:left w:val="none" w:sz="0" w:space="0" w:color="auto"/>
        <w:bottom w:val="none" w:sz="0" w:space="0" w:color="auto"/>
        <w:right w:val="none" w:sz="0" w:space="0" w:color="auto"/>
      </w:divBdr>
    </w:div>
    <w:div w:id="905839854">
      <w:marLeft w:val="0"/>
      <w:marRight w:val="0"/>
      <w:marTop w:val="0"/>
      <w:marBottom w:val="0"/>
      <w:divBdr>
        <w:top w:val="none" w:sz="0" w:space="0" w:color="auto"/>
        <w:left w:val="none" w:sz="0" w:space="0" w:color="auto"/>
        <w:bottom w:val="none" w:sz="0" w:space="0" w:color="auto"/>
        <w:right w:val="none" w:sz="0" w:space="0" w:color="auto"/>
      </w:divBdr>
    </w:div>
    <w:div w:id="905839855">
      <w:marLeft w:val="0"/>
      <w:marRight w:val="0"/>
      <w:marTop w:val="0"/>
      <w:marBottom w:val="0"/>
      <w:divBdr>
        <w:top w:val="none" w:sz="0" w:space="0" w:color="auto"/>
        <w:left w:val="none" w:sz="0" w:space="0" w:color="auto"/>
        <w:bottom w:val="none" w:sz="0" w:space="0" w:color="auto"/>
        <w:right w:val="none" w:sz="0" w:space="0" w:color="auto"/>
      </w:divBdr>
    </w:div>
    <w:div w:id="905839856">
      <w:marLeft w:val="0"/>
      <w:marRight w:val="0"/>
      <w:marTop w:val="0"/>
      <w:marBottom w:val="0"/>
      <w:divBdr>
        <w:top w:val="none" w:sz="0" w:space="0" w:color="auto"/>
        <w:left w:val="none" w:sz="0" w:space="0" w:color="auto"/>
        <w:bottom w:val="none" w:sz="0" w:space="0" w:color="auto"/>
        <w:right w:val="none" w:sz="0" w:space="0" w:color="auto"/>
      </w:divBdr>
    </w:div>
    <w:div w:id="905839857">
      <w:marLeft w:val="0"/>
      <w:marRight w:val="0"/>
      <w:marTop w:val="0"/>
      <w:marBottom w:val="0"/>
      <w:divBdr>
        <w:top w:val="none" w:sz="0" w:space="0" w:color="auto"/>
        <w:left w:val="none" w:sz="0" w:space="0" w:color="auto"/>
        <w:bottom w:val="none" w:sz="0" w:space="0" w:color="auto"/>
        <w:right w:val="none" w:sz="0" w:space="0" w:color="auto"/>
      </w:divBdr>
    </w:div>
    <w:div w:id="905839858">
      <w:marLeft w:val="0"/>
      <w:marRight w:val="0"/>
      <w:marTop w:val="0"/>
      <w:marBottom w:val="0"/>
      <w:divBdr>
        <w:top w:val="none" w:sz="0" w:space="0" w:color="auto"/>
        <w:left w:val="none" w:sz="0" w:space="0" w:color="auto"/>
        <w:bottom w:val="none" w:sz="0" w:space="0" w:color="auto"/>
        <w:right w:val="none" w:sz="0" w:space="0" w:color="auto"/>
      </w:divBdr>
    </w:div>
    <w:div w:id="905839859">
      <w:marLeft w:val="0"/>
      <w:marRight w:val="0"/>
      <w:marTop w:val="0"/>
      <w:marBottom w:val="0"/>
      <w:divBdr>
        <w:top w:val="none" w:sz="0" w:space="0" w:color="auto"/>
        <w:left w:val="none" w:sz="0" w:space="0" w:color="auto"/>
        <w:bottom w:val="none" w:sz="0" w:space="0" w:color="auto"/>
        <w:right w:val="none" w:sz="0" w:space="0" w:color="auto"/>
      </w:divBdr>
    </w:div>
    <w:div w:id="905839860">
      <w:marLeft w:val="0"/>
      <w:marRight w:val="0"/>
      <w:marTop w:val="0"/>
      <w:marBottom w:val="0"/>
      <w:divBdr>
        <w:top w:val="none" w:sz="0" w:space="0" w:color="auto"/>
        <w:left w:val="none" w:sz="0" w:space="0" w:color="auto"/>
        <w:bottom w:val="none" w:sz="0" w:space="0" w:color="auto"/>
        <w:right w:val="none" w:sz="0" w:space="0" w:color="auto"/>
      </w:divBdr>
    </w:div>
    <w:div w:id="905839861">
      <w:marLeft w:val="0"/>
      <w:marRight w:val="0"/>
      <w:marTop w:val="0"/>
      <w:marBottom w:val="0"/>
      <w:divBdr>
        <w:top w:val="none" w:sz="0" w:space="0" w:color="auto"/>
        <w:left w:val="none" w:sz="0" w:space="0" w:color="auto"/>
        <w:bottom w:val="none" w:sz="0" w:space="0" w:color="auto"/>
        <w:right w:val="none" w:sz="0" w:space="0" w:color="auto"/>
      </w:divBdr>
    </w:div>
    <w:div w:id="905839862">
      <w:marLeft w:val="0"/>
      <w:marRight w:val="0"/>
      <w:marTop w:val="0"/>
      <w:marBottom w:val="0"/>
      <w:divBdr>
        <w:top w:val="none" w:sz="0" w:space="0" w:color="auto"/>
        <w:left w:val="none" w:sz="0" w:space="0" w:color="auto"/>
        <w:bottom w:val="none" w:sz="0" w:space="0" w:color="auto"/>
        <w:right w:val="none" w:sz="0" w:space="0" w:color="auto"/>
      </w:divBdr>
    </w:div>
    <w:div w:id="905839863">
      <w:marLeft w:val="0"/>
      <w:marRight w:val="0"/>
      <w:marTop w:val="0"/>
      <w:marBottom w:val="0"/>
      <w:divBdr>
        <w:top w:val="none" w:sz="0" w:space="0" w:color="auto"/>
        <w:left w:val="none" w:sz="0" w:space="0" w:color="auto"/>
        <w:bottom w:val="none" w:sz="0" w:space="0" w:color="auto"/>
        <w:right w:val="none" w:sz="0" w:space="0" w:color="auto"/>
      </w:divBdr>
    </w:div>
    <w:div w:id="905839864">
      <w:marLeft w:val="0"/>
      <w:marRight w:val="0"/>
      <w:marTop w:val="0"/>
      <w:marBottom w:val="0"/>
      <w:divBdr>
        <w:top w:val="none" w:sz="0" w:space="0" w:color="auto"/>
        <w:left w:val="none" w:sz="0" w:space="0" w:color="auto"/>
        <w:bottom w:val="none" w:sz="0" w:space="0" w:color="auto"/>
        <w:right w:val="none" w:sz="0" w:space="0" w:color="auto"/>
      </w:divBdr>
    </w:div>
    <w:div w:id="905839865">
      <w:marLeft w:val="0"/>
      <w:marRight w:val="0"/>
      <w:marTop w:val="0"/>
      <w:marBottom w:val="0"/>
      <w:divBdr>
        <w:top w:val="none" w:sz="0" w:space="0" w:color="auto"/>
        <w:left w:val="none" w:sz="0" w:space="0" w:color="auto"/>
        <w:bottom w:val="none" w:sz="0" w:space="0" w:color="auto"/>
        <w:right w:val="none" w:sz="0" w:space="0" w:color="auto"/>
      </w:divBdr>
    </w:div>
    <w:div w:id="905839866">
      <w:marLeft w:val="0"/>
      <w:marRight w:val="0"/>
      <w:marTop w:val="0"/>
      <w:marBottom w:val="0"/>
      <w:divBdr>
        <w:top w:val="none" w:sz="0" w:space="0" w:color="auto"/>
        <w:left w:val="none" w:sz="0" w:space="0" w:color="auto"/>
        <w:bottom w:val="none" w:sz="0" w:space="0" w:color="auto"/>
        <w:right w:val="none" w:sz="0" w:space="0" w:color="auto"/>
      </w:divBdr>
    </w:div>
    <w:div w:id="905839867">
      <w:marLeft w:val="0"/>
      <w:marRight w:val="0"/>
      <w:marTop w:val="0"/>
      <w:marBottom w:val="0"/>
      <w:divBdr>
        <w:top w:val="none" w:sz="0" w:space="0" w:color="auto"/>
        <w:left w:val="none" w:sz="0" w:space="0" w:color="auto"/>
        <w:bottom w:val="none" w:sz="0" w:space="0" w:color="auto"/>
        <w:right w:val="none" w:sz="0" w:space="0" w:color="auto"/>
      </w:divBdr>
    </w:div>
    <w:div w:id="905839868">
      <w:marLeft w:val="0"/>
      <w:marRight w:val="0"/>
      <w:marTop w:val="0"/>
      <w:marBottom w:val="0"/>
      <w:divBdr>
        <w:top w:val="none" w:sz="0" w:space="0" w:color="auto"/>
        <w:left w:val="none" w:sz="0" w:space="0" w:color="auto"/>
        <w:bottom w:val="none" w:sz="0" w:space="0" w:color="auto"/>
        <w:right w:val="none" w:sz="0" w:space="0" w:color="auto"/>
      </w:divBdr>
    </w:div>
    <w:div w:id="905839869">
      <w:marLeft w:val="0"/>
      <w:marRight w:val="0"/>
      <w:marTop w:val="0"/>
      <w:marBottom w:val="0"/>
      <w:divBdr>
        <w:top w:val="none" w:sz="0" w:space="0" w:color="auto"/>
        <w:left w:val="none" w:sz="0" w:space="0" w:color="auto"/>
        <w:bottom w:val="none" w:sz="0" w:space="0" w:color="auto"/>
        <w:right w:val="none" w:sz="0" w:space="0" w:color="auto"/>
      </w:divBdr>
    </w:div>
    <w:div w:id="905839870">
      <w:marLeft w:val="0"/>
      <w:marRight w:val="0"/>
      <w:marTop w:val="0"/>
      <w:marBottom w:val="0"/>
      <w:divBdr>
        <w:top w:val="none" w:sz="0" w:space="0" w:color="auto"/>
        <w:left w:val="none" w:sz="0" w:space="0" w:color="auto"/>
        <w:bottom w:val="none" w:sz="0" w:space="0" w:color="auto"/>
        <w:right w:val="none" w:sz="0" w:space="0" w:color="auto"/>
      </w:divBdr>
    </w:div>
    <w:div w:id="905839871">
      <w:marLeft w:val="0"/>
      <w:marRight w:val="0"/>
      <w:marTop w:val="0"/>
      <w:marBottom w:val="0"/>
      <w:divBdr>
        <w:top w:val="none" w:sz="0" w:space="0" w:color="auto"/>
        <w:left w:val="none" w:sz="0" w:space="0" w:color="auto"/>
        <w:bottom w:val="none" w:sz="0" w:space="0" w:color="auto"/>
        <w:right w:val="none" w:sz="0" w:space="0" w:color="auto"/>
      </w:divBdr>
    </w:div>
    <w:div w:id="905839872">
      <w:marLeft w:val="0"/>
      <w:marRight w:val="0"/>
      <w:marTop w:val="0"/>
      <w:marBottom w:val="0"/>
      <w:divBdr>
        <w:top w:val="none" w:sz="0" w:space="0" w:color="auto"/>
        <w:left w:val="none" w:sz="0" w:space="0" w:color="auto"/>
        <w:bottom w:val="none" w:sz="0" w:space="0" w:color="auto"/>
        <w:right w:val="none" w:sz="0" w:space="0" w:color="auto"/>
      </w:divBdr>
    </w:div>
    <w:div w:id="905839874">
      <w:marLeft w:val="0"/>
      <w:marRight w:val="0"/>
      <w:marTop w:val="0"/>
      <w:marBottom w:val="0"/>
      <w:divBdr>
        <w:top w:val="none" w:sz="0" w:space="0" w:color="auto"/>
        <w:left w:val="none" w:sz="0" w:space="0" w:color="auto"/>
        <w:bottom w:val="none" w:sz="0" w:space="0" w:color="auto"/>
        <w:right w:val="none" w:sz="0" w:space="0" w:color="auto"/>
      </w:divBdr>
    </w:div>
    <w:div w:id="905839875">
      <w:marLeft w:val="0"/>
      <w:marRight w:val="0"/>
      <w:marTop w:val="0"/>
      <w:marBottom w:val="0"/>
      <w:divBdr>
        <w:top w:val="none" w:sz="0" w:space="0" w:color="auto"/>
        <w:left w:val="none" w:sz="0" w:space="0" w:color="auto"/>
        <w:bottom w:val="none" w:sz="0" w:space="0" w:color="auto"/>
        <w:right w:val="none" w:sz="0" w:space="0" w:color="auto"/>
      </w:divBdr>
    </w:div>
    <w:div w:id="905839876">
      <w:marLeft w:val="0"/>
      <w:marRight w:val="0"/>
      <w:marTop w:val="0"/>
      <w:marBottom w:val="0"/>
      <w:divBdr>
        <w:top w:val="none" w:sz="0" w:space="0" w:color="auto"/>
        <w:left w:val="none" w:sz="0" w:space="0" w:color="auto"/>
        <w:bottom w:val="none" w:sz="0" w:space="0" w:color="auto"/>
        <w:right w:val="none" w:sz="0" w:space="0" w:color="auto"/>
      </w:divBdr>
    </w:div>
    <w:div w:id="905839877">
      <w:marLeft w:val="0"/>
      <w:marRight w:val="0"/>
      <w:marTop w:val="0"/>
      <w:marBottom w:val="0"/>
      <w:divBdr>
        <w:top w:val="none" w:sz="0" w:space="0" w:color="auto"/>
        <w:left w:val="none" w:sz="0" w:space="0" w:color="auto"/>
        <w:bottom w:val="none" w:sz="0" w:space="0" w:color="auto"/>
        <w:right w:val="none" w:sz="0" w:space="0" w:color="auto"/>
      </w:divBdr>
    </w:div>
    <w:div w:id="905839878">
      <w:marLeft w:val="0"/>
      <w:marRight w:val="0"/>
      <w:marTop w:val="0"/>
      <w:marBottom w:val="0"/>
      <w:divBdr>
        <w:top w:val="none" w:sz="0" w:space="0" w:color="auto"/>
        <w:left w:val="none" w:sz="0" w:space="0" w:color="auto"/>
        <w:bottom w:val="none" w:sz="0" w:space="0" w:color="auto"/>
        <w:right w:val="none" w:sz="0" w:space="0" w:color="auto"/>
      </w:divBdr>
    </w:div>
    <w:div w:id="905839879">
      <w:marLeft w:val="0"/>
      <w:marRight w:val="0"/>
      <w:marTop w:val="0"/>
      <w:marBottom w:val="0"/>
      <w:divBdr>
        <w:top w:val="none" w:sz="0" w:space="0" w:color="auto"/>
        <w:left w:val="none" w:sz="0" w:space="0" w:color="auto"/>
        <w:bottom w:val="none" w:sz="0" w:space="0" w:color="auto"/>
        <w:right w:val="none" w:sz="0" w:space="0" w:color="auto"/>
      </w:divBdr>
    </w:div>
    <w:div w:id="905839880">
      <w:marLeft w:val="0"/>
      <w:marRight w:val="0"/>
      <w:marTop w:val="0"/>
      <w:marBottom w:val="0"/>
      <w:divBdr>
        <w:top w:val="none" w:sz="0" w:space="0" w:color="auto"/>
        <w:left w:val="none" w:sz="0" w:space="0" w:color="auto"/>
        <w:bottom w:val="none" w:sz="0" w:space="0" w:color="auto"/>
        <w:right w:val="none" w:sz="0" w:space="0" w:color="auto"/>
      </w:divBdr>
    </w:div>
    <w:div w:id="905839881">
      <w:marLeft w:val="0"/>
      <w:marRight w:val="0"/>
      <w:marTop w:val="0"/>
      <w:marBottom w:val="0"/>
      <w:divBdr>
        <w:top w:val="none" w:sz="0" w:space="0" w:color="auto"/>
        <w:left w:val="none" w:sz="0" w:space="0" w:color="auto"/>
        <w:bottom w:val="none" w:sz="0" w:space="0" w:color="auto"/>
        <w:right w:val="none" w:sz="0" w:space="0" w:color="auto"/>
      </w:divBdr>
    </w:div>
    <w:div w:id="905839882">
      <w:marLeft w:val="0"/>
      <w:marRight w:val="0"/>
      <w:marTop w:val="0"/>
      <w:marBottom w:val="0"/>
      <w:divBdr>
        <w:top w:val="none" w:sz="0" w:space="0" w:color="auto"/>
        <w:left w:val="none" w:sz="0" w:space="0" w:color="auto"/>
        <w:bottom w:val="none" w:sz="0" w:space="0" w:color="auto"/>
        <w:right w:val="none" w:sz="0" w:space="0" w:color="auto"/>
      </w:divBdr>
    </w:div>
    <w:div w:id="905839883">
      <w:marLeft w:val="0"/>
      <w:marRight w:val="0"/>
      <w:marTop w:val="0"/>
      <w:marBottom w:val="0"/>
      <w:divBdr>
        <w:top w:val="none" w:sz="0" w:space="0" w:color="auto"/>
        <w:left w:val="none" w:sz="0" w:space="0" w:color="auto"/>
        <w:bottom w:val="none" w:sz="0" w:space="0" w:color="auto"/>
        <w:right w:val="none" w:sz="0" w:space="0" w:color="auto"/>
      </w:divBdr>
    </w:div>
    <w:div w:id="905839884">
      <w:marLeft w:val="0"/>
      <w:marRight w:val="0"/>
      <w:marTop w:val="0"/>
      <w:marBottom w:val="0"/>
      <w:divBdr>
        <w:top w:val="none" w:sz="0" w:space="0" w:color="auto"/>
        <w:left w:val="none" w:sz="0" w:space="0" w:color="auto"/>
        <w:bottom w:val="none" w:sz="0" w:space="0" w:color="auto"/>
        <w:right w:val="none" w:sz="0" w:space="0" w:color="auto"/>
      </w:divBdr>
    </w:div>
    <w:div w:id="905839886">
      <w:marLeft w:val="0"/>
      <w:marRight w:val="0"/>
      <w:marTop w:val="0"/>
      <w:marBottom w:val="0"/>
      <w:divBdr>
        <w:top w:val="none" w:sz="0" w:space="0" w:color="auto"/>
        <w:left w:val="none" w:sz="0" w:space="0" w:color="auto"/>
        <w:bottom w:val="none" w:sz="0" w:space="0" w:color="auto"/>
        <w:right w:val="none" w:sz="0" w:space="0" w:color="auto"/>
      </w:divBdr>
    </w:div>
    <w:div w:id="905839887">
      <w:marLeft w:val="0"/>
      <w:marRight w:val="0"/>
      <w:marTop w:val="0"/>
      <w:marBottom w:val="0"/>
      <w:divBdr>
        <w:top w:val="none" w:sz="0" w:space="0" w:color="auto"/>
        <w:left w:val="none" w:sz="0" w:space="0" w:color="auto"/>
        <w:bottom w:val="none" w:sz="0" w:space="0" w:color="auto"/>
        <w:right w:val="none" w:sz="0" w:space="0" w:color="auto"/>
      </w:divBdr>
    </w:div>
    <w:div w:id="905839888">
      <w:marLeft w:val="0"/>
      <w:marRight w:val="0"/>
      <w:marTop w:val="0"/>
      <w:marBottom w:val="0"/>
      <w:divBdr>
        <w:top w:val="none" w:sz="0" w:space="0" w:color="auto"/>
        <w:left w:val="none" w:sz="0" w:space="0" w:color="auto"/>
        <w:bottom w:val="none" w:sz="0" w:space="0" w:color="auto"/>
        <w:right w:val="none" w:sz="0" w:space="0" w:color="auto"/>
      </w:divBdr>
    </w:div>
    <w:div w:id="905839889">
      <w:marLeft w:val="0"/>
      <w:marRight w:val="0"/>
      <w:marTop w:val="0"/>
      <w:marBottom w:val="0"/>
      <w:divBdr>
        <w:top w:val="none" w:sz="0" w:space="0" w:color="auto"/>
        <w:left w:val="none" w:sz="0" w:space="0" w:color="auto"/>
        <w:bottom w:val="none" w:sz="0" w:space="0" w:color="auto"/>
        <w:right w:val="none" w:sz="0" w:space="0" w:color="auto"/>
      </w:divBdr>
    </w:div>
    <w:div w:id="905839890">
      <w:marLeft w:val="0"/>
      <w:marRight w:val="0"/>
      <w:marTop w:val="0"/>
      <w:marBottom w:val="0"/>
      <w:divBdr>
        <w:top w:val="none" w:sz="0" w:space="0" w:color="auto"/>
        <w:left w:val="none" w:sz="0" w:space="0" w:color="auto"/>
        <w:bottom w:val="none" w:sz="0" w:space="0" w:color="auto"/>
        <w:right w:val="none" w:sz="0" w:space="0" w:color="auto"/>
      </w:divBdr>
    </w:div>
    <w:div w:id="905839891">
      <w:marLeft w:val="0"/>
      <w:marRight w:val="0"/>
      <w:marTop w:val="0"/>
      <w:marBottom w:val="0"/>
      <w:divBdr>
        <w:top w:val="none" w:sz="0" w:space="0" w:color="auto"/>
        <w:left w:val="none" w:sz="0" w:space="0" w:color="auto"/>
        <w:bottom w:val="none" w:sz="0" w:space="0" w:color="auto"/>
        <w:right w:val="none" w:sz="0" w:space="0" w:color="auto"/>
      </w:divBdr>
    </w:div>
    <w:div w:id="905839892">
      <w:marLeft w:val="0"/>
      <w:marRight w:val="0"/>
      <w:marTop w:val="0"/>
      <w:marBottom w:val="0"/>
      <w:divBdr>
        <w:top w:val="none" w:sz="0" w:space="0" w:color="auto"/>
        <w:left w:val="none" w:sz="0" w:space="0" w:color="auto"/>
        <w:bottom w:val="none" w:sz="0" w:space="0" w:color="auto"/>
        <w:right w:val="none" w:sz="0" w:space="0" w:color="auto"/>
      </w:divBdr>
    </w:div>
    <w:div w:id="905839893">
      <w:marLeft w:val="0"/>
      <w:marRight w:val="0"/>
      <w:marTop w:val="0"/>
      <w:marBottom w:val="0"/>
      <w:divBdr>
        <w:top w:val="none" w:sz="0" w:space="0" w:color="auto"/>
        <w:left w:val="none" w:sz="0" w:space="0" w:color="auto"/>
        <w:bottom w:val="none" w:sz="0" w:space="0" w:color="auto"/>
        <w:right w:val="none" w:sz="0" w:space="0" w:color="auto"/>
      </w:divBdr>
    </w:div>
    <w:div w:id="905839894">
      <w:marLeft w:val="0"/>
      <w:marRight w:val="0"/>
      <w:marTop w:val="0"/>
      <w:marBottom w:val="0"/>
      <w:divBdr>
        <w:top w:val="none" w:sz="0" w:space="0" w:color="auto"/>
        <w:left w:val="none" w:sz="0" w:space="0" w:color="auto"/>
        <w:bottom w:val="none" w:sz="0" w:space="0" w:color="auto"/>
        <w:right w:val="none" w:sz="0" w:space="0" w:color="auto"/>
      </w:divBdr>
    </w:div>
    <w:div w:id="905839895">
      <w:marLeft w:val="0"/>
      <w:marRight w:val="0"/>
      <w:marTop w:val="0"/>
      <w:marBottom w:val="0"/>
      <w:divBdr>
        <w:top w:val="none" w:sz="0" w:space="0" w:color="auto"/>
        <w:left w:val="none" w:sz="0" w:space="0" w:color="auto"/>
        <w:bottom w:val="none" w:sz="0" w:space="0" w:color="auto"/>
        <w:right w:val="none" w:sz="0" w:space="0" w:color="auto"/>
      </w:divBdr>
    </w:div>
    <w:div w:id="905839896">
      <w:marLeft w:val="0"/>
      <w:marRight w:val="0"/>
      <w:marTop w:val="0"/>
      <w:marBottom w:val="0"/>
      <w:divBdr>
        <w:top w:val="none" w:sz="0" w:space="0" w:color="auto"/>
        <w:left w:val="none" w:sz="0" w:space="0" w:color="auto"/>
        <w:bottom w:val="none" w:sz="0" w:space="0" w:color="auto"/>
        <w:right w:val="none" w:sz="0" w:space="0" w:color="auto"/>
      </w:divBdr>
    </w:div>
    <w:div w:id="905839897">
      <w:marLeft w:val="0"/>
      <w:marRight w:val="0"/>
      <w:marTop w:val="0"/>
      <w:marBottom w:val="0"/>
      <w:divBdr>
        <w:top w:val="none" w:sz="0" w:space="0" w:color="auto"/>
        <w:left w:val="none" w:sz="0" w:space="0" w:color="auto"/>
        <w:bottom w:val="none" w:sz="0" w:space="0" w:color="auto"/>
        <w:right w:val="none" w:sz="0" w:space="0" w:color="auto"/>
      </w:divBdr>
    </w:div>
    <w:div w:id="905839898">
      <w:marLeft w:val="0"/>
      <w:marRight w:val="0"/>
      <w:marTop w:val="0"/>
      <w:marBottom w:val="0"/>
      <w:divBdr>
        <w:top w:val="none" w:sz="0" w:space="0" w:color="auto"/>
        <w:left w:val="none" w:sz="0" w:space="0" w:color="auto"/>
        <w:bottom w:val="none" w:sz="0" w:space="0" w:color="auto"/>
        <w:right w:val="none" w:sz="0" w:space="0" w:color="auto"/>
      </w:divBdr>
    </w:div>
    <w:div w:id="905839899">
      <w:marLeft w:val="0"/>
      <w:marRight w:val="0"/>
      <w:marTop w:val="0"/>
      <w:marBottom w:val="0"/>
      <w:divBdr>
        <w:top w:val="none" w:sz="0" w:space="0" w:color="auto"/>
        <w:left w:val="none" w:sz="0" w:space="0" w:color="auto"/>
        <w:bottom w:val="none" w:sz="0" w:space="0" w:color="auto"/>
        <w:right w:val="none" w:sz="0" w:space="0" w:color="auto"/>
      </w:divBdr>
    </w:div>
    <w:div w:id="905839900">
      <w:marLeft w:val="0"/>
      <w:marRight w:val="0"/>
      <w:marTop w:val="0"/>
      <w:marBottom w:val="0"/>
      <w:divBdr>
        <w:top w:val="none" w:sz="0" w:space="0" w:color="auto"/>
        <w:left w:val="none" w:sz="0" w:space="0" w:color="auto"/>
        <w:bottom w:val="none" w:sz="0" w:space="0" w:color="auto"/>
        <w:right w:val="none" w:sz="0" w:space="0" w:color="auto"/>
      </w:divBdr>
    </w:div>
    <w:div w:id="905839901">
      <w:marLeft w:val="0"/>
      <w:marRight w:val="0"/>
      <w:marTop w:val="0"/>
      <w:marBottom w:val="0"/>
      <w:divBdr>
        <w:top w:val="none" w:sz="0" w:space="0" w:color="auto"/>
        <w:left w:val="none" w:sz="0" w:space="0" w:color="auto"/>
        <w:bottom w:val="none" w:sz="0" w:space="0" w:color="auto"/>
        <w:right w:val="none" w:sz="0" w:space="0" w:color="auto"/>
      </w:divBdr>
    </w:div>
    <w:div w:id="905839902">
      <w:marLeft w:val="0"/>
      <w:marRight w:val="0"/>
      <w:marTop w:val="0"/>
      <w:marBottom w:val="0"/>
      <w:divBdr>
        <w:top w:val="none" w:sz="0" w:space="0" w:color="auto"/>
        <w:left w:val="none" w:sz="0" w:space="0" w:color="auto"/>
        <w:bottom w:val="none" w:sz="0" w:space="0" w:color="auto"/>
        <w:right w:val="none" w:sz="0" w:space="0" w:color="auto"/>
      </w:divBdr>
    </w:div>
    <w:div w:id="905839903">
      <w:marLeft w:val="0"/>
      <w:marRight w:val="0"/>
      <w:marTop w:val="0"/>
      <w:marBottom w:val="0"/>
      <w:divBdr>
        <w:top w:val="none" w:sz="0" w:space="0" w:color="auto"/>
        <w:left w:val="none" w:sz="0" w:space="0" w:color="auto"/>
        <w:bottom w:val="none" w:sz="0" w:space="0" w:color="auto"/>
        <w:right w:val="none" w:sz="0" w:space="0" w:color="auto"/>
      </w:divBdr>
    </w:div>
    <w:div w:id="905839904">
      <w:marLeft w:val="0"/>
      <w:marRight w:val="0"/>
      <w:marTop w:val="0"/>
      <w:marBottom w:val="0"/>
      <w:divBdr>
        <w:top w:val="none" w:sz="0" w:space="0" w:color="auto"/>
        <w:left w:val="none" w:sz="0" w:space="0" w:color="auto"/>
        <w:bottom w:val="none" w:sz="0" w:space="0" w:color="auto"/>
        <w:right w:val="none" w:sz="0" w:space="0" w:color="auto"/>
      </w:divBdr>
    </w:div>
    <w:div w:id="905839905">
      <w:marLeft w:val="0"/>
      <w:marRight w:val="0"/>
      <w:marTop w:val="0"/>
      <w:marBottom w:val="0"/>
      <w:divBdr>
        <w:top w:val="none" w:sz="0" w:space="0" w:color="auto"/>
        <w:left w:val="none" w:sz="0" w:space="0" w:color="auto"/>
        <w:bottom w:val="none" w:sz="0" w:space="0" w:color="auto"/>
        <w:right w:val="none" w:sz="0" w:space="0" w:color="auto"/>
      </w:divBdr>
    </w:div>
    <w:div w:id="905839906">
      <w:marLeft w:val="0"/>
      <w:marRight w:val="0"/>
      <w:marTop w:val="0"/>
      <w:marBottom w:val="0"/>
      <w:divBdr>
        <w:top w:val="none" w:sz="0" w:space="0" w:color="auto"/>
        <w:left w:val="none" w:sz="0" w:space="0" w:color="auto"/>
        <w:bottom w:val="none" w:sz="0" w:space="0" w:color="auto"/>
        <w:right w:val="none" w:sz="0" w:space="0" w:color="auto"/>
      </w:divBdr>
    </w:div>
    <w:div w:id="905839907">
      <w:marLeft w:val="0"/>
      <w:marRight w:val="0"/>
      <w:marTop w:val="0"/>
      <w:marBottom w:val="0"/>
      <w:divBdr>
        <w:top w:val="none" w:sz="0" w:space="0" w:color="auto"/>
        <w:left w:val="none" w:sz="0" w:space="0" w:color="auto"/>
        <w:bottom w:val="none" w:sz="0" w:space="0" w:color="auto"/>
        <w:right w:val="none" w:sz="0" w:space="0" w:color="auto"/>
      </w:divBdr>
    </w:div>
    <w:div w:id="905839908">
      <w:marLeft w:val="0"/>
      <w:marRight w:val="0"/>
      <w:marTop w:val="0"/>
      <w:marBottom w:val="0"/>
      <w:divBdr>
        <w:top w:val="none" w:sz="0" w:space="0" w:color="auto"/>
        <w:left w:val="none" w:sz="0" w:space="0" w:color="auto"/>
        <w:bottom w:val="none" w:sz="0" w:space="0" w:color="auto"/>
        <w:right w:val="none" w:sz="0" w:space="0" w:color="auto"/>
      </w:divBdr>
    </w:div>
    <w:div w:id="905839909">
      <w:marLeft w:val="0"/>
      <w:marRight w:val="0"/>
      <w:marTop w:val="0"/>
      <w:marBottom w:val="0"/>
      <w:divBdr>
        <w:top w:val="none" w:sz="0" w:space="0" w:color="auto"/>
        <w:left w:val="none" w:sz="0" w:space="0" w:color="auto"/>
        <w:bottom w:val="none" w:sz="0" w:space="0" w:color="auto"/>
        <w:right w:val="none" w:sz="0" w:space="0" w:color="auto"/>
      </w:divBdr>
    </w:div>
    <w:div w:id="905839910">
      <w:marLeft w:val="0"/>
      <w:marRight w:val="0"/>
      <w:marTop w:val="0"/>
      <w:marBottom w:val="0"/>
      <w:divBdr>
        <w:top w:val="none" w:sz="0" w:space="0" w:color="auto"/>
        <w:left w:val="none" w:sz="0" w:space="0" w:color="auto"/>
        <w:bottom w:val="none" w:sz="0" w:space="0" w:color="auto"/>
        <w:right w:val="none" w:sz="0" w:space="0" w:color="auto"/>
      </w:divBdr>
    </w:div>
    <w:div w:id="905839911">
      <w:marLeft w:val="0"/>
      <w:marRight w:val="0"/>
      <w:marTop w:val="0"/>
      <w:marBottom w:val="0"/>
      <w:divBdr>
        <w:top w:val="none" w:sz="0" w:space="0" w:color="auto"/>
        <w:left w:val="none" w:sz="0" w:space="0" w:color="auto"/>
        <w:bottom w:val="none" w:sz="0" w:space="0" w:color="auto"/>
        <w:right w:val="none" w:sz="0" w:space="0" w:color="auto"/>
      </w:divBdr>
    </w:div>
    <w:div w:id="905839912">
      <w:marLeft w:val="0"/>
      <w:marRight w:val="0"/>
      <w:marTop w:val="0"/>
      <w:marBottom w:val="0"/>
      <w:divBdr>
        <w:top w:val="none" w:sz="0" w:space="0" w:color="auto"/>
        <w:left w:val="none" w:sz="0" w:space="0" w:color="auto"/>
        <w:bottom w:val="none" w:sz="0" w:space="0" w:color="auto"/>
        <w:right w:val="none" w:sz="0" w:space="0" w:color="auto"/>
      </w:divBdr>
    </w:div>
    <w:div w:id="905839913">
      <w:marLeft w:val="0"/>
      <w:marRight w:val="0"/>
      <w:marTop w:val="0"/>
      <w:marBottom w:val="0"/>
      <w:divBdr>
        <w:top w:val="none" w:sz="0" w:space="0" w:color="auto"/>
        <w:left w:val="none" w:sz="0" w:space="0" w:color="auto"/>
        <w:bottom w:val="none" w:sz="0" w:space="0" w:color="auto"/>
        <w:right w:val="none" w:sz="0" w:space="0" w:color="auto"/>
      </w:divBdr>
    </w:div>
    <w:div w:id="905839914">
      <w:marLeft w:val="0"/>
      <w:marRight w:val="0"/>
      <w:marTop w:val="0"/>
      <w:marBottom w:val="0"/>
      <w:divBdr>
        <w:top w:val="none" w:sz="0" w:space="0" w:color="auto"/>
        <w:left w:val="none" w:sz="0" w:space="0" w:color="auto"/>
        <w:bottom w:val="none" w:sz="0" w:space="0" w:color="auto"/>
        <w:right w:val="none" w:sz="0" w:space="0" w:color="auto"/>
      </w:divBdr>
    </w:div>
    <w:div w:id="905839915">
      <w:marLeft w:val="0"/>
      <w:marRight w:val="0"/>
      <w:marTop w:val="0"/>
      <w:marBottom w:val="0"/>
      <w:divBdr>
        <w:top w:val="none" w:sz="0" w:space="0" w:color="auto"/>
        <w:left w:val="none" w:sz="0" w:space="0" w:color="auto"/>
        <w:bottom w:val="none" w:sz="0" w:space="0" w:color="auto"/>
        <w:right w:val="none" w:sz="0" w:space="0" w:color="auto"/>
      </w:divBdr>
    </w:div>
    <w:div w:id="905839916">
      <w:marLeft w:val="0"/>
      <w:marRight w:val="0"/>
      <w:marTop w:val="0"/>
      <w:marBottom w:val="0"/>
      <w:divBdr>
        <w:top w:val="none" w:sz="0" w:space="0" w:color="auto"/>
        <w:left w:val="none" w:sz="0" w:space="0" w:color="auto"/>
        <w:bottom w:val="none" w:sz="0" w:space="0" w:color="auto"/>
        <w:right w:val="none" w:sz="0" w:space="0" w:color="auto"/>
      </w:divBdr>
    </w:div>
    <w:div w:id="905839917">
      <w:marLeft w:val="0"/>
      <w:marRight w:val="0"/>
      <w:marTop w:val="0"/>
      <w:marBottom w:val="0"/>
      <w:divBdr>
        <w:top w:val="none" w:sz="0" w:space="0" w:color="auto"/>
        <w:left w:val="none" w:sz="0" w:space="0" w:color="auto"/>
        <w:bottom w:val="none" w:sz="0" w:space="0" w:color="auto"/>
        <w:right w:val="none" w:sz="0" w:space="0" w:color="auto"/>
      </w:divBdr>
    </w:div>
    <w:div w:id="905839918">
      <w:marLeft w:val="0"/>
      <w:marRight w:val="0"/>
      <w:marTop w:val="0"/>
      <w:marBottom w:val="0"/>
      <w:divBdr>
        <w:top w:val="none" w:sz="0" w:space="0" w:color="auto"/>
        <w:left w:val="none" w:sz="0" w:space="0" w:color="auto"/>
        <w:bottom w:val="none" w:sz="0" w:space="0" w:color="auto"/>
        <w:right w:val="none" w:sz="0" w:space="0" w:color="auto"/>
      </w:divBdr>
    </w:div>
    <w:div w:id="905839919">
      <w:marLeft w:val="0"/>
      <w:marRight w:val="0"/>
      <w:marTop w:val="0"/>
      <w:marBottom w:val="0"/>
      <w:divBdr>
        <w:top w:val="none" w:sz="0" w:space="0" w:color="auto"/>
        <w:left w:val="none" w:sz="0" w:space="0" w:color="auto"/>
        <w:bottom w:val="none" w:sz="0" w:space="0" w:color="auto"/>
        <w:right w:val="none" w:sz="0" w:space="0" w:color="auto"/>
      </w:divBdr>
    </w:div>
    <w:div w:id="905839920">
      <w:marLeft w:val="0"/>
      <w:marRight w:val="0"/>
      <w:marTop w:val="0"/>
      <w:marBottom w:val="0"/>
      <w:divBdr>
        <w:top w:val="none" w:sz="0" w:space="0" w:color="auto"/>
        <w:left w:val="none" w:sz="0" w:space="0" w:color="auto"/>
        <w:bottom w:val="none" w:sz="0" w:space="0" w:color="auto"/>
        <w:right w:val="none" w:sz="0" w:space="0" w:color="auto"/>
      </w:divBdr>
    </w:div>
    <w:div w:id="905839921">
      <w:marLeft w:val="0"/>
      <w:marRight w:val="0"/>
      <w:marTop w:val="0"/>
      <w:marBottom w:val="0"/>
      <w:divBdr>
        <w:top w:val="none" w:sz="0" w:space="0" w:color="auto"/>
        <w:left w:val="none" w:sz="0" w:space="0" w:color="auto"/>
        <w:bottom w:val="none" w:sz="0" w:space="0" w:color="auto"/>
        <w:right w:val="none" w:sz="0" w:space="0" w:color="auto"/>
      </w:divBdr>
    </w:div>
    <w:div w:id="905839922">
      <w:marLeft w:val="0"/>
      <w:marRight w:val="0"/>
      <w:marTop w:val="0"/>
      <w:marBottom w:val="0"/>
      <w:divBdr>
        <w:top w:val="none" w:sz="0" w:space="0" w:color="auto"/>
        <w:left w:val="none" w:sz="0" w:space="0" w:color="auto"/>
        <w:bottom w:val="none" w:sz="0" w:space="0" w:color="auto"/>
        <w:right w:val="none" w:sz="0" w:space="0" w:color="auto"/>
      </w:divBdr>
    </w:div>
    <w:div w:id="905839923">
      <w:marLeft w:val="0"/>
      <w:marRight w:val="0"/>
      <w:marTop w:val="0"/>
      <w:marBottom w:val="0"/>
      <w:divBdr>
        <w:top w:val="none" w:sz="0" w:space="0" w:color="auto"/>
        <w:left w:val="none" w:sz="0" w:space="0" w:color="auto"/>
        <w:bottom w:val="none" w:sz="0" w:space="0" w:color="auto"/>
        <w:right w:val="none" w:sz="0" w:space="0" w:color="auto"/>
      </w:divBdr>
    </w:div>
    <w:div w:id="905839924">
      <w:marLeft w:val="0"/>
      <w:marRight w:val="0"/>
      <w:marTop w:val="0"/>
      <w:marBottom w:val="0"/>
      <w:divBdr>
        <w:top w:val="none" w:sz="0" w:space="0" w:color="auto"/>
        <w:left w:val="none" w:sz="0" w:space="0" w:color="auto"/>
        <w:bottom w:val="none" w:sz="0" w:space="0" w:color="auto"/>
        <w:right w:val="none" w:sz="0" w:space="0" w:color="auto"/>
      </w:divBdr>
    </w:div>
    <w:div w:id="905839925">
      <w:marLeft w:val="0"/>
      <w:marRight w:val="0"/>
      <w:marTop w:val="0"/>
      <w:marBottom w:val="0"/>
      <w:divBdr>
        <w:top w:val="none" w:sz="0" w:space="0" w:color="auto"/>
        <w:left w:val="none" w:sz="0" w:space="0" w:color="auto"/>
        <w:bottom w:val="none" w:sz="0" w:space="0" w:color="auto"/>
        <w:right w:val="none" w:sz="0" w:space="0" w:color="auto"/>
      </w:divBdr>
    </w:div>
    <w:div w:id="905839926">
      <w:marLeft w:val="0"/>
      <w:marRight w:val="0"/>
      <w:marTop w:val="0"/>
      <w:marBottom w:val="0"/>
      <w:divBdr>
        <w:top w:val="none" w:sz="0" w:space="0" w:color="auto"/>
        <w:left w:val="none" w:sz="0" w:space="0" w:color="auto"/>
        <w:bottom w:val="none" w:sz="0" w:space="0" w:color="auto"/>
        <w:right w:val="none" w:sz="0" w:space="0" w:color="auto"/>
      </w:divBdr>
    </w:div>
    <w:div w:id="905839927">
      <w:marLeft w:val="0"/>
      <w:marRight w:val="0"/>
      <w:marTop w:val="0"/>
      <w:marBottom w:val="0"/>
      <w:divBdr>
        <w:top w:val="none" w:sz="0" w:space="0" w:color="auto"/>
        <w:left w:val="none" w:sz="0" w:space="0" w:color="auto"/>
        <w:bottom w:val="none" w:sz="0" w:space="0" w:color="auto"/>
        <w:right w:val="none" w:sz="0" w:space="0" w:color="auto"/>
      </w:divBdr>
    </w:div>
    <w:div w:id="905839928">
      <w:marLeft w:val="0"/>
      <w:marRight w:val="0"/>
      <w:marTop w:val="0"/>
      <w:marBottom w:val="0"/>
      <w:divBdr>
        <w:top w:val="none" w:sz="0" w:space="0" w:color="auto"/>
        <w:left w:val="none" w:sz="0" w:space="0" w:color="auto"/>
        <w:bottom w:val="none" w:sz="0" w:space="0" w:color="auto"/>
        <w:right w:val="none" w:sz="0" w:space="0" w:color="auto"/>
      </w:divBdr>
    </w:div>
    <w:div w:id="905839929">
      <w:marLeft w:val="0"/>
      <w:marRight w:val="0"/>
      <w:marTop w:val="0"/>
      <w:marBottom w:val="0"/>
      <w:divBdr>
        <w:top w:val="none" w:sz="0" w:space="0" w:color="auto"/>
        <w:left w:val="none" w:sz="0" w:space="0" w:color="auto"/>
        <w:bottom w:val="none" w:sz="0" w:space="0" w:color="auto"/>
        <w:right w:val="none" w:sz="0" w:space="0" w:color="auto"/>
      </w:divBdr>
    </w:div>
    <w:div w:id="905839930">
      <w:marLeft w:val="0"/>
      <w:marRight w:val="0"/>
      <w:marTop w:val="0"/>
      <w:marBottom w:val="0"/>
      <w:divBdr>
        <w:top w:val="none" w:sz="0" w:space="0" w:color="auto"/>
        <w:left w:val="none" w:sz="0" w:space="0" w:color="auto"/>
        <w:bottom w:val="none" w:sz="0" w:space="0" w:color="auto"/>
        <w:right w:val="none" w:sz="0" w:space="0" w:color="auto"/>
      </w:divBdr>
    </w:div>
    <w:div w:id="905839931">
      <w:marLeft w:val="0"/>
      <w:marRight w:val="0"/>
      <w:marTop w:val="0"/>
      <w:marBottom w:val="0"/>
      <w:divBdr>
        <w:top w:val="none" w:sz="0" w:space="0" w:color="auto"/>
        <w:left w:val="none" w:sz="0" w:space="0" w:color="auto"/>
        <w:bottom w:val="none" w:sz="0" w:space="0" w:color="auto"/>
        <w:right w:val="none" w:sz="0" w:space="0" w:color="auto"/>
      </w:divBdr>
    </w:div>
    <w:div w:id="905839932">
      <w:marLeft w:val="0"/>
      <w:marRight w:val="0"/>
      <w:marTop w:val="0"/>
      <w:marBottom w:val="0"/>
      <w:divBdr>
        <w:top w:val="none" w:sz="0" w:space="0" w:color="auto"/>
        <w:left w:val="none" w:sz="0" w:space="0" w:color="auto"/>
        <w:bottom w:val="none" w:sz="0" w:space="0" w:color="auto"/>
        <w:right w:val="none" w:sz="0" w:space="0" w:color="auto"/>
      </w:divBdr>
    </w:div>
    <w:div w:id="905839933">
      <w:marLeft w:val="0"/>
      <w:marRight w:val="0"/>
      <w:marTop w:val="0"/>
      <w:marBottom w:val="0"/>
      <w:divBdr>
        <w:top w:val="none" w:sz="0" w:space="0" w:color="auto"/>
        <w:left w:val="none" w:sz="0" w:space="0" w:color="auto"/>
        <w:bottom w:val="none" w:sz="0" w:space="0" w:color="auto"/>
        <w:right w:val="none" w:sz="0" w:space="0" w:color="auto"/>
      </w:divBdr>
    </w:div>
    <w:div w:id="905839934">
      <w:marLeft w:val="0"/>
      <w:marRight w:val="0"/>
      <w:marTop w:val="0"/>
      <w:marBottom w:val="0"/>
      <w:divBdr>
        <w:top w:val="none" w:sz="0" w:space="0" w:color="auto"/>
        <w:left w:val="none" w:sz="0" w:space="0" w:color="auto"/>
        <w:bottom w:val="none" w:sz="0" w:space="0" w:color="auto"/>
        <w:right w:val="none" w:sz="0" w:space="0" w:color="auto"/>
      </w:divBdr>
    </w:div>
    <w:div w:id="905839935">
      <w:marLeft w:val="0"/>
      <w:marRight w:val="0"/>
      <w:marTop w:val="0"/>
      <w:marBottom w:val="0"/>
      <w:divBdr>
        <w:top w:val="none" w:sz="0" w:space="0" w:color="auto"/>
        <w:left w:val="none" w:sz="0" w:space="0" w:color="auto"/>
        <w:bottom w:val="none" w:sz="0" w:space="0" w:color="auto"/>
        <w:right w:val="none" w:sz="0" w:space="0" w:color="auto"/>
      </w:divBdr>
    </w:div>
    <w:div w:id="905839936">
      <w:marLeft w:val="0"/>
      <w:marRight w:val="0"/>
      <w:marTop w:val="0"/>
      <w:marBottom w:val="0"/>
      <w:divBdr>
        <w:top w:val="none" w:sz="0" w:space="0" w:color="auto"/>
        <w:left w:val="none" w:sz="0" w:space="0" w:color="auto"/>
        <w:bottom w:val="none" w:sz="0" w:space="0" w:color="auto"/>
        <w:right w:val="none" w:sz="0" w:space="0" w:color="auto"/>
      </w:divBdr>
      <w:divsChild>
        <w:div w:id="905839873">
          <w:marLeft w:val="0"/>
          <w:marRight w:val="0"/>
          <w:marTop w:val="0"/>
          <w:marBottom w:val="0"/>
          <w:divBdr>
            <w:top w:val="none" w:sz="0" w:space="0" w:color="auto"/>
            <w:left w:val="none" w:sz="0" w:space="0" w:color="auto"/>
            <w:bottom w:val="none" w:sz="0" w:space="0" w:color="auto"/>
            <w:right w:val="none" w:sz="0" w:space="0" w:color="auto"/>
          </w:divBdr>
        </w:div>
      </w:divsChild>
    </w:div>
    <w:div w:id="905839937">
      <w:marLeft w:val="0"/>
      <w:marRight w:val="0"/>
      <w:marTop w:val="0"/>
      <w:marBottom w:val="0"/>
      <w:divBdr>
        <w:top w:val="none" w:sz="0" w:space="0" w:color="auto"/>
        <w:left w:val="none" w:sz="0" w:space="0" w:color="auto"/>
        <w:bottom w:val="none" w:sz="0" w:space="0" w:color="auto"/>
        <w:right w:val="none" w:sz="0" w:space="0" w:color="auto"/>
      </w:divBdr>
    </w:div>
    <w:div w:id="905839938">
      <w:marLeft w:val="0"/>
      <w:marRight w:val="0"/>
      <w:marTop w:val="0"/>
      <w:marBottom w:val="0"/>
      <w:divBdr>
        <w:top w:val="none" w:sz="0" w:space="0" w:color="auto"/>
        <w:left w:val="none" w:sz="0" w:space="0" w:color="auto"/>
        <w:bottom w:val="none" w:sz="0" w:space="0" w:color="auto"/>
        <w:right w:val="none" w:sz="0" w:space="0" w:color="auto"/>
      </w:divBdr>
    </w:div>
    <w:div w:id="905839939">
      <w:marLeft w:val="0"/>
      <w:marRight w:val="0"/>
      <w:marTop w:val="0"/>
      <w:marBottom w:val="0"/>
      <w:divBdr>
        <w:top w:val="none" w:sz="0" w:space="0" w:color="auto"/>
        <w:left w:val="none" w:sz="0" w:space="0" w:color="auto"/>
        <w:bottom w:val="none" w:sz="0" w:space="0" w:color="auto"/>
        <w:right w:val="none" w:sz="0" w:space="0" w:color="auto"/>
      </w:divBdr>
    </w:div>
    <w:div w:id="905839940">
      <w:marLeft w:val="0"/>
      <w:marRight w:val="0"/>
      <w:marTop w:val="0"/>
      <w:marBottom w:val="0"/>
      <w:divBdr>
        <w:top w:val="none" w:sz="0" w:space="0" w:color="auto"/>
        <w:left w:val="none" w:sz="0" w:space="0" w:color="auto"/>
        <w:bottom w:val="none" w:sz="0" w:space="0" w:color="auto"/>
        <w:right w:val="none" w:sz="0" w:space="0" w:color="auto"/>
      </w:divBdr>
    </w:div>
    <w:div w:id="905839941">
      <w:marLeft w:val="0"/>
      <w:marRight w:val="0"/>
      <w:marTop w:val="0"/>
      <w:marBottom w:val="0"/>
      <w:divBdr>
        <w:top w:val="none" w:sz="0" w:space="0" w:color="auto"/>
        <w:left w:val="none" w:sz="0" w:space="0" w:color="auto"/>
        <w:bottom w:val="none" w:sz="0" w:space="0" w:color="auto"/>
        <w:right w:val="none" w:sz="0" w:space="0" w:color="auto"/>
      </w:divBdr>
    </w:div>
    <w:div w:id="905839942">
      <w:marLeft w:val="0"/>
      <w:marRight w:val="0"/>
      <w:marTop w:val="0"/>
      <w:marBottom w:val="0"/>
      <w:divBdr>
        <w:top w:val="none" w:sz="0" w:space="0" w:color="auto"/>
        <w:left w:val="none" w:sz="0" w:space="0" w:color="auto"/>
        <w:bottom w:val="none" w:sz="0" w:space="0" w:color="auto"/>
        <w:right w:val="none" w:sz="0" w:space="0" w:color="auto"/>
      </w:divBdr>
    </w:div>
    <w:div w:id="905839943">
      <w:marLeft w:val="0"/>
      <w:marRight w:val="0"/>
      <w:marTop w:val="0"/>
      <w:marBottom w:val="0"/>
      <w:divBdr>
        <w:top w:val="none" w:sz="0" w:space="0" w:color="auto"/>
        <w:left w:val="none" w:sz="0" w:space="0" w:color="auto"/>
        <w:bottom w:val="none" w:sz="0" w:space="0" w:color="auto"/>
        <w:right w:val="none" w:sz="0" w:space="0" w:color="auto"/>
      </w:divBdr>
    </w:div>
    <w:div w:id="905839944">
      <w:marLeft w:val="0"/>
      <w:marRight w:val="0"/>
      <w:marTop w:val="0"/>
      <w:marBottom w:val="0"/>
      <w:divBdr>
        <w:top w:val="none" w:sz="0" w:space="0" w:color="auto"/>
        <w:left w:val="none" w:sz="0" w:space="0" w:color="auto"/>
        <w:bottom w:val="none" w:sz="0" w:space="0" w:color="auto"/>
        <w:right w:val="none" w:sz="0" w:space="0" w:color="auto"/>
      </w:divBdr>
    </w:div>
    <w:div w:id="905839945">
      <w:marLeft w:val="0"/>
      <w:marRight w:val="0"/>
      <w:marTop w:val="0"/>
      <w:marBottom w:val="0"/>
      <w:divBdr>
        <w:top w:val="none" w:sz="0" w:space="0" w:color="auto"/>
        <w:left w:val="none" w:sz="0" w:space="0" w:color="auto"/>
        <w:bottom w:val="none" w:sz="0" w:space="0" w:color="auto"/>
        <w:right w:val="none" w:sz="0" w:space="0" w:color="auto"/>
      </w:divBdr>
    </w:div>
    <w:div w:id="905839946">
      <w:marLeft w:val="0"/>
      <w:marRight w:val="0"/>
      <w:marTop w:val="0"/>
      <w:marBottom w:val="0"/>
      <w:divBdr>
        <w:top w:val="none" w:sz="0" w:space="0" w:color="auto"/>
        <w:left w:val="none" w:sz="0" w:space="0" w:color="auto"/>
        <w:bottom w:val="none" w:sz="0" w:space="0" w:color="auto"/>
        <w:right w:val="none" w:sz="0" w:space="0" w:color="auto"/>
      </w:divBdr>
    </w:div>
    <w:div w:id="905839947">
      <w:marLeft w:val="0"/>
      <w:marRight w:val="0"/>
      <w:marTop w:val="0"/>
      <w:marBottom w:val="0"/>
      <w:divBdr>
        <w:top w:val="none" w:sz="0" w:space="0" w:color="auto"/>
        <w:left w:val="none" w:sz="0" w:space="0" w:color="auto"/>
        <w:bottom w:val="none" w:sz="0" w:space="0" w:color="auto"/>
        <w:right w:val="none" w:sz="0" w:space="0" w:color="auto"/>
      </w:divBdr>
    </w:div>
    <w:div w:id="905839948">
      <w:marLeft w:val="0"/>
      <w:marRight w:val="0"/>
      <w:marTop w:val="0"/>
      <w:marBottom w:val="0"/>
      <w:divBdr>
        <w:top w:val="none" w:sz="0" w:space="0" w:color="auto"/>
        <w:left w:val="none" w:sz="0" w:space="0" w:color="auto"/>
        <w:bottom w:val="none" w:sz="0" w:space="0" w:color="auto"/>
        <w:right w:val="none" w:sz="0" w:space="0" w:color="auto"/>
      </w:divBdr>
    </w:div>
    <w:div w:id="905839949">
      <w:marLeft w:val="0"/>
      <w:marRight w:val="0"/>
      <w:marTop w:val="0"/>
      <w:marBottom w:val="0"/>
      <w:divBdr>
        <w:top w:val="none" w:sz="0" w:space="0" w:color="auto"/>
        <w:left w:val="none" w:sz="0" w:space="0" w:color="auto"/>
        <w:bottom w:val="none" w:sz="0" w:space="0" w:color="auto"/>
        <w:right w:val="none" w:sz="0" w:space="0" w:color="auto"/>
      </w:divBdr>
    </w:div>
    <w:div w:id="905839950">
      <w:marLeft w:val="0"/>
      <w:marRight w:val="0"/>
      <w:marTop w:val="0"/>
      <w:marBottom w:val="0"/>
      <w:divBdr>
        <w:top w:val="none" w:sz="0" w:space="0" w:color="auto"/>
        <w:left w:val="none" w:sz="0" w:space="0" w:color="auto"/>
        <w:bottom w:val="none" w:sz="0" w:space="0" w:color="auto"/>
        <w:right w:val="none" w:sz="0" w:space="0" w:color="auto"/>
      </w:divBdr>
    </w:div>
    <w:div w:id="905839951">
      <w:marLeft w:val="0"/>
      <w:marRight w:val="0"/>
      <w:marTop w:val="0"/>
      <w:marBottom w:val="0"/>
      <w:divBdr>
        <w:top w:val="none" w:sz="0" w:space="0" w:color="auto"/>
        <w:left w:val="none" w:sz="0" w:space="0" w:color="auto"/>
        <w:bottom w:val="none" w:sz="0" w:space="0" w:color="auto"/>
        <w:right w:val="none" w:sz="0" w:space="0" w:color="auto"/>
      </w:divBdr>
    </w:div>
    <w:div w:id="905839952">
      <w:marLeft w:val="0"/>
      <w:marRight w:val="0"/>
      <w:marTop w:val="0"/>
      <w:marBottom w:val="0"/>
      <w:divBdr>
        <w:top w:val="none" w:sz="0" w:space="0" w:color="auto"/>
        <w:left w:val="none" w:sz="0" w:space="0" w:color="auto"/>
        <w:bottom w:val="none" w:sz="0" w:space="0" w:color="auto"/>
        <w:right w:val="none" w:sz="0" w:space="0" w:color="auto"/>
      </w:divBdr>
    </w:div>
    <w:div w:id="905839953">
      <w:marLeft w:val="0"/>
      <w:marRight w:val="0"/>
      <w:marTop w:val="0"/>
      <w:marBottom w:val="0"/>
      <w:divBdr>
        <w:top w:val="none" w:sz="0" w:space="0" w:color="auto"/>
        <w:left w:val="none" w:sz="0" w:space="0" w:color="auto"/>
        <w:bottom w:val="none" w:sz="0" w:space="0" w:color="auto"/>
        <w:right w:val="none" w:sz="0" w:space="0" w:color="auto"/>
      </w:divBdr>
    </w:div>
    <w:div w:id="905839954">
      <w:marLeft w:val="0"/>
      <w:marRight w:val="0"/>
      <w:marTop w:val="0"/>
      <w:marBottom w:val="0"/>
      <w:divBdr>
        <w:top w:val="none" w:sz="0" w:space="0" w:color="auto"/>
        <w:left w:val="none" w:sz="0" w:space="0" w:color="auto"/>
        <w:bottom w:val="none" w:sz="0" w:space="0" w:color="auto"/>
        <w:right w:val="none" w:sz="0" w:space="0" w:color="auto"/>
      </w:divBdr>
    </w:div>
    <w:div w:id="905839955">
      <w:marLeft w:val="0"/>
      <w:marRight w:val="0"/>
      <w:marTop w:val="0"/>
      <w:marBottom w:val="0"/>
      <w:divBdr>
        <w:top w:val="none" w:sz="0" w:space="0" w:color="auto"/>
        <w:left w:val="none" w:sz="0" w:space="0" w:color="auto"/>
        <w:bottom w:val="none" w:sz="0" w:space="0" w:color="auto"/>
        <w:right w:val="none" w:sz="0" w:space="0" w:color="auto"/>
      </w:divBdr>
    </w:div>
    <w:div w:id="905839956">
      <w:marLeft w:val="0"/>
      <w:marRight w:val="0"/>
      <w:marTop w:val="0"/>
      <w:marBottom w:val="0"/>
      <w:divBdr>
        <w:top w:val="none" w:sz="0" w:space="0" w:color="auto"/>
        <w:left w:val="none" w:sz="0" w:space="0" w:color="auto"/>
        <w:bottom w:val="none" w:sz="0" w:space="0" w:color="auto"/>
        <w:right w:val="none" w:sz="0" w:space="0" w:color="auto"/>
      </w:divBdr>
    </w:div>
    <w:div w:id="905839957">
      <w:marLeft w:val="0"/>
      <w:marRight w:val="0"/>
      <w:marTop w:val="0"/>
      <w:marBottom w:val="0"/>
      <w:divBdr>
        <w:top w:val="none" w:sz="0" w:space="0" w:color="auto"/>
        <w:left w:val="none" w:sz="0" w:space="0" w:color="auto"/>
        <w:bottom w:val="none" w:sz="0" w:space="0" w:color="auto"/>
        <w:right w:val="none" w:sz="0" w:space="0" w:color="auto"/>
      </w:divBdr>
    </w:div>
    <w:div w:id="905839958">
      <w:marLeft w:val="0"/>
      <w:marRight w:val="0"/>
      <w:marTop w:val="0"/>
      <w:marBottom w:val="0"/>
      <w:divBdr>
        <w:top w:val="none" w:sz="0" w:space="0" w:color="auto"/>
        <w:left w:val="none" w:sz="0" w:space="0" w:color="auto"/>
        <w:bottom w:val="none" w:sz="0" w:space="0" w:color="auto"/>
        <w:right w:val="none" w:sz="0" w:space="0" w:color="auto"/>
      </w:divBdr>
    </w:div>
    <w:div w:id="905839959">
      <w:marLeft w:val="0"/>
      <w:marRight w:val="0"/>
      <w:marTop w:val="0"/>
      <w:marBottom w:val="0"/>
      <w:divBdr>
        <w:top w:val="none" w:sz="0" w:space="0" w:color="auto"/>
        <w:left w:val="none" w:sz="0" w:space="0" w:color="auto"/>
        <w:bottom w:val="none" w:sz="0" w:space="0" w:color="auto"/>
        <w:right w:val="none" w:sz="0" w:space="0" w:color="auto"/>
      </w:divBdr>
    </w:div>
    <w:div w:id="905839960">
      <w:marLeft w:val="0"/>
      <w:marRight w:val="0"/>
      <w:marTop w:val="0"/>
      <w:marBottom w:val="0"/>
      <w:divBdr>
        <w:top w:val="none" w:sz="0" w:space="0" w:color="auto"/>
        <w:left w:val="none" w:sz="0" w:space="0" w:color="auto"/>
        <w:bottom w:val="none" w:sz="0" w:space="0" w:color="auto"/>
        <w:right w:val="none" w:sz="0" w:space="0" w:color="auto"/>
      </w:divBdr>
    </w:div>
    <w:div w:id="905839961">
      <w:marLeft w:val="0"/>
      <w:marRight w:val="0"/>
      <w:marTop w:val="0"/>
      <w:marBottom w:val="0"/>
      <w:divBdr>
        <w:top w:val="none" w:sz="0" w:space="0" w:color="auto"/>
        <w:left w:val="none" w:sz="0" w:space="0" w:color="auto"/>
        <w:bottom w:val="none" w:sz="0" w:space="0" w:color="auto"/>
        <w:right w:val="none" w:sz="0" w:space="0" w:color="auto"/>
      </w:divBdr>
    </w:div>
    <w:div w:id="905839962">
      <w:marLeft w:val="0"/>
      <w:marRight w:val="0"/>
      <w:marTop w:val="0"/>
      <w:marBottom w:val="0"/>
      <w:divBdr>
        <w:top w:val="none" w:sz="0" w:space="0" w:color="auto"/>
        <w:left w:val="none" w:sz="0" w:space="0" w:color="auto"/>
        <w:bottom w:val="none" w:sz="0" w:space="0" w:color="auto"/>
        <w:right w:val="none" w:sz="0" w:space="0" w:color="auto"/>
      </w:divBdr>
    </w:div>
    <w:div w:id="905839963">
      <w:marLeft w:val="0"/>
      <w:marRight w:val="0"/>
      <w:marTop w:val="0"/>
      <w:marBottom w:val="0"/>
      <w:divBdr>
        <w:top w:val="none" w:sz="0" w:space="0" w:color="auto"/>
        <w:left w:val="none" w:sz="0" w:space="0" w:color="auto"/>
        <w:bottom w:val="none" w:sz="0" w:space="0" w:color="auto"/>
        <w:right w:val="none" w:sz="0" w:space="0" w:color="auto"/>
      </w:divBdr>
    </w:div>
    <w:div w:id="905839964">
      <w:marLeft w:val="0"/>
      <w:marRight w:val="0"/>
      <w:marTop w:val="0"/>
      <w:marBottom w:val="0"/>
      <w:divBdr>
        <w:top w:val="none" w:sz="0" w:space="0" w:color="auto"/>
        <w:left w:val="none" w:sz="0" w:space="0" w:color="auto"/>
        <w:bottom w:val="none" w:sz="0" w:space="0" w:color="auto"/>
        <w:right w:val="none" w:sz="0" w:space="0" w:color="auto"/>
      </w:divBdr>
    </w:div>
    <w:div w:id="905839965">
      <w:marLeft w:val="0"/>
      <w:marRight w:val="0"/>
      <w:marTop w:val="0"/>
      <w:marBottom w:val="0"/>
      <w:divBdr>
        <w:top w:val="none" w:sz="0" w:space="0" w:color="auto"/>
        <w:left w:val="none" w:sz="0" w:space="0" w:color="auto"/>
        <w:bottom w:val="none" w:sz="0" w:space="0" w:color="auto"/>
        <w:right w:val="none" w:sz="0" w:space="0" w:color="auto"/>
      </w:divBdr>
    </w:div>
    <w:div w:id="905839966">
      <w:marLeft w:val="0"/>
      <w:marRight w:val="0"/>
      <w:marTop w:val="0"/>
      <w:marBottom w:val="0"/>
      <w:divBdr>
        <w:top w:val="none" w:sz="0" w:space="0" w:color="auto"/>
        <w:left w:val="none" w:sz="0" w:space="0" w:color="auto"/>
        <w:bottom w:val="none" w:sz="0" w:space="0" w:color="auto"/>
        <w:right w:val="none" w:sz="0" w:space="0" w:color="auto"/>
      </w:divBdr>
    </w:div>
    <w:div w:id="905839967">
      <w:marLeft w:val="0"/>
      <w:marRight w:val="0"/>
      <w:marTop w:val="0"/>
      <w:marBottom w:val="0"/>
      <w:divBdr>
        <w:top w:val="none" w:sz="0" w:space="0" w:color="auto"/>
        <w:left w:val="none" w:sz="0" w:space="0" w:color="auto"/>
        <w:bottom w:val="none" w:sz="0" w:space="0" w:color="auto"/>
        <w:right w:val="none" w:sz="0" w:space="0" w:color="auto"/>
      </w:divBdr>
    </w:div>
    <w:div w:id="905839968">
      <w:marLeft w:val="0"/>
      <w:marRight w:val="0"/>
      <w:marTop w:val="0"/>
      <w:marBottom w:val="0"/>
      <w:divBdr>
        <w:top w:val="none" w:sz="0" w:space="0" w:color="auto"/>
        <w:left w:val="none" w:sz="0" w:space="0" w:color="auto"/>
        <w:bottom w:val="none" w:sz="0" w:space="0" w:color="auto"/>
        <w:right w:val="none" w:sz="0" w:space="0" w:color="auto"/>
      </w:divBdr>
    </w:div>
    <w:div w:id="905839969">
      <w:marLeft w:val="0"/>
      <w:marRight w:val="0"/>
      <w:marTop w:val="0"/>
      <w:marBottom w:val="0"/>
      <w:divBdr>
        <w:top w:val="none" w:sz="0" w:space="0" w:color="auto"/>
        <w:left w:val="none" w:sz="0" w:space="0" w:color="auto"/>
        <w:bottom w:val="none" w:sz="0" w:space="0" w:color="auto"/>
        <w:right w:val="none" w:sz="0" w:space="0" w:color="auto"/>
      </w:divBdr>
    </w:div>
    <w:div w:id="905839970">
      <w:marLeft w:val="0"/>
      <w:marRight w:val="0"/>
      <w:marTop w:val="0"/>
      <w:marBottom w:val="0"/>
      <w:divBdr>
        <w:top w:val="none" w:sz="0" w:space="0" w:color="auto"/>
        <w:left w:val="none" w:sz="0" w:space="0" w:color="auto"/>
        <w:bottom w:val="none" w:sz="0" w:space="0" w:color="auto"/>
        <w:right w:val="none" w:sz="0" w:space="0" w:color="auto"/>
      </w:divBdr>
    </w:div>
    <w:div w:id="905839971">
      <w:marLeft w:val="0"/>
      <w:marRight w:val="0"/>
      <w:marTop w:val="0"/>
      <w:marBottom w:val="0"/>
      <w:divBdr>
        <w:top w:val="none" w:sz="0" w:space="0" w:color="auto"/>
        <w:left w:val="none" w:sz="0" w:space="0" w:color="auto"/>
        <w:bottom w:val="none" w:sz="0" w:space="0" w:color="auto"/>
        <w:right w:val="none" w:sz="0" w:space="0" w:color="auto"/>
      </w:divBdr>
    </w:div>
    <w:div w:id="905839972">
      <w:marLeft w:val="0"/>
      <w:marRight w:val="0"/>
      <w:marTop w:val="0"/>
      <w:marBottom w:val="0"/>
      <w:divBdr>
        <w:top w:val="none" w:sz="0" w:space="0" w:color="auto"/>
        <w:left w:val="none" w:sz="0" w:space="0" w:color="auto"/>
        <w:bottom w:val="none" w:sz="0" w:space="0" w:color="auto"/>
        <w:right w:val="none" w:sz="0" w:space="0" w:color="auto"/>
      </w:divBdr>
    </w:div>
    <w:div w:id="905839973">
      <w:marLeft w:val="0"/>
      <w:marRight w:val="0"/>
      <w:marTop w:val="0"/>
      <w:marBottom w:val="0"/>
      <w:divBdr>
        <w:top w:val="none" w:sz="0" w:space="0" w:color="auto"/>
        <w:left w:val="none" w:sz="0" w:space="0" w:color="auto"/>
        <w:bottom w:val="none" w:sz="0" w:space="0" w:color="auto"/>
        <w:right w:val="none" w:sz="0" w:space="0" w:color="auto"/>
      </w:divBdr>
    </w:div>
    <w:div w:id="905839974">
      <w:marLeft w:val="0"/>
      <w:marRight w:val="0"/>
      <w:marTop w:val="0"/>
      <w:marBottom w:val="0"/>
      <w:divBdr>
        <w:top w:val="none" w:sz="0" w:space="0" w:color="auto"/>
        <w:left w:val="none" w:sz="0" w:space="0" w:color="auto"/>
        <w:bottom w:val="none" w:sz="0" w:space="0" w:color="auto"/>
        <w:right w:val="none" w:sz="0" w:space="0" w:color="auto"/>
      </w:divBdr>
    </w:div>
    <w:div w:id="905839975">
      <w:marLeft w:val="0"/>
      <w:marRight w:val="0"/>
      <w:marTop w:val="0"/>
      <w:marBottom w:val="0"/>
      <w:divBdr>
        <w:top w:val="none" w:sz="0" w:space="0" w:color="auto"/>
        <w:left w:val="none" w:sz="0" w:space="0" w:color="auto"/>
        <w:bottom w:val="none" w:sz="0" w:space="0" w:color="auto"/>
        <w:right w:val="none" w:sz="0" w:space="0" w:color="auto"/>
      </w:divBdr>
    </w:div>
    <w:div w:id="905839976">
      <w:marLeft w:val="0"/>
      <w:marRight w:val="0"/>
      <w:marTop w:val="0"/>
      <w:marBottom w:val="0"/>
      <w:divBdr>
        <w:top w:val="none" w:sz="0" w:space="0" w:color="auto"/>
        <w:left w:val="none" w:sz="0" w:space="0" w:color="auto"/>
        <w:bottom w:val="none" w:sz="0" w:space="0" w:color="auto"/>
        <w:right w:val="none" w:sz="0" w:space="0" w:color="auto"/>
      </w:divBdr>
    </w:div>
    <w:div w:id="905839977">
      <w:marLeft w:val="0"/>
      <w:marRight w:val="0"/>
      <w:marTop w:val="0"/>
      <w:marBottom w:val="0"/>
      <w:divBdr>
        <w:top w:val="none" w:sz="0" w:space="0" w:color="auto"/>
        <w:left w:val="none" w:sz="0" w:space="0" w:color="auto"/>
        <w:bottom w:val="none" w:sz="0" w:space="0" w:color="auto"/>
        <w:right w:val="none" w:sz="0" w:space="0" w:color="auto"/>
      </w:divBdr>
    </w:div>
    <w:div w:id="905839978">
      <w:marLeft w:val="0"/>
      <w:marRight w:val="0"/>
      <w:marTop w:val="0"/>
      <w:marBottom w:val="0"/>
      <w:divBdr>
        <w:top w:val="none" w:sz="0" w:space="0" w:color="auto"/>
        <w:left w:val="none" w:sz="0" w:space="0" w:color="auto"/>
        <w:bottom w:val="none" w:sz="0" w:space="0" w:color="auto"/>
        <w:right w:val="none" w:sz="0" w:space="0" w:color="auto"/>
      </w:divBdr>
    </w:div>
    <w:div w:id="905839979">
      <w:marLeft w:val="0"/>
      <w:marRight w:val="0"/>
      <w:marTop w:val="0"/>
      <w:marBottom w:val="0"/>
      <w:divBdr>
        <w:top w:val="none" w:sz="0" w:space="0" w:color="auto"/>
        <w:left w:val="none" w:sz="0" w:space="0" w:color="auto"/>
        <w:bottom w:val="none" w:sz="0" w:space="0" w:color="auto"/>
        <w:right w:val="none" w:sz="0" w:space="0" w:color="auto"/>
      </w:divBdr>
    </w:div>
    <w:div w:id="905839980">
      <w:marLeft w:val="0"/>
      <w:marRight w:val="0"/>
      <w:marTop w:val="0"/>
      <w:marBottom w:val="0"/>
      <w:divBdr>
        <w:top w:val="none" w:sz="0" w:space="0" w:color="auto"/>
        <w:left w:val="none" w:sz="0" w:space="0" w:color="auto"/>
        <w:bottom w:val="none" w:sz="0" w:space="0" w:color="auto"/>
        <w:right w:val="none" w:sz="0" w:space="0" w:color="auto"/>
      </w:divBdr>
    </w:div>
    <w:div w:id="905839981">
      <w:marLeft w:val="0"/>
      <w:marRight w:val="0"/>
      <w:marTop w:val="0"/>
      <w:marBottom w:val="0"/>
      <w:divBdr>
        <w:top w:val="none" w:sz="0" w:space="0" w:color="auto"/>
        <w:left w:val="none" w:sz="0" w:space="0" w:color="auto"/>
        <w:bottom w:val="none" w:sz="0" w:space="0" w:color="auto"/>
        <w:right w:val="none" w:sz="0" w:space="0" w:color="auto"/>
      </w:divBdr>
    </w:div>
    <w:div w:id="905839982">
      <w:marLeft w:val="0"/>
      <w:marRight w:val="0"/>
      <w:marTop w:val="0"/>
      <w:marBottom w:val="0"/>
      <w:divBdr>
        <w:top w:val="none" w:sz="0" w:space="0" w:color="auto"/>
        <w:left w:val="none" w:sz="0" w:space="0" w:color="auto"/>
        <w:bottom w:val="none" w:sz="0" w:space="0" w:color="auto"/>
        <w:right w:val="none" w:sz="0" w:space="0" w:color="auto"/>
      </w:divBdr>
    </w:div>
    <w:div w:id="905839983">
      <w:marLeft w:val="0"/>
      <w:marRight w:val="0"/>
      <w:marTop w:val="0"/>
      <w:marBottom w:val="0"/>
      <w:divBdr>
        <w:top w:val="none" w:sz="0" w:space="0" w:color="auto"/>
        <w:left w:val="none" w:sz="0" w:space="0" w:color="auto"/>
        <w:bottom w:val="none" w:sz="0" w:space="0" w:color="auto"/>
        <w:right w:val="none" w:sz="0" w:space="0" w:color="auto"/>
      </w:divBdr>
    </w:div>
    <w:div w:id="905839984">
      <w:marLeft w:val="0"/>
      <w:marRight w:val="0"/>
      <w:marTop w:val="0"/>
      <w:marBottom w:val="0"/>
      <w:divBdr>
        <w:top w:val="none" w:sz="0" w:space="0" w:color="auto"/>
        <w:left w:val="none" w:sz="0" w:space="0" w:color="auto"/>
        <w:bottom w:val="none" w:sz="0" w:space="0" w:color="auto"/>
        <w:right w:val="none" w:sz="0" w:space="0" w:color="auto"/>
      </w:divBdr>
    </w:div>
    <w:div w:id="905839985">
      <w:marLeft w:val="0"/>
      <w:marRight w:val="0"/>
      <w:marTop w:val="0"/>
      <w:marBottom w:val="0"/>
      <w:divBdr>
        <w:top w:val="none" w:sz="0" w:space="0" w:color="auto"/>
        <w:left w:val="none" w:sz="0" w:space="0" w:color="auto"/>
        <w:bottom w:val="none" w:sz="0" w:space="0" w:color="auto"/>
        <w:right w:val="none" w:sz="0" w:space="0" w:color="auto"/>
      </w:divBdr>
    </w:div>
    <w:div w:id="905839986">
      <w:marLeft w:val="0"/>
      <w:marRight w:val="0"/>
      <w:marTop w:val="0"/>
      <w:marBottom w:val="0"/>
      <w:divBdr>
        <w:top w:val="none" w:sz="0" w:space="0" w:color="auto"/>
        <w:left w:val="none" w:sz="0" w:space="0" w:color="auto"/>
        <w:bottom w:val="none" w:sz="0" w:space="0" w:color="auto"/>
        <w:right w:val="none" w:sz="0" w:space="0" w:color="auto"/>
      </w:divBdr>
    </w:div>
    <w:div w:id="905839987">
      <w:marLeft w:val="0"/>
      <w:marRight w:val="0"/>
      <w:marTop w:val="0"/>
      <w:marBottom w:val="0"/>
      <w:divBdr>
        <w:top w:val="none" w:sz="0" w:space="0" w:color="auto"/>
        <w:left w:val="none" w:sz="0" w:space="0" w:color="auto"/>
        <w:bottom w:val="none" w:sz="0" w:space="0" w:color="auto"/>
        <w:right w:val="none" w:sz="0" w:space="0" w:color="auto"/>
      </w:divBdr>
    </w:div>
    <w:div w:id="905839988">
      <w:marLeft w:val="0"/>
      <w:marRight w:val="0"/>
      <w:marTop w:val="0"/>
      <w:marBottom w:val="0"/>
      <w:divBdr>
        <w:top w:val="none" w:sz="0" w:space="0" w:color="auto"/>
        <w:left w:val="none" w:sz="0" w:space="0" w:color="auto"/>
        <w:bottom w:val="none" w:sz="0" w:space="0" w:color="auto"/>
        <w:right w:val="none" w:sz="0" w:space="0" w:color="auto"/>
      </w:divBdr>
    </w:div>
    <w:div w:id="905839989">
      <w:marLeft w:val="0"/>
      <w:marRight w:val="0"/>
      <w:marTop w:val="0"/>
      <w:marBottom w:val="0"/>
      <w:divBdr>
        <w:top w:val="none" w:sz="0" w:space="0" w:color="auto"/>
        <w:left w:val="none" w:sz="0" w:space="0" w:color="auto"/>
        <w:bottom w:val="none" w:sz="0" w:space="0" w:color="auto"/>
        <w:right w:val="none" w:sz="0" w:space="0" w:color="auto"/>
      </w:divBdr>
    </w:div>
    <w:div w:id="905839990">
      <w:marLeft w:val="0"/>
      <w:marRight w:val="0"/>
      <w:marTop w:val="0"/>
      <w:marBottom w:val="0"/>
      <w:divBdr>
        <w:top w:val="none" w:sz="0" w:space="0" w:color="auto"/>
        <w:left w:val="none" w:sz="0" w:space="0" w:color="auto"/>
        <w:bottom w:val="none" w:sz="0" w:space="0" w:color="auto"/>
        <w:right w:val="none" w:sz="0" w:space="0" w:color="auto"/>
      </w:divBdr>
    </w:div>
    <w:div w:id="1210413030">
      <w:bodyDiv w:val="1"/>
      <w:marLeft w:val="0"/>
      <w:marRight w:val="0"/>
      <w:marTop w:val="0"/>
      <w:marBottom w:val="0"/>
      <w:divBdr>
        <w:top w:val="none" w:sz="0" w:space="0" w:color="auto"/>
        <w:left w:val="none" w:sz="0" w:space="0" w:color="auto"/>
        <w:bottom w:val="none" w:sz="0" w:space="0" w:color="auto"/>
        <w:right w:val="none" w:sz="0" w:space="0" w:color="auto"/>
      </w:divBdr>
    </w:div>
    <w:div w:id="122699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29</Pages>
  <Words>7389</Words>
  <Characters>42122</Characters>
  <Application>Microsoft Office Word</Application>
  <DocSecurity>0</DocSecurity>
  <Lines>351</Lines>
  <Paragraphs>98</Paragraphs>
  <ScaleCrop>false</ScaleCrop>
  <Company/>
  <LinksUpToDate>false</LinksUpToDate>
  <CharactersWithSpaces>49413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6</cp:revision>
  <cp:lastPrinted>2007-07-19T00:46:00Z</cp:lastPrinted>
  <dcterms:created xsi:type="dcterms:W3CDTF">2020-08-17T12:17:00Z</dcterms:created>
  <dcterms:modified xsi:type="dcterms:W3CDTF">2020-08-21T03:22:00Z</dcterms:modified>
</cp:coreProperties>
</file>