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A5D" w:rsidRPr="00862636" w:rsidRDefault="008A5A5D" w:rsidP="006D141C">
      <w:pPr>
        <w:autoSpaceDE w:val="0"/>
        <w:autoSpaceDN w:val="0"/>
        <w:adjustRightInd w:val="0"/>
        <w:spacing w:line="360" w:lineRule="auto"/>
        <w:jc w:val="left"/>
        <w:rPr>
          <w:rFonts w:eastAsiaTheme="minorEastAsia"/>
          <w:color w:val="000000"/>
          <w:kern w:val="0"/>
          <w:szCs w:val="21"/>
        </w:rPr>
      </w:pPr>
      <w:bookmarkStart w:id="0" w:name="_GoBack"/>
    </w:p>
    <w:p w:rsidR="008A5A5D" w:rsidRPr="00862636" w:rsidRDefault="008A5A5D" w:rsidP="006D141C">
      <w:pPr>
        <w:autoSpaceDE w:val="0"/>
        <w:autoSpaceDN w:val="0"/>
        <w:adjustRightInd w:val="0"/>
        <w:spacing w:line="360" w:lineRule="auto"/>
        <w:jc w:val="left"/>
        <w:rPr>
          <w:rFonts w:eastAsiaTheme="minorEastAsia"/>
          <w:color w:val="000000"/>
          <w:kern w:val="0"/>
          <w:szCs w:val="21"/>
        </w:rPr>
      </w:pPr>
    </w:p>
    <w:p w:rsidR="006A28BF" w:rsidRPr="00862636" w:rsidRDefault="006A28BF" w:rsidP="006D141C">
      <w:pPr>
        <w:autoSpaceDE w:val="0"/>
        <w:autoSpaceDN w:val="0"/>
        <w:adjustRightInd w:val="0"/>
        <w:spacing w:line="360" w:lineRule="auto"/>
        <w:jc w:val="left"/>
        <w:rPr>
          <w:rFonts w:eastAsiaTheme="minorEastAsia"/>
          <w:color w:val="000000"/>
          <w:kern w:val="0"/>
          <w:szCs w:val="21"/>
        </w:rPr>
      </w:pPr>
    </w:p>
    <w:p w:rsidR="008A5A5D" w:rsidRPr="00862636" w:rsidRDefault="008A5A5D" w:rsidP="006D141C">
      <w:pPr>
        <w:autoSpaceDE w:val="0"/>
        <w:autoSpaceDN w:val="0"/>
        <w:adjustRightInd w:val="0"/>
        <w:spacing w:line="360" w:lineRule="auto"/>
        <w:jc w:val="left"/>
        <w:rPr>
          <w:rStyle w:val="af8"/>
          <w:rFonts w:eastAsiaTheme="minorEastAsia"/>
          <w:szCs w:val="21"/>
        </w:rPr>
      </w:pPr>
    </w:p>
    <w:p w:rsidR="008A5A5D" w:rsidRPr="00307E35" w:rsidRDefault="008A5A5D" w:rsidP="00F07EDE">
      <w:pPr>
        <w:spacing w:line="360" w:lineRule="auto"/>
        <w:jc w:val="center"/>
        <w:rPr>
          <w:b/>
          <w:sz w:val="44"/>
          <w:szCs w:val="44"/>
        </w:rPr>
      </w:pPr>
      <w:bookmarkStart w:id="1" w:name="_Toc352254876"/>
      <w:bookmarkStart w:id="2" w:name="_Toc352255956"/>
      <w:bookmarkStart w:id="3" w:name="_Toc352256024"/>
      <w:bookmarkStart w:id="4" w:name="_Toc352256201"/>
      <w:bookmarkStart w:id="5" w:name="_Toc352331202"/>
      <w:r w:rsidRPr="00307E35">
        <w:rPr>
          <w:b/>
          <w:sz w:val="44"/>
          <w:szCs w:val="44"/>
        </w:rPr>
        <w:t>易方达原油证券投资基金（</w:t>
      </w:r>
      <w:r w:rsidRPr="00307E35">
        <w:rPr>
          <w:b/>
          <w:sz w:val="44"/>
          <w:szCs w:val="44"/>
        </w:rPr>
        <w:t>QDII</w:t>
      </w:r>
      <w:r w:rsidRPr="00307E35">
        <w:rPr>
          <w:b/>
          <w:sz w:val="44"/>
          <w:szCs w:val="44"/>
        </w:rPr>
        <w:t>）</w:t>
      </w:r>
      <w:bookmarkEnd w:id="1"/>
      <w:bookmarkEnd w:id="2"/>
      <w:bookmarkEnd w:id="3"/>
      <w:bookmarkEnd w:id="4"/>
      <w:bookmarkEnd w:id="5"/>
    </w:p>
    <w:p w:rsidR="008A5A5D" w:rsidRPr="00307E35" w:rsidRDefault="008A5A5D" w:rsidP="00F07EDE">
      <w:pPr>
        <w:spacing w:line="360" w:lineRule="auto"/>
        <w:jc w:val="center"/>
        <w:rPr>
          <w:b/>
          <w:sz w:val="44"/>
          <w:szCs w:val="44"/>
        </w:rPr>
      </w:pPr>
      <w:bookmarkStart w:id="6" w:name="_Toc352254877"/>
      <w:bookmarkStart w:id="7" w:name="_Toc352255957"/>
      <w:bookmarkStart w:id="8" w:name="_Toc352256025"/>
      <w:bookmarkStart w:id="9" w:name="_Toc352256202"/>
      <w:bookmarkStart w:id="10" w:name="_Toc352331203"/>
      <w:r w:rsidRPr="00307E35">
        <w:rPr>
          <w:b/>
          <w:sz w:val="44"/>
          <w:szCs w:val="44"/>
        </w:rPr>
        <w:t>2020</w:t>
      </w:r>
      <w:r w:rsidRPr="00307E35">
        <w:rPr>
          <w:b/>
          <w:sz w:val="44"/>
          <w:szCs w:val="44"/>
        </w:rPr>
        <w:t>年中期报告</w:t>
      </w:r>
      <w:bookmarkEnd w:id="6"/>
      <w:bookmarkEnd w:id="7"/>
      <w:bookmarkEnd w:id="8"/>
      <w:bookmarkEnd w:id="9"/>
      <w:bookmarkEnd w:id="10"/>
    </w:p>
    <w:p w:rsidR="008A5A5D" w:rsidRPr="00307E35" w:rsidRDefault="00146FBA" w:rsidP="00F07EDE">
      <w:pPr>
        <w:spacing w:line="360" w:lineRule="auto"/>
        <w:jc w:val="center"/>
        <w:rPr>
          <w:b/>
          <w:sz w:val="44"/>
          <w:szCs w:val="44"/>
        </w:rPr>
      </w:pPr>
      <w:r w:rsidRPr="00307E35">
        <w:rPr>
          <w:b/>
          <w:sz w:val="44"/>
          <w:szCs w:val="44"/>
        </w:rPr>
        <w:t>2020</w:t>
      </w:r>
      <w:r w:rsidRPr="00307E35">
        <w:rPr>
          <w:b/>
          <w:sz w:val="44"/>
          <w:szCs w:val="44"/>
        </w:rPr>
        <w:t>年</w:t>
      </w:r>
      <w:r w:rsidRPr="00307E35">
        <w:rPr>
          <w:b/>
          <w:sz w:val="44"/>
          <w:szCs w:val="44"/>
        </w:rPr>
        <w:t>6</w:t>
      </w:r>
      <w:r w:rsidRPr="00307E35">
        <w:rPr>
          <w:b/>
          <w:sz w:val="44"/>
          <w:szCs w:val="44"/>
        </w:rPr>
        <w:t>月</w:t>
      </w:r>
      <w:r w:rsidRPr="00307E35">
        <w:rPr>
          <w:b/>
          <w:sz w:val="44"/>
          <w:szCs w:val="44"/>
        </w:rPr>
        <w:t>30</w:t>
      </w:r>
      <w:r w:rsidRPr="00307E35">
        <w:rPr>
          <w:b/>
          <w:sz w:val="44"/>
          <w:szCs w:val="44"/>
        </w:rPr>
        <w:t>日</w:t>
      </w:r>
    </w:p>
    <w:p w:rsidR="008A5A5D" w:rsidRPr="008134C7" w:rsidRDefault="008A5A5D" w:rsidP="006D141C">
      <w:pPr>
        <w:spacing w:line="360" w:lineRule="auto"/>
        <w:jc w:val="center"/>
        <w:rPr>
          <w:rStyle w:val="af8"/>
          <w:rFonts w:eastAsiaTheme="minorEastAsia"/>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rPr>
          <w:rFonts w:eastAsiaTheme="minorEastAsia"/>
          <w:b/>
          <w:color w:val="000000"/>
          <w:sz w:val="24"/>
        </w:rPr>
      </w:pP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基金管理人：易方达基金管理有限公司</w:t>
      </w: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基金托管人：招商银行股份有限公司</w:t>
      </w:r>
    </w:p>
    <w:p w:rsidR="008A5A5D" w:rsidRPr="00862636"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送出日期：二〇二〇年八月二十八日</w:t>
      </w:r>
    </w:p>
    <w:p w:rsidR="008A5A5D" w:rsidRPr="00862636" w:rsidRDefault="008A5A5D" w:rsidP="00F07EDE">
      <w:pPr>
        <w:spacing w:line="288" w:lineRule="auto"/>
        <w:ind w:firstLineChars="900" w:firstLine="1897"/>
        <w:rPr>
          <w:rFonts w:eastAsiaTheme="minorEastAsia"/>
          <w:b/>
          <w:color w:val="000000"/>
          <w:szCs w:val="21"/>
        </w:rPr>
        <w:sectPr w:rsidR="008A5A5D" w:rsidRPr="00862636">
          <w:headerReference w:type="default" r:id="rId8"/>
          <w:footerReference w:type="default" r:id="rId9"/>
          <w:pgSz w:w="11926" w:h="15840"/>
          <w:pgMar w:top="1418" w:right="1418" w:bottom="851" w:left="1418" w:header="851" w:footer="992" w:gutter="0"/>
          <w:cols w:space="720"/>
        </w:sectPr>
      </w:pPr>
    </w:p>
    <w:p w:rsidR="00937FC6" w:rsidRPr="00A432E9" w:rsidRDefault="00937FC6"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1" w:name="_Toc225498243"/>
      <w:bookmarkStart w:id="12" w:name="_Toc352255958"/>
      <w:bookmarkStart w:id="13" w:name="_Toc352256026"/>
      <w:bookmarkStart w:id="14" w:name="_Toc352331204"/>
      <w:bookmarkStart w:id="15" w:name="_Toc48664143"/>
      <w:r w:rsidRPr="000C6CCD">
        <w:rPr>
          <w:rFonts w:ascii="宋体" w:hAnsi="宋体"/>
          <w:bCs w:val="0"/>
          <w:color w:val="000000"/>
          <w:sz w:val="21"/>
          <w:szCs w:val="21"/>
        </w:rPr>
        <w:lastRenderedPageBreak/>
        <w:t>1</w:t>
      </w:r>
      <w:r w:rsidR="000C6CCD">
        <w:rPr>
          <w:rFonts w:ascii="Times New Roman" w:hAnsi="Times New Roman"/>
          <w:bCs w:val="0"/>
          <w:color w:val="000000"/>
          <w:sz w:val="21"/>
          <w:szCs w:val="21"/>
        </w:rPr>
        <w:t xml:space="preserve">    </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重要提示及目录</w:t>
      </w:r>
      <w:bookmarkEnd w:id="11"/>
      <w:bookmarkEnd w:id="12"/>
      <w:bookmarkEnd w:id="13"/>
      <w:bookmarkEnd w:id="14"/>
      <w:bookmarkEnd w:id="15"/>
    </w:p>
    <w:p w:rsidR="00C24ACA" w:rsidRPr="00A432E9" w:rsidRDefault="00C24ACA" w:rsidP="00732F5C">
      <w:pPr>
        <w:pStyle w:val="20"/>
        <w:spacing w:beforeLines="100" w:before="312" w:after="0"/>
        <w:rPr>
          <w:rFonts w:ascii="Times New Roman" w:eastAsiaTheme="minorEastAsia" w:hAnsi="Times New Roman"/>
          <w:kern w:val="0"/>
          <w:sz w:val="21"/>
          <w:szCs w:val="21"/>
        </w:rPr>
      </w:pPr>
      <w:bookmarkStart w:id="16" w:name="_Toc352255959"/>
      <w:bookmarkStart w:id="17" w:name="_Toc352256027"/>
      <w:bookmarkStart w:id="18" w:name="_Toc352331205"/>
      <w:bookmarkStart w:id="19" w:name="_Toc48664144"/>
      <w:r w:rsidRPr="0087359D">
        <w:rPr>
          <w:rFonts w:ascii="宋体" w:hAnsi="宋体"/>
          <w:kern w:val="0"/>
          <w:sz w:val="21"/>
          <w:szCs w:val="21"/>
        </w:rPr>
        <w:t>1.1</w:t>
      </w:r>
      <w:r w:rsidR="009A2157" w:rsidRPr="009A2157">
        <w:rPr>
          <w:rFonts w:ascii="Times New Roman" w:eastAsiaTheme="minorEastAsia" w:hAnsi="Times New Roman"/>
          <w:kern w:val="0"/>
          <w:sz w:val="21"/>
          <w:szCs w:val="21"/>
        </w:rPr>
        <w:t xml:space="preserve">   </w:t>
      </w:r>
      <w:r w:rsidRPr="00A432E9">
        <w:rPr>
          <w:rFonts w:ascii="Times New Roman" w:eastAsiaTheme="minorEastAsia" w:hAnsi="Times New Roman" w:hint="eastAsia"/>
          <w:kern w:val="0"/>
          <w:sz w:val="21"/>
          <w:szCs w:val="21"/>
        </w:rPr>
        <w:t>重要提示</w:t>
      </w:r>
      <w:bookmarkEnd w:id="16"/>
      <w:bookmarkEnd w:id="17"/>
      <w:bookmarkEnd w:id="18"/>
      <w:bookmarkEnd w:id="19"/>
    </w:p>
    <w:p w:rsidR="005F7EF1" w:rsidRDefault="00E6254F">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F7EF1" w:rsidRDefault="00E6254F">
      <w:pPr>
        <w:spacing w:line="360" w:lineRule="auto"/>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F7EF1" w:rsidRDefault="00E6254F">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F7EF1" w:rsidRDefault="00E6254F">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F7EF1" w:rsidRDefault="00E6254F">
      <w:pPr>
        <w:spacing w:line="360" w:lineRule="auto"/>
        <w:ind w:firstLineChars="200" w:firstLine="420"/>
        <w:rPr>
          <w:szCs w:val="21"/>
        </w:rPr>
      </w:pPr>
      <w:r>
        <w:rPr>
          <w:color w:val="000000"/>
          <w:szCs w:val="21"/>
        </w:rPr>
        <w:t>本报告中财务资料未经审计。</w:t>
      </w:r>
      <w:r>
        <w:rPr>
          <w:color w:val="000000"/>
          <w:szCs w:val="21"/>
        </w:rPr>
        <w:t xml:space="preserve"> </w:t>
      </w:r>
    </w:p>
    <w:p w:rsidR="00C24ACA" w:rsidRPr="00C24ACA" w:rsidRDefault="00C24ACA" w:rsidP="001412CA">
      <w:pPr>
        <w:spacing w:line="360" w:lineRule="auto"/>
        <w:ind w:firstLineChars="200" w:firstLine="420"/>
        <w:rPr>
          <w:szCs w:val="21"/>
        </w:rPr>
      </w:pPr>
      <w:r w:rsidRPr="00C24ACA">
        <w:rPr>
          <w:color w:val="000000"/>
          <w:szCs w:val="21"/>
        </w:rPr>
        <w:t>本报告期自</w:t>
      </w:r>
      <w:r w:rsidRPr="00C24ACA">
        <w:rPr>
          <w:color w:val="000000"/>
          <w:szCs w:val="21"/>
        </w:rPr>
        <w:t>2020</w:t>
      </w:r>
      <w:r w:rsidRPr="00C24ACA">
        <w:rPr>
          <w:color w:val="000000"/>
          <w:szCs w:val="21"/>
        </w:rPr>
        <w:t>年</w:t>
      </w:r>
      <w:r w:rsidRPr="00C24ACA">
        <w:rPr>
          <w:color w:val="000000"/>
          <w:szCs w:val="21"/>
        </w:rPr>
        <w:t>1</w:t>
      </w:r>
      <w:r w:rsidRPr="00C24ACA">
        <w:rPr>
          <w:color w:val="000000"/>
          <w:szCs w:val="21"/>
        </w:rPr>
        <w:t>月</w:t>
      </w:r>
      <w:r w:rsidRPr="00C24ACA">
        <w:rPr>
          <w:color w:val="000000"/>
          <w:szCs w:val="21"/>
        </w:rPr>
        <w:t>1</w:t>
      </w:r>
      <w:r w:rsidRPr="00C24ACA">
        <w:rPr>
          <w:color w:val="000000"/>
          <w:szCs w:val="21"/>
        </w:rPr>
        <w:t>日起至</w:t>
      </w:r>
      <w:r w:rsidRPr="00C24ACA">
        <w:rPr>
          <w:color w:val="000000"/>
          <w:szCs w:val="21"/>
        </w:rPr>
        <w:t>6</w:t>
      </w:r>
      <w:r w:rsidRPr="00C24ACA">
        <w:rPr>
          <w:color w:val="000000"/>
          <w:szCs w:val="21"/>
        </w:rPr>
        <w:t>月</w:t>
      </w:r>
      <w:r w:rsidRPr="00C24ACA">
        <w:rPr>
          <w:color w:val="000000"/>
          <w:szCs w:val="21"/>
        </w:rPr>
        <w:t>30</w:t>
      </w:r>
      <w:r w:rsidRPr="00C24ACA">
        <w:rPr>
          <w:color w:val="000000"/>
          <w:szCs w:val="21"/>
        </w:rPr>
        <w:t>日止。</w:t>
      </w:r>
    </w:p>
    <w:p w:rsidR="00937FC6" w:rsidRPr="00C24ACA" w:rsidRDefault="00871A0D" w:rsidP="00732F5C">
      <w:pPr>
        <w:pStyle w:val="20"/>
        <w:spacing w:beforeLines="100" w:before="312" w:after="0"/>
        <w:rPr>
          <w:rFonts w:eastAsiaTheme="minorEastAsia"/>
          <w:b w:val="0"/>
          <w:szCs w:val="21"/>
        </w:rPr>
      </w:pPr>
      <w:r w:rsidRPr="00C24ACA">
        <w:rPr>
          <w:rFonts w:eastAsiaTheme="minorEastAsia"/>
          <w:szCs w:val="21"/>
        </w:rPr>
        <w:br w:type="page"/>
      </w:r>
      <w:bookmarkStart w:id="20" w:name="_Toc48664145"/>
      <w:r w:rsidR="00937FC6" w:rsidRPr="00E141AF">
        <w:rPr>
          <w:rFonts w:ascii="宋体" w:hAnsi="宋体"/>
          <w:kern w:val="0"/>
          <w:sz w:val="21"/>
          <w:szCs w:val="21"/>
        </w:rPr>
        <w:lastRenderedPageBreak/>
        <w:t>1.2</w:t>
      </w:r>
      <w:r w:rsidR="00257CCE" w:rsidRPr="00257CCE">
        <w:rPr>
          <w:rFonts w:ascii="宋体" w:hAnsi="宋体"/>
          <w:kern w:val="0"/>
          <w:sz w:val="21"/>
          <w:szCs w:val="21"/>
        </w:rPr>
        <w:t xml:space="preserve">   </w:t>
      </w:r>
      <w:r w:rsidR="00937FC6" w:rsidRPr="00E141AF">
        <w:rPr>
          <w:rFonts w:ascii="宋体" w:hAnsi="宋体"/>
          <w:kern w:val="0"/>
          <w:sz w:val="21"/>
          <w:szCs w:val="21"/>
        </w:rPr>
        <w:t>目录</w:t>
      </w:r>
      <w:bookmarkEnd w:id="20"/>
    </w:p>
    <w:p w:rsidR="0049416C" w:rsidRDefault="00955B17">
      <w:pPr>
        <w:pStyle w:val="22"/>
        <w:ind w:left="420"/>
        <w:rPr>
          <w:rFonts w:asciiTheme="minorHAnsi" w:eastAsiaTheme="minorEastAsia" w:hAnsiTheme="minorHAnsi" w:cstheme="minorBidi"/>
          <w:noProof/>
          <w:kern w:val="2"/>
          <w:szCs w:val="22"/>
        </w:rPr>
      </w:pPr>
      <w:r w:rsidRPr="006F3222">
        <w:rPr>
          <w:rFonts w:eastAsiaTheme="minorEastAsia"/>
        </w:rPr>
        <w:fldChar w:fldCharType="begin"/>
      </w:r>
      <w:r w:rsidR="00937FC6" w:rsidRPr="006F3222">
        <w:rPr>
          <w:rFonts w:eastAsiaTheme="minorEastAsia"/>
        </w:rPr>
        <w:instrText xml:space="preserve"> TOC \o "1-3" \h \z \u </w:instrText>
      </w:r>
      <w:r w:rsidRPr="006F3222">
        <w:rPr>
          <w:rFonts w:eastAsiaTheme="minorEastAsia"/>
        </w:rPr>
        <w:fldChar w:fldCharType="separate"/>
      </w:r>
      <w:hyperlink w:anchor="_Toc48664143" w:history="1">
        <w:r w:rsidR="0049416C" w:rsidRPr="009A690D">
          <w:rPr>
            <w:rStyle w:val="a9"/>
            <w:rFonts w:ascii="宋体" w:hAnsi="宋体"/>
            <w:noProof/>
          </w:rPr>
          <w:t>1</w:t>
        </w:r>
        <w:r w:rsidR="0049416C" w:rsidRPr="009A690D">
          <w:rPr>
            <w:rStyle w:val="a9"/>
            <w:noProof/>
          </w:rPr>
          <w:t xml:space="preserve">     </w:t>
        </w:r>
        <w:r w:rsidR="0049416C" w:rsidRPr="009A690D">
          <w:rPr>
            <w:rStyle w:val="a9"/>
            <w:rFonts w:hint="eastAsia"/>
            <w:noProof/>
          </w:rPr>
          <w:t>重要提示及目录</w:t>
        </w:r>
        <w:r w:rsidR="0049416C">
          <w:rPr>
            <w:noProof/>
            <w:webHidden/>
          </w:rPr>
          <w:tab/>
        </w:r>
        <w:r w:rsidR="0049416C">
          <w:rPr>
            <w:noProof/>
            <w:webHidden/>
          </w:rPr>
          <w:fldChar w:fldCharType="begin"/>
        </w:r>
        <w:r w:rsidR="0049416C">
          <w:rPr>
            <w:noProof/>
            <w:webHidden/>
          </w:rPr>
          <w:instrText xml:space="preserve"> PAGEREF _Toc48664143 \h </w:instrText>
        </w:r>
        <w:r w:rsidR="0049416C">
          <w:rPr>
            <w:noProof/>
            <w:webHidden/>
          </w:rPr>
        </w:r>
        <w:r w:rsidR="0049416C">
          <w:rPr>
            <w:noProof/>
            <w:webHidden/>
          </w:rPr>
          <w:fldChar w:fldCharType="separate"/>
        </w:r>
        <w:r w:rsidR="0049416C">
          <w:rPr>
            <w:noProof/>
            <w:webHidden/>
          </w:rPr>
          <w:t>2</w:t>
        </w:r>
        <w:r w:rsidR="0049416C">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44" w:history="1">
        <w:r w:rsidRPr="009A690D">
          <w:rPr>
            <w:rStyle w:val="a9"/>
            <w:rFonts w:ascii="宋体" w:hAnsi="宋体"/>
            <w:noProof/>
          </w:rPr>
          <w:t>1.1</w:t>
        </w:r>
        <w:r w:rsidRPr="009A690D">
          <w:rPr>
            <w:rStyle w:val="a9"/>
            <w:noProof/>
          </w:rPr>
          <w:t xml:space="preserve">   </w:t>
        </w:r>
        <w:r w:rsidRPr="009A690D">
          <w:rPr>
            <w:rStyle w:val="a9"/>
            <w:rFonts w:hint="eastAsia"/>
            <w:noProof/>
          </w:rPr>
          <w:t>重要提示</w:t>
        </w:r>
        <w:r>
          <w:rPr>
            <w:noProof/>
            <w:webHidden/>
          </w:rPr>
          <w:tab/>
        </w:r>
        <w:r>
          <w:rPr>
            <w:noProof/>
            <w:webHidden/>
          </w:rPr>
          <w:fldChar w:fldCharType="begin"/>
        </w:r>
        <w:r>
          <w:rPr>
            <w:noProof/>
            <w:webHidden/>
          </w:rPr>
          <w:instrText xml:space="preserve"> PAGEREF _Toc48664144 \h </w:instrText>
        </w:r>
        <w:r>
          <w:rPr>
            <w:noProof/>
            <w:webHidden/>
          </w:rPr>
        </w:r>
        <w:r>
          <w:rPr>
            <w:noProof/>
            <w:webHidden/>
          </w:rPr>
          <w:fldChar w:fldCharType="separate"/>
        </w:r>
        <w:r>
          <w:rPr>
            <w:noProof/>
            <w:webHidden/>
          </w:rPr>
          <w:t>2</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45" w:history="1">
        <w:r w:rsidRPr="009A690D">
          <w:rPr>
            <w:rStyle w:val="a9"/>
            <w:rFonts w:ascii="宋体" w:hAnsi="宋体"/>
            <w:noProof/>
          </w:rPr>
          <w:t xml:space="preserve">1.2   </w:t>
        </w:r>
        <w:r w:rsidRPr="009A690D">
          <w:rPr>
            <w:rStyle w:val="a9"/>
            <w:rFonts w:ascii="宋体" w:hAnsi="宋体" w:hint="eastAsia"/>
            <w:noProof/>
          </w:rPr>
          <w:t>目录</w:t>
        </w:r>
        <w:r>
          <w:rPr>
            <w:noProof/>
            <w:webHidden/>
          </w:rPr>
          <w:tab/>
        </w:r>
        <w:r>
          <w:rPr>
            <w:noProof/>
            <w:webHidden/>
          </w:rPr>
          <w:fldChar w:fldCharType="begin"/>
        </w:r>
        <w:r>
          <w:rPr>
            <w:noProof/>
            <w:webHidden/>
          </w:rPr>
          <w:instrText xml:space="preserve"> PAGEREF _Toc48664145 \h </w:instrText>
        </w:r>
        <w:r>
          <w:rPr>
            <w:noProof/>
            <w:webHidden/>
          </w:rPr>
        </w:r>
        <w:r>
          <w:rPr>
            <w:noProof/>
            <w:webHidden/>
          </w:rPr>
          <w:fldChar w:fldCharType="separate"/>
        </w:r>
        <w:r>
          <w:rPr>
            <w:noProof/>
            <w:webHidden/>
          </w:rPr>
          <w:t>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46" w:history="1">
        <w:r w:rsidRPr="009A690D">
          <w:rPr>
            <w:rStyle w:val="a9"/>
            <w:rFonts w:ascii="宋体" w:hAnsi="宋体"/>
            <w:noProof/>
          </w:rPr>
          <w:t>2</w:t>
        </w:r>
        <w:r w:rsidRPr="009A690D">
          <w:rPr>
            <w:rStyle w:val="a9"/>
            <w:noProof/>
          </w:rPr>
          <w:t xml:space="preserve">     </w:t>
        </w:r>
        <w:r w:rsidRPr="009A690D">
          <w:rPr>
            <w:rStyle w:val="a9"/>
            <w:rFonts w:hint="eastAsia"/>
            <w:noProof/>
          </w:rPr>
          <w:t>基金简介</w:t>
        </w:r>
        <w:r>
          <w:rPr>
            <w:noProof/>
            <w:webHidden/>
          </w:rPr>
          <w:tab/>
        </w:r>
        <w:r>
          <w:rPr>
            <w:noProof/>
            <w:webHidden/>
          </w:rPr>
          <w:fldChar w:fldCharType="begin"/>
        </w:r>
        <w:r>
          <w:rPr>
            <w:noProof/>
            <w:webHidden/>
          </w:rPr>
          <w:instrText xml:space="preserve"> PAGEREF _Toc48664146 \h </w:instrText>
        </w:r>
        <w:r>
          <w:rPr>
            <w:noProof/>
            <w:webHidden/>
          </w:rPr>
        </w:r>
        <w:r>
          <w:rPr>
            <w:noProof/>
            <w:webHidden/>
          </w:rPr>
          <w:fldChar w:fldCharType="separate"/>
        </w:r>
        <w:r>
          <w:rPr>
            <w:noProof/>
            <w:webHidden/>
          </w:rPr>
          <w:t>5</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47" w:history="1">
        <w:r w:rsidRPr="009A690D">
          <w:rPr>
            <w:rStyle w:val="a9"/>
            <w:rFonts w:ascii="宋体" w:hAnsi="宋体"/>
            <w:noProof/>
          </w:rPr>
          <w:t>2.1</w:t>
        </w:r>
        <w:r w:rsidRPr="009A690D">
          <w:rPr>
            <w:rStyle w:val="a9"/>
            <w:noProof/>
          </w:rPr>
          <w:t xml:space="preserve">   </w:t>
        </w:r>
        <w:r w:rsidRPr="009A690D">
          <w:rPr>
            <w:rStyle w:val="a9"/>
            <w:rFonts w:hint="eastAsia"/>
            <w:noProof/>
          </w:rPr>
          <w:t>基金基本情况</w:t>
        </w:r>
        <w:r>
          <w:rPr>
            <w:noProof/>
            <w:webHidden/>
          </w:rPr>
          <w:tab/>
        </w:r>
        <w:r>
          <w:rPr>
            <w:noProof/>
            <w:webHidden/>
          </w:rPr>
          <w:fldChar w:fldCharType="begin"/>
        </w:r>
        <w:r>
          <w:rPr>
            <w:noProof/>
            <w:webHidden/>
          </w:rPr>
          <w:instrText xml:space="preserve"> PAGEREF _Toc48664147 \h </w:instrText>
        </w:r>
        <w:r>
          <w:rPr>
            <w:noProof/>
            <w:webHidden/>
          </w:rPr>
        </w:r>
        <w:r>
          <w:rPr>
            <w:noProof/>
            <w:webHidden/>
          </w:rPr>
          <w:fldChar w:fldCharType="separate"/>
        </w:r>
        <w:r>
          <w:rPr>
            <w:noProof/>
            <w:webHidden/>
          </w:rPr>
          <w:t>5</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48" w:history="1">
        <w:r w:rsidRPr="009A690D">
          <w:rPr>
            <w:rStyle w:val="a9"/>
            <w:rFonts w:ascii="宋体" w:hAnsi="宋体"/>
            <w:noProof/>
          </w:rPr>
          <w:t>2.2</w:t>
        </w:r>
        <w:r w:rsidRPr="009A690D">
          <w:rPr>
            <w:rStyle w:val="a9"/>
            <w:noProof/>
          </w:rPr>
          <w:t xml:space="preserve">   </w:t>
        </w:r>
        <w:r w:rsidRPr="009A690D">
          <w:rPr>
            <w:rStyle w:val="a9"/>
            <w:rFonts w:hint="eastAsia"/>
            <w:noProof/>
          </w:rPr>
          <w:t>基金产品说明</w:t>
        </w:r>
        <w:r>
          <w:rPr>
            <w:noProof/>
            <w:webHidden/>
          </w:rPr>
          <w:tab/>
        </w:r>
        <w:r>
          <w:rPr>
            <w:noProof/>
            <w:webHidden/>
          </w:rPr>
          <w:fldChar w:fldCharType="begin"/>
        </w:r>
        <w:r>
          <w:rPr>
            <w:noProof/>
            <w:webHidden/>
          </w:rPr>
          <w:instrText xml:space="preserve"> PAGEREF _Toc48664148 \h </w:instrText>
        </w:r>
        <w:r>
          <w:rPr>
            <w:noProof/>
            <w:webHidden/>
          </w:rPr>
        </w:r>
        <w:r>
          <w:rPr>
            <w:noProof/>
            <w:webHidden/>
          </w:rPr>
          <w:fldChar w:fldCharType="separate"/>
        </w:r>
        <w:r>
          <w:rPr>
            <w:noProof/>
            <w:webHidden/>
          </w:rPr>
          <w:t>5</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49" w:history="1">
        <w:r w:rsidRPr="009A690D">
          <w:rPr>
            <w:rStyle w:val="a9"/>
            <w:rFonts w:ascii="宋体" w:hAnsi="宋体"/>
            <w:noProof/>
          </w:rPr>
          <w:t>2.3</w:t>
        </w:r>
        <w:r w:rsidRPr="009A690D">
          <w:rPr>
            <w:rStyle w:val="a9"/>
            <w:noProof/>
          </w:rPr>
          <w:t xml:space="preserve">   </w:t>
        </w:r>
        <w:r w:rsidRPr="009A690D">
          <w:rPr>
            <w:rStyle w:val="a9"/>
            <w:rFonts w:hint="eastAsia"/>
            <w:noProof/>
          </w:rPr>
          <w:t>基金管理人和基金托管人</w:t>
        </w:r>
        <w:r>
          <w:rPr>
            <w:noProof/>
            <w:webHidden/>
          </w:rPr>
          <w:tab/>
        </w:r>
        <w:r>
          <w:rPr>
            <w:noProof/>
            <w:webHidden/>
          </w:rPr>
          <w:fldChar w:fldCharType="begin"/>
        </w:r>
        <w:r>
          <w:rPr>
            <w:noProof/>
            <w:webHidden/>
          </w:rPr>
          <w:instrText xml:space="preserve"> PAGEREF _Toc48664149 \h </w:instrText>
        </w:r>
        <w:r>
          <w:rPr>
            <w:noProof/>
            <w:webHidden/>
          </w:rPr>
        </w:r>
        <w:r>
          <w:rPr>
            <w:noProof/>
            <w:webHidden/>
          </w:rPr>
          <w:fldChar w:fldCharType="separate"/>
        </w:r>
        <w:r>
          <w:rPr>
            <w:noProof/>
            <w:webHidden/>
          </w:rPr>
          <w:t>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0" w:history="1">
        <w:r w:rsidRPr="009A690D">
          <w:rPr>
            <w:rStyle w:val="a9"/>
            <w:rFonts w:ascii="宋体" w:hAnsi="宋体"/>
            <w:noProof/>
          </w:rPr>
          <w:t>2.4</w:t>
        </w:r>
        <w:r w:rsidRPr="009A690D">
          <w:rPr>
            <w:rStyle w:val="a9"/>
            <w:noProof/>
          </w:rPr>
          <w:t xml:space="preserve">   </w:t>
        </w:r>
        <w:r w:rsidRPr="009A690D">
          <w:rPr>
            <w:rStyle w:val="a9"/>
            <w:rFonts w:hint="eastAsia"/>
            <w:noProof/>
          </w:rPr>
          <w:t>境外投资顾问和境外资产托管人</w:t>
        </w:r>
        <w:r>
          <w:rPr>
            <w:noProof/>
            <w:webHidden/>
          </w:rPr>
          <w:tab/>
        </w:r>
        <w:r>
          <w:rPr>
            <w:noProof/>
            <w:webHidden/>
          </w:rPr>
          <w:fldChar w:fldCharType="begin"/>
        </w:r>
        <w:r>
          <w:rPr>
            <w:noProof/>
            <w:webHidden/>
          </w:rPr>
          <w:instrText xml:space="preserve"> PAGEREF _Toc48664150 \h </w:instrText>
        </w:r>
        <w:r>
          <w:rPr>
            <w:noProof/>
            <w:webHidden/>
          </w:rPr>
        </w:r>
        <w:r>
          <w:rPr>
            <w:noProof/>
            <w:webHidden/>
          </w:rPr>
          <w:fldChar w:fldCharType="separate"/>
        </w:r>
        <w:r>
          <w:rPr>
            <w:noProof/>
            <w:webHidden/>
          </w:rPr>
          <w:t>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1" w:history="1">
        <w:r w:rsidRPr="009A690D">
          <w:rPr>
            <w:rStyle w:val="a9"/>
            <w:rFonts w:ascii="宋体" w:hAnsi="宋体"/>
            <w:noProof/>
          </w:rPr>
          <w:t>2.5</w:t>
        </w:r>
        <w:r w:rsidRPr="009A690D">
          <w:rPr>
            <w:rStyle w:val="a9"/>
            <w:noProof/>
          </w:rPr>
          <w:t xml:space="preserve">   </w:t>
        </w:r>
        <w:r w:rsidRPr="009A690D">
          <w:rPr>
            <w:rStyle w:val="a9"/>
            <w:rFonts w:hint="eastAsia"/>
            <w:noProof/>
          </w:rPr>
          <w:t>信息披露方式</w:t>
        </w:r>
        <w:r>
          <w:rPr>
            <w:noProof/>
            <w:webHidden/>
          </w:rPr>
          <w:tab/>
        </w:r>
        <w:r>
          <w:rPr>
            <w:noProof/>
            <w:webHidden/>
          </w:rPr>
          <w:fldChar w:fldCharType="begin"/>
        </w:r>
        <w:r>
          <w:rPr>
            <w:noProof/>
            <w:webHidden/>
          </w:rPr>
          <w:instrText xml:space="preserve"> PAGEREF _Toc48664151 \h </w:instrText>
        </w:r>
        <w:r>
          <w:rPr>
            <w:noProof/>
            <w:webHidden/>
          </w:rPr>
        </w:r>
        <w:r>
          <w:rPr>
            <w:noProof/>
            <w:webHidden/>
          </w:rPr>
          <w:fldChar w:fldCharType="separate"/>
        </w:r>
        <w:r>
          <w:rPr>
            <w:noProof/>
            <w:webHidden/>
          </w:rPr>
          <w:t>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2" w:history="1">
        <w:r w:rsidRPr="009A690D">
          <w:rPr>
            <w:rStyle w:val="a9"/>
            <w:rFonts w:ascii="宋体" w:hAnsi="宋体"/>
            <w:noProof/>
          </w:rPr>
          <w:t>2.6</w:t>
        </w:r>
        <w:r w:rsidRPr="009A690D">
          <w:rPr>
            <w:rStyle w:val="a9"/>
            <w:noProof/>
          </w:rPr>
          <w:t xml:space="preserve">   </w:t>
        </w:r>
        <w:r w:rsidRPr="009A690D">
          <w:rPr>
            <w:rStyle w:val="a9"/>
            <w:rFonts w:hint="eastAsia"/>
            <w:noProof/>
          </w:rPr>
          <w:t>其他相关资料</w:t>
        </w:r>
        <w:r>
          <w:rPr>
            <w:noProof/>
            <w:webHidden/>
          </w:rPr>
          <w:tab/>
        </w:r>
        <w:r>
          <w:rPr>
            <w:noProof/>
            <w:webHidden/>
          </w:rPr>
          <w:fldChar w:fldCharType="begin"/>
        </w:r>
        <w:r>
          <w:rPr>
            <w:noProof/>
            <w:webHidden/>
          </w:rPr>
          <w:instrText xml:space="preserve"> PAGEREF _Toc48664152 \h </w:instrText>
        </w:r>
        <w:r>
          <w:rPr>
            <w:noProof/>
            <w:webHidden/>
          </w:rPr>
        </w:r>
        <w:r>
          <w:rPr>
            <w:noProof/>
            <w:webHidden/>
          </w:rPr>
          <w:fldChar w:fldCharType="separate"/>
        </w:r>
        <w:r>
          <w:rPr>
            <w:noProof/>
            <w:webHidden/>
          </w:rPr>
          <w:t>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3" w:history="1">
        <w:r w:rsidRPr="009A690D">
          <w:rPr>
            <w:rStyle w:val="a9"/>
            <w:rFonts w:ascii="宋体" w:hAnsi="宋体"/>
            <w:noProof/>
          </w:rPr>
          <w:t>3</w:t>
        </w:r>
        <w:r w:rsidRPr="009A690D">
          <w:rPr>
            <w:rStyle w:val="a9"/>
            <w:noProof/>
          </w:rPr>
          <w:t xml:space="preserve">     </w:t>
        </w:r>
        <w:r w:rsidRPr="009A690D">
          <w:rPr>
            <w:rStyle w:val="a9"/>
            <w:rFonts w:hint="eastAsia"/>
            <w:noProof/>
          </w:rPr>
          <w:t>主要财务指标和基金净值表现</w:t>
        </w:r>
        <w:r>
          <w:rPr>
            <w:noProof/>
            <w:webHidden/>
          </w:rPr>
          <w:tab/>
        </w:r>
        <w:r>
          <w:rPr>
            <w:noProof/>
            <w:webHidden/>
          </w:rPr>
          <w:fldChar w:fldCharType="begin"/>
        </w:r>
        <w:r>
          <w:rPr>
            <w:noProof/>
            <w:webHidden/>
          </w:rPr>
          <w:instrText xml:space="preserve"> PAGEREF _Toc48664153 \h </w:instrText>
        </w:r>
        <w:r>
          <w:rPr>
            <w:noProof/>
            <w:webHidden/>
          </w:rPr>
        </w:r>
        <w:r>
          <w:rPr>
            <w:noProof/>
            <w:webHidden/>
          </w:rPr>
          <w:fldChar w:fldCharType="separate"/>
        </w:r>
        <w:r>
          <w:rPr>
            <w:noProof/>
            <w:webHidden/>
          </w:rPr>
          <w:t>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4" w:history="1">
        <w:r w:rsidRPr="009A690D">
          <w:rPr>
            <w:rStyle w:val="a9"/>
            <w:rFonts w:ascii="宋体" w:hAnsi="宋体"/>
            <w:noProof/>
          </w:rPr>
          <w:t>3.1</w:t>
        </w:r>
        <w:r w:rsidRPr="009A690D">
          <w:rPr>
            <w:rStyle w:val="a9"/>
            <w:noProof/>
          </w:rPr>
          <w:t xml:space="preserve">   </w:t>
        </w:r>
        <w:r w:rsidRPr="009A690D">
          <w:rPr>
            <w:rStyle w:val="a9"/>
            <w:rFonts w:hint="eastAsia"/>
            <w:noProof/>
          </w:rPr>
          <w:t>主要会计数据和财务指标</w:t>
        </w:r>
        <w:r>
          <w:rPr>
            <w:noProof/>
            <w:webHidden/>
          </w:rPr>
          <w:tab/>
        </w:r>
        <w:r>
          <w:rPr>
            <w:noProof/>
            <w:webHidden/>
          </w:rPr>
          <w:fldChar w:fldCharType="begin"/>
        </w:r>
        <w:r>
          <w:rPr>
            <w:noProof/>
            <w:webHidden/>
          </w:rPr>
          <w:instrText xml:space="preserve"> PAGEREF _Toc48664154 \h </w:instrText>
        </w:r>
        <w:r>
          <w:rPr>
            <w:noProof/>
            <w:webHidden/>
          </w:rPr>
        </w:r>
        <w:r>
          <w:rPr>
            <w:noProof/>
            <w:webHidden/>
          </w:rPr>
          <w:fldChar w:fldCharType="separate"/>
        </w:r>
        <w:r>
          <w:rPr>
            <w:noProof/>
            <w:webHidden/>
          </w:rPr>
          <w:t>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5" w:history="1">
        <w:r w:rsidRPr="009A690D">
          <w:rPr>
            <w:rStyle w:val="a9"/>
            <w:rFonts w:ascii="宋体" w:hAnsi="宋体"/>
            <w:noProof/>
          </w:rPr>
          <w:t>3.2</w:t>
        </w:r>
        <w:r w:rsidRPr="009A690D">
          <w:rPr>
            <w:rStyle w:val="a9"/>
            <w:noProof/>
          </w:rPr>
          <w:t xml:space="preserve">   </w:t>
        </w:r>
        <w:r w:rsidRPr="009A690D">
          <w:rPr>
            <w:rStyle w:val="a9"/>
            <w:rFonts w:hint="eastAsia"/>
            <w:noProof/>
          </w:rPr>
          <w:t>基金净值表现</w:t>
        </w:r>
        <w:r>
          <w:rPr>
            <w:noProof/>
            <w:webHidden/>
          </w:rPr>
          <w:tab/>
        </w:r>
        <w:r>
          <w:rPr>
            <w:noProof/>
            <w:webHidden/>
          </w:rPr>
          <w:fldChar w:fldCharType="begin"/>
        </w:r>
        <w:r>
          <w:rPr>
            <w:noProof/>
            <w:webHidden/>
          </w:rPr>
          <w:instrText xml:space="preserve"> PAGEREF _Toc48664155 \h </w:instrText>
        </w:r>
        <w:r>
          <w:rPr>
            <w:noProof/>
            <w:webHidden/>
          </w:rPr>
        </w:r>
        <w:r>
          <w:rPr>
            <w:noProof/>
            <w:webHidden/>
          </w:rPr>
          <w:fldChar w:fldCharType="separate"/>
        </w:r>
        <w:r>
          <w:rPr>
            <w:noProof/>
            <w:webHidden/>
          </w:rPr>
          <w:t>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6" w:history="1">
        <w:r w:rsidRPr="009A690D">
          <w:rPr>
            <w:rStyle w:val="a9"/>
            <w:rFonts w:ascii="宋体" w:hAnsi="宋体"/>
            <w:noProof/>
          </w:rPr>
          <w:t>4</w:t>
        </w:r>
        <w:r w:rsidRPr="009A690D">
          <w:rPr>
            <w:rStyle w:val="a9"/>
            <w:noProof/>
          </w:rPr>
          <w:t xml:space="preserve">     </w:t>
        </w:r>
        <w:r w:rsidRPr="009A690D">
          <w:rPr>
            <w:rStyle w:val="a9"/>
            <w:rFonts w:hint="eastAsia"/>
            <w:noProof/>
          </w:rPr>
          <w:t>管理人报告</w:t>
        </w:r>
        <w:r>
          <w:rPr>
            <w:noProof/>
            <w:webHidden/>
          </w:rPr>
          <w:tab/>
        </w:r>
        <w:r>
          <w:rPr>
            <w:noProof/>
            <w:webHidden/>
          </w:rPr>
          <w:fldChar w:fldCharType="begin"/>
        </w:r>
        <w:r>
          <w:rPr>
            <w:noProof/>
            <w:webHidden/>
          </w:rPr>
          <w:instrText xml:space="preserve"> PAGEREF _Toc48664156 \h </w:instrText>
        </w:r>
        <w:r>
          <w:rPr>
            <w:noProof/>
            <w:webHidden/>
          </w:rPr>
        </w:r>
        <w:r>
          <w:rPr>
            <w:noProof/>
            <w:webHidden/>
          </w:rPr>
          <w:fldChar w:fldCharType="separate"/>
        </w:r>
        <w:r>
          <w:rPr>
            <w:noProof/>
            <w:webHidden/>
          </w:rPr>
          <w:t>10</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7" w:history="1">
        <w:r w:rsidRPr="009A690D">
          <w:rPr>
            <w:rStyle w:val="a9"/>
            <w:rFonts w:ascii="宋体" w:hAnsi="宋体"/>
            <w:noProof/>
          </w:rPr>
          <w:t>4.1</w:t>
        </w:r>
        <w:r w:rsidRPr="009A690D">
          <w:rPr>
            <w:rStyle w:val="a9"/>
            <w:noProof/>
          </w:rPr>
          <w:t xml:space="preserve">   </w:t>
        </w:r>
        <w:r w:rsidRPr="009A690D">
          <w:rPr>
            <w:rStyle w:val="a9"/>
            <w:rFonts w:hint="eastAsia"/>
            <w:noProof/>
          </w:rPr>
          <w:t>基金管理人及基金经理情况</w:t>
        </w:r>
        <w:r>
          <w:rPr>
            <w:noProof/>
            <w:webHidden/>
          </w:rPr>
          <w:tab/>
        </w:r>
        <w:r>
          <w:rPr>
            <w:noProof/>
            <w:webHidden/>
          </w:rPr>
          <w:fldChar w:fldCharType="begin"/>
        </w:r>
        <w:r>
          <w:rPr>
            <w:noProof/>
            <w:webHidden/>
          </w:rPr>
          <w:instrText xml:space="preserve"> PAGEREF _Toc48664157 \h </w:instrText>
        </w:r>
        <w:r>
          <w:rPr>
            <w:noProof/>
            <w:webHidden/>
          </w:rPr>
        </w:r>
        <w:r>
          <w:rPr>
            <w:noProof/>
            <w:webHidden/>
          </w:rPr>
          <w:fldChar w:fldCharType="separate"/>
        </w:r>
        <w:r>
          <w:rPr>
            <w:noProof/>
            <w:webHidden/>
          </w:rPr>
          <w:t>10</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8" w:history="1">
        <w:r w:rsidRPr="009A690D">
          <w:rPr>
            <w:rStyle w:val="a9"/>
            <w:rFonts w:ascii="宋体" w:hAnsi="宋体"/>
            <w:noProof/>
          </w:rPr>
          <w:t>4.2</w:t>
        </w:r>
        <w:r w:rsidRPr="009A690D">
          <w:rPr>
            <w:rStyle w:val="a9"/>
            <w:noProof/>
          </w:rPr>
          <w:t xml:space="preserve">   </w:t>
        </w:r>
        <w:r w:rsidRPr="009A690D">
          <w:rPr>
            <w:rStyle w:val="a9"/>
            <w:rFonts w:hint="eastAsia"/>
            <w:noProof/>
          </w:rPr>
          <w:t>境外投资顾问为本基金提供投资建议的主要成员简介</w:t>
        </w:r>
        <w:r>
          <w:rPr>
            <w:noProof/>
            <w:webHidden/>
          </w:rPr>
          <w:tab/>
        </w:r>
        <w:r>
          <w:rPr>
            <w:noProof/>
            <w:webHidden/>
          </w:rPr>
          <w:fldChar w:fldCharType="begin"/>
        </w:r>
        <w:r>
          <w:rPr>
            <w:noProof/>
            <w:webHidden/>
          </w:rPr>
          <w:instrText xml:space="preserve"> PAGEREF _Toc48664158 \h </w:instrText>
        </w:r>
        <w:r>
          <w:rPr>
            <w:noProof/>
            <w:webHidden/>
          </w:rPr>
        </w:r>
        <w:r>
          <w:rPr>
            <w:noProof/>
            <w:webHidden/>
          </w:rPr>
          <w:fldChar w:fldCharType="separate"/>
        </w:r>
        <w:r>
          <w:rPr>
            <w:noProof/>
            <w:webHidden/>
          </w:rPr>
          <w:t>15</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59" w:history="1">
        <w:r w:rsidRPr="009A690D">
          <w:rPr>
            <w:rStyle w:val="a9"/>
            <w:rFonts w:ascii="宋体" w:hAnsi="宋体"/>
            <w:noProof/>
          </w:rPr>
          <w:t>4.3</w:t>
        </w:r>
        <w:r w:rsidRPr="009A690D">
          <w:rPr>
            <w:rStyle w:val="a9"/>
            <w:noProof/>
          </w:rPr>
          <w:t xml:space="preserve">   </w:t>
        </w:r>
        <w:r w:rsidRPr="009A690D">
          <w:rPr>
            <w:rStyle w:val="a9"/>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_Toc48664159 \h </w:instrText>
        </w:r>
        <w:r>
          <w:rPr>
            <w:noProof/>
            <w:webHidden/>
          </w:rPr>
        </w:r>
        <w:r>
          <w:rPr>
            <w:noProof/>
            <w:webHidden/>
          </w:rPr>
          <w:fldChar w:fldCharType="separate"/>
        </w:r>
        <w:r>
          <w:rPr>
            <w:noProof/>
            <w:webHidden/>
          </w:rPr>
          <w:t>15</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0" w:history="1">
        <w:r w:rsidRPr="009A690D">
          <w:rPr>
            <w:rStyle w:val="a9"/>
            <w:rFonts w:ascii="宋体" w:hAnsi="宋体"/>
            <w:noProof/>
          </w:rPr>
          <w:t>4.4</w:t>
        </w:r>
        <w:r w:rsidRPr="009A690D">
          <w:rPr>
            <w:rStyle w:val="a9"/>
            <w:noProof/>
          </w:rPr>
          <w:t xml:space="preserve">   </w:t>
        </w:r>
        <w:r w:rsidRPr="009A690D">
          <w:rPr>
            <w:rStyle w:val="a9"/>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_Toc48664160 \h </w:instrText>
        </w:r>
        <w:r>
          <w:rPr>
            <w:noProof/>
            <w:webHidden/>
          </w:rPr>
        </w:r>
        <w:r>
          <w:rPr>
            <w:noProof/>
            <w:webHidden/>
          </w:rPr>
          <w:fldChar w:fldCharType="separate"/>
        </w:r>
        <w:r>
          <w:rPr>
            <w:noProof/>
            <w:webHidden/>
          </w:rPr>
          <w:t>15</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1" w:history="1">
        <w:r w:rsidRPr="009A690D">
          <w:rPr>
            <w:rStyle w:val="a9"/>
            <w:rFonts w:ascii="宋体" w:hAnsi="宋体"/>
            <w:noProof/>
          </w:rPr>
          <w:t>4.5</w:t>
        </w:r>
        <w:r w:rsidRPr="009A690D">
          <w:rPr>
            <w:rStyle w:val="a9"/>
            <w:noProof/>
          </w:rPr>
          <w:t xml:space="preserve">   </w:t>
        </w:r>
        <w:r w:rsidRPr="009A690D">
          <w:rPr>
            <w:rStyle w:val="a9"/>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_Toc48664161 \h </w:instrText>
        </w:r>
        <w:r>
          <w:rPr>
            <w:noProof/>
            <w:webHidden/>
          </w:rPr>
        </w:r>
        <w:r>
          <w:rPr>
            <w:noProof/>
            <w:webHidden/>
          </w:rPr>
          <w:fldChar w:fldCharType="separate"/>
        </w:r>
        <w:r>
          <w:rPr>
            <w:noProof/>
            <w:webHidden/>
          </w:rPr>
          <w:t>16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2" w:history="1">
        <w:r w:rsidRPr="009A690D">
          <w:rPr>
            <w:rStyle w:val="a9"/>
            <w:rFonts w:ascii="宋体" w:hAnsi="宋体"/>
            <w:noProof/>
          </w:rPr>
          <w:t>4.6</w:t>
        </w:r>
        <w:r w:rsidRPr="009A690D">
          <w:rPr>
            <w:rStyle w:val="a9"/>
            <w:noProof/>
          </w:rPr>
          <w:t xml:space="preserve">   </w:t>
        </w:r>
        <w:r w:rsidRPr="009A690D">
          <w:rPr>
            <w:rStyle w:val="a9"/>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_Toc48664162 \h </w:instrText>
        </w:r>
        <w:r>
          <w:rPr>
            <w:noProof/>
            <w:webHidden/>
          </w:rPr>
        </w:r>
        <w:r>
          <w:rPr>
            <w:noProof/>
            <w:webHidden/>
          </w:rPr>
          <w:fldChar w:fldCharType="separate"/>
        </w:r>
        <w:r>
          <w:rPr>
            <w:noProof/>
            <w:webHidden/>
          </w:rPr>
          <w:t>16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3" w:history="1">
        <w:r w:rsidRPr="009A690D">
          <w:rPr>
            <w:rStyle w:val="a9"/>
            <w:rFonts w:ascii="宋体" w:hAnsi="宋体"/>
            <w:noProof/>
          </w:rPr>
          <w:t>4.7</w:t>
        </w:r>
        <w:r w:rsidRPr="009A690D">
          <w:rPr>
            <w:rStyle w:val="a9"/>
            <w:noProof/>
          </w:rPr>
          <w:t xml:space="preserve">   </w:t>
        </w:r>
        <w:r w:rsidRPr="009A690D">
          <w:rPr>
            <w:rStyle w:val="a9"/>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_Toc48664163 \h </w:instrText>
        </w:r>
        <w:r>
          <w:rPr>
            <w:noProof/>
            <w:webHidden/>
          </w:rPr>
        </w:r>
        <w:r>
          <w:rPr>
            <w:noProof/>
            <w:webHidden/>
          </w:rPr>
          <w:fldChar w:fldCharType="separate"/>
        </w:r>
        <w:r>
          <w:rPr>
            <w:noProof/>
            <w:webHidden/>
          </w:rPr>
          <w:t>16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4" w:history="1">
        <w:r w:rsidRPr="009A690D">
          <w:rPr>
            <w:rStyle w:val="a9"/>
            <w:rFonts w:ascii="宋体" w:hAnsi="宋体"/>
            <w:noProof/>
          </w:rPr>
          <w:t>4.8</w:t>
        </w:r>
        <w:r w:rsidRPr="009A690D">
          <w:rPr>
            <w:rStyle w:val="a9"/>
            <w:noProof/>
          </w:rPr>
          <w:t xml:space="preserve">   </w:t>
        </w:r>
        <w:r w:rsidRPr="009A690D">
          <w:rPr>
            <w:rStyle w:val="a9"/>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_Toc48664164 \h </w:instrText>
        </w:r>
        <w:r>
          <w:rPr>
            <w:noProof/>
            <w:webHidden/>
          </w:rPr>
        </w:r>
        <w:r>
          <w:rPr>
            <w:noProof/>
            <w:webHidden/>
          </w:rPr>
          <w:fldChar w:fldCharType="separate"/>
        </w:r>
        <w:r>
          <w:rPr>
            <w:noProof/>
            <w:webHidden/>
          </w:rPr>
          <w:t>17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5" w:history="1">
        <w:r w:rsidRPr="009A690D">
          <w:rPr>
            <w:rStyle w:val="a9"/>
            <w:rFonts w:ascii="宋体" w:hAnsi="宋体"/>
            <w:noProof/>
          </w:rPr>
          <w:t>5</w:t>
        </w:r>
        <w:r w:rsidRPr="009A690D">
          <w:rPr>
            <w:rStyle w:val="a9"/>
            <w:noProof/>
          </w:rPr>
          <w:t xml:space="preserve">     </w:t>
        </w:r>
        <w:r w:rsidRPr="009A690D">
          <w:rPr>
            <w:rStyle w:val="a9"/>
            <w:rFonts w:hint="eastAsia"/>
            <w:noProof/>
          </w:rPr>
          <w:t>托管人报告</w:t>
        </w:r>
        <w:r>
          <w:rPr>
            <w:noProof/>
            <w:webHidden/>
          </w:rPr>
          <w:tab/>
        </w:r>
        <w:r>
          <w:rPr>
            <w:noProof/>
            <w:webHidden/>
          </w:rPr>
          <w:fldChar w:fldCharType="begin"/>
        </w:r>
        <w:r>
          <w:rPr>
            <w:noProof/>
            <w:webHidden/>
          </w:rPr>
          <w:instrText xml:space="preserve"> PAGEREF _Toc48664165 \h </w:instrText>
        </w:r>
        <w:r>
          <w:rPr>
            <w:noProof/>
            <w:webHidden/>
          </w:rPr>
        </w:r>
        <w:r>
          <w:rPr>
            <w:noProof/>
            <w:webHidden/>
          </w:rPr>
          <w:fldChar w:fldCharType="separate"/>
        </w:r>
        <w:r>
          <w:rPr>
            <w:noProof/>
            <w:webHidden/>
          </w:rPr>
          <w:t>17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6" w:history="1">
        <w:r w:rsidRPr="009A690D">
          <w:rPr>
            <w:rStyle w:val="a9"/>
            <w:rFonts w:ascii="宋体" w:hAnsi="宋体"/>
            <w:noProof/>
          </w:rPr>
          <w:t>5.1</w:t>
        </w:r>
        <w:r w:rsidRPr="009A690D">
          <w:rPr>
            <w:rStyle w:val="a9"/>
            <w:noProof/>
          </w:rPr>
          <w:t xml:space="preserve">   </w:t>
        </w:r>
        <w:r w:rsidRPr="009A690D">
          <w:rPr>
            <w:rStyle w:val="a9"/>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_Toc48664166 \h </w:instrText>
        </w:r>
        <w:r>
          <w:rPr>
            <w:noProof/>
            <w:webHidden/>
          </w:rPr>
        </w:r>
        <w:r>
          <w:rPr>
            <w:noProof/>
            <w:webHidden/>
          </w:rPr>
          <w:fldChar w:fldCharType="separate"/>
        </w:r>
        <w:r>
          <w:rPr>
            <w:noProof/>
            <w:webHidden/>
          </w:rPr>
          <w:t>17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7" w:history="1">
        <w:r w:rsidRPr="009A690D">
          <w:rPr>
            <w:rStyle w:val="a9"/>
            <w:rFonts w:ascii="宋体" w:hAnsi="宋体"/>
            <w:noProof/>
          </w:rPr>
          <w:t>5.2</w:t>
        </w:r>
        <w:r w:rsidRPr="009A690D">
          <w:rPr>
            <w:rStyle w:val="a9"/>
            <w:noProof/>
          </w:rPr>
          <w:t xml:space="preserve">   </w:t>
        </w:r>
        <w:r w:rsidRPr="009A690D">
          <w:rPr>
            <w:rStyle w:val="a9"/>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_Toc48664167 \h </w:instrText>
        </w:r>
        <w:r>
          <w:rPr>
            <w:noProof/>
            <w:webHidden/>
          </w:rPr>
        </w:r>
        <w:r>
          <w:rPr>
            <w:noProof/>
            <w:webHidden/>
          </w:rPr>
          <w:fldChar w:fldCharType="separate"/>
        </w:r>
        <w:r>
          <w:rPr>
            <w:noProof/>
            <w:webHidden/>
          </w:rPr>
          <w:t>17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8" w:history="1">
        <w:r w:rsidRPr="009A690D">
          <w:rPr>
            <w:rStyle w:val="a9"/>
            <w:rFonts w:ascii="宋体" w:hAnsi="宋体"/>
            <w:noProof/>
          </w:rPr>
          <w:t>5.3</w:t>
        </w:r>
        <w:r w:rsidRPr="009A690D">
          <w:rPr>
            <w:rStyle w:val="a9"/>
            <w:noProof/>
          </w:rPr>
          <w:t xml:space="preserve">   </w:t>
        </w:r>
        <w:r w:rsidRPr="009A690D">
          <w:rPr>
            <w:rStyle w:val="a9"/>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_Toc48664168 \h </w:instrText>
        </w:r>
        <w:r>
          <w:rPr>
            <w:noProof/>
            <w:webHidden/>
          </w:rPr>
        </w:r>
        <w:r>
          <w:rPr>
            <w:noProof/>
            <w:webHidden/>
          </w:rPr>
          <w:fldChar w:fldCharType="separate"/>
        </w:r>
        <w:r>
          <w:rPr>
            <w:noProof/>
            <w:webHidden/>
          </w:rPr>
          <w:t>17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69" w:history="1">
        <w:r w:rsidRPr="009A690D">
          <w:rPr>
            <w:rStyle w:val="a9"/>
            <w:rFonts w:ascii="宋体" w:hAnsi="宋体"/>
            <w:noProof/>
          </w:rPr>
          <w:t>6</w:t>
        </w:r>
        <w:r w:rsidRPr="009A690D">
          <w:rPr>
            <w:rStyle w:val="a9"/>
            <w:noProof/>
          </w:rPr>
          <w:t xml:space="preserve">     </w:t>
        </w:r>
        <w:r w:rsidRPr="009A690D">
          <w:rPr>
            <w:rStyle w:val="a9"/>
            <w:rFonts w:hint="eastAsia"/>
            <w:noProof/>
          </w:rPr>
          <w:t>半年度财务会计报告（未经审计）</w:t>
        </w:r>
        <w:r>
          <w:rPr>
            <w:noProof/>
            <w:webHidden/>
          </w:rPr>
          <w:tab/>
        </w:r>
        <w:r>
          <w:rPr>
            <w:noProof/>
            <w:webHidden/>
          </w:rPr>
          <w:fldChar w:fldCharType="begin"/>
        </w:r>
        <w:r>
          <w:rPr>
            <w:noProof/>
            <w:webHidden/>
          </w:rPr>
          <w:instrText xml:space="preserve"> PAGEREF _Toc48664169 \h </w:instrText>
        </w:r>
        <w:r>
          <w:rPr>
            <w:noProof/>
            <w:webHidden/>
          </w:rPr>
        </w:r>
        <w:r>
          <w:rPr>
            <w:noProof/>
            <w:webHidden/>
          </w:rPr>
          <w:fldChar w:fldCharType="separate"/>
        </w:r>
        <w:r>
          <w:rPr>
            <w:noProof/>
            <w:webHidden/>
          </w:rPr>
          <w:t>18</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0" w:history="1">
        <w:r w:rsidRPr="009A690D">
          <w:rPr>
            <w:rStyle w:val="a9"/>
            <w:rFonts w:ascii="宋体" w:hAnsi="宋体"/>
            <w:noProof/>
          </w:rPr>
          <w:t>6.1</w:t>
        </w:r>
        <w:r w:rsidRPr="009A690D">
          <w:rPr>
            <w:rStyle w:val="a9"/>
            <w:noProof/>
          </w:rPr>
          <w:t xml:space="preserve">   </w:t>
        </w:r>
        <w:r w:rsidRPr="009A690D">
          <w:rPr>
            <w:rStyle w:val="a9"/>
            <w:rFonts w:hint="eastAsia"/>
            <w:noProof/>
          </w:rPr>
          <w:t>资产负债表</w:t>
        </w:r>
        <w:r>
          <w:rPr>
            <w:noProof/>
            <w:webHidden/>
          </w:rPr>
          <w:tab/>
        </w:r>
        <w:r>
          <w:rPr>
            <w:noProof/>
            <w:webHidden/>
          </w:rPr>
          <w:fldChar w:fldCharType="begin"/>
        </w:r>
        <w:r>
          <w:rPr>
            <w:noProof/>
            <w:webHidden/>
          </w:rPr>
          <w:instrText xml:space="preserve"> PAGEREF _Toc48664170 \h </w:instrText>
        </w:r>
        <w:r>
          <w:rPr>
            <w:noProof/>
            <w:webHidden/>
          </w:rPr>
        </w:r>
        <w:r>
          <w:rPr>
            <w:noProof/>
            <w:webHidden/>
          </w:rPr>
          <w:fldChar w:fldCharType="separate"/>
        </w:r>
        <w:r>
          <w:rPr>
            <w:noProof/>
            <w:webHidden/>
          </w:rPr>
          <w:t>18</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1" w:history="1">
        <w:r w:rsidRPr="009A690D">
          <w:rPr>
            <w:rStyle w:val="a9"/>
            <w:rFonts w:ascii="宋体" w:hAnsi="宋体"/>
            <w:noProof/>
          </w:rPr>
          <w:t>6.2</w:t>
        </w:r>
        <w:r w:rsidRPr="009A690D">
          <w:rPr>
            <w:rStyle w:val="a9"/>
            <w:noProof/>
          </w:rPr>
          <w:t xml:space="preserve">   </w:t>
        </w:r>
        <w:r w:rsidRPr="009A690D">
          <w:rPr>
            <w:rStyle w:val="a9"/>
            <w:rFonts w:hint="eastAsia"/>
            <w:noProof/>
          </w:rPr>
          <w:t>利润表</w:t>
        </w:r>
        <w:r>
          <w:rPr>
            <w:noProof/>
            <w:webHidden/>
          </w:rPr>
          <w:tab/>
        </w:r>
        <w:r>
          <w:rPr>
            <w:noProof/>
            <w:webHidden/>
          </w:rPr>
          <w:fldChar w:fldCharType="begin"/>
        </w:r>
        <w:r>
          <w:rPr>
            <w:noProof/>
            <w:webHidden/>
          </w:rPr>
          <w:instrText xml:space="preserve"> PAGEREF _Toc48664171 \h </w:instrText>
        </w:r>
        <w:r>
          <w:rPr>
            <w:noProof/>
            <w:webHidden/>
          </w:rPr>
        </w:r>
        <w:r>
          <w:rPr>
            <w:noProof/>
            <w:webHidden/>
          </w:rPr>
          <w:fldChar w:fldCharType="separate"/>
        </w:r>
        <w:r>
          <w:rPr>
            <w:noProof/>
            <w:webHidden/>
          </w:rPr>
          <w:t>19</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2" w:history="1">
        <w:r w:rsidRPr="009A690D">
          <w:rPr>
            <w:rStyle w:val="a9"/>
            <w:rFonts w:ascii="宋体" w:hAnsi="宋体"/>
            <w:noProof/>
          </w:rPr>
          <w:t>6.3</w:t>
        </w:r>
        <w:r w:rsidRPr="009A690D">
          <w:rPr>
            <w:rStyle w:val="a9"/>
            <w:noProof/>
          </w:rPr>
          <w:t xml:space="preserve">   </w:t>
        </w:r>
        <w:r w:rsidRPr="009A690D">
          <w:rPr>
            <w:rStyle w:val="a9"/>
            <w:rFonts w:hint="eastAsia"/>
            <w:noProof/>
          </w:rPr>
          <w:t>所有者权益（基金净值）变动表</w:t>
        </w:r>
        <w:r>
          <w:rPr>
            <w:noProof/>
            <w:webHidden/>
          </w:rPr>
          <w:tab/>
        </w:r>
        <w:r>
          <w:rPr>
            <w:noProof/>
            <w:webHidden/>
          </w:rPr>
          <w:fldChar w:fldCharType="begin"/>
        </w:r>
        <w:r>
          <w:rPr>
            <w:noProof/>
            <w:webHidden/>
          </w:rPr>
          <w:instrText xml:space="preserve"> PAGEREF _Toc48664172 \h </w:instrText>
        </w:r>
        <w:r>
          <w:rPr>
            <w:noProof/>
            <w:webHidden/>
          </w:rPr>
        </w:r>
        <w:r>
          <w:rPr>
            <w:noProof/>
            <w:webHidden/>
          </w:rPr>
          <w:fldChar w:fldCharType="separate"/>
        </w:r>
        <w:r>
          <w:rPr>
            <w:noProof/>
            <w:webHidden/>
          </w:rPr>
          <w:t>20</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3" w:history="1">
        <w:r w:rsidRPr="009A690D">
          <w:rPr>
            <w:rStyle w:val="a9"/>
            <w:rFonts w:ascii="宋体" w:hAnsi="宋体"/>
            <w:noProof/>
          </w:rPr>
          <w:t>6.4</w:t>
        </w:r>
        <w:r w:rsidRPr="009A690D">
          <w:rPr>
            <w:rStyle w:val="a9"/>
            <w:noProof/>
          </w:rPr>
          <w:t xml:space="preserve">   </w:t>
        </w:r>
        <w:r w:rsidRPr="009A690D">
          <w:rPr>
            <w:rStyle w:val="a9"/>
            <w:rFonts w:hint="eastAsia"/>
            <w:noProof/>
          </w:rPr>
          <w:t>报表附注</w:t>
        </w:r>
        <w:r>
          <w:rPr>
            <w:noProof/>
            <w:webHidden/>
          </w:rPr>
          <w:tab/>
        </w:r>
        <w:r>
          <w:rPr>
            <w:noProof/>
            <w:webHidden/>
          </w:rPr>
          <w:fldChar w:fldCharType="begin"/>
        </w:r>
        <w:r>
          <w:rPr>
            <w:noProof/>
            <w:webHidden/>
          </w:rPr>
          <w:instrText xml:space="preserve"> PAGEREF _Toc48664173 \h </w:instrText>
        </w:r>
        <w:r>
          <w:rPr>
            <w:noProof/>
            <w:webHidden/>
          </w:rPr>
        </w:r>
        <w:r>
          <w:rPr>
            <w:noProof/>
            <w:webHidden/>
          </w:rPr>
          <w:fldChar w:fldCharType="separate"/>
        </w:r>
        <w:r>
          <w:rPr>
            <w:noProof/>
            <w:webHidden/>
          </w:rPr>
          <w:t>21</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4" w:history="1">
        <w:r w:rsidRPr="009A690D">
          <w:rPr>
            <w:rStyle w:val="a9"/>
            <w:rFonts w:ascii="宋体" w:hAnsi="宋体"/>
            <w:noProof/>
          </w:rPr>
          <w:t>7</w:t>
        </w:r>
        <w:r w:rsidRPr="009A690D">
          <w:rPr>
            <w:rStyle w:val="a9"/>
            <w:noProof/>
          </w:rPr>
          <w:t xml:space="preserve">     </w:t>
        </w:r>
        <w:r w:rsidRPr="009A690D">
          <w:rPr>
            <w:rStyle w:val="a9"/>
            <w:rFonts w:hint="eastAsia"/>
            <w:noProof/>
          </w:rPr>
          <w:t>投资组合报告</w:t>
        </w:r>
        <w:r>
          <w:rPr>
            <w:noProof/>
            <w:webHidden/>
          </w:rPr>
          <w:tab/>
        </w:r>
        <w:r>
          <w:rPr>
            <w:noProof/>
            <w:webHidden/>
          </w:rPr>
          <w:fldChar w:fldCharType="begin"/>
        </w:r>
        <w:r>
          <w:rPr>
            <w:noProof/>
            <w:webHidden/>
          </w:rPr>
          <w:instrText xml:space="preserve"> PAGEREF _Toc48664174 \h </w:instrText>
        </w:r>
        <w:r>
          <w:rPr>
            <w:noProof/>
            <w:webHidden/>
          </w:rPr>
        </w:r>
        <w:r>
          <w:rPr>
            <w:noProof/>
            <w:webHidden/>
          </w:rPr>
          <w:fldChar w:fldCharType="separate"/>
        </w:r>
        <w:r>
          <w:rPr>
            <w:noProof/>
            <w:webHidden/>
          </w:rPr>
          <w:t>42</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5" w:history="1">
        <w:r w:rsidRPr="009A690D">
          <w:rPr>
            <w:rStyle w:val="a9"/>
            <w:rFonts w:ascii="宋体" w:hAnsi="宋体"/>
            <w:noProof/>
          </w:rPr>
          <w:t>7.1</w:t>
        </w:r>
        <w:r w:rsidRPr="009A690D">
          <w:rPr>
            <w:rStyle w:val="a9"/>
            <w:noProof/>
          </w:rPr>
          <w:t xml:space="preserve">   </w:t>
        </w:r>
        <w:r w:rsidRPr="009A690D">
          <w:rPr>
            <w:rStyle w:val="a9"/>
            <w:rFonts w:hint="eastAsia"/>
            <w:noProof/>
          </w:rPr>
          <w:t>期末基金资产组合情况</w:t>
        </w:r>
        <w:r>
          <w:rPr>
            <w:noProof/>
            <w:webHidden/>
          </w:rPr>
          <w:tab/>
        </w:r>
        <w:r>
          <w:rPr>
            <w:noProof/>
            <w:webHidden/>
          </w:rPr>
          <w:fldChar w:fldCharType="begin"/>
        </w:r>
        <w:r>
          <w:rPr>
            <w:noProof/>
            <w:webHidden/>
          </w:rPr>
          <w:instrText xml:space="preserve"> PAGEREF _Toc48664175 \h </w:instrText>
        </w:r>
        <w:r>
          <w:rPr>
            <w:noProof/>
            <w:webHidden/>
          </w:rPr>
        </w:r>
        <w:r>
          <w:rPr>
            <w:noProof/>
            <w:webHidden/>
          </w:rPr>
          <w:fldChar w:fldCharType="separate"/>
        </w:r>
        <w:r>
          <w:rPr>
            <w:noProof/>
            <w:webHidden/>
          </w:rPr>
          <w:t>42</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6" w:history="1">
        <w:r w:rsidRPr="009A690D">
          <w:rPr>
            <w:rStyle w:val="a9"/>
            <w:rFonts w:ascii="宋体" w:hAnsi="宋体"/>
            <w:noProof/>
          </w:rPr>
          <w:t>7.2</w:t>
        </w:r>
        <w:r w:rsidRPr="009A690D">
          <w:rPr>
            <w:rStyle w:val="a9"/>
            <w:noProof/>
          </w:rPr>
          <w:t xml:space="preserve">   </w:t>
        </w:r>
        <w:r w:rsidRPr="009A690D">
          <w:rPr>
            <w:rStyle w:val="a9"/>
            <w:rFonts w:hint="eastAsia"/>
            <w:noProof/>
          </w:rPr>
          <w:t>期末在各个国家（地区）证券市场的权益投资分布</w:t>
        </w:r>
        <w:r>
          <w:rPr>
            <w:noProof/>
            <w:webHidden/>
          </w:rPr>
          <w:tab/>
        </w:r>
        <w:r>
          <w:rPr>
            <w:noProof/>
            <w:webHidden/>
          </w:rPr>
          <w:fldChar w:fldCharType="begin"/>
        </w:r>
        <w:r>
          <w:rPr>
            <w:noProof/>
            <w:webHidden/>
          </w:rPr>
          <w:instrText xml:space="preserve"> PAGEREF _Toc48664176 \h </w:instrText>
        </w:r>
        <w:r>
          <w:rPr>
            <w:noProof/>
            <w:webHidden/>
          </w:rPr>
        </w:r>
        <w:r>
          <w:rPr>
            <w:noProof/>
            <w:webHidden/>
          </w:rPr>
          <w:fldChar w:fldCharType="separate"/>
        </w:r>
        <w:r>
          <w:rPr>
            <w:noProof/>
            <w:webHidden/>
          </w:rPr>
          <w:t>43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7" w:history="1">
        <w:r w:rsidRPr="009A690D">
          <w:rPr>
            <w:rStyle w:val="a9"/>
            <w:rFonts w:ascii="宋体" w:hAnsi="宋体"/>
            <w:noProof/>
          </w:rPr>
          <w:t>7.3</w:t>
        </w:r>
        <w:r w:rsidRPr="009A690D">
          <w:rPr>
            <w:rStyle w:val="a9"/>
            <w:noProof/>
          </w:rPr>
          <w:t xml:space="preserve">   </w:t>
        </w:r>
        <w:r w:rsidRPr="009A690D">
          <w:rPr>
            <w:rStyle w:val="a9"/>
            <w:rFonts w:hint="eastAsia"/>
            <w:noProof/>
          </w:rPr>
          <w:t>期末按行业分类的权益投资组合</w:t>
        </w:r>
        <w:r>
          <w:rPr>
            <w:noProof/>
            <w:webHidden/>
          </w:rPr>
          <w:tab/>
        </w:r>
        <w:r>
          <w:rPr>
            <w:noProof/>
            <w:webHidden/>
          </w:rPr>
          <w:fldChar w:fldCharType="begin"/>
        </w:r>
        <w:r>
          <w:rPr>
            <w:noProof/>
            <w:webHidden/>
          </w:rPr>
          <w:instrText xml:space="preserve"> PAGEREF _Toc48664177 \h </w:instrText>
        </w:r>
        <w:r>
          <w:rPr>
            <w:noProof/>
            <w:webHidden/>
          </w:rPr>
        </w:r>
        <w:r>
          <w:rPr>
            <w:noProof/>
            <w:webHidden/>
          </w:rPr>
          <w:fldChar w:fldCharType="separate"/>
        </w:r>
        <w:r>
          <w:rPr>
            <w:noProof/>
            <w:webHidden/>
          </w:rPr>
          <w:t>43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8" w:history="1">
        <w:r w:rsidRPr="009A690D">
          <w:rPr>
            <w:rStyle w:val="a9"/>
            <w:rFonts w:ascii="宋体" w:hAnsi="宋体"/>
            <w:noProof/>
          </w:rPr>
          <w:t>7.4</w:t>
        </w:r>
        <w:r w:rsidRPr="009A690D">
          <w:rPr>
            <w:rStyle w:val="a9"/>
            <w:noProof/>
          </w:rPr>
          <w:t xml:space="preserve">   </w:t>
        </w:r>
        <w:r w:rsidRPr="009A690D">
          <w:rPr>
            <w:rStyle w:val="a9"/>
            <w:rFonts w:hint="eastAsia"/>
            <w:noProof/>
          </w:rPr>
          <w:t>期末按公允价值占基金资产净值比例大小排序的所有权益投资明细</w:t>
        </w:r>
        <w:r>
          <w:rPr>
            <w:noProof/>
            <w:webHidden/>
          </w:rPr>
          <w:tab/>
        </w:r>
        <w:r>
          <w:rPr>
            <w:noProof/>
            <w:webHidden/>
          </w:rPr>
          <w:fldChar w:fldCharType="begin"/>
        </w:r>
        <w:r>
          <w:rPr>
            <w:noProof/>
            <w:webHidden/>
          </w:rPr>
          <w:instrText xml:space="preserve"> PAGEREF _Toc48664178 \h </w:instrText>
        </w:r>
        <w:r>
          <w:rPr>
            <w:noProof/>
            <w:webHidden/>
          </w:rPr>
        </w:r>
        <w:r>
          <w:rPr>
            <w:noProof/>
            <w:webHidden/>
          </w:rPr>
          <w:fldChar w:fldCharType="separate"/>
        </w:r>
        <w:r>
          <w:rPr>
            <w:noProof/>
            <w:webHidden/>
          </w:rPr>
          <w:t>43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79" w:history="1">
        <w:r w:rsidRPr="009A690D">
          <w:rPr>
            <w:rStyle w:val="a9"/>
            <w:rFonts w:ascii="宋体" w:hAnsi="宋体"/>
            <w:noProof/>
          </w:rPr>
          <w:t>7.5</w:t>
        </w:r>
        <w:r w:rsidRPr="009A690D">
          <w:rPr>
            <w:rStyle w:val="a9"/>
            <w:noProof/>
          </w:rPr>
          <w:t xml:space="preserve">   </w:t>
        </w:r>
        <w:r w:rsidRPr="009A690D">
          <w:rPr>
            <w:rStyle w:val="a9"/>
            <w:rFonts w:hint="eastAsia"/>
            <w:noProof/>
          </w:rPr>
          <w:t>报告期内</w:t>
        </w:r>
        <w:r w:rsidRPr="009A690D">
          <w:rPr>
            <w:rStyle w:val="a9"/>
            <w:rFonts w:ascii="宋体" w:hAnsi="宋体" w:hint="eastAsia"/>
            <w:noProof/>
          </w:rPr>
          <w:t>权益</w:t>
        </w:r>
        <w:r w:rsidRPr="009A690D">
          <w:rPr>
            <w:rStyle w:val="a9"/>
            <w:rFonts w:hint="eastAsia"/>
            <w:noProof/>
          </w:rPr>
          <w:t>投资组合的重大变动</w:t>
        </w:r>
        <w:r>
          <w:rPr>
            <w:noProof/>
            <w:webHidden/>
          </w:rPr>
          <w:tab/>
        </w:r>
        <w:r>
          <w:rPr>
            <w:noProof/>
            <w:webHidden/>
          </w:rPr>
          <w:fldChar w:fldCharType="begin"/>
        </w:r>
        <w:r>
          <w:rPr>
            <w:noProof/>
            <w:webHidden/>
          </w:rPr>
          <w:instrText xml:space="preserve"> PAGEREF _Toc48664179 \h </w:instrText>
        </w:r>
        <w:r>
          <w:rPr>
            <w:noProof/>
            <w:webHidden/>
          </w:rPr>
        </w:r>
        <w:r>
          <w:rPr>
            <w:noProof/>
            <w:webHidden/>
          </w:rPr>
          <w:fldChar w:fldCharType="separate"/>
        </w:r>
        <w:r>
          <w:rPr>
            <w:noProof/>
            <w:webHidden/>
          </w:rPr>
          <w:t>43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0" w:history="1">
        <w:r w:rsidRPr="009A690D">
          <w:rPr>
            <w:rStyle w:val="a9"/>
            <w:rFonts w:ascii="宋体" w:hAnsi="宋体"/>
            <w:noProof/>
          </w:rPr>
          <w:t>7.6</w:t>
        </w:r>
        <w:r w:rsidRPr="009A690D">
          <w:rPr>
            <w:rStyle w:val="a9"/>
            <w:noProof/>
          </w:rPr>
          <w:t xml:space="preserve">   </w:t>
        </w:r>
        <w:r w:rsidRPr="009A690D">
          <w:rPr>
            <w:rStyle w:val="a9"/>
            <w:rFonts w:hint="eastAsia"/>
            <w:noProof/>
          </w:rPr>
          <w:t>期末按债券信用等级分类的债券投资组合</w:t>
        </w:r>
        <w:r>
          <w:rPr>
            <w:noProof/>
            <w:webHidden/>
          </w:rPr>
          <w:tab/>
        </w:r>
        <w:r>
          <w:rPr>
            <w:noProof/>
            <w:webHidden/>
          </w:rPr>
          <w:fldChar w:fldCharType="begin"/>
        </w:r>
        <w:r>
          <w:rPr>
            <w:noProof/>
            <w:webHidden/>
          </w:rPr>
          <w:instrText xml:space="preserve"> PAGEREF _Toc48664180 \h </w:instrText>
        </w:r>
        <w:r>
          <w:rPr>
            <w:noProof/>
            <w:webHidden/>
          </w:rPr>
        </w:r>
        <w:r>
          <w:rPr>
            <w:noProof/>
            <w:webHidden/>
          </w:rPr>
          <w:fldChar w:fldCharType="separate"/>
        </w:r>
        <w:r>
          <w:rPr>
            <w:noProof/>
            <w:webHidden/>
          </w:rPr>
          <w:t>43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1" w:history="1">
        <w:r w:rsidRPr="009A690D">
          <w:rPr>
            <w:rStyle w:val="a9"/>
            <w:rFonts w:ascii="宋体" w:hAnsi="宋体"/>
            <w:noProof/>
          </w:rPr>
          <w:t>7.7</w:t>
        </w:r>
        <w:r w:rsidRPr="009A690D">
          <w:rPr>
            <w:rStyle w:val="a9"/>
            <w:noProof/>
          </w:rPr>
          <w:t xml:space="preserve">   </w:t>
        </w:r>
        <w:r w:rsidRPr="009A690D">
          <w:rPr>
            <w:rStyle w:val="a9"/>
            <w:rFonts w:hint="eastAsia"/>
            <w:noProof/>
          </w:rPr>
          <w:t>期末按公允价值占基金资产净值比例大小排名的前五名债券投资明细</w:t>
        </w:r>
        <w:r>
          <w:rPr>
            <w:noProof/>
            <w:webHidden/>
          </w:rPr>
          <w:tab/>
        </w:r>
        <w:r>
          <w:rPr>
            <w:noProof/>
            <w:webHidden/>
          </w:rPr>
          <w:fldChar w:fldCharType="begin"/>
        </w:r>
        <w:r>
          <w:rPr>
            <w:noProof/>
            <w:webHidden/>
          </w:rPr>
          <w:instrText xml:space="preserve"> PAGEREF _Toc48664181 \h </w:instrText>
        </w:r>
        <w:r>
          <w:rPr>
            <w:noProof/>
            <w:webHidden/>
          </w:rPr>
        </w:r>
        <w:r>
          <w:rPr>
            <w:noProof/>
            <w:webHidden/>
          </w:rPr>
          <w:fldChar w:fldCharType="separate"/>
        </w:r>
        <w:r>
          <w:rPr>
            <w:noProof/>
            <w:webHidden/>
          </w:rPr>
          <w:t>43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2" w:history="1">
        <w:r w:rsidRPr="009A690D">
          <w:rPr>
            <w:rStyle w:val="a9"/>
            <w:rFonts w:ascii="宋体" w:hAnsi="宋体"/>
            <w:noProof/>
          </w:rPr>
          <w:t>7.8</w:t>
        </w:r>
        <w:r w:rsidRPr="009A690D">
          <w:rPr>
            <w:rStyle w:val="a9"/>
            <w:noProof/>
          </w:rPr>
          <w:t xml:space="preserve">   </w:t>
        </w:r>
        <w:r w:rsidRPr="009A690D">
          <w:rPr>
            <w:rStyle w:val="a9"/>
            <w:rFonts w:hint="eastAsia"/>
            <w:noProof/>
          </w:rPr>
          <w:t>期末按公允价值占基金资产净值比例大小排名的所有资产支持证券投资明细</w:t>
        </w:r>
        <w:r>
          <w:rPr>
            <w:noProof/>
            <w:webHidden/>
          </w:rPr>
          <w:tab/>
        </w:r>
        <w:r>
          <w:rPr>
            <w:noProof/>
            <w:webHidden/>
          </w:rPr>
          <w:fldChar w:fldCharType="begin"/>
        </w:r>
        <w:r>
          <w:rPr>
            <w:noProof/>
            <w:webHidden/>
          </w:rPr>
          <w:instrText xml:space="preserve"> PAGEREF _Toc48664182 \h </w:instrText>
        </w:r>
        <w:r>
          <w:rPr>
            <w:noProof/>
            <w:webHidden/>
          </w:rPr>
        </w:r>
        <w:r>
          <w:rPr>
            <w:noProof/>
            <w:webHidden/>
          </w:rPr>
          <w:fldChar w:fldCharType="separate"/>
        </w:r>
        <w:r>
          <w:rPr>
            <w:noProof/>
            <w:webHidden/>
          </w:rPr>
          <w:t>43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3" w:history="1">
        <w:r w:rsidRPr="009A690D">
          <w:rPr>
            <w:rStyle w:val="a9"/>
            <w:rFonts w:ascii="宋体" w:hAnsi="宋体"/>
            <w:noProof/>
          </w:rPr>
          <w:t>7.9</w:t>
        </w:r>
        <w:r w:rsidRPr="009A690D">
          <w:rPr>
            <w:rStyle w:val="a9"/>
            <w:noProof/>
          </w:rPr>
          <w:t xml:space="preserve">   </w:t>
        </w:r>
        <w:r w:rsidRPr="009A690D">
          <w:rPr>
            <w:rStyle w:val="a9"/>
            <w:rFonts w:hint="eastAsia"/>
            <w:noProof/>
          </w:rPr>
          <w:t>期末按公允价值占基金资产净值比例大小排名的前五名金融衍生品投资明细</w:t>
        </w:r>
        <w:r>
          <w:rPr>
            <w:noProof/>
            <w:webHidden/>
          </w:rPr>
          <w:tab/>
        </w:r>
        <w:r>
          <w:rPr>
            <w:noProof/>
            <w:webHidden/>
          </w:rPr>
          <w:fldChar w:fldCharType="begin"/>
        </w:r>
        <w:r>
          <w:rPr>
            <w:noProof/>
            <w:webHidden/>
          </w:rPr>
          <w:instrText xml:space="preserve"> PAGEREF _Toc48664183 \h </w:instrText>
        </w:r>
        <w:r>
          <w:rPr>
            <w:noProof/>
            <w:webHidden/>
          </w:rPr>
        </w:r>
        <w:r>
          <w:rPr>
            <w:noProof/>
            <w:webHidden/>
          </w:rPr>
          <w:fldChar w:fldCharType="separate"/>
        </w:r>
        <w:r>
          <w:rPr>
            <w:noProof/>
            <w:webHidden/>
          </w:rPr>
          <w:t>43</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4" w:history="1">
        <w:r w:rsidRPr="009A690D">
          <w:rPr>
            <w:rStyle w:val="a9"/>
            <w:rFonts w:ascii="宋体" w:hAnsi="宋体"/>
            <w:noProof/>
          </w:rPr>
          <w:t>7.10</w:t>
        </w:r>
        <w:r w:rsidRPr="009A690D">
          <w:rPr>
            <w:rStyle w:val="a9"/>
            <w:noProof/>
          </w:rPr>
          <w:t xml:space="preserve">   </w:t>
        </w:r>
        <w:r w:rsidRPr="009A690D">
          <w:rPr>
            <w:rStyle w:val="a9"/>
            <w:rFonts w:hint="eastAsia"/>
            <w:noProof/>
          </w:rPr>
          <w:t>期末按公允价值占基金资产净值比例大小排序的前十名基金投资明细</w:t>
        </w:r>
        <w:r>
          <w:rPr>
            <w:noProof/>
            <w:webHidden/>
          </w:rPr>
          <w:tab/>
        </w:r>
        <w:r>
          <w:rPr>
            <w:noProof/>
            <w:webHidden/>
          </w:rPr>
          <w:fldChar w:fldCharType="begin"/>
        </w:r>
        <w:r>
          <w:rPr>
            <w:noProof/>
            <w:webHidden/>
          </w:rPr>
          <w:instrText xml:space="preserve"> PAGEREF _Toc48664184 \h </w:instrText>
        </w:r>
        <w:r>
          <w:rPr>
            <w:noProof/>
            <w:webHidden/>
          </w:rPr>
        </w:r>
        <w:r>
          <w:rPr>
            <w:noProof/>
            <w:webHidden/>
          </w:rPr>
          <w:fldChar w:fldCharType="separate"/>
        </w:r>
        <w:r>
          <w:rPr>
            <w:noProof/>
            <w:webHidden/>
          </w:rPr>
          <w:t>44</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5" w:history="1">
        <w:r w:rsidRPr="009A690D">
          <w:rPr>
            <w:rStyle w:val="a9"/>
            <w:rFonts w:ascii="宋体" w:hAnsi="宋体"/>
            <w:noProof/>
          </w:rPr>
          <w:t>7.11</w:t>
        </w:r>
        <w:r w:rsidRPr="009A690D">
          <w:rPr>
            <w:rStyle w:val="a9"/>
            <w:noProof/>
          </w:rPr>
          <w:t xml:space="preserve">   </w:t>
        </w:r>
        <w:r w:rsidRPr="009A690D">
          <w:rPr>
            <w:rStyle w:val="a9"/>
            <w:rFonts w:hint="eastAsia"/>
            <w:noProof/>
          </w:rPr>
          <w:t>投资组合报告附注</w:t>
        </w:r>
        <w:r>
          <w:rPr>
            <w:noProof/>
            <w:webHidden/>
          </w:rPr>
          <w:tab/>
        </w:r>
        <w:r>
          <w:rPr>
            <w:noProof/>
            <w:webHidden/>
          </w:rPr>
          <w:fldChar w:fldCharType="begin"/>
        </w:r>
        <w:r>
          <w:rPr>
            <w:noProof/>
            <w:webHidden/>
          </w:rPr>
          <w:instrText xml:space="preserve"> PAGEREF _Toc48664185 \h </w:instrText>
        </w:r>
        <w:r>
          <w:rPr>
            <w:noProof/>
            <w:webHidden/>
          </w:rPr>
        </w:r>
        <w:r>
          <w:rPr>
            <w:noProof/>
            <w:webHidden/>
          </w:rPr>
          <w:fldChar w:fldCharType="separate"/>
        </w:r>
        <w:r>
          <w:rPr>
            <w:noProof/>
            <w:webHidden/>
          </w:rPr>
          <w:t>44</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6" w:history="1">
        <w:r w:rsidRPr="009A690D">
          <w:rPr>
            <w:rStyle w:val="a9"/>
            <w:rFonts w:ascii="宋体" w:hAnsi="宋体"/>
            <w:noProof/>
          </w:rPr>
          <w:t>8</w:t>
        </w:r>
        <w:r w:rsidRPr="009A690D">
          <w:rPr>
            <w:rStyle w:val="a9"/>
            <w:noProof/>
          </w:rPr>
          <w:t xml:space="preserve">     </w:t>
        </w:r>
        <w:r w:rsidRPr="009A690D">
          <w:rPr>
            <w:rStyle w:val="a9"/>
            <w:rFonts w:hint="eastAsia"/>
            <w:noProof/>
          </w:rPr>
          <w:t>基金份额持有人信息</w:t>
        </w:r>
        <w:r>
          <w:rPr>
            <w:noProof/>
            <w:webHidden/>
          </w:rPr>
          <w:tab/>
        </w:r>
        <w:r>
          <w:rPr>
            <w:noProof/>
            <w:webHidden/>
          </w:rPr>
          <w:fldChar w:fldCharType="begin"/>
        </w:r>
        <w:r>
          <w:rPr>
            <w:noProof/>
            <w:webHidden/>
          </w:rPr>
          <w:instrText xml:space="preserve"> PAGEREF _Toc48664186 \h </w:instrText>
        </w:r>
        <w:r>
          <w:rPr>
            <w:noProof/>
            <w:webHidden/>
          </w:rPr>
        </w:r>
        <w:r>
          <w:rPr>
            <w:noProof/>
            <w:webHidden/>
          </w:rPr>
          <w:fldChar w:fldCharType="separate"/>
        </w:r>
        <w:r>
          <w:rPr>
            <w:noProof/>
            <w:webHidden/>
          </w:rPr>
          <w:t>45</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7" w:history="1">
        <w:r w:rsidRPr="009A690D">
          <w:rPr>
            <w:rStyle w:val="a9"/>
            <w:rFonts w:ascii="宋体" w:hAnsi="宋体"/>
            <w:noProof/>
          </w:rPr>
          <w:t>8.1</w:t>
        </w:r>
        <w:r w:rsidRPr="009A690D">
          <w:rPr>
            <w:rStyle w:val="a9"/>
            <w:noProof/>
          </w:rPr>
          <w:t xml:space="preserve">   </w:t>
        </w:r>
        <w:r w:rsidRPr="009A690D">
          <w:rPr>
            <w:rStyle w:val="a9"/>
            <w:rFonts w:hint="eastAsia"/>
            <w:noProof/>
          </w:rPr>
          <w:t>期末基金份额持有人户数及持有人结构</w:t>
        </w:r>
        <w:r>
          <w:rPr>
            <w:noProof/>
            <w:webHidden/>
          </w:rPr>
          <w:tab/>
        </w:r>
        <w:r>
          <w:rPr>
            <w:noProof/>
            <w:webHidden/>
          </w:rPr>
          <w:fldChar w:fldCharType="begin"/>
        </w:r>
        <w:r>
          <w:rPr>
            <w:noProof/>
            <w:webHidden/>
          </w:rPr>
          <w:instrText xml:space="preserve"> PAGEREF _Toc48664187 \h </w:instrText>
        </w:r>
        <w:r>
          <w:rPr>
            <w:noProof/>
            <w:webHidden/>
          </w:rPr>
        </w:r>
        <w:r>
          <w:rPr>
            <w:noProof/>
            <w:webHidden/>
          </w:rPr>
          <w:fldChar w:fldCharType="separate"/>
        </w:r>
        <w:r>
          <w:rPr>
            <w:noProof/>
            <w:webHidden/>
          </w:rPr>
          <w:t>45</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8" w:history="1">
        <w:r w:rsidRPr="009A690D">
          <w:rPr>
            <w:rStyle w:val="a9"/>
            <w:rFonts w:ascii="宋体" w:hAnsi="宋体"/>
            <w:noProof/>
          </w:rPr>
          <w:t>8.2</w:t>
        </w:r>
        <w:r w:rsidRPr="009A690D">
          <w:rPr>
            <w:rStyle w:val="a9"/>
            <w:noProof/>
          </w:rPr>
          <w:t xml:space="preserve">   </w:t>
        </w:r>
        <w:r w:rsidRPr="009A690D">
          <w:rPr>
            <w:rStyle w:val="a9"/>
            <w:rFonts w:hint="eastAsia"/>
            <w:noProof/>
          </w:rPr>
          <w:t>期末上市基金前十名持有人</w:t>
        </w:r>
        <w:r>
          <w:rPr>
            <w:noProof/>
            <w:webHidden/>
          </w:rPr>
          <w:tab/>
        </w:r>
        <w:r>
          <w:rPr>
            <w:noProof/>
            <w:webHidden/>
          </w:rPr>
          <w:fldChar w:fldCharType="begin"/>
        </w:r>
        <w:r>
          <w:rPr>
            <w:noProof/>
            <w:webHidden/>
          </w:rPr>
          <w:instrText xml:space="preserve"> PAGEREF _Toc48664188 \h </w:instrText>
        </w:r>
        <w:r>
          <w:rPr>
            <w:noProof/>
            <w:webHidden/>
          </w:rPr>
        </w:r>
        <w:r>
          <w:rPr>
            <w:noProof/>
            <w:webHidden/>
          </w:rPr>
          <w:fldChar w:fldCharType="separate"/>
        </w:r>
        <w:r>
          <w:rPr>
            <w:noProof/>
            <w:webHidden/>
          </w:rPr>
          <w:t>46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89" w:history="1">
        <w:r w:rsidRPr="009A690D">
          <w:rPr>
            <w:rStyle w:val="a9"/>
            <w:rFonts w:ascii="宋体" w:hAnsi="宋体"/>
            <w:noProof/>
          </w:rPr>
          <w:t>8.3</w:t>
        </w:r>
        <w:r w:rsidRPr="009A690D">
          <w:rPr>
            <w:rStyle w:val="a9"/>
            <w:noProof/>
          </w:rPr>
          <w:t xml:space="preserve">   </w:t>
        </w:r>
        <w:r w:rsidRPr="009A690D">
          <w:rPr>
            <w:rStyle w:val="a9"/>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_Toc48664189 \h </w:instrText>
        </w:r>
        <w:r>
          <w:rPr>
            <w:noProof/>
            <w:webHidden/>
          </w:rPr>
        </w:r>
        <w:r>
          <w:rPr>
            <w:noProof/>
            <w:webHidden/>
          </w:rPr>
          <w:fldChar w:fldCharType="separate"/>
        </w:r>
        <w:r>
          <w:rPr>
            <w:noProof/>
            <w:webHidden/>
          </w:rPr>
          <w:t>46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0" w:history="1">
        <w:r w:rsidRPr="009A690D">
          <w:rPr>
            <w:rStyle w:val="a9"/>
            <w:rFonts w:ascii="宋体" w:hAnsi="宋体"/>
            <w:noProof/>
          </w:rPr>
          <w:t>8.4</w:t>
        </w:r>
        <w:r w:rsidRPr="009A690D">
          <w:rPr>
            <w:rStyle w:val="a9"/>
            <w:noProof/>
          </w:rPr>
          <w:t xml:space="preserve">   </w:t>
        </w:r>
        <w:r w:rsidRPr="009A690D">
          <w:rPr>
            <w:rStyle w:val="a9"/>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_Toc48664190 \h </w:instrText>
        </w:r>
        <w:r>
          <w:rPr>
            <w:noProof/>
            <w:webHidden/>
          </w:rPr>
        </w:r>
        <w:r>
          <w:rPr>
            <w:noProof/>
            <w:webHidden/>
          </w:rPr>
          <w:fldChar w:fldCharType="separate"/>
        </w:r>
        <w:r>
          <w:rPr>
            <w:noProof/>
            <w:webHidden/>
          </w:rPr>
          <w:t>46</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1" w:history="1">
        <w:r w:rsidRPr="009A690D">
          <w:rPr>
            <w:rStyle w:val="a9"/>
            <w:noProof/>
          </w:rPr>
          <w:t xml:space="preserve">9     </w:t>
        </w:r>
        <w:r w:rsidRPr="009A690D">
          <w:rPr>
            <w:rStyle w:val="a9"/>
            <w:rFonts w:hint="eastAsia"/>
            <w:noProof/>
          </w:rPr>
          <w:t>开放式基金份额变动</w:t>
        </w:r>
        <w:r>
          <w:rPr>
            <w:noProof/>
            <w:webHidden/>
          </w:rPr>
          <w:tab/>
        </w:r>
        <w:r>
          <w:rPr>
            <w:noProof/>
            <w:webHidden/>
          </w:rPr>
          <w:fldChar w:fldCharType="begin"/>
        </w:r>
        <w:r>
          <w:rPr>
            <w:noProof/>
            <w:webHidden/>
          </w:rPr>
          <w:instrText xml:space="preserve"> PAGEREF _Toc48664191 \h </w:instrText>
        </w:r>
        <w:r>
          <w:rPr>
            <w:noProof/>
            <w:webHidden/>
          </w:rPr>
        </w:r>
        <w:r>
          <w:rPr>
            <w:noProof/>
            <w:webHidden/>
          </w:rPr>
          <w:fldChar w:fldCharType="separate"/>
        </w:r>
        <w:r>
          <w:rPr>
            <w:noProof/>
            <w:webHidden/>
          </w:rPr>
          <w:t>47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2" w:history="1">
        <w:r w:rsidRPr="009A690D">
          <w:rPr>
            <w:rStyle w:val="a9"/>
            <w:rFonts w:ascii="宋体" w:hAnsi="宋体"/>
            <w:noProof/>
          </w:rPr>
          <w:t>10</w:t>
        </w:r>
        <w:r w:rsidRPr="009A690D">
          <w:rPr>
            <w:rStyle w:val="a9"/>
            <w:noProof/>
          </w:rPr>
          <w:t xml:space="preserve">     </w:t>
        </w:r>
        <w:r w:rsidRPr="009A690D">
          <w:rPr>
            <w:rStyle w:val="a9"/>
            <w:rFonts w:hint="eastAsia"/>
            <w:noProof/>
          </w:rPr>
          <w:t>重大事件揭示</w:t>
        </w:r>
        <w:r>
          <w:rPr>
            <w:noProof/>
            <w:webHidden/>
          </w:rPr>
          <w:tab/>
        </w:r>
        <w:r>
          <w:rPr>
            <w:noProof/>
            <w:webHidden/>
          </w:rPr>
          <w:fldChar w:fldCharType="begin"/>
        </w:r>
        <w:r>
          <w:rPr>
            <w:noProof/>
            <w:webHidden/>
          </w:rPr>
          <w:instrText xml:space="preserve"> PAGEREF _Toc48664192 \h </w:instrText>
        </w:r>
        <w:r>
          <w:rPr>
            <w:noProof/>
            <w:webHidden/>
          </w:rPr>
        </w:r>
        <w:r>
          <w:rPr>
            <w:noProof/>
            <w:webHidden/>
          </w:rPr>
          <w:fldChar w:fldCharType="separate"/>
        </w:r>
        <w:r>
          <w:rPr>
            <w:noProof/>
            <w:webHidden/>
          </w:rPr>
          <w:t>47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3" w:history="1">
        <w:r w:rsidRPr="009A690D">
          <w:rPr>
            <w:rStyle w:val="a9"/>
            <w:rFonts w:ascii="宋体" w:hAnsi="宋体"/>
            <w:noProof/>
          </w:rPr>
          <w:t>10.1</w:t>
        </w:r>
        <w:r w:rsidRPr="009A690D">
          <w:rPr>
            <w:rStyle w:val="a9"/>
            <w:noProof/>
          </w:rPr>
          <w:t xml:space="preserve">   </w:t>
        </w:r>
        <w:r w:rsidRPr="009A690D">
          <w:rPr>
            <w:rStyle w:val="a9"/>
            <w:rFonts w:hint="eastAsia"/>
            <w:noProof/>
          </w:rPr>
          <w:t>基金份额持有人大会决议</w:t>
        </w:r>
        <w:r>
          <w:rPr>
            <w:noProof/>
            <w:webHidden/>
          </w:rPr>
          <w:tab/>
        </w:r>
        <w:r>
          <w:rPr>
            <w:noProof/>
            <w:webHidden/>
          </w:rPr>
          <w:fldChar w:fldCharType="begin"/>
        </w:r>
        <w:r>
          <w:rPr>
            <w:noProof/>
            <w:webHidden/>
          </w:rPr>
          <w:instrText xml:space="preserve"> PAGEREF _Toc48664193 \h </w:instrText>
        </w:r>
        <w:r>
          <w:rPr>
            <w:noProof/>
            <w:webHidden/>
          </w:rPr>
        </w:r>
        <w:r>
          <w:rPr>
            <w:noProof/>
            <w:webHidden/>
          </w:rPr>
          <w:fldChar w:fldCharType="separate"/>
        </w:r>
        <w:r>
          <w:rPr>
            <w:noProof/>
            <w:webHidden/>
          </w:rPr>
          <w:t>47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4" w:history="1">
        <w:r w:rsidRPr="009A690D">
          <w:rPr>
            <w:rStyle w:val="a9"/>
            <w:rFonts w:ascii="宋体" w:hAnsi="宋体"/>
            <w:noProof/>
          </w:rPr>
          <w:t>10.2</w:t>
        </w:r>
        <w:r w:rsidRPr="009A690D">
          <w:rPr>
            <w:rStyle w:val="a9"/>
            <w:noProof/>
          </w:rPr>
          <w:t xml:space="preserve">   </w:t>
        </w:r>
        <w:r w:rsidRPr="009A690D">
          <w:rPr>
            <w:rStyle w:val="a9"/>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_Toc48664194 \h </w:instrText>
        </w:r>
        <w:r>
          <w:rPr>
            <w:noProof/>
            <w:webHidden/>
          </w:rPr>
        </w:r>
        <w:r>
          <w:rPr>
            <w:noProof/>
            <w:webHidden/>
          </w:rPr>
          <w:fldChar w:fldCharType="separate"/>
        </w:r>
        <w:r>
          <w:rPr>
            <w:noProof/>
            <w:webHidden/>
          </w:rPr>
          <w:t>47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5" w:history="1">
        <w:r w:rsidRPr="009A690D">
          <w:rPr>
            <w:rStyle w:val="a9"/>
            <w:rFonts w:ascii="宋体" w:hAnsi="宋体"/>
            <w:noProof/>
          </w:rPr>
          <w:t>10.3</w:t>
        </w:r>
        <w:r w:rsidRPr="009A690D">
          <w:rPr>
            <w:rStyle w:val="a9"/>
            <w:noProof/>
          </w:rPr>
          <w:t xml:space="preserve">   </w:t>
        </w:r>
        <w:r w:rsidRPr="009A690D">
          <w:rPr>
            <w:rStyle w:val="a9"/>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_Toc48664195 \h </w:instrText>
        </w:r>
        <w:r>
          <w:rPr>
            <w:noProof/>
            <w:webHidden/>
          </w:rPr>
        </w:r>
        <w:r>
          <w:rPr>
            <w:noProof/>
            <w:webHidden/>
          </w:rPr>
          <w:fldChar w:fldCharType="separate"/>
        </w:r>
        <w:r>
          <w:rPr>
            <w:noProof/>
            <w:webHidden/>
          </w:rPr>
          <w:t>47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6" w:history="1">
        <w:r w:rsidRPr="009A690D">
          <w:rPr>
            <w:rStyle w:val="a9"/>
            <w:rFonts w:ascii="宋体" w:hAnsi="宋体"/>
            <w:noProof/>
          </w:rPr>
          <w:t>10.4</w:t>
        </w:r>
        <w:r w:rsidRPr="009A690D">
          <w:rPr>
            <w:rStyle w:val="a9"/>
            <w:noProof/>
          </w:rPr>
          <w:t xml:space="preserve">   </w:t>
        </w:r>
        <w:r w:rsidRPr="009A690D">
          <w:rPr>
            <w:rStyle w:val="a9"/>
            <w:rFonts w:hint="eastAsia"/>
            <w:noProof/>
          </w:rPr>
          <w:t>基金投资策略的改变</w:t>
        </w:r>
        <w:r>
          <w:rPr>
            <w:noProof/>
            <w:webHidden/>
          </w:rPr>
          <w:tab/>
        </w:r>
        <w:r>
          <w:rPr>
            <w:noProof/>
            <w:webHidden/>
          </w:rPr>
          <w:fldChar w:fldCharType="begin"/>
        </w:r>
        <w:r>
          <w:rPr>
            <w:noProof/>
            <w:webHidden/>
          </w:rPr>
          <w:instrText xml:space="preserve"> PAGEREF _Toc48664196 \h </w:instrText>
        </w:r>
        <w:r>
          <w:rPr>
            <w:noProof/>
            <w:webHidden/>
          </w:rPr>
        </w:r>
        <w:r>
          <w:rPr>
            <w:noProof/>
            <w:webHidden/>
          </w:rPr>
          <w:fldChar w:fldCharType="separate"/>
        </w:r>
        <w:r>
          <w:rPr>
            <w:noProof/>
            <w:webHidden/>
          </w:rPr>
          <w:t>47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7" w:history="1">
        <w:r w:rsidRPr="009A690D">
          <w:rPr>
            <w:rStyle w:val="a9"/>
            <w:rFonts w:ascii="宋体" w:hAnsi="宋体"/>
            <w:noProof/>
          </w:rPr>
          <w:t>10.5</w:t>
        </w:r>
        <w:r w:rsidRPr="009A690D">
          <w:rPr>
            <w:rStyle w:val="a9"/>
            <w:noProof/>
          </w:rPr>
          <w:t xml:space="preserve">  </w:t>
        </w:r>
        <w:r w:rsidRPr="009A690D">
          <w:rPr>
            <w:rStyle w:val="a9"/>
            <w:rFonts w:ascii="宋体" w:hAnsi="宋体" w:hint="eastAsia"/>
            <w:noProof/>
          </w:rPr>
          <w:t>为基金进行审计的会计师事务所情况</w:t>
        </w:r>
        <w:r>
          <w:rPr>
            <w:noProof/>
            <w:webHidden/>
          </w:rPr>
          <w:tab/>
        </w:r>
        <w:r>
          <w:rPr>
            <w:noProof/>
            <w:webHidden/>
          </w:rPr>
          <w:fldChar w:fldCharType="begin"/>
        </w:r>
        <w:r>
          <w:rPr>
            <w:noProof/>
            <w:webHidden/>
          </w:rPr>
          <w:instrText xml:space="preserve"> PAGEREF _Toc48664197 \h </w:instrText>
        </w:r>
        <w:r>
          <w:rPr>
            <w:noProof/>
            <w:webHidden/>
          </w:rPr>
        </w:r>
        <w:r>
          <w:rPr>
            <w:noProof/>
            <w:webHidden/>
          </w:rPr>
          <w:fldChar w:fldCharType="separate"/>
        </w:r>
        <w:r>
          <w:rPr>
            <w:noProof/>
            <w:webHidden/>
          </w:rPr>
          <w:t>47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8" w:history="1">
        <w:r w:rsidRPr="009A690D">
          <w:rPr>
            <w:rStyle w:val="a9"/>
            <w:rFonts w:ascii="宋体" w:hAnsi="宋体"/>
            <w:noProof/>
          </w:rPr>
          <w:t>10.6</w:t>
        </w:r>
        <w:r w:rsidRPr="009A690D">
          <w:rPr>
            <w:rStyle w:val="a9"/>
            <w:noProof/>
          </w:rPr>
          <w:t xml:space="preserve">  </w:t>
        </w:r>
        <w:r w:rsidRPr="009A690D">
          <w:rPr>
            <w:rStyle w:val="a9"/>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_Toc48664198 \h </w:instrText>
        </w:r>
        <w:r>
          <w:rPr>
            <w:noProof/>
            <w:webHidden/>
          </w:rPr>
        </w:r>
        <w:r>
          <w:rPr>
            <w:noProof/>
            <w:webHidden/>
          </w:rPr>
          <w:fldChar w:fldCharType="separate"/>
        </w:r>
        <w:r>
          <w:rPr>
            <w:noProof/>
            <w:webHidden/>
          </w:rPr>
          <w:t>48</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199" w:history="1">
        <w:r w:rsidRPr="009A690D">
          <w:rPr>
            <w:rStyle w:val="a9"/>
            <w:rFonts w:ascii="宋体" w:hAnsi="宋体"/>
            <w:noProof/>
          </w:rPr>
          <w:t>10.7</w:t>
        </w:r>
        <w:r w:rsidRPr="009A690D">
          <w:rPr>
            <w:rStyle w:val="a9"/>
            <w:noProof/>
          </w:rPr>
          <w:t xml:space="preserve">  </w:t>
        </w:r>
        <w:r w:rsidRPr="009A690D">
          <w:rPr>
            <w:rStyle w:val="a9"/>
            <w:rFonts w:hint="eastAsia"/>
            <w:noProof/>
          </w:rPr>
          <w:t>基金租用证券公司交易单元的有关情况</w:t>
        </w:r>
        <w:r>
          <w:rPr>
            <w:noProof/>
            <w:webHidden/>
          </w:rPr>
          <w:tab/>
        </w:r>
        <w:r>
          <w:rPr>
            <w:noProof/>
            <w:webHidden/>
          </w:rPr>
          <w:fldChar w:fldCharType="begin"/>
        </w:r>
        <w:r>
          <w:rPr>
            <w:noProof/>
            <w:webHidden/>
          </w:rPr>
          <w:instrText xml:space="preserve"> PAGEREF _Toc48664199 \h </w:instrText>
        </w:r>
        <w:r>
          <w:rPr>
            <w:noProof/>
            <w:webHidden/>
          </w:rPr>
        </w:r>
        <w:r>
          <w:rPr>
            <w:noProof/>
            <w:webHidden/>
          </w:rPr>
          <w:fldChar w:fldCharType="separate"/>
        </w:r>
        <w:r>
          <w:rPr>
            <w:noProof/>
            <w:webHidden/>
          </w:rPr>
          <w:t>48</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200" w:history="1">
        <w:r w:rsidRPr="009A690D">
          <w:rPr>
            <w:rStyle w:val="a9"/>
            <w:rFonts w:ascii="宋体" w:hAnsi="宋体"/>
            <w:noProof/>
          </w:rPr>
          <w:t>10.8</w:t>
        </w:r>
        <w:r w:rsidRPr="009A690D">
          <w:rPr>
            <w:rStyle w:val="a9"/>
            <w:noProof/>
          </w:rPr>
          <w:t xml:space="preserve">   </w:t>
        </w:r>
        <w:r w:rsidRPr="009A690D">
          <w:rPr>
            <w:rStyle w:val="a9"/>
            <w:rFonts w:hint="eastAsia"/>
            <w:noProof/>
          </w:rPr>
          <w:t>其他重大事件</w:t>
        </w:r>
        <w:r>
          <w:rPr>
            <w:noProof/>
            <w:webHidden/>
          </w:rPr>
          <w:tab/>
        </w:r>
        <w:r>
          <w:rPr>
            <w:noProof/>
            <w:webHidden/>
          </w:rPr>
          <w:fldChar w:fldCharType="begin"/>
        </w:r>
        <w:r>
          <w:rPr>
            <w:noProof/>
            <w:webHidden/>
          </w:rPr>
          <w:instrText xml:space="preserve"> PAGEREF _Toc48664200 \h </w:instrText>
        </w:r>
        <w:r>
          <w:rPr>
            <w:noProof/>
            <w:webHidden/>
          </w:rPr>
        </w:r>
        <w:r>
          <w:rPr>
            <w:noProof/>
            <w:webHidden/>
          </w:rPr>
          <w:fldChar w:fldCharType="separate"/>
        </w:r>
        <w:r>
          <w:rPr>
            <w:noProof/>
            <w:webHidden/>
          </w:rPr>
          <w:t>49</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201" w:history="1">
        <w:r w:rsidRPr="009A690D">
          <w:rPr>
            <w:rStyle w:val="a9"/>
            <w:rFonts w:ascii="宋体" w:hAnsi="宋体"/>
            <w:noProof/>
          </w:rPr>
          <w:t>11</w:t>
        </w:r>
        <w:r w:rsidRPr="009A690D">
          <w:rPr>
            <w:rStyle w:val="a9"/>
            <w:noProof/>
          </w:rPr>
          <w:t xml:space="preserve">     </w:t>
        </w:r>
        <w:r w:rsidRPr="009A690D">
          <w:rPr>
            <w:rStyle w:val="a9"/>
            <w:rFonts w:hint="eastAsia"/>
            <w:noProof/>
          </w:rPr>
          <w:t>备查文件目录</w:t>
        </w:r>
        <w:r>
          <w:rPr>
            <w:noProof/>
            <w:webHidden/>
          </w:rPr>
          <w:tab/>
        </w:r>
        <w:r>
          <w:rPr>
            <w:noProof/>
            <w:webHidden/>
          </w:rPr>
          <w:fldChar w:fldCharType="begin"/>
        </w:r>
        <w:r>
          <w:rPr>
            <w:noProof/>
            <w:webHidden/>
          </w:rPr>
          <w:instrText xml:space="preserve"> PAGEREF _Toc48664201 \h </w:instrText>
        </w:r>
        <w:r>
          <w:rPr>
            <w:noProof/>
            <w:webHidden/>
          </w:rPr>
        </w:r>
        <w:r>
          <w:rPr>
            <w:noProof/>
            <w:webHidden/>
          </w:rPr>
          <w:fldChar w:fldCharType="separate"/>
        </w:r>
        <w:r>
          <w:rPr>
            <w:noProof/>
            <w:webHidden/>
          </w:rPr>
          <w:t>57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202" w:history="1">
        <w:r w:rsidRPr="009A690D">
          <w:rPr>
            <w:rStyle w:val="a9"/>
            <w:rFonts w:ascii="宋体" w:hAnsi="宋体"/>
            <w:noProof/>
          </w:rPr>
          <w:t>11.1</w:t>
        </w:r>
        <w:r w:rsidRPr="009A690D">
          <w:rPr>
            <w:rStyle w:val="a9"/>
            <w:noProof/>
          </w:rPr>
          <w:t xml:space="preserve">   </w:t>
        </w:r>
        <w:r w:rsidRPr="009A690D">
          <w:rPr>
            <w:rStyle w:val="a9"/>
            <w:rFonts w:hint="eastAsia"/>
            <w:noProof/>
          </w:rPr>
          <w:t>备查文件目录</w:t>
        </w:r>
        <w:r>
          <w:rPr>
            <w:noProof/>
            <w:webHidden/>
          </w:rPr>
          <w:tab/>
        </w:r>
        <w:r>
          <w:rPr>
            <w:noProof/>
            <w:webHidden/>
          </w:rPr>
          <w:fldChar w:fldCharType="begin"/>
        </w:r>
        <w:r>
          <w:rPr>
            <w:noProof/>
            <w:webHidden/>
          </w:rPr>
          <w:instrText xml:space="preserve"> PAGEREF _Toc48664202 \h </w:instrText>
        </w:r>
        <w:r>
          <w:rPr>
            <w:noProof/>
            <w:webHidden/>
          </w:rPr>
        </w:r>
        <w:r>
          <w:rPr>
            <w:noProof/>
            <w:webHidden/>
          </w:rPr>
          <w:fldChar w:fldCharType="separate"/>
        </w:r>
        <w:r>
          <w:rPr>
            <w:noProof/>
            <w:webHidden/>
          </w:rPr>
          <w:t>57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203" w:history="1">
        <w:r w:rsidRPr="009A690D">
          <w:rPr>
            <w:rStyle w:val="a9"/>
            <w:rFonts w:ascii="宋体" w:hAnsi="宋体"/>
            <w:noProof/>
          </w:rPr>
          <w:t>11.2</w:t>
        </w:r>
        <w:r w:rsidRPr="009A690D">
          <w:rPr>
            <w:rStyle w:val="a9"/>
            <w:noProof/>
          </w:rPr>
          <w:t xml:space="preserve">   </w:t>
        </w:r>
        <w:r w:rsidRPr="009A690D">
          <w:rPr>
            <w:rStyle w:val="a9"/>
            <w:rFonts w:hint="eastAsia"/>
            <w:noProof/>
          </w:rPr>
          <w:t>存放地点</w:t>
        </w:r>
        <w:r>
          <w:rPr>
            <w:noProof/>
            <w:webHidden/>
          </w:rPr>
          <w:tab/>
        </w:r>
        <w:r>
          <w:rPr>
            <w:noProof/>
            <w:webHidden/>
          </w:rPr>
          <w:fldChar w:fldCharType="begin"/>
        </w:r>
        <w:r>
          <w:rPr>
            <w:noProof/>
            <w:webHidden/>
          </w:rPr>
          <w:instrText xml:space="preserve"> PAGEREF _Toc48664203 \h </w:instrText>
        </w:r>
        <w:r>
          <w:rPr>
            <w:noProof/>
            <w:webHidden/>
          </w:rPr>
        </w:r>
        <w:r>
          <w:rPr>
            <w:noProof/>
            <w:webHidden/>
          </w:rPr>
          <w:fldChar w:fldCharType="separate"/>
        </w:r>
        <w:r>
          <w:rPr>
            <w:noProof/>
            <w:webHidden/>
          </w:rPr>
          <w:t>57</w:t>
        </w:r>
        <w:r>
          <w:rPr>
            <w:noProof/>
            <w:webHidden/>
          </w:rPr>
          <w:fldChar w:fldCharType="end"/>
        </w:r>
      </w:hyperlink>
    </w:p>
    <w:p w:rsidR="0049416C" w:rsidRDefault="0049416C">
      <w:pPr>
        <w:pStyle w:val="22"/>
        <w:ind w:left="420"/>
        <w:rPr>
          <w:rFonts w:asciiTheme="minorHAnsi" w:eastAsiaTheme="minorEastAsia" w:hAnsiTheme="minorHAnsi" w:cstheme="minorBidi"/>
          <w:noProof/>
          <w:kern w:val="2"/>
          <w:szCs w:val="22"/>
        </w:rPr>
      </w:pPr>
      <w:hyperlink w:anchor="_Toc48664204" w:history="1">
        <w:r w:rsidRPr="009A690D">
          <w:rPr>
            <w:rStyle w:val="a9"/>
            <w:rFonts w:ascii="宋体" w:hAnsi="宋体"/>
            <w:noProof/>
          </w:rPr>
          <w:t>11.3</w:t>
        </w:r>
        <w:r w:rsidRPr="009A690D">
          <w:rPr>
            <w:rStyle w:val="a9"/>
            <w:noProof/>
          </w:rPr>
          <w:t xml:space="preserve">   </w:t>
        </w:r>
        <w:r w:rsidRPr="009A690D">
          <w:rPr>
            <w:rStyle w:val="a9"/>
            <w:rFonts w:hint="eastAsia"/>
            <w:noProof/>
          </w:rPr>
          <w:t>查阅方式</w:t>
        </w:r>
        <w:r>
          <w:rPr>
            <w:noProof/>
            <w:webHidden/>
          </w:rPr>
          <w:tab/>
        </w:r>
        <w:r>
          <w:rPr>
            <w:noProof/>
            <w:webHidden/>
          </w:rPr>
          <w:fldChar w:fldCharType="begin"/>
        </w:r>
        <w:r>
          <w:rPr>
            <w:noProof/>
            <w:webHidden/>
          </w:rPr>
          <w:instrText xml:space="preserve"> PAGEREF _Toc48664204 \h </w:instrText>
        </w:r>
        <w:r>
          <w:rPr>
            <w:noProof/>
            <w:webHidden/>
          </w:rPr>
        </w:r>
        <w:r>
          <w:rPr>
            <w:noProof/>
            <w:webHidden/>
          </w:rPr>
          <w:fldChar w:fldCharType="separate"/>
        </w:r>
        <w:r>
          <w:rPr>
            <w:noProof/>
            <w:webHidden/>
          </w:rPr>
          <w:t>57</w:t>
        </w:r>
        <w:r>
          <w:rPr>
            <w:noProof/>
            <w:webHidden/>
          </w:rPr>
          <w:fldChar w:fldCharType="end"/>
        </w:r>
      </w:hyperlink>
    </w:p>
    <w:p w:rsidR="00871A0D" w:rsidRPr="00C24ACA" w:rsidRDefault="00955B17" w:rsidP="00DB02ED">
      <w:pPr>
        <w:pStyle w:val="22"/>
        <w:tabs>
          <w:tab w:val="clear" w:pos="9072"/>
          <w:tab w:val="right" w:leader="dot" w:pos="8834"/>
        </w:tabs>
        <w:ind w:left="420"/>
        <w:rPr>
          <w:rFonts w:eastAsiaTheme="minorEastAsia"/>
        </w:rPr>
      </w:pPr>
      <w:r w:rsidRPr="006F3222">
        <w:rPr>
          <w:rFonts w:eastAsiaTheme="minorEastAsia"/>
          <w:color w:val="000000"/>
        </w:rPr>
        <w:fldChar w:fldCharType="end"/>
      </w:r>
      <w:r w:rsidR="00871A0D" w:rsidRPr="00C24ACA">
        <w:rPr>
          <w:rFonts w:eastAsiaTheme="minorEastAsia"/>
        </w:rPr>
        <w:br w:type="page"/>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1" w:name="_Toc225498244"/>
      <w:bookmarkStart w:id="22" w:name="_Toc352255960"/>
      <w:bookmarkStart w:id="23" w:name="_Toc352256028"/>
      <w:bookmarkStart w:id="24" w:name="_Toc352331206"/>
      <w:bookmarkStart w:id="25" w:name="_Toc390164792"/>
      <w:bookmarkStart w:id="26" w:name="_Toc48664146"/>
      <w:r w:rsidRPr="000C6CCD">
        <w:rPr>
          <w:rFonts w:ascii="宋体" w:hAnsi="宋体"/>
          <w:bCs w:val="0"/>
          <w:color w:val="000000"/>
          <w:sz w:val="21"/>
          <w:szCs w:val="21"/>
        </w:rPr>
        <w:t>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基金简介</w:t>
      </w:r>
      <w:bookmarkEnd w:id="21"/>
      <w:bookmarkEnd w:id="22"/>
      <w:bookmarkEnd w:id="23"/>
      <w:bookmarkEnd w:id="24"/>
      <w:bookmarkEnd w:id="25"/>
      <w:bookmarkEnd w:id="26"/>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27" w:name="_Toc352255961"/>
      <w:bookmarkStart w:id="28" w:name="_Toc352256029"/>
      <w:bookmarkStart w:id="29" w:name="_Toc352331207"/>
      <w:bookmarkStart w:id="30" w:name="_Toc390164793"/>
      <w:bookmarkStart w:id="31" w:name="_Toc48664147"/>
      <w:r w:rsidRPr="0087359D">
        <w:rPr>
          <w:rFonts w:ascii="宋体" w:hAnsi="宋体"/>
          <w:kern w:val="0"/>
          <w:sz w:val="21"/>
          <w:szCs w:val="21"/>
        </w:rPr>
        <w:t>2.1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基金基本情况</w:t>
      </w:r>
      <w:bookmarkEnd w:id="27"/>
      <w:bookmarkEnd w:id="28"/>
      <w:bookmarkEnd w:id="29"/>
      <w:bookmarkEnd w:id="30"/>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2580"/>
        <w:gridCol w:w="2637"/>
      </w:tblGrid>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基金名称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易方达原油证券投资基金（</w:t>
            </w:r>
            <w:r w:rsidRPr="00C24ACA">
              <w:rPr>
                <w:rFonts w:eastAsiaTheme="minorEastAsia"/>
                <w:szCs w:val="21"/>
              </w:rPr>
              <w:t>QDII</w:t>
            </w:r>
            <w:r w:rsidRPr="00C24ACA">
              <w:rPr>
                <w:rFonts w:eastAsiaTheme="minorEastAsia"/>
                <w:szCs w:val="21"/>
              </w:rPr>
              <w:t>）</w:t>
            </w:r>
          </w:p>
        </w:tc>
      </w:tr>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基金简称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p>
        </w:tc>
      </w:tr>
      <w:tr w:rsidR="009A1CB4" w:rsidRPr="00C24ACA" w:rsidTr="00862636">
        <w:tc>
          <w:tcPr>
            <w:tcW w:w="3258" w:type="dxa"/>
          </w:tcPr>
          <w:p w:rsidR="009A1CB4" w:rsidRPr="00C24ACA" w:rsidRDefault="009A1CB4" w:rsidP="008F4C10">
            <w:pPr>
              <w:rPr>
                <w:rFonts w:eastAsiaTheme="minorEastAsia"/>
                <w:szCs w:val="21"/>
              </w:rPr>
            </w:pPr>
            <w:r w:rsidRPr="00C24ACA">
              <w:rPr>
                <w:rFonts w:eastAsiaTheme="minorEastAsia"/>
                <w:szCs w:val="21"/>
              </w:rPr>
              <w:t>场内简称</w:t>
            </w:r>
          </w:p>
        </w:tc>
        <w:tc>
          <w:tcPr>
            <w:tcW w:w="5217" w:type="dxa"/>
            <w:gridSpan w:val="2"/>
            <w:vAlign w:val="center"/>
          </w:tcPr>
          <w:p w:rsidR="009A1CB4" w:rsidRPr="00C24ACA" w:rsidRDefault="009A1CB4" w:rsidP="008F4C10">
            <w:pPr>
              <w:jc w:val="right"/>
              <w:rPr>
                <w:rFonts w:eastAsiaTheme="minorEastAsia"/>
                <w:szCs w:val="21"/>
              </w:rPr>
            </w:pPr>
            <w:r w:rsidRPr="00C24ACA">
              <w:rPr>
                <w:rFonts w:eastAsiaTheme="minorEastAsia"/>
                <w:szCs w:val="21"/>
              </w:rPr>
              <w:t>原油基金</w:t>
            </w:r>
          </w:p>
        </w:tc>
      </w:tr>
      <w:tr w:rsidR="008A5A5D" w:rsidRPr="00C24ACA" w:rsidTr="00862636">
        <w:tc>
          <w:tcPr>
            <w:tcW w:w="3258" w:type="dxa"/>
            <w:vAlign w:val="center"/>
          </w:tcPr>
          <w:p w:rsidR="008A5A5D" w:rsidRPr="00C24ACA" w:rsidRDefault="008A5A5D" w:rsidP="008F4C10">
            <w:pPr>
              <w:rPr>
                <w:rFonts w:eastAsiaTheme="minorEastAsia"/>
                <w:color w:val="000000"/>
                <w:kern w:val="0"/>
                <w:szCs w:val="21"/>
              </w:rPr>
            </w:pPr>
            <w:r w:rsidRPr="00C24ACA">
              <w:rPr>
                <w:rFonts w:eastAsiaTheme="minorEastAsia"/>
                <w:szCs w:val="21"/>
              </w:rPr>
              <w:t>基金主代码</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161129</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基金运作方式</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契约型、上市开放式（</w:t>
            </w:r>
            <w:r w:rsidRPr="00C24ACA">
              <w:rPr>
                <w:rFonts w:eastAsiaTheme="minorEastAsia"/>
                <w:szCs w:val="21"/>
              </w:rPr>
              <w:t>LOF</w:t>
            </w:r>
            <w:r w:rsidRPr="00C24ACA">
              <w:rPr>
                <w:rFonts w:eastAsiaTheme="minorEastAsia"/>
                <w:szCs w:val="21"/>
              </w:rPr>
              <w:t>）</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基金合同生效日</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2016</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19</w:t>
            </w:r>
            <w:r w:rsidRPr="00C24ACA">
              <w:rPr>
                <w:rFonts w:eastAsiaTheme="minorEastAsia"/>
                <w:szCs w:val="21"/>
              </w:rPr>
              <w:t>日</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基金管理人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易方达基金管理有限公司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基金托管人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招商银行股份有限公司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报告期末基金份额总额</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1,505,534,277.53</w:t>
            </w:r>
            <w:r w:rsidRPr="00C24ACA">
              <w:rPr>
                <w:rFonts w:eastAsiaTheme="minorEastAsia"/>
                <w:szCs w:val="21"/>
              </w:rPr>
              <w:t>份</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基金合同存续期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不定期</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基金份额上市的证券交易所</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深圳证券交易所</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上市日期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2017</w:t>
            </w:r>
            <w:r w:rsidRPr="00C24ACA">
              <w:rPr>
                <w:rFonts w:eastAsiaTheme="minorEastAsia"/>
                <w:szCs w:val="21"/>
              </w:rPr>
              <w:t>年</w:t>
            </w:r>
            <w:r w:rsidRPr="00C24ACA">
              <w:rPr>
                <w:rFonts w:eastAsiaTheme="minorEastAsia"/>
                <w:szCs w:val="21"/>
              </w:rPr>
              <w:t>2</w:t>
            </w:r>
            <w:r w:rsidRPr="00C24ACA">
              <w:rPr>
                <w:rFonts w:eastAsiaTheme="minorEastAsia"/>
                <w:szCs w:val="21"/>
              </w:rPr>
              <w:t>月</w:t>
            </w:r>
            <w:r w:rsidRPr="00C24ACA">
              <w:rPr>
                <w:rFonts w:eastAsiaTheme="minorEastAsia"/>
                <w:szCs w:val="21"/>
              </w:rPr>
              <w:t>15</w:t>
            </w:r>
            <w:r w:rsidRPr="00C24ACA">
              <w:rPr>
                <w:rFonts w:eastAsiaTheme="minorEastAsia"/>
                <w:szCs w:val="21"/>
              </w:rPr>
              <w:t>日</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下属分级基金的基金简称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下属分级基金的交易代码</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161129</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003321</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报告期末下属分级基金的份额总额</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991,727,010.58</w:t>
            </w:r>
            <w:r w:rsidRPr="00C24ACA">
              <w:rPr>
                <w:rFonts w:eastAsiaTheme="minorEastAsia"/>
                <w:szCs w:val="21"/>
              </w:rPr>
              <w:t>份</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513,807,266.95</w:t>
            </w:r>
            <w:r w:rsidRPr="00C24ACA">
              <w:rPr>
                <w:rFonts w:eastAsiaTheme="minorEastAsia"/>
                <w:szCs w:val="21"/>
              </w:rPr>
              <w:t>份</w:t>
            </w:r>
          </w:p>
        </w:tc>
      </w:tr>
    </w:tbl>
    <w:p w:rsidR="008A5A5D" w:rsidRPr="00C24ACA" w:rsidRDefault="008A5A5D" w:rsidP="001412CA">
      <w:pPr>
        <w:tabs>
          <w:tab w:val="left" w:pos="426"/>
        </w:tabs>
        <w:spacing w:line="360" w:lineRule="auto"/>
        <w:ind w:firstLineChars="200" w:firstLine="420"/>
        <w:jc w:val="left"/>
        <w:rPr>
          <w:rFonts w:eastAsiaTheme="minorEastAsia"/>
          <w:color w:val="000000"/>
          <w:szCs w:val="21"/>
        </w:rPr>
      </w:pPr>
      <w:r w:rsidRPr="00C24ACA">
        <w:rPr>
          <w:rFonts w:eastAsiaTheme="minorEastAsia"/>
          <w:kern w:val="0"/>
          <w:szCs w:val="21"/>
        </w:rPr>
        <w:tab/>
      </w:r>
      <w:r w:rsidRPr="00C24ACA">
        <w:rPr>
          <w:rFonts w:eastAsiaTheme="minorEastAsia"/>
          <w:kern w:val="0"/>
          <w:szCs w:val="21"/>
        </w:rPr>
        <w:t>注：易方达原油（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含</w:t>
      </w:r>
      <w:r w:rsidRPr="00C24ACA">
        <w:rPr>
          <w:rFonts w:eastAsiaTheme="minorEastAsia"/>
          <w:kern w:val="0"/>
          <w:szCs w:val="21"/>
        </w:rPr>
        <w:t>A</w:t>
      </w:r>
      <w:r w:rsidRPr="00C24ACA">
        <w:rPr>
          <w:rFonts w:eastAsiaTheme="minorEastAsia"/>
          <w:kern w:val="0"/>
          <w:szCs w:val="21"/>
        </w:rPr>
        <w:t>类人民币份额（份额代码：</w:t>
      </w:r>
      <w:r w:rsidRPr="00C24ACA">
        <w:rPr>
          <w:rFonts w:eastAsiaTheme="minorEastAsia"/>
          <w:kern w:val="0"/>
          <w:szCs w:val="21"/>
        </w:rPr>
        <w:t>161129</w:t>
      </w:r>
      <w:r w:rsidRPr="00C24ACA">
        <w:rPr>
          <w:rFonts w:eastAsiaTheme="minorEastAsia"/>
          <w:kern w:val="0"/>
          <w:szCs w:val="21"/>
        </w:rPr>
        <w:t>）及</w:t>
      </w:r>
      <w:r w:rsidRPr="00C24ACA">
        <w:rPr>
          <w:rFonts w:eastAsiaTheme="minorEastAsia"/>
          <w:kern w:val="0"/>
          <w:szCs w:val="21"/>
        </w:rPr>
        <w:t>A</w:t>
      </w:r>
      <w:r w:rsidRPr="00C24ACA">
        <w:rPr>
          <w:rFonts w:eastAsiaTheme="minorEastAsia"/>
          <w:kern w:val="0"/>
          <w:szCs w:val="21"/>
        </w:rPr>
        <w:t>类美元现汇份额（份额代码：</w:t>
      </w:r>
      <w:r w:rsidRPr="00C24ACA">
        <w:rPr>
          <w:rFonts w:eastAsiaTheme="minorEastAsia"/>
          <w:kern w:val="0"/>
          <w:szCs w:val="21"/>
        </w:rPr>
        <w:t>003322</w:t>
      </w:r>
      <w:r w:rsidRPr="00C24ACA">
        <w:rPr>
          <w:rFonts w:eastAsiaTheme="minorEastAsia"/>
          <w:kern w:val="0"/>
          <w:szCs w:val="21"/>
        </w:rPr>
        <w:t>），交易代码仅列示</w:t>
      </w:r>
      <w:r w:rsidRPr="00C24ACA">
        <w:rPr>
          <w:rFonts w:eastAsiaTheme="minorEastAsia"/>
          <w:kern w:val="0"/>
          <w:szCs w:val="21"/>
        </w:rPr>
        <w:t>A</w:t>
      </w:r>
      <w:r w:rsidRPr="00C24ACA">
        <w:rPr>
          <w:rFonts w:eastAsiaTheme="minorEastAsia"/>
          <w:kern w:val="0"/>
          <w:szCs w:val="21"/>
        </w:rPr>
        <w:t>类人民币份额代码；易方达原油（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含</w:t>
      </w:r>
      <w:r w:rsidRPr="00C24ACA">
        <w:rPr>
          <w:rFonts w:eastAsiaTheme="minorEastAsia"/>
          <w:kern w:val="0"/>
          <w:szCs w:val="21"/>
        </w:rPr>
        <w:t>C</w:t>
      </w:r>
      <w:r w:rsidRPr="00C24ACA">
        <w:rPr>
          <w:rFonts w:eastAsiaTheme="minorEastAsia"/>
          <w:kern w:val="0"/>
          <w:szCs w:val="21"/>
        </w:rPr>
        <w:t>类人民币份额（份额代码：</w:t>
      </w:r>
      <w:r w:rsidRPr="00C24ACA">
        <w:rPr>
          <w:rFonts w:eastAsiaTheme="minorEastAsia"/>
          <w:kern w:val="0"/>
          <w:szCs w:val="21"/>
        </w:rPr>
        <w:t>003321</w:t>
      </w:r>
      <w:r w:rsidRPr="00C24ACA">
        <w:rPr>
          <w:rFonts w:eastAsiaTheme="minorEastAsia"/>
          <w:kern w:val="0"/>
          <w:szCs w:val="21"/>
        </w:rPr>
        <w:t>）及</w:t>
      </w:r>
      <w:r w:rsidRPr="00C24ACA">
        <w:rPr>
          <w:rFonts w:eastAsiaTheme="minorEastAsia"/>
          <w:kern w:val="0"/>
          <w:szCs w:val="21"/>
        </w:rPr>
        <w:t>C</w:t>
      </w:r>
      <w:r w:rsidRPr="00C24ACA">
        <w:rPr>
          <w:rFonts w:eastAsiaTheme="minorEastAsia"/>
          <w:kern w:val="0"/>
          <w:szCs w:val="21"/>
        </w:rPr>
        <w:t>类美元现汇份额（份额代码：</w:t>
      </w:r>
      <w:r w:rsidRPr="00C24ACA">
        <w:rPr>
          <w:rFonts w:eastAsiaTheme="minorEastAsia"/>
          <w:kern w:val="0"/>
          <w:szCs w:val="21"/>
        </w:rPr>
        <w:t>003323</w:t>
      </w:r>
      <w:r w:rsidRPr="00C24ACA">
        <w:rPr>
          <w:rFonts w:eastAsiaTheme="minorEastAsia"/>
          <w:kern w:val="0"/>
          <w:szCs w:val="21"/>
        </w:rPr>
        <w:t>），交易代码仅列示</w:t>
      </w:r>
      <w:r w:rsidRPr="00C24ACA">
        <w:rPr>
          <w:rFonts w:eastAsiaTheme="minorEastAsia"/>
          <w:kern w:val="0"/>
          <w:szCs w:val="21"/>
        </w:rPr>
        <w:t>C</w:t>
      </w:r>
      <w:r w:rsidRPr="00C24ACA">
        <w:rPr>
          <w:rFonts w:eastAsiaTheme="minorEastAsia"/>
          <w:kern w:val="0"/>
          <w:szCs w:val="21"/>
        </w:rPr>
        <w:t>类人民币份额代码。</w:t>
      </w:r>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32" w:name="_Toc352255962"/>
      <w:bookmarkStart w:id="33" w:name="_Toc352256030"/>
      <w:bookmarkStart w:id="34" w:name="_Toc352331208"/>
      <w:bookmarkStart w:id="35" w:name="_Toc390164794"/>
      <w:bookmarkStart w:id="36" w:name="_Toc48664148"/>
      <w:r w:rsidRPr="0087359D">
        <w:rPr>
          <w:rFonts w:ascii="宋体" w:hAnsi="宋体"/>
          <w:kern w:val="0"/>
          <w:sz w:val="21"/>
          <w:szCs w:val="21"/>
        </w:rPr>
        <w:t>2.2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基金产品说明</w:t>
      </w:r>
      <w:bookmarkEnd w:id="32"/>
      <w:bookmarkEnd w:id="33"/>
      <w:bookmarkEnd w:id="34"/>
      <w:bookmarkEnd w:id="35"/>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投资目标</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本基金力求基金净值增长率与业绩比较基准增长率相当。</w:t>
            </w:r>
            <w:r w:rsidRPr="00C24ACA">
              <w:rPr>
                <w:rFonts w:eastAsiaTheme="minorEastAsia"/>
                <w:szCs w:val="21"/>
              </w:rPr>
              <w:t xml:space="preserve"> </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投资策略</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本基金在全球范围内精选优质的原油</w:t>
            </w:r>
            <w:r w:rsidRPr="00C24ACA">
              <w:rPr>
                <w:rFonts w:eastAsiaTheme="minorEastAsia"/>
                <w:szCs w:val="21"/>
              </w:rPr>
              <w:t>ETF</w:t>
            </w:r>
            <w:r w:rsidRPr="00C24ACA">
              <w:rPr>
                <w:rFonts w:eastAsiaTheme="minorEastAsia"/>
                <w:szCs w:val="21"/>
              </w:rPr>
              <w:t>、原油基金，以及法律法规或中国证监会允许基金投资的其他金融工具进行投资，力求基金净值增长率与业绩比较基准增长率相当。</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业绩比较基准</w:t>
            </w:r>
          </w:p>
        </w:tc>
        <w:tc>
          <w:tcPr>
            <w:tcW w:w="6873" w:type="dxa"/>
            <w:vAlign w:val="bottom"/>
          </w:tcPr>
          <w:p w:rsidR="008A5A5D" w:rsidRPr="00C24ACA" w:rsidRDefault="008A5A5D">
            <w:pPr>
              <w:rPr>
                <w:rFonts w:eastAsiaTheme="minorEastAsia"/>
                <w:szCs w:val="21"/>
              </w:rPr>
            </w:pPr>
            <w:r w:rsidRPr="00C24ACA">
              <w:rPr>
                <w:rFonts w:eastAsiaTheme="minorEastAsia"/>
                <w:szCs w:val="21"/>
              </w:rPr>
              <w:t>标普高盛原油商品指数（</w:t>
            </w:r>
            <w:r w:rsidRPr="00C24ACA">
              <w:rPr>
                <w:rFonts w:eastAsiaTheme="minorEastAsia"/>
                <w:szCs w:val="21"/>
              </w:rPr>
              <w:t>S&amp;P GSCI Crude Oil Index ER</w:t>
            </w:r>
            <w:r w:rsidRPr="00C24ACA">
              <w:rPr>
                <w:rFonts w:eastAsiaTheme="minorEastAsia"/>
                <w:szCs w:val="21"/>
              </w:rPr>
              <w:t>）收益率</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风险收益特征</w:t>
            </w:r>
          </w:p>
        </w:tc>
        <w:tc>
          <w:tcPr>
            <w:tcW w:w="6873" w:type="dxa"/>
            <w:vAlign w:val="bottom"/>
          </w:tcPr>
          <w:p w:rsidR="005F7EF1" w:rsidRDefault="00E6254F">
            <w:pPr>
              <w:rPr>
                <w:rFonts w:eastAsiaTheme="minorEastAsia"/>
                <w:szCs w:val="21"/>
              </w:rPr>
            </w:pPr>
            <w:r>
              <w:rPr>
                <w:rFonts w:eastAsiaTheme="minorEastAsia"/>
                <w:szCs w:val="21"/>
              </w:rPr>
              <w:t>本基金为基金中基金，力求每日基金净值增长率与业绩比较基准增长率相当，理论上其具有与业绩比较基准相类似的风险收益特征。历史上原油价格波幅较大，波动周期较长，预期收益可能长期超过或低于股票、债券等传统金融资产，因此本基金是预期收益与预期风险较高的基金品种。</w:t>
            </w:r>
            <w:r>
              <w:rPr>
                <w:rFonts w:eastAsiaTheme="minorEastAsia"/>
                <w:szCs w:val="21"/>
              </w:rPr>
              <w:t xml:space="preserve"> </w:t>
            </w:r>
          </w:p>
          <w:p w:rsidR="008A5A5D" w:rsidRPr="00C24ACA" w:rsidRDefault="008A5A5D">
            <w:pPr>
              <w:rPr>
                <w:rFonts w:eastAsiaTheme="minorEastAsia"/>
                <w:szCs w:val="21"/>
              </w:rPr>
            </w:pPr>
            <w:r w:rsidRPr="00C24ACA">
              <w:rPr>
                <w:rFonts w:eastAsiaTheme="minorEastAsia"/>
                <w:szCs w:val="21"/>
              </w:rPr>
              <w:t>本基金可投资境外证券投资基金，除了需要承担与国内证券投资基金类似的市场波动风险之外，本基金还面临汇率风险等海外市场投资所面临的特别投资风险。</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 w:name="_Toc225498247"/>
      <w:bookmarkStart w:id="38" w:name="_Toc352255963"/>
      <w:bookmarkStart w:id="39" w:name="_Toc352256031"/>
      <w:bookmarkStart w:id="40" w:name="_Toc352331209"/>
      <w:bookmarkStart w:id="41" w:name="_Toc390164795"/>
      <w:bookmarkStart w:id="42" w:name="_Toc48664149"/>
      <w:r w:rsidRPr="0087359D">
        <w:rPr>
          <w:rFonts w:ascii="宋体" w:hAnsi="宋体"/>
          <w:kern w:val="0"/>
          <w:sz w:val="21"/>
          <w:szCs w:val="21"/>
        </w:rPr>
        <w:t>2.3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w:t>
      </w:r>
      <w:r w:rsidRPr="00A317EA">
        <w:rPr>
          <w:rFonts w:ascii="Times New Roman" w:eastAsiaTheme="minorEastAsia" w:hAnsi="Times New Roman"/>
          <w:kern w:val="0"/>
          <w:sz w:val="21"/>
          <w:szCs w:val="21"/>
        </w:rPr>
        <w:t>管理</w:t>
      </w:r>
      <w:r w:rsidRPr="00C24ACA">
        <w:rPr>
          <w:rFonts w:ascii="Times New Roman" w:eastAsiaTheme="minorEastAsia" w:hAnsi="Times New Roman"/>
          <w:kern w:val="0"/>
          <w:sz w:val="21"/>
          <w:szCs w:val="21"/>
        </w:rPr>
        <w:t>人和基金托管人</w:t>
      </w:r>
      <w:bookmarkEnd w:id="37"/>
      <w:bookmarkEnd w:id="38"/>
      <w:bookmarkEnd w:id="39"/>
      <w:bookmarkEnd w:id="40"/>
      <w:bookmarkEnd w:id="41"/>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项目</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基金管理人</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基金托管人</w:t>
            </w:r>
          </w:p>
        </w:tc>
      </w:tr>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rPr>
                <w:rFonts w:eastAsiaTheme="minorEastAsia"/>
                <w:color w:val="000000"/>
                <w:kern w:val="0"/>
                <w:szCs w:val="21"/>
              </w:rPr>
            </w:pPr>
            <w:r w:rsidRPr="00C24ACA">
              <w:rPr>
                <w:rFonts w:eastAsiaTheme="minorEastAsia"/>
                <w:color w:val="000000"/>
                <w:kern w:val="0"/>
                <w:szCs w:val="21"/>
              </w:rPr>
              <w:t>名称</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易方达基金管理有限公司</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招商银行股份有限公司</w:t>
            </w:r>
          </w:p>
        </w:tc>
      </w:tr>
      <w:tr w:rsidR="008A5A5D" w:rsidRPr="00C24ACA" w:rsidTr="006D141C">
        <w:tc>
          <w:tcPr>
            <w:tcW w:w="1260" w:type="dxa"/>
            <w:vMerge w:val="restart"/>
            <w:vAlign w:val="center"/>
          </w:tcPr>
          <w:p w:rsidR="008A5A5D" w:rsidRPr="00C24ACA" w:rsidRDefault="008A5A5D">
            <w:pPr>
              <w:autoSpaceDE w:val="0"/>
              <w:autoSpaceDN w:val="0"/>
              <w:adjustRightInd w:val="0"/>
              <w:spacing w:before="29" w:line="360" w:lineRule="auto"/>
              <w:ind w:left="15"/>
              <w:rPr>
                <w:rFonts w:eastAsiaTheme="minorEastAsia"/>
                <w:color w:val="000000"/>
                <w:kern w:val="0"/>
                <w:szCs w:val="21"/>
              </w:rPr>
            </w:pPr>
            <w:r w:rsidRPr="00C24ACA">
              <w:rPr>
                <w:rFonts w:eastAsiaTheme="minorEastAsia"/>
                <w:color w:val="000000"/>
                <w:szCs w:val="21"/>
              </w:rPr>
              <w:t>信息披露负责人</w:t>
            </w:r>
          </w:p>
        </w:tc>
        <w:tc>
          <w:tcPr>
            <w:tcW w:w="1371" w:type="dxa"/>
            <w:vAlign w:val="center"/>
          </w:tcPr>
          <w:p w:rsidR="008A5A5D" w:rsidRPr="00C24ACA" w:rsidRDefault="008A5A5D">
            <w:pPr>
              <w:jc w:val="center"/>
              <w:rPr>
                <w:rFonts w:eastAsiaTheme="minorEastAsia"/>
                <w:color w:val="000000"/>
                <w:szCs w:val="21"/>
              </w:rPr>
            </w:pPr>
            <w:r w:rsidRPr="00C24ACA">
              <w:rPr>
                <w:rFonts w:eastAsiaTheme="minorEastAsia"/>
                <w:color w:val="000000"/>
                <w:szCs w:val="21"/>
              </w:rPr>
              <w:t>姓名</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张南</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张燕</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联系电话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020-85102688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0755-83199084</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电子邮箱</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service@efunds.com.cn</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yan_zhang@cmbchina.com</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客户服务电话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400 881 8088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95555</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传真</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020-85104666</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0755-83195201</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注册地址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广东省珠海市横琴新区宝华路</w:t>
            </w:r>
            <w:r w:rsidRPr="00C24ACA">
              <w:rPr>
                <w:rFonts w:eastAsiaTheme="minorEastAsia"/>
                <w:color w:val="000000"/>
                <w:kern w:val="0"/>
                <w:szCs w:val="21"/>
              </w:rPr>
              <w:t>6</w:t>
            </w:r>
            <w:r w:rsidRPr="00C24ACA">
              <w:rPr>
                <w:rFonts w:eastAsiaTheme="minorEastAsia"/>
                <w:color w:val="000000"/>
                <w:kern w:val="0"/>
                <w:szCs w:val="21"/>
              </w:rPr>
              <w:t>号</w:t>
            </w:r>
            <w:r w:rsidRPr="00C24ACA">
              <w:rPr>
                <w:rFonts w:eastAsiaTheme="minorEastAsia"/>
                <w:color w:val="000000"/>
                <w:kern w:val="0"/>
                <w:szCs w:val="21"/>
              </w:rPr>
              <w:t>105</w:t>
            </w:r>
            <w:r w:rsidRPr="00C24ACA">
              <w:rPr>
                <w:rFonts w:eastAsiaTheme="minorEastAsia"/>
                <w:color w:val="000000"/>
                <w:kern w:val="0"/>
                <w:szCs w:val="21"/>
              </w:rPr>
              <w:t>室－</w:t>
            </w:r>
            <w:r w:rsidRPr="00C24ACA">
              <w:rPr>
                <w:rFonts w:eastAsiaTheme="minorEastAsia"/>
                <w:color w:val="000000"/>
                <w:kern w:val="0"/>
                <w:szCs w:val="21"/>
              </w:rPr>
              <w:t>42891</w:t>
            </w:r>
            <w:r w:rsidRPr="00C24ACA">
              <w:rPr>
                <w:rFonts w:eastAsiaTheme="minorEastAsia"/>
                <w:color w:val="000000"/>
                <w:kern w:val="0"/>
                <w:szCs w:val="21"/>
              </w:rPr>
              <w:t>（集中办公区）</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深圳市深南大道</w:t>
            </w:r>
            <w:r w:rsidRPr="00C24ACA">
              <w:rPr>
                <w:rFonts w:eastAsiaTheme="minorEastAsia"/>
                <w:color w:val="000000"/>
                <w:kern w:val="0"/>
                <w:szCs w:val="21"/>
              </w:rPr>
              <w:t>7088</w:t>
            </w:r>
            <w:r w:rsidRPr="00C24ACA">
              <w:rPr>
                <w:rFonts w:eastAsiaTheme="minorEastAsia"/>
                <w:color w:val="000000"/>
                <w:kern w:val="0"/>
                <w:szCs w:val="21"/>
              </w:rPr>
              <w:t>号招商银行大厦</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办公地址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广州市天河区珠江新城珠江东路</w:t>
            </w:r>
            <w:r w:rsidRPr="00C24ACA">
              <w:rPr>
                <w:rFonts w:eastAsiaTheme="minorEastAsia"/>
                <w:color w:val="000000"/>
                <w:kern w:val="0"/>
                <w:szCs w:val="21"/>
              </w:rPr>
              <w:t>30</w:t>
            </w:r>
            <w:r w:rsidRPr="00C24ACA">
              <w:rPr>
                <w:rFonts w:eastAsiaTheme="minorEastAsia"/>
                <w:color w:val="000000"/>
                <w:kern w:val="0"/>
                <w:szCs w:val="21"/>
              </w:rPr>
              <w:t>号广州银行大厦</w:t>
            </w:r>
            <w:r w:rsidRPr="00C24ACA">
              <w:rPr>
                <w:rFonts w:eastAsiaTheme="minorEastAsia"/>
                <w:color w:val="000000"/>
                <w:kern w:val="0"/>
                <w:szCs w:val="21"/>
              </w:rPr>
              <w:t>40-43</w:t>
            </w:r>
            <w:r w:rsidRPr="00C24ACA">
              <w:rPr>
                <w:rFonts w:eastAsiaTheme="minorEastAsia"/>
                <w:color w:val="000000"/>
                <w:kern w:val="0"/>
                <w:szCs w:val="21"/>
              </w:rPr>
              <w:t>楼</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深圳市深南大道</w:t>
            </w:r>
            <w:r w:rsidRPr="00C24ACA">
              <w:rPr>
                <w:rFonts w:eastAsiaTheme="minorEastAsia"/>
                <w:color w:val="000000"/>
                <w:kern w:val="0"/>
                <w:szCs w:val="21"/>
              </w:rPr>
              <w:t>7088</w:t>
            </w:r>
            <w:r w:rsidRPr="00C24ACA">
              <w:rPr>
                <w:rFonts w:eastAsiaTheme="minorEastAsia"/>
                <w:color w:val="000000"/>
                <w:kern w:val="0"/>
                <w:szCs w:val="21"/>
              </w:rPr>
              <w:t>号招商银行大厦</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邮政编码</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510620</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518040</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法定代表人</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刘晓艳</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李建红</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43" w:name="_Toc224618346"/>
      <w:bookmarkStart w:id="44" w:name="_Toc235605676"/>
      <w:bookmarkStart w:id="45" w:name="_Toc286929724"/>
      <w:bookmarkStart w:id="46" w:name="_Toc352255964"/>
      <w:bookmarkStart w:id="47" w:name="_Toc352256032"/>
      <w:bookmarkStart w:id="48" w:name="_Toc352331210"/>
      <w:bookmarkStart w:id="49" w:name="_Toc390164796"/>
      <w:bookmarkStart w:id="50" w:name="_Toc48664150"/>
      <w:r w:rsidRPr="0087359D">
        <w:rPr>
          <w:rFonts w:ascii="宋体" w:hAnsi="宋体"/>
          <w:kern w:val="0"/>
          <w:sz w:val="21"/>
          <w:szCs w:val="21"/>
        </w:rPr>
        <w:t>2.4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境外投资顾问和境外资产托管人</w:t>
      </w:r>
      <w:bookmarkEnd w:id="43"/>
      <w:bookmarkEnd w:id="44"/>
      <w:bookmarkEnd w:id="45"/>
      <w:bookmarkEnd w:id="46"/>
      <w:bookmarkEnd w:id="47"/>
      <w:bookmarkEnd w:id="48"/>
      <w:bookmarkEnd w:id="49"/>
      <w:bookmarkEnd w:id="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项目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境外投资顾问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境外资产托管人</w:t>
            </w:r>
          </w:p>
        </w:tc>
      </w:tr>
      <w:tr w:rsidR="008A5A5D" w:rsidRPr="00C24ACA" w:rsidTr="004B68EC">
        <w:trPr>
          <w:trHeight w:val="370"/>
        </w:trPr>
        <w:tc>
          <w:tcPr>
            <w:tcW w:w="900" w:type="dxa"/>
            <w:vMerge w:val="restart"/>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名称</w:t>
            </w: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英文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The Hongkong and Shanghai Banking Corporation Limited</w:t>
            </w:r>
          </w:p>
        </w:tc>
      </w:tr>
      <w:tr w:rsidR="008A5A5D" w:rsidRPr="00C24ACA" w:rsidTr="004B68EC">
        <w:trPr>
          <w:trHeight w:val="335"/>
        </w:trPr>
        <w:tc>
          <w:tcPr>
            <w:tcW w:w="900" w:type="dxa"/>
            <w:vMerge/>
            <w:vAlign w:val="center"/>
          </w:tcPr>
          <w:p w:rsidR="008A5A5D" w:rsidRPr="00C24ACA" w:rsidRDefault="008A5A5D" w:rsidP="004B68EC">
            <w:pPr>
              <w:jc w:val="center"/>
              <w:rPr>
                <w:rFonts w:eastAsiaTheme="minorEastAsia"/>
                <w:color w:val="000000"/>
                <w:szCs w:val="21"/>
              </w:rPr>
            </w:pP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中文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香港上海汇丰银行有限公司</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注册地址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香港皇后大道中一号</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办公地址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香港九龙深旺道</w:t>
            </w:r>
            <w:r w:rsidRPr="00C24ACA">
              <w:rPr>
                <w:rFonts w:eastAsiaTheme="minorEastAsia"/>
                <w:szCs w:val="21"/>
              </w:rPr>
              <w:t>1</w:t>
            </w:r>
            <w:r w:rsidRPr="00C24ACA">
              <w:rPr>
                <w:rFonts w:eastAsiaTheme="minorEastAsia"/>
                <w:szCs w:val="21"/>
              </w:rPr>
              <w:t>号汇丰中心</w:t>
            </w:r>
            <w:r w:rsidRPr="00C24ACA">
              <w:rPr>
                <w:rFonts w:eastAsiaTheme="minorEastAsia"/>
                <w:szCs w:val="21"/>
              </w:rPr>
              <w:t>1</w:t>
            </w:r>
            <w:r w:rsidRPr="00C24ACA">
              <w:rPr>
                <w:rFonts w:eastAsiaTheme="minorEastAsia"/>
                <w:szCs w:val="21"/>
              </w:rPr>
              <w:t>座</w:t>
            </w:r>
            <w:r w:rsidRPr="00C24ACA">
              <w:rPr>
                <w:rFonts w:eastAsiaTheme="minorEastAsia"/>
                <w:szCs w:val="21"/>
              </w:rPr>
              <w:t>6</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邮政编码</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1" w:name="_Toc225498248"/>
      <w:bookmarkStart w:id="52" w:name="_Toc352255965"/>
      <w:bookmarkStart w:id="53" w:name="_Toc352256033"/>
      <w:bookmarkStart w:id="54" w:name="_Toc352331211"/>
      <w:bookmarkStart w:id="55" w:name="_Toc390164797"/>
      <w:bookmarkStart w:id="56" w:name="_Toc48664151"/>
      <w:r w:rsidRPr="0087359D">
        <w:rPr>
          <w:rFonts w:ascii="宋体" w:hAnsi="宋体"/>
          <w:kern w:val="0"/>
          <w:sz w:val="21"/>
          <w:szCs w:val="21"/>
        </w:rPr>
        <w:t>2.5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信息披露方式</w:t>
      </w:r>
      <w:bookmarkEnd w:id="51"/>
      <w:bookmarkEnd w:id="52"/>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本基金选定的信息披露报纸名称</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中国证券报</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登载基金</w:t>
            </w:r>
            <w:r w:rsidR="00930E85">
              <w:rPr>
                <w:rFonts w:eastAsiaTheme="minorEastAsia"/>
                <w:color w:val="000000"/>
                <w:szCs w:val="21"/>
              </w:rPr>
              <w:t>中期</w:t>
            </w:r>
            <w:r w:rsidRPr="00C24ACA">
              <w:rPr>
                <w:rFonts w:eastAsiaTheme="minorEastAsia"/>
                <w:color w:val="000000"/>
                <w:szCs w:val="21"/>
              </w:rPr>
              <w:t>报告正文的管理人互联网网址</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http://www.efunds.com.cn</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基金</w:t>
            </w:r>
            <w:r w:rsidR="00930E85">
              <w:rPr>
                <w:rFonts w:eastAsiaTheme="minorEastAsia"/>
                <w:color w:val="000000"/>
                <w:szCs w:val="21"/>
              </w:rPr>
              <w:t>中期</w:t>
            </w:r>
            <w:r w:rsidRPr="00C24ACA">
              <w:rPr>
                <w:rFonts w:eastAsiaTheme="minorEastAsia"/>
                <w:color w:val="000000"/>
                <w:szCs w:val="21"/>
              </w:rPr>
              <w:t>报告备置地点</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43</w:t>
            </w:r>
            <w:r w:rsidRPr="00C24ACA">
              <w:rPr>
                <w:rFonts w:eastAsiaTheme="minorEastAsia"/>
                <w:color w:val="000000"/>
                <w:szCs w:val="21"/>
              </w:rPr>
              <w:t>楼</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7" w:name="_Toc225498249"/>
      <w:bookmarkStart w:id="58" w:name="_Toc352255966"/>
      <w:bookmarkStart w:id="59" w:name="_Toc352256034"/>
      <w:bookmarkStart w:id="60" w:name="_Toc352331212"/>
      <w:bookmarkStart w:id="61" w:name="_Toc390164798"/>
      <w:bookmarkStart w:id="62" w:name="_Toc48664152"/>
      <w:r w:rsidRPr="0087359D">
        <w:rPr>
          <w:rFonts w:ascii="宋体" w:hAnsi="宋体"/>
          <w:kern w:val="0"/>
          <w:sz w:val="21"/>
          <w:szCs w:val="21"/>
        </w:rPr>
        <w:t>2.6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其他相关资料</w:t>
      </w:r>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8A5A5D" w:rsidRPr="00C24ACA" w:rsidTr="00862636">
        <w:tc>
          <w:tcPr>
            <w:tcW w:w="1951"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项目</w:t>
            </w:r>
          </w:p>
        </w:tc>
        <w:tc>
          <w:tcPr>
            <w:tcW w:w="3260"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名称</w:t>
            </w:r>
          </w:p>
        </w:tc>
        <w:tc>
          <w:tcPr>
            <w:tcW w:w="4075"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办公地址</w:t>
            </w:r>
          </w:p>
        </w:tc>
      </w:tr>
      <w:tr w:rsidR="008A5A5D" w:rsidRPr="00C24ACA" w:rsidTr="00862636">
        <w:tc>
          <w:tcPr>
            <w:tcW w:w="1951" w:type="dxa"/>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注册登记机构</w:t>
            </w:r>
          </w:p>
        </w:tc>
        <w:tc>
          <w:tcPr>
            <w:tcW w:w="3260" w:type="dxa"/>
            <w:vAlign w:val="bottom"/>
          </w:tcPr>
          <w:p w:rsidR="008A5A5D" w:rsidRPr="00C24ACA" w:rsidRDefault="008A5A5D" w:rsidP="00EC549A">
            <w:pPr>
              <w:tabs>
                <w:tab w:val="left" w:pos="1740"/>
              </w:tabs>
              <w:jc w:val="left"/>
              <w:rPr>
                <w:rFonts w:eastAsiaTheme="minorEastAsia"/>
                <w:color w:val="000000"/>
                <w:szCs w:val="21"/>
              </w:rPr>
            </w:pPr>
            <w:r w:rsidRPr="00C24ACA">
              <w:rPr>
                <w:rFonts w:eastAsiaTheme="minorEastAsia"/>
                <w:color w:val="000000"/>
                <w:szCs w:val="21"/>
              </w:rPr>
              <w:t>中国证券登记结算有限责任公司</w:t>
            </w:r>
          </w:p>
        </w:tc>
        <w:tc>
          <w:tcPr>
            <w:tcW w:w="4075" w:type="dxa"/>
            <w:vAlign w:val="bottom"/>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北京市西城区太平桥大街</w:t>
            </w:r>
            <w:r w:rsidRPr="00C24ACA">
              <w:rPr>
                <w:rFonts w:eastAsiaTheme="minorEastAsia"/>
                <w:color w:val="000000"/>
                <w:szCs w:val="21"/>
              </w:rPr>
              <w:t>17</w:t>
            </w:r>
            <w:r w:rsidRPr="00C24ACA">
              <w:rPr>
                <w:rFonts w:eastAsiaTheme="minorEastAsia"/>
                <w:color w:val="000000"/>
                <w:szCs w:val="21"/>
              </w:rPr>
              <w:t>号</w:t>
            </w:r>
          </w:p>
        </w:tc>
      </w:tr>
      <w:tr w:rsidR="005F7EF1">
        <w:tc>
          <w:tcPr>
            <w:tcW w:w="1951" w:type="dxa"/>
            <w:vAlign w:val="center"/>
          </w:tcPr>
          <w:p w:rsidR="005F7EF1" w:rsidRDefault="00E6254F">
            <w:pPr>
              <w:jc w:val="left"/>
            </w:pPr>
            <w:r>
              <w:rPr>
                <w:rFonts w:eastAsiaTheme="minorEastAsia"/>
                <w:color w:val="000000"/>
                <w:szCs w:val="21"/>
              </w:rPr>
              <w:t>注册登记机构</w:t>
            </w:r>
          </w:p>
        </w:tc>
        <w:tc>
          <w:tcPr>
            <w:tcW w:w="3260" w:type="dxa"/>
            <w:vAlign w:val="center"/>
          </w:tcPr>
          <w:p w:rsidR="005F7EF1" w:rsidRDefault="00E6254F">
            <w:pPr>
              <w:jc w:val="left"/>
            </w:pPr>
            <w:r>
              <w:rPr>
                <w:rFonts w:eastAsiaTheme="minorEastAsia"/>
                <w:color w:val="000000"/>
                <w:szCs w:val="21"/>
              </w:rPr>
              <w:t>易方达基金管理有限公司</w:t>
            </w:r>
          </w:p>
        </w:tc>
        <w:tc>
          <w:tcPr>
            <w:tcW w:w="4075" w:type="dxa"/>
            <w:vAlign w:val="center"/>
          </w:tcPr>
          <w:p w:rsidR="005F7EF1" w:rsidRDefault="00E6254F">
            <w:pPr>
              <w:jc w:val="left"/>
            </w:pPr>
            <w:r>
              <w:rPr>
                <w:rFonts w:eastAsiaTheme="minorEastAsia"/>
                <w:color w:val="000000"/>
                <w:szCs w:val="21"/>
              </w:rPr>
              <w:t>广州市天河区珠江新城珠江东路</w:t>
            </w:r>
            <w:r>
              <w:rPr>
                <w:rFonts w:eastAsiaTheme="minorEastAsia"/>
                <w:color w:val="000000"/>
                <w:szCs w:val="21"/>
              </w:rPr>
              <w:t>30</w:t>
            </w:r>
            <w:r>
              <w:rPr>
                <w:rFonts w:eastAsiaTheme="minorEastAsia"/>
                <w:color w:val="000000"/>
                <w:szCs w:val="21"/>
              </w:rPr>
              <w:t>号广州银行大厦</w:t>
            </w:r>
            <w:r>
              <w:rPr>
                <w:rFonts w:eastAsiaTheme="minorEastAsia"/>
                <w:color w:val="000000"/>
                <w:szCs w:val="21"/>
              </w:rPr>
              <w:t>40-43</w:t>
            </w:r>
            <w:r>
              <w:rPr>
                <w:rFonts w:eastAsiaTheme="minorEastAsia"/>
                <w:color w:val="000000"/>
                <w:szCs w:val="21"/>
              </w:rPr>
              <w:t>楼</w:t>
            </w:r>
          </w:p>
        </w:tc>
      </w:tr>
    </w:tbl>
    <w:p w:rsidR="008A5A5D" w:rsidRPr="00C24ACA" w:rsidRDefault="008A5A5D" w:rsidP="00062D12">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w:t>
      </w:r>
      <w:r w:rsidRPr="00C24ACA">
        <w:rPr>
          <w:rFonts w:eastAsiaTheme="minorEastAsia"/>
          <w:kern w:val="0"/>
          <w:szCs w:val="21"/>
        </w:rPr>
        <w:t>A</w:t>
      </w:r>
      <w:r w:rsidRPr="00C24ACA">
        <w:rPr>
          <w:rFonts w:eastAsiaTheme="minorEastAsia"/>
          <w:kern w:val="0"/>
          <w:szCs w:val="21"/>
        </w:rPr>
        <w:t>类人民币份额的登记结算机构为中国证券登记结算有限责任公司，</w:t>
      </w:r>
      <w:r w:rsidRPr="00C24ACA">
        <w:rPr>
          <w:rFonts w:eastAsiaTheme="minorEastAsia"/>
          <w:kern w:val="0"/>
          <w:szCs w:val="21"/>
        </w:rPr>
        <w:t>A</w:t>
      </w:r>
      <w:r w:rsidRPr="00C24ACA">
        <w:rPr>
          <w:rFonts w:eastAsiaTheme="minorEastAsia"/>
          <w:kern w:val="0"/>
          <w:szCs w:val="21"/>
        </w:rPr>
        <w:t>类美元份额、</w:t>
      </w:r>
      <w:r w:rsidRPr="00C24ACA">
        <w:rPr>
          <w:rFonts w:eastAsiaTheme="minorEastAsia"/>
          <w:kern w:val="0"/>
          <w:szCs w:val="21"/>
        </w:rPr>
        <w:t>C</w:t>
      </w:r>
      <w:r w:rsidRPr="00C24ACA">
        <w:rPr>
          <w:rFonts w:eastAsiaTheme="minorEastAsia"/>
          <w:kern w:val="0"/>
          <w:szCs w:val="21"/>
        </w:rPr>
        <w:t>类美元份额、</w:t>
      </w:r>
      <w:r w:rsidRPr="00C24ACA">
        <w:rPr>
          <w:rFonts w:eastAsiaTheme="minorEastAsia"/>
          <w:kern w:val="0"/>
          <w:szCs w:val="21"/>
        </w:rPr>
        <w:t>C</w:t>
      </w:r>
      <w:r w:rsidRPr="00C24ACA">
        <w:rPr>
          <w:rFonts w:eastAsiaTheme="minorEastAsia"/>
          <w:kern w:val="0"/>
          <w:szCs w:val="21"/>
        </w:rPr>
        <w:t>类人民币份额的登记结算机构为易方达基金管理有限公司。</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63" w:name="_Toc352255967"/>
      <w:bookmarkStart w:id="64" w:name="_Toc352256035"/>
      <w:bookmarkStart w:id="65" w:name="_Toc352331213"/>
      <w:bookmarkStart w:id="66" w:name="_Toc390164799"/>
      <w:bookmarkStart w:id="67" w:name="_Toc48664153"/>
      <w:r w:rsidRPr="000C6CCD">
        <w:rPr>
          <w:rFonts w:ascii="宋体" w:hAnsi="宋体"/>
          <w:bCs w:val="0"/>
          <w:color w:val="000000"/>
          <w:sz w:val="21"/>
          <w:szCs w:val="21"/>
        </w:rPr>
        <w:t>3</w:t>
      </w:r>
      <w:r w:rsidR="00643DBD">
        <w:rPr>
          <w:rFonts w:ascii="Times New Roman" w:hAnsi="Times New Roman"/>
          <w:bCs w:val="0"/>
          <w:color w:val="000000"/>
          <w:sz w:val="21"/>
          <w:szCs w:val="21"/>
        </w:rPr>
        <w:t xml:space="preserve">     </w:t>
      </w:r>
      <w:r w:rsidR="004C753B" w:rsidRPr="00A432E9">
        <w:rPr>
          <w:rFonts w:ascii="Times New Roman" w:hAnsi="Times New Roman"/>
          <w:bCs w:val="0"/>
          <w:color w:val="000000"/>
          <w:sz w:val="21"/>
          <w:szCs w:val="21"/>
        </w:rPr>
        <w:t>主要财务指标和</w:t>
      </w:r>
      <w:r w:rsidRPr="00A432E9">
        <w:rPr>
          <w:rFonts w:ascii="Times New Roman" w:hAnsi="Times New Roman"/>
          <w:bCs w:val="0"/>
          <w:color w:val="000000"/>
          <w:sz w:val="21"/>
          <w:szCs w:val="21"/>
        </w:rPr>
        <w:t>基金净值表现</w:t>
      </w:r>
      <w:bookmarkEnd w:id="63"/>
      <w:bookmarkEnd w:id="64"/>
      <w:bookmarkEnd w:id="65"/>
      <w:bookmarkEnd w:id="66"/>
      <w:bookmarkEnd w:id="67"/>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68" w:name="_Toc286996129"/>
      <w:bookmarkStart w:id="69" w:name="_Toc352255968"/>
      <w:bookmarkStart w:id="70" w:name="_Toc352256036"/>
      <w:bookmarkStart w:id="71" w:name="_Toc352331214"/>
      <w:bookmarkStart w:id="72" w:name="_Toc390164800"/>
      <w:bookmarkStart w:id="73" w:name="_Toc48664154"/>
      <w:r w:rsidRPr="0087359D">
        <w:rPr>
          <w:rFonts w:ascii="宋体" w:hAnsi="宋体"/>
          <w:kern w:val="0"/>
          <w:sz w:val="21"/>
          <w:szCs w:val="21"/>
        </w:rPr>
        <w:t>3.1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主要会计数据和财务指标</w:t>
      </w:r>
      <w:bookmarkEnd w:id="68"/>
      <w:bookmarkEnd w:id="69"/>
      <w:bookmarkEnd w:id="70"/>
      <w:bookmarkEnd w:id="71"/>
      <w:bookmarkEnd w:id="72"/>
      <w:bookmarkEnd w:id="73"/>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金额单位：人民币元</w:t>
      </w:r>
    </w:p>
    <w:tbl>
      <w:tblPr>
        <w:tblW w:w="93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D2230" w:rsidRPr="00C24ACA" w:rsidTr="005C3575">
        <w:trPr>
          <w:trHeight w:val="487"/>
        </w:trPr>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3.1.1</w:t>
            </w:r>
            <w:r w:rsidRPr="00C24ACA">
              <w:rPr>
                <w:rFonts w:eastAsiaTheme="minorEastAsia"/>
                <w:b/>
                <w:color w:val="000000"/>
                <w:szCs w:val="21"/>
              </w:rPr>
              <w:t>期间数据和指标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w:t>
            </w:r>
            <w:r w:rsidRPr="00C24ACA">
              <w:rPr>
                <w:rFonts w:eastAsiaTheme="minorEastAsia"/>
                <w:b/>
                <w:szCs w:val="21"/>
              </w:rPr>
              <w:t>2020</w:t>
            </w:r>
            <w:r w:rsidRPr="00C24ACA">
              <w:rPr>
                <w:rFonts w:eastAsiaTheme="minorEastAsia"/>
                <w:b/>
                <w:szCs w:val="21"/>
              </w:rPr>
              <w:t>年</w:t>
            </w:r>
            <w:r w:rsidRPr="00C24ACA">
              <w:rPr>
                <w:rFonts w:eastAsiaTheme="minorEastAsia"/>
                <w:b/>
                <w:szCs w:val="21"/>
              </w:rPr>
              <w:t>1</w:t>
            </w:r>
            <w:r w:rsidRPr="00C24ACA">
              <w:rPr>
                <w:rFonts w:eastAsiaTheme="minorEastAsia"/>
                <w:b/>
                <w:szCs w:val="21"/>
              </w:rPr>
              <w:t>月</w:t>
            </w:r>
            <w:r w:rsidRPr="00C24ACA">
              <w:rPr>
                <w:rFonts w:eastAsiaTheme="minorEastAsia"/>
                <w:b/>
                <w:szCs w:val="21"/>
              </w:rPr>
              <w:t>1</w:t>
            </w:r>
            <w:r w:rsidRPr="00C24ACA">
              <w:rPr>
                <w:rFonts w:eastAsiaTheme="minorEastAsia"/>
                <w:b/>
                <w:szCs w:val="21"/>
              </w:rPr>
              <w:t>日至</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1D2230" w:rsidRPr="00C24ACA" w:rsidTr="005C3575">
        <w:trPr>
          <w:trHeight w:val="487"/>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本期已实现收益</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-15,785,875.15</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-9,976,534.22</w:t>
            </w:r>
          </w:p>
        </w:tc>
      </w:tr>
      <w:tr w:rsidR="001D2230" w:rsidRPr="00C24ACA" w:rsidTr="005C3575">
        <w:trPr>
          <w:trHeight w:val="754"/>
        </w:trPr>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-195,856,491.13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-201,842,775.75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加权平均基金份额本期利润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-0.3056</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-0.4928</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本期加权平均净值利润率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-56.62%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-86.72%</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本期基金份额净值增长率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-54.74%</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-55.26%</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3.1.2</w:t>
            </w:r>
            <w:r w:rsidRPr="00C24ACA">
              <w:rPr>
                <w:rFonts w:eastAsiaTheme="minorEastAsia"/>
                <w:b/>
                <w:color w:val="000000"/>
                <w:szCs w:val="21"/>
              </w:rPr>
              <w:t>期末数据和指标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rPr>
          <w:trHeight w:val="373"/>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易方达原油（</w:t>
            </w:r>
            <w:r w:rsidRPr="00C24ACA">
              <w:rPr>
                <w:rFonts w:eastAsiaTheme="minorEastAsia"/>
                <w:color w:val="000000"/>
                <w:szCs w:val="21"/>
              </w:rPr>
              <w:t>QDII-LOF-FOF</w:t>
            </w:r>
            <w:r w:rsidRPr="00C24ACA">
              <w:rPr>
                <w:rFonts w:eastAsiaTheme="minorEastAsia"/>
                <w:color w:val="000000"/>
                <w:szCs w:val="21"/>
              </w:rPr>
              <w:t>）</w:t>
            </w:r>
            <w:r w:rsidRPr="00C24ACA">
              <w:rPr>
                <w:rFonts w:eastAsiaTheme="minorEastAsia"/>
                <w:color w:val="000000"/>
                <w:szCs w:val="21"/>
              </w:rPr>
              <w:t>A</w:t>
            </w:r>
          </w:p>
        </w:tc>
        <w:tc>
          <w:tcPr>
            <w:tcW w:w="2558"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易方达原油（</w:t>
            </w:r>
            <w:r w:rsidRPr="00C24ACA">
              <w:rPr>
                <w:rFonts w:eastAsiaTheme="minorEastAsia"/>
                <w:color w:val="000000"/>
                <w:szCs w:val="21"/>
              </w:rPr>
              <w:t>QDII-LOF-FOF</w:t>
            </w:r>
            <w:r w:rsidRPr="00C24ACA">
              <w:rPr>
                <w:rFonts w:eastAsiaTheme="minorEastAsia"/>
                <w:color w:val="000000"/>
                <w:szCs w:val="21"/>
              </w:rPr>
              <w:t>）</w:t>
            </w:r>
            <w:r w:rsidRPr="00C24ACA">
              <w:rPr>
                <w:rFonts w:eastAsiaTheme="minorEastAsia"/>
                <w:color w:val="000000"/>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-462,009,490.68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-245,958,695.20</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期末可供分配基金份额利润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-0.4659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-0.4787</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期末基金资产净值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529,717,519.90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267,848,571.75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期末基金份额净值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0.5341</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0.5213</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3.1.3</w:t>
            </w:r>
            <w:r w:rsidRPr="00C24ACA">
              <w:rPr>
                <w:rFonts w:eastAsiaTheme="minorEastAsia"/>
                <w:b/>
                <w:color w:val="000000"/>
                <w:szCs w:val="21"/>
              </w:rPr>
              <w:t>累计期末指标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基金份额累计净值增长率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-46.59%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-47.87%</w:t>
            </w:r>
          </w:p>
        </w:tc>
      </w:tr>
    </w:tbl>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所述基金业绩指标不包括持有人认购或交易基金的各项费用，计入费用后实际收益水平要低于所列数字。</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本期已实现收益指基金本期利息收入、投资收益、其他收入（不含公允价值变动收益）扣除相关费用后的余额，本期利润为本期已实现收益加上本期公允价值变动收益。</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期末可供分配利润，为期末资产负债表中未分配利润与未分配利润中已实现部分的孰低数。</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74" w:name="_Toc225498252"/>
      <w:bookmarkStart w:id="75" w:name="_Toc352255969"/>
      <w:bookmarkStart w:id="76" w:name="_Toc352256037"/>
      <w:bookmarkStart w:id="77" w:name="_Toc352331215"/>
      <w:bookmarkStart w:id="78" w:name="_Toc390164801"/>
      <w:bookmarkStart w:id="79" w:name="_Toc48664155"/>
      <w:r w:rsidRPr="0087359D">
        <w:rPr>
          <w:rFonts w:ascii="宋体" w:hAnsi="宋体"/>
          <w:kern w:val="0"/>
          <w:sz w:val="21"/>
          <w:szCs w:val="21"/>
        </w:rPr>
        <w:t>3.2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基金净值表现</w:t>
      </w:r>
      <w:bookmarkEnd w:id="74"/>
      <w:bookmarkEnd w:id="75"/>
      <w:bookmarkEnd w:id="76"/>
      <w:bookmarkEnd w:id="77"/>
      <w:bookmarkEnd w:id="78"/>
      <w:bookmarkEnd w:id="79"/>
    </w:p>
    <w:p w:rsidR="008A5A5D" w:rsidRPr="00C24ACA" w:rsidRDefault="008A5A5D" w:rsidP="00635EA5">
      <w:pPr>
        <w:autoSpaceDE w:val="0"/>
        <w:autoSpaceDN w:val="0"/>
        <w:adjustRightInd w:val="0"/>
        <w:spacing w:line="360" w:lineRule="auto"/>
        <w:jc w:val="left"/>
        <w:rPr>
          <w:rFonts w:eastAsiaTheme="minorEastAsia"/>
          <w:b/>
          <w:color w:val="000000"/>
          <w:kern w:val="0"/>
          <w:szCs w:val="21"/>
        </w:rPr>
      </w:pPr>
      <w:r w:rsidRPr="00C24ACA">
        <w:rPr>
          <w:rFonts w:eastAsiaTheme="minorEastAsia"/>
          <w:b/>
          <w:color w:val="000000"/>
          <w:kern w:val="0"/>
          <w:szCs w:val="21"/>
        </w:rPr>
        <w:t xml:space="preserve">3.2.1 </w:t>
      </w:r>
      <w:r w:rsidRPr="00C24ACA">
        <w:rPr>
          <w:rFonts w:eastAsiaTheme="minorEastAsia"/>
          <w:b/>
          <w:color w:val="000000"/>
          <w:kern w:val="0"/>
          <w:szCs w:val="21"/>
        </w:rPr>
        <w:t>基金份额净值增长率及其与同期业绩比较基准收益率的比较</w:t>
      </w:r>
    </w:p>
    <w:p w:rsidR="00FC6E91" w:rsidRPr="00C24ACA" w:rsidRDefault="00FC6E91" w:rsidP="00FC6E91">
      <w:pPr>
        <w:pStyle w:val="21"/>
        <w:spacing w:line="360"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易方达原油（</w:t>
      </w:r>
      <w:r w:rsidRPr="00C24ACA">
        <w:rPr>
          <w:rFonts w:ascii="Times New Roman" w:eastAsiaTheme="minorEastAsia" w:hAnsi="Times New Roman"/>
          <w:color w:val="auto"/>
          <w:sz w:val="21"/>
          <w:szCs w:val="21"/>
        </w:rPr>
        <w:t>QDII-LOF-FOF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5F7EF1">
        <w:tc>
          <w:tcPr>
            <w:tcW w:w="1620" w:type="dxa"/>
            <w:vAlign w:val="center"/>
          </w:tcPr>
          <w:p w:rsidR="005F7EF1" w:rsidRDefault="00E6254F">
            <w:pPr>
              <w:jc w:val="left"/>
            </w:pPr>
            <w:r>
              <w:rPr>
                <w:rFonts w:eastAsiaTheme="minorEastAsia"/>
                <w:color w:val="000000"/>
                <w:szCs w:val="21"/>
              </w:rPr>
              <w:t>过去一个月</w:t>
            </w:r>
          </w:p>
        </w:tc>
        <w:tc>
          <w:tcPr>
            <w:tcW w:w="1350" w:type="dxa"/>
            <w:vAlign w:val="center"/>
          </w:tcPr>
          <w:p w:rsidR="005F7EF1" w:rsidRDefault="00E6254F">
            <w:pPr>
              <w:jc w:val="center"/>
            </w:pPr>
            <w:r>
              <w:rPr>
                <w:rFonts w:eastAsiaTheme="minorEastAsia"/>
                <w:color w:val="000000"/>
                <w:szCs w:val="21"/>
              </w:rPr>
              <w:t>9.94%</w:t>
            </w:r>
          </w:p>
        </w:tc>
        <w:tc>
          <w:tcPr>
            <w:tcW w:w="1350" w:type="dxa"/>
            <w:vAlign w:val="center"/>
          </w:tcPr>
          <w:p w:rsidR="005F7EF1" w:rsidRDefault="00E6254F">
            <w:pPr>
              <w:jc w:val="center"/>
            </w:pPr>
            <w:r>
              <w:rPr>
                <w:rFonts w:eastAsiaTheme="minorEastAsia"/>
                <w:color w:val="000000"/>
                <w:szCs w:val="21"/>
              </w:rPr>
              <w:t>2.16%</w:t>
            </w:r>
          </w:p>
        </w:tc>
        <w:tc>
          <w:tcPr>
            <w:tcW w:w="1350" w:type="dxa"/>
            <w:vAlign w:val="center"/>
          </w:tcPr>
          <w:p w:rsidR="005F7EF1" w:rsidRDefault="00E6254F">
            <w:pPr>
              <w:jc w:val="center"/>
            </w:pPr>
            <w:r>
              <w:rPr>
                <w:rFonts w:eastAsiaTheme="minorEastAsia"/>
                <w:color w:val="000000"/>
                <w:szCs w:val="21"/>
              </w:rPr>
              <w:t>8.77%</w:t>
            </w:r>
          </w:p>
        </w:tc>
        <w:tc>
          <w:tcPr>
            <w:tcW w:w="1350" w:type="dxa"/>
            <w:vAlign w:val="center"/>
          </w:tcPr>
          <w:p w:rsidR="005F7EF1" w:rsidRDefault="00E6254F">
            <w:pPr>
              <w:jc w:val="center"/>
            </w:pPr>
            <w:r>
              <w:rPr>
                <w:rFonts w:eastAsiaTheme="minorEastAsia"/>
                <w:color w:val="000000"/>
                <w:szCs w:val="21"/>
              </w:rPr>
              <w:t>3.37%</w:t>
            </w:r>
          </w:p>
        </w:tc>
        <w:tc>
          <w:tcPr>
            <w:tcW w:w="1350" w:type="dxa"/>
            <w:vAlign w:val="center"/>
          </w:tcPr>
          <w:p w:rsidR="005F7EF1" w:rsidRDefault="00E6254F">
            <w:pPr>
              <w:jc w:val="center"/>
            </w:pPr>
            <w:r>
              <w:rPr>
                <w:rFonts w:eastAsiaTheme="minorEastAsia"/>
                <w:color w:val="000000"/>
                <w:szCs w:val="21"/>
              </w:rPr>
              <w:t>1.17%</w:t>
            </w:r>
          </w:p>
        </w:tc>
        <w:tc>
          <w:tcPr>
            <w:tcW w:w="1350" w:type="dxa"/>
            <w:vAlign w:val="center"/>
          </w:tcPr>
          <w:p w:rsidR="005F7EF1" w:rsidRDefault="00E6254F">
            <w:pPr>
              <w:jc w:val="center"/>
            </w:pPr>
            <w:r>
              <w:rPr>
                <w:rFonts w:eastAsiaTheme="minorEastAsia"/>
                <w:color w:val="000000"/>
                <w:szCs w:val="21"/>
              </w:rPr>
              <w:t>-1.21%</w:t>
            </w:r>
          </w:p>
        </w:tc>
      </w:tr>
      <w:tr w:rsidR="005F7EF1">
        <w:tc>
          <w:tcPr>
            <w:tcW w:w="1620" w:type="dxa"/>
            <w:vAlign w:val="center"/>
          </w:tcPr>
          <w:p w:rsidR="005F7EF1" w:rsidRDefault="00E6254F">
            <w:pPr>
              <w:jc w:val="left"/>
            </w:pPr>
            <w:r>
              <w:rPr>
                <w:rFonts w:eastAsiaTheme="minorEastAsia"/>
                <w:color w:val="000000"/>
                <w:szCs w:val="21"/>
              </w:rPr>
              <w:t>过去三个月</w:t>
            </w:r>
          </w:p>
        </w:tc>
        <w:tc>
          <w:tcPr>
            <w:tcW w:w="1350" w:type="dxa"/>
            <w:vAlign w:val="center"/>
          </w:tcPr>
          <w:p w:rsidR="005F7EF1" w:rsidRDefault="00E6254F">
            <w:pPr>
              <w:jc w:val="center"/>
            </w:pPr>
            <w:r>
              <w:rPr>
                <w:rFonts w:eastAsiaTheme="minorEastAsia"/>
                <w:color w:val="000000"/>
                <w:szCs w:val="21"/>
              </w:rPr>
              <w:t>5.16%</w:t>
            </w:r>
          </w:p>
        </w:tc>
        <w:tc>
          <w:tcPr>
            <w:tcW w:w="1350" w:type="dxa"/>
            <w:vAlign w:val="center"/>
          </w:tcPr>
          <w:p w:rsidR="005F7EF1" w:rsidRDefault="00E6254F">
            <w:pPr>
              <w:jc w:val="center"/>
            </w:pPr>
            <w:r>
              <w:rPr>
                <w:rFonts w:eastAsiaTheme="minorEastAsia"/>
                <w:color w:val="000000"/>
                <w:szCs w:val="21"/>
              </w:rPr>
              <w:t>4.41%</w:t>
            </w:r>
          </w:p>
        </w:tc>
        <w:tc>
          <w:tcPr>
            <w:tcW w:w="1350" w:type="dxa"/>
            <w:vAlign w:val="center"/>
          </w:tcPr>
          <w:p w:rsidR="005F7EF1" w:rsidRDefault="00E6254F">
            <w:pPr>
              <w:jc w:val="center"/>
            </w:pPr>
            <w:r>
              <w:rPr>
                <w:rFonts w:eastAsiaTheme="minorEastAsia"/>
                <w:color w:val="000000"/>
                <w:szCs w:val="21"/>
              </w:rPr>
              <w:t>0.63%</w:t>
            </w:r>
          </w:p>
        </w:tc>
        <w:tc>
          <w:tcPr>
            <w:tcW w:w="1350" w:type="dxa"/>
            <w:vAlign w:val="center"/>
          </w:tcPr>
          <w:p w:rsidR="005F7EF1" w:rsidRDefault="00E6254F">
            <w:pPr>
              <w:jc w:val="center"/>
            </w:pPr>
            <w:r>
              <w:rPr>
                <w:rFonts w:eastAsiaTheme="minorEastAsia"/>
                <w:color w:val="000000"/>
                <w:szCs w:val="21"/>
              </w:rPr>
              <w:t>10.08%</w:t>
            </w:r>
          </w:p>
        </w:tc>
        <w:tc>
          <w:tcPr>
            <w:tcW w:w="1350" w:type="dxa"/>
            <w:vAlign w:val="center"/>
          </w:tcPr>
          <w:p w:rsidR="005F7EF1" w:rsidRDefault="00E6254F">
            <w:pPr>
              <w:jc w:val="center"/>
            </w:pPr>
            <w:r>
              <w:rPr>
                <w:rFonts w:eastAsiaTheme="minorEastAsia"/>
                <w:color w:val="000000"/>
                <w:szCs w:val="21"/>
              </w:rPr>
              <w:t>4.53%</w:t>
            </w:r>
          </w:p>
        </w:tc>
        <w:tc>
          <w:tcPr>
            <w:tcW w:w="1350" w:type="dxa"/>
            <w:vAlign w:val="center"/>
          </w:tcPr>
          <w:p w:rsidR="005F7EF1" w:rsidRDefault="00E6254F">
            <w:pPr>
              <w:jc w:val="center"/>
            </w:pPr>
            <w:r>
              <w:rPr>
                <w:rFonts w:eastAsiaTheme="minorEastAsia"/>
                <w:color w:val="000000"/>
                <w:szCs w:val="21"/>
              </w:rPr>
              <w:t>-5.67%</w:t>
            </w:r>
          </w:p>
        </w:tc>
      </w:tr>
      <w:tr w:rsidR="005F7EF1">
        <w:tc>
          <w:tcPr>
            <w:tcW w:w="1620" w:type="dxa"/>
            <w:vAlign w:val="center"/>
          </w:tcPr>
          <w:p w:rsidR="005F7EF1" w:rsidRDefault="00E6254F">
            <w:pPr>
              <w:jc w:val="left"/>
            </w:pPr>
            <w:r>
              <w:rPr>
                <w:rFonts w:eastAsiaTheme="minorEastAsia"/>
                <w:color w:val="000000"/>
                <w:szCs w:val="21"/>
              </w:rPr>
              <w:t>过去六个月</w:t>
            </w:r>
          </w:p>
        </w:tc>
        <w:tc>
          <w:tcPr>
            <w:tcW w:w="1350" w:type="dxa"/>
            <w:vAlign w:val="center"/>
          </w:tcPr>
          <w:p w:rsidR="005F7EF1" w:rsidRDefault="00E6254F">
            <w:pPr>
              <w:jc w:val="center"/>
            </w:pPr>
            <w:r>
              <w:rPr>
                <w:rFonts w:eastAsiaTheme="minorEastAsia"/>
                <w:color w:val="000000"/>
                <w:szCs w:val="21"/>
              </w:rPr>
              <w:t>-54.74%</w:t>
            </w:r>
          </w:p>
        </w:tc>
        <w:tc>
          <w:tcPr>
            <w:tcW w:w="1350" w:type="dxa"/>
            <w:vAlign w:val="center"/>
          </w:tcPr>
          <w:p w:rsidR="005F7EF1" w:rsidRDefault="00E6254F">
            <w:pPr>
              <w:jc w:val="center"/>
            </w:pPr>
            <w:r>
              <w:rPr>
                <w:rFonts w:eastAsiaTheme="minorEastAsia"/>
                <w:color w:val="000000"/>
                <w:szCs w:val="21"/>
              </w:rPr>
              <w:t>4.13%</w:t>
            </w:r>
          </w:p>
        </w:tc>
        <w:tc>
          <w:tcPr>
            <w:tcW w:w="1350" w:type="dxa"/>
            <w:vAlign w:val="center"/>
          </w:tcPr>
          <w:p w:rsidR="005F7EF1" w:rsidRDefault="00E6254F">
            <w:pPr>
              <w:jc w:val="center"/>
            </w:pPr>
            <w:r>
              <w:rPr>
                <w:rFonts w:eastAsiaTheme="minorEastAsia"/>
                <w:color w:val="000000"/>
                <w:szCs w:val="21"/>
              </w:rPr>
              <w:t>-66.22%</w:t>
            </w:r>
          </w:p>
        </w:tc>
        <w:tc>
          <w:tcPr>
            <w:tcW w:w="1350" w:type="dxa"/>
            <w:vAlign w:val="center"/>
          </w:tcPr>
          <w:p w:rsidR="005F7EF1" w:rsidRDefault="00E6254F">
            <w:pPr>
              <w:jc w:val="center"/>
            </w:pPr>
            <w:r>
              <w:rPr>
                <w:rFonts w:eastAsiaTheme="minorEastAsia"/>
                <w:color w:val="000000"/>
                <w:szCs w:val="21"/>
              </w:rPr>
              <w:t>8.60%</w:t>
            </w:r>
          </w:p>
        </w:tc>
        <w:tc>
          <w:tcPr>
            <w:tcW w:w="1350" w:type="dxa"/>
            <w:vAlign w:val="center"/>
          </w:tcPr>
          <w:p w:rsidR="005F7EF1" w:rsidRDefault="00E6254F">
            <w:pPr>
              <w:jc w:val="center"/>
            </w:pPr>
            <w:r>
              <w:rPr>
                <w:rFonts w:eastAsiaTheme="minorEastAsia"/>
                <w:color w:val="000000"/>
                <w:szCs w:val="21"/>
              </w:rPr>
              <w:t>11.48%</w:t>
            </w:r>
          </w:p>
        </w:tc>
        <w:tc>
          <w:tcPr>
            <w:tcW w:w="1350" w:type="dxa"/>
            <w:vAlign w:val="center"/>
          </w:tcPr>
          <w:p w:rsidR="005F7EF1" w:rsidRDefault="00E6254F">
            <w:pPr>
              <w:jc w:val="center"/>
            </w:pPr>
            <w:r>
              <w:rPr>
                <w:rFonts w:eastAsiaTheme="minorEastAsia"/>
                <w:color w:val="000000"/>
                <w:szCs w:val="21"/>
              </w:rPr>
              <w:t>-4.47%</w:t>
            </w:r>
          </w:p>
        </w:tc>
      </w:tr>
      <w:tr w:rsidR="005F7EF1">
        <w:tc>
          <w:tcPr>
            <w:tcW w:w="1620" w:type="dxa"/>
            <w:vAlign w:val="center"/>
          </w:tcPr>
          <w:p w:rsidR="005F7EF1" w:rsidRDefault="00E6254F">
            <w:pPr>
              <w:jc w:val="left"/>
            </w:pPr>
            <w:r>
              <w:rPr>
                <w:rFonts w:eastAsiaTheme="minorEastAsia"/>
                <w:color w:val="000000"/>
                <w:szCs w:val="21"/>
              </w:rPr>
              <w:t>过去一年</w:t>
            </w:r>
          </w:p>
        </w:tc>
        <w:tc>
          <w:tcPr>
            <w:tcW w:w="1350" w:type="dxa"/>
            <w:vAlign w:val="center"/>
          </w:tcPr>
          <w:p w:rsidR="005F7EF1" w:rsidRDefault="00E6254F">
            <w:pPr>
              <w:jc w:val="center"/>
            </w:pPr>
            <w:r>
              <w:rPr>
                <w:rFonts w:eastAsiaTheme="minorEastAsia"/>
                <w:color w:val="000000"/>
                <w:szCs w:val="21"/>
              </w:rPr>
              <w:t>-51.66%</w:t>
            </w:r>
          </w:p>
        </w:tc>
        <w:tc>
          <w:tcPr>
            <w:tcW w:w="1350" w:type="dxa"/>
            <w:vAlign w:val="center"/>
          </w:tcPr>
          <w:p w:rsidR="005F7EF1" w:rsidRDefault="00E6254F">
            <w:pPr>
              <w:jc w:val="center"/>
            </w:pPr>
            <w:r>
              <w:rPr>
                <w:rFonts w:eastAsiaTheme="minorEastAsia"/>
                <w:color w:val="000000"/>
                <w:szCs w:val="21"/>
              </w:rPr>
              <w:t>3.15%</w:t>
            </w:r>
          </w:p>
        </w:tc>
        <w:tc>
          <w:tcPr>
            <w:tcW w:w="1350" w:type="dxa"/>
            <w:vAlign w:val="center"/>
          </w:tcPr>
          <w:p w:rsidR="005F7EF1" w:rsidRDefault="00E6254F">
            <w:pPr>
              <w:jc w:val="center"/>
            </w:pPr>
            <w:r>
              <w:rPr>
                <w:rFonts w:eastAsiaTheme="minorEastAsia"/>
                <w:color w:val="000000"/>
                <w:szCs w:val="21"/>
              </w:rPr>
              <w:t>-64.13%</w:t>
            </w:r>
          </w:p>
        </w:tc>
        <w:tc>
          <w:tcPr>
            <w:tcW w:w="1350" w:type="dxa"/>
            <w:vAlign w:val="center"/>
          </w:tcPr>
          <w:p w:rsidR="005F7EF1" w:rsidRDefault="00E6254F">
            <w:pPr>
              <w:jc w:val="center"/>
            </w:pPr>
            <w:r>
              <w:rPr>
                <w:rFonts w:eastAsiaTheme="minorEastAsia"/>
                <w:color w:val="000000"/>
                <w:szCs w:val="21"/>
              </w:rPr>
              <w:t>6.24%</w:t>
            </w:r>
          </w:p>
        </w:tc>
        <w:tc>
          <w:tcPr>
            <w:tcW w:w="1350" w:type="dxa"/>
            <w:vAlign w:val="center"/>
          </w:tcPr>
          <w:p w:rsidR="005F7EF1" w:rsidRDefault="00E6254F">
            <w:pPr>
              <w:jc w:val="center"/>
            </w:pPr>
            <w:r>
              <w:rPr>
                <w:rFonts w:eastAsiaTheme="minorEastAsia"/>
                <w:color w:val="000000"/>
                <w:szCs w:val="21"/>
              </w:rPr>
              <w:t>12.47%</w:t>
            </w:r>
          </w:p>
        </w:tc>
        <w:tc>
          <w:tcPr>
            <w:tcW w:w="1350" w:type="dxa"/>
            <w:vAlign w:val="center"/>
          </w:tcPr>
          <w:p w:rsidR="005F7EF1" w:rsidRDefault="00E6254F">
            <w:pPr>
              <w:jc w:val="center"/>
            </w:pPr>
            <w:r>
              <w:rPr>
                <w:rFonts w:eastAsiaTheme="minorEastAsia"/>
                <w:color w:val="000000"/>
                <w:szCs w:val="21"/>
              </w:rPr>
              <w:t>-3.09%</w:t>
            </w:r>
          </w:p>
        </w:tc>
      </w:tr>
      <w:tr w:rsidR="005F7EF1">
        <w:tc>
          <w:tcPr>
            <w:tcW w:w="1620" w:type="dxa"/>
            <w:vAlign w:val="center"/>
          </w:tcPr>
          <w:p w:rsidR="005F7EF1" w:rsidRDefault="00E6254F">
            <w:pPr>
              <w:jc w:val="left"/>
            </w:pPr>
            <w:r>
              <w:rPr>
                <w:rFonts w:eastAsiaTheme="minorEastAsia"/>
                <w:color w:val="000000"/>
                <w:szCs w:val="21"/>
              </w:rPr>
              <w:t>过去三年</w:t>
            </w:r>
          </w:p>
        </w:tc>
        <w:tc>
          <w:tcPr>
            <w:tcW w:w="1350" w:type="dxa"/>
            <w:vAlign w:val="center"/>
          </w:tcPr>
          <w:p w:rsidR="005F7EF1" w:rsidRDefault="00E6254F">
            <w:pPr>
              <w:jc w:val="center"/>
            </w:pPr>
            <w:r>
              <w:rPr>
                <w:rFonts w:eastAsiaTheme="minorEastAsia"/>
                <w:color w:val="000000"/>
                <w:szCs w:val="21"/>
              </w:rPr>
              <w:t>-37.50%</w:t>
            </w:r>
          </w:p>
        </w:tc>
        <w:tc>
          <w:tcPr>
            <w:tcW w:w="1350" w:type="dxa"/>
            <w:vAlign w:val="center"/>
          </w:tcPr>
          <w:p w:rsidR="005F7EF1" w:rsidRDefault="00E6254F">
            <w:pPr>
              <w:jc w:val="center"/>
            </w:pPr>
            <w:r>
              <w:rPr>
                <w:rFonts w:eastAsiaTheme="minorEastAsia"/>
                <w:color w:val="000000"/>
                <w:szCs w:val="21"/>
              </w:rPr>
              <w:t>2.17%</w:t>
            </w:r>
          </w:p>
        </w:tc>
        <w:tc>
          <w:tcPr>
            <w:tcW w:w="1350" w:type="dxa"/>
            <w:vAlign w:val="center"/>
          </w:tcPr>
          <w:p w:rsidR="005F7EF1" w:rsidRDefault="00E6254F">
            <w:pPr>
              <w:jc w:val="center"/>
            </w:pPr>
            <w:r>
              <w:rPr>
                <w:rFonts w:eastAsiaTheme="minorEastAsia"/>
                <w:color w:val="000000"/>
                <w:szCs w:val="21"/>
              </w:rPr>
              <w:t>-54.63%</w:t>
            </w:r>
          </w:p>
        </w:tc>
        <w:tc>
          <w:tcPr>
            <w:tcW w:w="1350" w:type="dxa"/>
            <w:vAlign w:val="center"/>
          </w:tcPr>
          <w:p w:rsidR="005F7EF1" w:rsidRDefault="00E6254F">
            <w:pPr>
              <w:jc w:val="center"/>
            </w:pPr>
            <w:r>
              <w:rPr>
                <w:rFonts w:eastAsiaTheme="minorEastAsia"/>
                <w:color w:val="000000"/>
                <w:szCs w:val="21"/>
              </w:rPr>
              <w:t>3.91%</w:t>
            </w:r>
          </w:p>
        </w:tc>
        <w:tc>
          <w:tcPr>
            <w:tcW w:w="1350" w:type="dxa"/>
            <w:vAlign w:val="center"/>
          </w:tcPr>
          <w:p w:rsidR="005F7EF1" w:rsidRDefault="00E6254F">
            <w:pPr>
              <w:jc w:val="center"/>
            </w:pPr>
            <w:r>
              <w:rPr>
                <w:rFonts w:eastAsiaTheme="minorEastAsia"/>
                <w:color w:val="000000"/>
                <w:szCs w:val="21"/>
              </w:rPr>
              <w:t>17.13%</w:t>
            </w:r>
          </w:p>
        </w:tc>
        <w:tc>
          <w:tcPr>
            <w:tcW w:w="1350" w:type="dxa"/>
            <w:vAlign w:val="center"/>
          </w:tcPr>
          <w:p w:rsidR="005F7EF1" w:rsidRDefault="00E6254F">
            <w:pPr>
              <w:jc w:val="center"/>
            </w:pPr>
            <w:r>
              <w:rPr>
                <w:rFonts w:eastAsiaTheme="minorEastAsia"/>
                <w:color w:val="000000"/>
                <w:szCs w:val="21"/>
              </w:rPr>
              <w:t>-1.74%</w:t>
            </w:r>
          </w:p>
        </w:tc>
      </w:tr>
      <w:tr w:rsidR="005F7EF1">
        <w:tc>
          <w:tcPr>
            <w:tcW w:w="1620" w:type="dxa"/>
            <w:vAlign w:val="center"/>
          </w:tcPr>
          <w:p w:rsidR="005F7EF1" w:rsidRDefault="00E6254F">
            <w:pPr>
              <w:jc w:val="left"/>
            </w:pPr>
            <w:r>
              <w:rPr>
                <w:rFonts w:eastAsiaTheme="minorEastAsia"/>
                <w:color w:val="000000"/>
                <w:szCs w:val="21"/>
              </w:rPr>
              <w:t>自基金合同生效起至今</w:t>
            </w:r>
          </w:p>
        </w:tc>
        <w:tc>
          <w:tcPr>
            <w:tcW w:w="1350" w:type="dxa"/>
            <w:vAlign w:val="center"/>
          </w:tcPr>
          <w:p w:rsidR="005F7EF1" w:rsidRDefault="00E6254F">
            <w:pPr>
              <w:jc w:val="center"/>
            </w:pPr>
            <w:r>
              <w:rPr>
                <w:rFonts w:eastAsiaTheme="minorEastAsia"/>
                <w:color w:val="000000"/>
                <w:szCs w:val="21"/>
              </w:rPr>
              <w:t>-46.59%</w:t>
            </w:r>
          </w:p>
        </w:tc>
        <w:tc>
          <w:tcPr>
            <w:tcW w:w="1350" w:type="dxa"/>
            <w:vAlign w:val="center"/>
          </w:tcPr>
          <w:p w:rsidR="005F7EF1" w:rsidRDefault="00E6254F">
            <w:pPr>
              <w:jc w:val="center"/>
            </w:pPr>
            <w:r>
              <w:rPr>
                <w:rFonts w:eastAsiaTheme="minorEastAsia"/>
                <w:color w:val="000000"/>
                <w:szCs w:val="21"/>
              </w:rPr>
              <w:t>2.03%</w:t>
            </w:r>
          </w:p>
        </w:tc>
        <w:tc>
          <w:tcPr>
            <w:tcW w:w="1350" w:type="dxa"/>
            <w:vAlign w:val="center"/>
          </w:tcPr>
          <w:p w:rsidR="005F7EF1" w:rsidRDefault="00E6254F">
            <w:pPr>
              <w:jc w:val="center"/>
            </w:pPr>
            <w:r>
              <w:rPr>
                <w:rFonts w:eastAsiaTheme="minorEastAsia"/>
                <w:color w:val="000000"/>
                <w:szCs w:val="21"/>
              </w:rPr>
              <w:t>-63.70%</w:t>
            </w:r>
          </w:p>
        </w:tc>
        <w:tc>
          <w:tcPr>
            <w:tcW w:w="1350" w:type="dxa"/>
            <w:vAlign w:val="center"/>
          </w:tcPr>
          <w:p w:rsidR="005F7EF1" w:rsidRDefault="00E6254F">
            <w:pPr>
              <w:jc w:val="center"/>
            </w:pPr>
            <w:r>
              <w:rPr>
                <w:rFonts w:eastAsiaTheme="minorEastAsia"/>
                <w:color w:val="000000"/>
                <w:szCs w:val="21"/>
              </w:rPr>
              <w:t>3.66%</w:t>
            </w:r>
          </w:p>
        </w:tc>
        <w:tc>
          <w:tcPr>
            <w:tcW w:w="1350" w:type="dxa"/>
            <w:vAlign w:val="center"/>
          </w:tcPr>
          <w:p w:rsidR="005F7EF1" w:rsidRDefault="00E6254F">
            <w:pPr>
              <w:jc w:val="center"/>
            </w:pPr>
            <w:r>
              <w:rPr>
                <w:rFonts w:eastAsiaTheme="minorEastAsia"/>
                <w:color w:val="000000"/>
                <w:szCs w:val="21"/>
              </w:rPr>
              <w:t>17.11%</w:t>
            </w:r>
          </w:p>
        </w:tc>
        <w:tc>
          <w:tcPr>
            <w:tcW w:w="1350" w:type="dxa"/>
            <w:vAlign w:val="center"/>
          </w:tcPr>
          <w:p w:rsidR="005F7EF1" w:rsidRDefault="00E6254F">
            <w:pPr>
              <w:jc w:val="center"/>
            </w:pPr>
            <w:r>
              <w:rPr>
                <w:rFonts w:eastAsiaTheme="minorEastAsia"/>
                <w:color w:val="000000"/>
                <w:szCs w:val="21"/>
              </w:rPr>
              <w:t>-1.63%</w:t>
            </w:r>
          </w:p>
        </w:tc>
      </w:tr>
    </w:tbl>
    <w:p w:rsidR="00FC6E91" w:rsidRPr="00C24ACA" w:rsidRDefault="00FC6E91" w:rsidP="00FC6E91">
      <w:pPr>
        <w:pStyle w:val="21"/>
        <w:spacing w:line="288"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易方达原油（</w:t>
      </w:r>
      <w:r w:rsidRPr="00C24ACA">
        <w:rPr>
          <w:rFonts w:ascii="Times New Roman" w:eastAsiaTheme="minorEastAsia" w:hAnsi="Times New Roman"/>
          <w:color w:val="auto"/>
          <w:sz w:val="21"/>
          <w:szCs w:val="21"/>
        </w:rPr>
        <w:t>QDII-LOF-FOF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5F7EF1">
        <w:tc>
          <w:tcPr>
            <w:tcW w:w="1620" w:type="dxa"/>
            <w:vAlign w:val="center"/>
          </w:tcPr>
          <w:p w:rsidR="005F7EF1" w:rsidRDefault="00E6254F">
            <w:pPr>
              <w:jc w:val="left"/>
            </w:pPr>
            <w:r>
              <w:rPr>
                <w:rFonts w:eastAsiaTheme="minorEastAsia"/>
                <w:color w:val="000000"/>
                <w:szCs w:val="21"/>
              </w:rPr>
              <w:t>过去一个月</w:t>
            </w:r>
          </w:p>
        </w:tc>
        <w:tc>
          <w:tcPr>
            <w:tcW w:w="1350" w:type="dxa"/>
            <w:vAlign w:val="center"/>
          </w:tcPr>
          <w:p w:rsidR="005F7EF1" w:rsidRDefault="00E6254F">
            <w:pPr>
              <w:jc w:val="center"/>
            </w:pPr>
            <w:r>
              <w:rPr>
                <w:rFonts w:eastAsiaTheme="minorEastAsia"/>
                <w:color w:val="000000"/>
                <w:szCs w:val="21"/>
              </w:rPr>
              <w:t>9.91%</w:t>
            </w:r>
          </w:p>
        </w:tc>
        <w:tc>
          <w:tcPr>
            <w:tcW w:w="1350" w:type="dxa"/>
            <w:vAlign w:val="center"/>
          </w:tcPr>
          <w:p w:rsidR="005F7EF1" w:rsidRDefault="00E6254F">
            <w:pPr>
              <w:jc w:val="center"/>
            </w:pPr>
            <w:r>
              <w:rPr>
                <w:rFonts w:eastAsiaTheme="minorEastAsia"/>
                <w:color w:val="000000"/>
                <w:szCs w:val="21"/>
              </w:rPr>
              <w:t>2.16%</w:t>
            </w:r>
          </w:p>
        </w:tc>
        <w:tc>
          <w:tcPr>
            <w:tcW w:w="1350" w:type="dxa"/>
            <w:vAlign w:val="center"/>
          </w:tcPr>
          <w:p w:rsidR="005F7EF1" w:rsidRDefault="00E6254F">
            <w:pPr>
              <w:jc w:val="center"/>
            </w:pPr>
            <w:r>
              <w:rPr>
                <w:rFonts w:eastAsiaTheme="minorEastAsia"/>
                <w:color w:val="000000"/>
                <w:szCs w:val="21"/>
              </w:rPr>
              <w:t>8.77%</w:t>
            </w:r>
          </w:p>
        </w:tc>
        <w:tc>
          <w:tcPr>
            <w:tcW w:w="1350" w:type="dxa"/>
            <w:vAlign w:val="center"/>
          </w:tcPr>
          <w:p w:rsidR="005F7EF1" w:rsidRDefault="00E6254F">
            <w:pPr>
              <w:jc w:val="center"/>
            </w:pPr>
            <w:r>
              <w:rPr>
                <w:rFonts w:eastAsiaTheme="minorEastAsia"/>
                <w:color w:val="000000"/>
                <w:szCs w:val="21"/>
              </w:rPr>
              <w:t>3.37%</w:t>
            </w:r>
          </w:p>
        </w:tc>
        <w:tc>
          <w:tcPr>
            <w:tcW w:w="1350" w:type="dxa"/>
            <w:vAlign w:val="center"/>
          </w:tcPr>
          <w:p w:rsidR="005F7EF1" w:rsidRDefault="00E6254F">
            <w:pPr>
              <w:jc w:val="center"/>
            </w:pPr>
            <w:r>
              <w:rPr>
                <w:rFonts w:eastAsiaTheme="minorEastAsia"/>
                <w:color w:val="000000"/>
                <w:szCs w:val="21"/>
              </w:rPr>
              <w:t>1.14%</w:t>
            </w:r>
          </w:p>
        </w:tc>
        <w:tc>
          <w:tcPr>
            <w:tcW w:w="1350" w:type="dxa"/>
            <w:vAlign w:val="center"/>
          </w:tcPr>
          <w:p w:rsidR="005F7EF1" w:rsidRDefault="00E6254F">
            <w:pPr>
              <w:jc w:val="center"/>
            </w:pPr>
            <w:r>
              <w:rPr>
                <w:rFonts w:eastAsiaTheme="minorEastAsia"/>
                <w:color w:val="000000"/>
                <w:szCs w:val="21"/>
              </w:rPr>
              <w:t>-1.21%</w:t>
            </w:r>
          </w:p>
        </w:tc>
      </w:tr>
      <w:tr w:rsidR="005F7EF1">
        <w:tc>
          <w:tcPr>
            <w:tcW w:w="1620" w:type="dxa"/>
            <w:vAlign w:val="center"/>
          </w:tcPr>
          <w:p w:rsidR="005F7EF1" w:rsidRDefault="00E6254F">
            <w:pPr>
              <w:jc w:val="left"/>
            </w:pPr>
            <w:r>
              <w:rPr>
                <w:rFonts w:eastAsiaTheme="minorEastAsia"/>
                <w:color w:val="000000"/>
                <w:szCs w:val="21"/>
              </w:rPr>
              <w:t>过去三个月</w:t>
            </w:r>
          </w:p>
        </w:tc>
        <w:tc>
          <w:tcPr>
            <w:tcW w:w="1350" w:type="dxa"/>
            <w:vAlign w:val="center"/>
          </w:tcPr>
          <w:p w:rsidR="005F7EF1" w:rsidRDefault="00E6254F">
            <w:pPr>
              <w:jc w:val="center"/>
            </w:pPr>
            <w:r>
              <w:rPr>
                <w:rFonts w:eastAsiaTheme="minorEastAsia"/>
                <w:color w:val="000000"/>
                <w:szCs w:val="21"/>
              </w:rPr>
              <w:t>5.10%</w:t>
            </w:r>
          </w:p>
        </w:tc>
        <w:tc>
          <w:tcPr>
            <w:tcW w:w="1350" w:type="dxa"/>
            <w:vAlign w:val="center"/>
          </w:tcPr>
          <w:p w:rsidR="005F7EF1" w:rsidRDefault="00E6254F">
            <w:pPr>
              <w:jc w:val="center"/>
            </w:pPr>
            <w:r>
              <w:rPr>
                <w:rFonts w:eastAsiaTheme="minorEastAsia"/>
                <w:color w:val="000000"/>
                <w:szCs w:val="21"/>
              </w:rPr>
              <w:t>4.41%</w:t>
            </w:r>
          </w:p>
        </w:tc>
        <w:tc>
          <w:tcPr>
            <w:tcW w:w="1350" w:type="dxa"/>
            <w:vAlign w:val="center"/>
          </w:tcPr>
          <w:p w:rsidR="005F7EF1" w:rsidRDefault="00E6254F">
            <w:pPr>
              <w:jc w:val="center"/>
            </w:pPr>
            <w:r>
              <w:rPr>
                <w:rFonts w:eastAsiaTheme="minorEastAsia"/>
                <w:color w:val="000000"/>
                <w:szCs w:val="21"/>
              </w:rPr>
              <w:t>0.63%</w:t>
            </w:r>
          </w:p>
        </w:tc>
        <w:tc>
          <w:tcPr>
            <w:tcW w:w="1350" w:type="dxa"/>
            <w:vAlign w:val="center"/>
          </w:tcPr>
          <w:p w:rsidR="005F7EF1" w:rsidRDefault="00E6254F">
            <w:pPr>
              <w:jc w:val="center"/>
            </w:pPr>
            <w:r>
              <w:rPr>
                <w:rFonts w:eastAsiaTheme="minorEastAsia"/>
                <w:color w:val="000000"/>
                <w:szCs w:val="21"/>
              </w:rPr>
              <w:t>10.08%</w:t>
            </w:r>
          </w:p>
        </w:tc>
        <w:tc>
          <w:tcPr>
            <w:tcW w:w="1350" w:type="dxa"/>
            <w:vAlign w:val="center"/>
          </w:tcPr>
          <w:p w:rsidR="005F7EF1" w:rsidRDefault="00E6254F">
            <w:pPr>
              <w:jc w:val="center"/>
            </w:pPr>
            <w:r>
              <w:rPr>
                <w:rFonts w:eastAsiaTheme="minorEastAsia"/>
                <w:color w:val="000000"/>
                <w:szCs w:val="21"/>
              </w:rPr>
              <w:t>4.47%</w:t>
            </w:r>
          </w:p>
        </w:tc>
        <w:tc>
          <w:tcPr>
            <w:tcW w:w="1350" w:type="dxa"/>
            <w:vAlign w:val="center"/>
          </w:tcPr>
          <w:p w:rsidR="005F7EF1" w:rsidRDefault="00E6254F">
            <w:pPr>
              <w:jc w:val="center"/>
            </w:pPr>
            <w:r>
              <w:rPr>
                <w:rFonts w:eastAsiaTheme="minorEastAsia"/>
                <w:color w:val="000000"/>
                <w:szCs w:val="21"/>
              </w:rPr>
              <w:t>-5.67%</w:t>
            </w:r>
          </w:p>
        </w:tc>
      </w:tr>
      <w:tr w:rsidR="005F7EF1">
        <w:tc>
          <w:tcPr>
            <w:tcW w:w="1620" w:type="dxa"/>
            <w:vAlign w:val="center"/>
          </w:tcPr>
          <w:p w:rsidR="005F7EF1" w:rsidRDefault="00E6254F">
            <w:pPr>
              <w:jc w:val="left"/>
            </w:pPr>
            <w:r>
              <w:rPr>
                <w:rFonts w:eastAsiaTheme="minorEastAsia"/>
                <w:color w:val="000000"/>
                <w:szCs w:val="21"/>
              </w:rPr>
              <w:t>过去六个月</w:t>
            </w:r>
          </w:p>
        </w:tc>
        <w:tc>
          <w:tcPr>
            <w:tcW w:w="1350" w:type="dxa"/>
            <w:vAlign w:val="center"/>
          </w:tcPr>
          <w:p w:rsidR="005F7EF1" w:rsidRDefault="00E6254F">
            <w:pPr>
              <w:jc w:val="center"/>
            </w:pPr>
            <w:r>
              <w:rPr>
                <w:rFonts w:eastAsiaTheme="minorEastAsia"/>
                <w:color w:val="000000"/>
                <w:szCs w:val="21"/>
              </w:rPr>
              <w:t>-55.26%</w:t>
            </w:r>
          </w:p>
        </w:tc>
        <w:tc>
          <w:tcPr>
            <w:tcW w:w="1350" w:type="dxa"/>
            <w:vAlign w:val="center"/>
          </w:tcPr>
          <w:p w:rsidR="005F7EF1" w:rsidRDefault="00E6254F">
            <w:pPr>
              <w:jc w:val="center"/>
            </w:pPr>
            <w:r>
              <w:rPr>
                <w:rFonts w:eastAsiaTheme="minorEastAsia"/>
                <w:color w:val="000000"/>
                <w:szCs w:val="21"/>
              </w:rPr>
              <w:t>4.15%</w:t>
            </w:r>
          </w:p>
        </w:tc>
        <w:tc>
          <w:tcPr>
            <w:tcW w:w="1350" w:type="dxa"/>
            <w:vAlign w:val="center"/>
          </w:tcPr>
          <w:p w:rsidR="005F7EF1" w:rsidRDefault="00E6254F">
            <w:pPr>
              <w:jc w:val="center"/>
            </w:pPr>
            <w:r>
              <w:rPr>
                <w:rFonts w:eastAsiaTheme="minorEastAsia"/>
                <w:color w:val="000000"/>
                <w:szCs w:val="21"/>
              </w:rPr>
              <w:t>-66.22%</w:t>
            </w:r>
          </w:p>
        </w:tc>
        <w:tc>
          <w:tcPr>
            <w:tcW w:w="1350" w:type="dxa"/>
            <w:vAlign w:val="center"/>
          </w:tcPr>
          <w:p w:rsidR="005F7EF1" w:rsidRDefault="00E6254F">
            <w:pPr>
              <w:jc w:val="center"/>
            </w:pPr>
            <w:r>
              <w:rPr>
                <w:rFonts w:eastAsiaTheme="minorEastAsia"/>
                <w:color w:val="000000"/>
                <w:szCs w:val="21"/>
              </w:rPr>
              <w:t>8.60%</w:t>
            </w:r>
          </w:p>
        </w:tc>
        <w:tc>
          <w:tcPr>
            <w:tcW w:w="1350" w:type="dxa"/>
            <w:vAlign w:val="center"/>
          </w:tcPr>
          <w:p w:rsidR="005F7EF1" w:rsidRDefault="00E6254F">
            <w:pPr>
              <w:jc w:val="center"/>
            </w:pPr>
            <w:r>
              <w:rPr>
                <w:rFonts w:eastAsiaTheme="minorEastAsia"/>
                <w:color w:val="000000"/>
                <w:szCs w:val="21"/>
              </w:rPr>
              <w:t>10.96%</w:t>
            </w:r>
          </w:p>
        </w:tc>
        <w:tc>
          <w:tcPr>
            <w:tcW w:w="1350" w:type="dxa"/>
            <w:vAlign w:val="center"/>
          </w:tcPr>
          <w:p w:rsidR="005F7EF1" w:rsidRDefault="00E6254F">
            <w:pPr>
              <w:jc w:val="center"/>
            </w:pPr>
            <w:r>
              <w:rPr>
                <w:rFonts w:eastAsiaTheme="minorEastAsia"/>
                <w:color w:val="000000"/>
                <w:szCs w:val="21"/>
              </w:rPr>
              <w:t>-4.45%</w:t>
            </w:r>
          </w:p>
        </w:tc>
      </w:tr>
      <w:tr w:rsidR="005F7EF1">
        <w:tc>
          <w:tcPr>
            <w:tcW w:w="1620" w:type="dxa"/>
            <w:vAlign w:val="center"/>
          </w:tcPr>
          <w:p w:rsidR="005F7EF1" w:rsidRDefault="00E6254F">
            <w:pPr>
              <w:jc w:val="left"/>
            </w:pPr>
            <w:r>
              <w:rPr>
                <w:rFonts w:eastAsiaTheme="minorEastAsia"/>
                <w:color w:val="000000"/>
                <w:szCs w:val="21"/>
              </w:rPr>
              <w:t>过去一年</w:t>
            </w:r>
          </w:p>
        </w:tc>
        <w:tc>
          <w:tcPr>
            <w:tcW w:w="1350" w:type="dxa"/>
            <w:vAlign w:val="center"/>
          </w:tcPr>
          <w:p w:rsidR="005F7EF1" w:rsidRDefault="00E6254F">
            <w:pPr>
              <w:jc w:val="center"/>
            </w:pPr>
            <w:r>
              <w:rPr>
                <w:rFonts w:eastAsiaTheme="minorEastAsia"/>
                <w:color w:val="000000"/>
                <w:szCs w:val="21"/>
              </w:rPr>
              <w:t>-52.30%</w:t>
            </w:r>
          </w:p>
        </w:tc>
        <w:tc>
          <w:tcPr>
            <w:tcW w:w="1350" w:type="dxa"/>
            <w:vAlign w:val="center"/>
          </w:tcPr>
          <w:p w:rsidR="005F7EF1" w:rsidRDefault="00E6254F">
            <w:pPr>
              <w:jc w:val="center"/>
            </w:pPr>
            <w:r>
              <w:rPr>
                <w:rFonts w:eastAsiaTheme="minorEastAsia"/>
                <w:color w:val="000000"/>
                <w:szCs w:val="21"/>
              </w:rPr>
              <w:t>3.16%</w:t>
            </w:r>
          </w:p>
        </w:tc>
        <w:tc>
          <w:tcPr>
            <w:tcW w:w="1350" w:type="dxa"/>
            <w:vAlign w:val="center"/>
          </w:tcPr>
          <w:p w:rsidR="005F7EF1" w:rsidRDefault="00E6254F">
            <w:pPr>
              <w:jc w:val="center"/>
            </w:pPr>
            <w:r>
              <w:rPr>
                <w:rFonts w:eastAsiaTheme="minorEastAsia"/>
                <w:color w:val="000000"/>
                <w:szCs w:val="21"/>
              </w:rPr>
              <w:t>-64.13%</w:t>
            </w:r>
          </w:p>
        </w:tc>
        <w:tc>
          <w:tcPr>
            <w:tcW w:w="1350" w:type="dxa"/>
            <w:vAlign w:val="center"/>
          </w:tcPr>
          <w:p w:rsidR="005F7EF1" w:rsidRDefault="00E6254F">
            <w:pPr>
              <w:jc w:val="center"/>
            </w:pPr>
            <w:r>
              <w:rPr>
                <w:rFonts w:eastAsiaTheme="minorEastAsia"/>
                <w:color w:val="000000"/>
                <w:szCs w:val="21"/>
              </w:rPr>
              <w:t>6.24%</w:t>
            </w:r>
          </w:p>
        </w:tc>
        <w:tc>
          <w:tcPr>
            <w:tcW w:w="1350" w:type="dxa"/>
            <w:vAlign w:val="center"/>
          </w:tcPr>
          <w:p w:rsidR="005F7EF1" w:rsidRDefault="00E6254F">
            <w:pPr>
              <w:jc w:val="center"/>
            </w:pPr>
            <w:r>
              <w:rPr>
                <w:rFonts w:eastAsiaTheme="minorEastAsia"/>
                <w:color w:val="000000"/>
                <w:szCs w:val="21"/>
              </w:rPr>
              <w:t>11.83%</w:t>
            </w:r>
          </w:p>
        </w:tc>
        <w:tc>
          <w:tcPr>
            <w:tcW w:w="1350" w:type="dxa"/>
            <w:vAlign w:val="center"/>
          </w:tcPr>
          <w:p w:rsidR="005F7EF1" w:rsidRDefault="00E6254F">
            <w:pPr>
              <w:jc w:val="center"/>
            </w:pPr>
            <w:r>
              <w:rPr>
                <w:rFonts w:eastAsiaTheme="minorEastAsia"/>
                <w:color w:val="000000"/>
                <w:szCs w:val="21"/>
              </w:rPr>
              <w:t>-3.08%</w:t>
            </w:r>
          </w:p>
        </w:tc>
      </w:tr>
      <w:tr w:rsidR="005F7EF1">
        <w:tc>
          <w:tcPr>
            <w:tcW w:w="1620" w:type="dxa"/>
            <w:vAlign w:val="center"/>
          </w:tcPr>
          <w:p w:rsidR="005F7EF1" w:rsidRDefault="00E6254F">
            <w:pPr>
              <w:jc w:val="left"/>
            </w:pPr>
            <w:r>
              <w:rPr>
                <w:rFonts w:eastAsiaTheme="minorEastAsia"/>
                <w:color w:val="000000"/>
                <w:szCs w:val="21"/>
              </w:rPr>
              <w:t>过去三年</w:t>
            </w:r>
          </w:p>
        </w:tc>
        <w:tc>
          <w:tcPr>
            <w:tcW w:w="1350" w:type="dxa"/>
            <w:vAlign w:val="center"/>
          </w:tcPr>
          <w:p w:rsidR="005F7EF1" w:rsidRDefault="00E6254F">
            <w:pPr>
              <w:jc w:val="center"/>
            </w:pPr>
            <w:r>
              <w:rPr>
                <w:rFonts w:eastAsiaTheme="minorEastAsia"/>
                <w:color w:val="000000"/>
                <w:szCs w:val="21"/>
              </w:rPr>
              <w:t>-38.87%</w:t>
            </w:r>
          </w:p>
        </w:tc>
        <w:tc>
          <w:tcPr>
            <w:tcW w:w="1350" w:type="dxa"/>
            <w:vAlign w:val="center"/>
          </w:tcPr>
          <w:p w:rsidR="005F7EF1" w:rsidRDefault="00E6254F">
            <w:pPr>
              <w:jc w:val="center"/>
            </w:pPr>
            <w:r>
              <w:rPr>
                <w:rFonts w:eastAsiaTheme="minorEastAsia"/>
                <w:color w:val="000000"/>
                <w:szCs w:val="21"/>
              </w:rPr>
              <w:t>2.17%</w:t>
            </w:r>
          </w:p>
        </w:tc>
        <w:tc>
          <w:tcPr>
            <w:tcW w:w="1350" w:type="dxa"/>
            <w:vAlign w:val="center"/>
          </w:tcPr>
          <w:p w:rsidR="005F7EF1" w:rsidRDefault="00E6254F">
            <w:pPr>
              <w:jc w:val="center"/>
            </w:pPr>
            <w:r>
              <w:rPr>
                <w:rFonts w:eastAsiaTheme="minorEastAsia"/>
                <w:color w:val="000000"/>
                <w:szCs w:val="21"/>
              </w:rPr>
              <w:t>-54.63%</w:t>
            </w:r>
          </w:p>
        </w:tc>
        <w:tc>
          <w:tcPr>
            <w:tcW w:w="1350" w:type="dxa"/>
            <w:vAlign w:val="center"/>
          </w:tcPr>
          <w:p w:rsidR="005F7EF1" w:rsidRDefault="00E6254F">
            <w:pPr>
              <w:jc w:val="center"/>
            </w:pPr>
            <w:r>
              <w:rPr>
                <w:rFonts w:eastAsiaTheme="minorEastAsia"/>
                <w:color w:val="000000"/>
                <w:szCs w:val="21"/>
              </w:rPr>
              <w:t>3.91%</w:t>
            </w:r>
          </w:p>
        </w:tc>
        <w:tc>
          <w:tcPr>
            <w:tcW w:w="1350" w:type="dxa"/>
            <w:vAlign w:val="center"/>
          </w:tcPr>
          <w:p w:rsidR="005F7EF1" w:rsidRDefault="00E6254F">
            <w:pPr>
              <w:jc w:val="center"/>
            </w:pPr>
            <w:r>
              <w:rPr>
                <w:rFonts w:eastAsiaTheme="minorEastAsia"/>
                <w:color w:val="000000"/>
                <w:szCs w:val="21"/>
              </w:rPr>
              <w:t>15.76%</w:t>
            </w:r>
          </w:p>
        </w:tc>
        <w:tc>
          <w:tcPr>
            <w:tcW w:w="1350" w:type="dxa"/>
            <w:vAlign w:val="center"/>
          </w:tcPr>
          <w:p w:rsidR="005F7EF1" w:rsidRDefault="00E6254F">
            <w:pPr>
              <w:jc w:val="center"/>
            </w:pPr>
            <w:r>
              <w:rPr>
                <w:rFonts w:eastAsiaTheme="minorEastAsia"/>
                <w:color w:val="000000"/>
                <w:szCs w:val="21"/>
              </w:rPr>
              <w:t>-1.74%</w:t>
            </w:r>
          </w:p>
        </w:tc>
      </w:tr>
      <w:tr w:rsidR="005F7EF1">
        <w:tc>
          <w:tcPr>
            <w:tcW w:w="1620" w:type="dxa"/>
            <w:vAlign w:val="center"/>
          </w:tcPr>
          <w:p w:rsidR="005F7EF1" w:rsidRDefault="00E6254F">
            <w:pPr>
              <w:jc w:val="left"/>
            </w:pPr>
            <w:r>
              <w:rPr>
                <w:rFonts w:eastAsiaTheme="minorEastAsia"/>
                <w:color w:val="000000"/>
                <w:szCs w:val="21"/>
              </w:rPr>
              <w:t>自基金合同生效起至今</w:t>
            </w:r>
          </w:p>
        </w:tc>
        <w:tc>
          <w:tcPr>
            <w:tcW w:w="1350" w:type="dxa"/>
            <w:vAlign w:val="center"/>
          </w:tcPr>
          <w:p w:rsidR="005F7EF1" w:rsidRDefault="00E6254F">
            <w:pPr>
              <w:jc w:val="center"/>
            </w:pPr>
            <w:r>
              <w:rPr>
                <w:rFonts w:eastAsiaTheme="minorEastAsia"/>
                <w:color w:val="000000"/>
                <w:szCs w:val="21"/>
              </w:rPr>
              <w:t>-47.87%</w:t>
            </w:r>
          </w:p>
        </w:tc>
        <w:tc>
          <w:tcPr>
            <w:tcW w:w="1350" w:type="dxa"/>
            <w:vAlign w:val="center"/>
          </w:tcPr>
          <w:p w:rsidR="005F7EF1" w:rsidRDefault="00E6254F">
            <w:pPr>
              <w:jc w:val="center"/>
            </w:pPr>
            <w:r>
              <w:rPr>
                <w:rFonts w:eastAsiaTheme="minorEastAsia"/>
                <w:color w:val="000000"/>
                <w:szCs w:val="21"/>
              </w:rPr>
              <w:t>2.04%</w:t>
            </w:r>
          </w:p>
        </w:tc>
        <w:tc>
          <w:tcPr>
            <w:tcW w:w="1350" w:type="dxa"/>
            <w:vAlign w:val="center"/>
          </w:tcPr>
          <w:p w:rsidR="005F7EF1" w:rsidRDefault="00E6254F">
            <w:pPr>
              <w:jc w:val="center"/>
            </w:pPr>
            <w:r>
              <w:rPr>
                <w:rFonts w:eastAsiaTheme="minorEastAsia"/>
                <w:color w:val="000000"/>
                <w:szCs w:val="21"/>
              </w:rPr>
              <w:t>-63.70%</w:t>
            </w:r>
          </w:p>
        </w:tc>
        <w:tc>
          <w:tcPr>
            <w:tcW w:w="1350" w:type="dxa"/>
            <w:vAlign w:val="center"/>
          </w:tcPr>
          <w:p w:rsidR="005F7EF1" w:rsidRDefault="00E6254F">
            <w:pPr>
              <w:jc w:val="center"/>
            </w:pPr>
            <w:r>
              <w:rPr>
                <w:rFonts w:eastAsiaTheme="minorEastAsia"/>
                <w:color w:val="000000"/>
                <w:szCs w:val="21"/>
              </w:rPr>
              <w:t>3.66%</w:t>
            </w:r>
          </w:p>
        </w:tc>
        <w:tc>
          <w:tcPr>
            <w:tcW w:w="1350" w:type="dxa"/>
            <w:vAlign w:val="center"/>
          </w:tcPr>
          <w:p w:rsidR="005F7EF1" w:rsidRDefault="00E6254F">
            <w:pPr>
              <w:jc w:val="center"/>
            </w:pPr>
            <w:r>
              <w:rPr>
                <w:rFonts w:eastAsiaTheme="minorEastAsia"/>
                <w:color w:val="000000"/>
                <w:szCs w:val="21"/>
              </w:rPr>
              <w:t>15.83%</w:t>
            </w:r>
          </w:p>
        </w:tc>
        <w:tc>
          <w:tcPr>
            <w:tcW w:w="1350" w:type="dxa"/>
            <w:vAlign w:val="center"/>
          </w:tcPr>
          <w:p w:rsidR="005F7EF1" w:rsidRDefault="00E6254F">
            <w:pPr>
              <w:jc w:val="center"/>
            </w:pPr>
            <w:r>
              <w:rPr>
                <w:rFonts w:eastAsiaTheme="minorEastAsia"/>
                <w:color w:val="000000"/>
                <w:szCs w:val="21"/>
              </w:rPr>
              <w:t>-1.62%</w:t>
            </w:r>
          </w:p>
        </w:tc>
      </w:tr>
    </w:tbl>
    <w:p w:rsidR="00FC6E91" w:rsidRPr="00C24ACA" w:rsidRDefault="00FC6E91" w:rsidP="00732F5C">
      <w:pPr>
        <w:spacing w:beforeLines="100" w:before="312" w:line="360" w:lineRule="auto"/>
        <w:rPr>
          <w:rFonts w:eastAsiaTheme="minorEastAsia"/>
          <w:b/>
          <w:kern w:val="0"/>
          <w:szCs w:val="21"/>
        </w:rPr>
      </w:pPr>
      <w:r w:rsidRPr="00C24ACA">
        <w:rPr>
          <w:rFonts w:eastAsiaTheme="minorEastAsia"/>
          <w:b/>
          <w:kern w:val="0"/>
          <w:szCs w:val="21"/>
        </w:rPr>
        <w:t>3.2.2</w:t>
      </w:r>
      <w:r w:rsidRPr="00C24ACA">
        <w:rPr>
          <w:rStyle w:val="af8"/>
          <w:rFonts w:eastAsiaTheme="minorEastAsia"/>
          <w:color w:val="000000"/>
          <w:szCs w:val="21"/>
          <w:shd w:val="clear" w:color="auto" w:fill="FFFFFF"/>
        </w:rPr>
        <w:t>自基金合同生效以来</w:t>
      </w:r>
      <w:r w:rsidRPr="00C24ACA">
        <w:rPr>
          <w:rFonts w:eastAsiaTheme="minorEastAsia"/>
          <w:b/>
          <w:kern w:val="0"/>
          <w:szCs w:val="21"/>
        </w:rPr>
        <w:t>基金份额累计净值增长率变动及其与同期业绩比较基准收益率变动的比较</w:t>
      </w:r>
    </w:p>
    <w:p w:rsidR="001A19C2" w:rsidRDefault="001A19C2" w:rsidP="00E039F9">
      <w:pPr>
        <w:spacing w:line="360" w:lineRule="auto"/>
        <w:ind w:firstLine="420"/>
        <w:jc w:val="center"/>
        <w:rPr>
          <w:rFonts w:eastAsiaTheme="minorEastAsia"/>
          <w:color w:val="000000"/>
          <w:kern w:val="0"/>
          <w:szCs w:val="21"/>
        </w:rPr>
      </w:pPr>
      <w:r w:rsidRPr="00D749D4">
        <w:rPr>
          <w:color w:val="000000"/>
          <w:szCs w:val="21"/>
        </w:rPr>
        <w:t>易方达原油证券投资基金（</w:t>
      </w:r>
      <w:r w:rsidRPr="00D749D4">
        <w:rPr>
          <w:color w:val="000000"/>
          <w:szCs w:val="21"/>
        </w:rPr>
        <w:t>QDII</w:t>
      </w:r>
      <w:r w:rsidRPr="00D749D4">
        <w:rPr>
          <w:color w:val="000000"/>
          <w:szCs w:val="21"/>
        </w:rPr>
        <w:t>）</w:t>
      </w:r>
    </w:p>
    <w:p w:rsidR="00301185" w:rsidRDefault="001A19C2" w:rsidP="00301185">
      <w:pPr>
        <w:pStyle w:val="a6"/>
        <w:snapToGrid w:val="0"/>
        <w:spacing w:line="360" w:lineRule="auto"/>
        <w:jc w:val="center"/>
        <w:rPr>
          <w:rFonts w:ascii="Times New Roman" w:eastAsiaTheme="minorEastAsia" w:hAnsi="Times New Roman"/>
          <w:color w:val="000000" w:themeColor="text1"/>
          <w:sz w:val="24"/>
          <w:szCs w:val="24"/>
        </w:rPr>
      </w:pPr>
      <w:r w:rsidRPr="00D749D4">
        <w:rPr>
          <w:rFonts w:hint="eastAsia"/>
          <w:color w:val="000000"/>
        </w:rPr>
        <w:t>份额累计净值增长率与业绩比较基准收益率历史走势对比图</w:t>
      </w:r>
    </w:p>
    <w:p w:rsidR="00E039F9" w:rsidRPr="00576423" w:rsidRDefault="00301185" w:rsidP="00301185">
      <w:pPr>
        <w:spacing w:line="360" w:lineRule="auto"/>
        <w:jc w:val="center"/>
        <w:rPr>
          <w:rFonts w:eastAsiaTheme="minorEastAsia"/>
          <w:color w:val="000000"/>
          <w:szCs w:val="21"/>
        </w:rPr>
      </w:pPr>
      <w:r w:rsidRPr="00576423">
        <w:rPr>
          <w:szCs w:val="21"/>
        </w:rPr>
        <w:t>（</w:t>
      </w:r>
      <w:r w:rsidRPr="00576423">
        <w:rPr>
          <w:szCs w:val="21"/>
        </w:rPr>
        <w:t>2016</w:t>
      </w:r>
      <w:r w:rsidRPr="00576423">
        <w:rPr>
          <w:szCs w:val="21"/>
        </w:rPr>
        <w:t>年</w:t>
      </w:r>
      <w:r w:rsidRPr="00576423">
        <w:rPr>
          <w:szCs w:val="21"/>
        </w:rPr>
        <w:t>12</w:t>
      </w:r>
      <w:r w:rsidRPr="00576423">
        <w:rPr>
          <w:szCs w:val="21"/>
        </w:rPr>
        <w:t>月</w:t>
      </w:r>
      <w:r w:rsidRPr="00576423">
        <w:rPr>
          <w:szCs w:val="21"/>
        </w:rPr>
        <w:t>19</w:t>
      </w:r>
      <w:r w:rsidRPr="00576423">
        <w:rPr>
          <w:szCs w:val="21"/>
        </w:rPr>
        <w:t>日至</w:t>
      </w:r>
      <w:r w:rsidRPr="00576423">
        <w:rPr>
          <w:szCs w:val="21"/>
        </w:rPr>
        <w:t>2020</w:t>
      </w:r>
      <w:r w:rsidRPr="00576423">
        <w:rPr>
          <w:szCs w:val="21"/>
        </w:rPr>
        <w:t>年</w:t>
      </w:r>
      <w:r w:rsidRPr="00576423">
        <w:rPr>
          <w:szCs w:val="21"/>
        </w:rPr>
        <w:t>6</w:t>
      </w:r>
      <w:r w:rsidRPr="00576423">
        <w:rPr>
          <w:szCs w:val="21"/>
        </w:rPr>
        <w:t>月</w:t>
      </w:r>
      <w:r w:rsidRPr="00576423">
        <w:rPr>
          <w:szCs w:val="21"/>
        </w:rPr>
        <w:t>30</w:t>
      </w:r>
      <w:r w:rsidRPr="00576423">
        <w:rPr>
          <w:szCs w:val="21"/>
        </w:rPr>
        <w:t>日）</w:t>
      </w:r>
    </w:p>
    <w:p w:rsidR="00301185" w:rsidRDefault="00A34426"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易方达原油（</w:t>
      </w:r>
      <w:r w:rsidRPr="00C24ACA">
        <w:rPr>
          <w:rFonts w:ascii="Times New Roman" w:eastAsiaTheme="minorEastAsia" w:hAnsi="Times New Roman"/>
          <w:color w:val="auto"/>
          <w:sz w:val="21"/>
          <w:szCs w:val="21"/>
        </w:rPr>
        <w:t>QDII-LOF-FOF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p w:rsidR="00A34426" w:rsidRPr="00C24ACA" w:rsidRDefault="00A34426" w:rsidP="00E039F9">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301185" w:rsidRDefault="000902FA"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易方达原油（</w:t>
      </w:r>
      <w:r w:rsidRPr="00C24ACA">
        <w:rPr>
          <w:rFonts w:ascii="Times New Roman" w:eastAsiaTheme="minorEastAsia" w:hAnsi="Times New Roman"/>
          <w:color w:val="auto"/>
          <w:sz w:val="21"/>
          <w:szCs w:val="21"/>
        </w:rPr>
        <w:t>QDII-LOF-FOF</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p w:rsidR="000902FA" w:rsidRPr="00C24ACA" w:rsidRDefault="000902FA" w:rsidP="001F489E">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本基金的业绩比较基准已经转换为以人民币计价。</w:t>
      </w:r>
    </w:p>
    <w:p w:rsidR="00FC6E91" w:rsidRPr="00C24ACA" w:rsidRDefault="00FC6E91"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自基金合同生效至报告期末，</w:t>
      </w:r>
      <w:r w:rsidRPr="00C24ACA">
        <w:rPr>
          <w:rFonts w:eastAsiaTheme="minorEastAsia"/>
          <w:kern w:val="0"/>
          <w:szCs w:val="21"/>
        </w:rPr>
        <w:t>A</w:t>
      </w:r>
      <w:r w:rsidRPr="00C24ACA">
        <w:rPr>
          <w:rFonts w:eastAsiaTheme="minorEastAsia"/>
          <w:kern w:val="0"/>
          <w:szCs w:val="21"/>
        </w:rPr>
        <w:t>类基金份额净值增长率为</w:t>
      </w:r>
      <w:r w:rsidRPr="00C24ACA">
        <w:rPr>
          <w:rFonts w:eastAsiaTheme="minorEastAsia"/>
          <w:kern w:val="0"/>
          <w:szCs w:val="21"/>
        </w:rPr>
        <w:t>-46.59%</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类基金份额净值增长率为</w:t>
      </w:r>
      <w:r w:rsidRPr="00C24ACA">
        <w:rPr>
          <w:rFonts w:eastAsiaTheme="minorEastAsia"/>
          <w:kern w:val="0"/>
          <w:szCs w:val="21"/>
        </w:rPr>
        <w:t>-47.87%</w:t>
      </w:r>
      <w:r w:rsidRPr="00C24ACA">
        <w:rPr>
          <w:rFonts w:eastAsiaTheme="minorEastAsia"/>
          <w:kern w:val="0"/>
          <w:szCs w:val="21"/>
        </w:rPr>
        <w:t>，同期业绩比较基准收益率为</w:t>
      </w:r>
      <w:r w:rsidRPr="00C24ACA">
        <w:rPr>
          <w:rFonts w:eastAsiaTheme="minorEastAsia"/>
          <w:kern w:val="0"/>
          <w:szCs w:val="21"/>
        </w:rPr>
        <w:t>-63.70%</w:t>
      </w:r>
      <w:r w:rsidRPr="00C24ACA">
        <w:rPr>
          <w:rFonts w:eastAsiaTheme="minorEastAsia"/>
          <w:kern w:val="0"/>
          <w:szCs w:val="21"/>
        </w:rPr>
        <w:t>。</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80" w:name="_Toc225498254"/>
      <w:bookmarkStart w:id="81" w:name="_Toc352255971"/>
      <w:bookmarkStart w:id="82" w:name="_Toc352256039"/>
      <w:bookmarkStart w:id="83" w:name="_Toc352331217"/>
      <w:bookmarkStart w:id="84" w:name="_Toc390164802"/>
      <w:bookmarkStart w:id="85" w:name="_Toc48664156"/>
      <w:r w:rsidRPr="000C6CCD">
        <w:rPr>
          <w:rFonts w:ascii="宋体" w:hAnsi="宋体"/>
          <w:bCs w:val="0"/>
          <w:color w:val="000000"/>
          <w:sz w:val="21"/>
          <w:szCs w:val="21"/>
        </w:rPr>
        <w:t>4</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管理人报告</w:t>
      </w:r>
      <w:bookmarkEnd w:id="80"/>
      <w:bookmarkEnd w:id="81"/>
      <w:bookmarkEnd w:id="82"/>
      <w:bookmarkEnd w:id="83"/>
      <w:bookmarkEnd w:id="84"/>
      <w:bookmarkEnd w:id="85"/>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86" w:name="_Toc352255972"/>
      <w:bookmarkStart w:id="87" w:name="_Toc352256040"/>
      <w:bookmarkStart w:id="88" w:name="_Toc352331218"/>
      <w:bookmarkStart w:id="89" w:name="_Toc362423996"/>
      <w:bookmarkStart w:id="90" w:name="_Toc374459258"/>
      <w:bookmarkStart w:id="91" w:name="_Toc48664157"/>
      <w:r w:rsidRPr="0087359D">
        <w:rPr>
          <w:rFonts w:ascii="宋体" w:hAnsi="宋体"/>
          <w:kern w:val="0"/>
          <w:sz w:val="21"/>
          <w:szCs w:val="21"/>
        </w:rPr>
        <w:t>4.1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基金管理人及基金经理情况</w:t>
      </w:r>
      <w:bookmarkEnd w:id="86"/>
      <w:bookmarkEnd w:id="87"/>
      <w:bookmarkEnd w:id="88"/>
      <w:bookmarkEnd w:id="89"/>
      <w:bookmarkEnd w:id="90"/>
      <w:bookmarkEnd w:id="91"/>
    </w:p>
    <w:p w:rsidR="00FC5407" w:rsidRPr="00C24ACA" w:rsidRDefault="00FC5407" w:rsidP="00FC5407">
      <w:pPr>
        <w:autoSpaceDE w:val="0"/>
        <w:autoSpaceDN w:val="0"/>
        <w:adjustRightInd w:val="0"/>
        <w:spacing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4.1.1 </w:t>
      </w:r>
      <w:r w:rsidRPr="00C24ACA">
        <w:rPr>
          <w:rFonts w:eastAsiaTheme="minorEastAsia"/>
          <w:b/>
          <w:color w:val="000000" w:themeColor="text1"/>
          <w:kern w:val="0"/>
          <w:szCs w:val="21"/>
        </w:rPr>
        <w:t>基金管理人及其管理基金的经验</w:t>
      </w:r>
    </w:p>
    <w:p w:rsidR="00FC5407" w:rsidRPr="00C24ACA" w:rsidRDefault="00FC5407" w:rsidP="008134C7">
      <w:pPr>
        <w:spacing w:line="360" w:lineRule="auto"/>
        <w:ind w:firstLineChars="200" w:firstLine="420"/>
        <w:rPr>
          <w:rFonts w:eastAsiaTheme="minorEastAsia"/>
          <w:color w:val="000000" w:themeColor="text1"/>
          <w:szCs w:val="21"/>
        </w:rPr>
      </w:pPr>
      <w:r w:rsidRPr="00C24ACA">
        <w:rPr>
          <w:rFonts w:eastAsiaTheme="minorEastAsia"/>
          <w:color w:val="000000" w:themeColor="text1"/>
          <w:szCs w:val="21"/>
        </w:rPr>
        <w:t>经中国证监会证监基金字</w:t>
      </w:r>
      <w:r w:rsidRPr="00C24ACA">
        <w:rPr>
          <w:rFonts w:eastAsiaTheme="minorEastAsia"/>
          <w:color w:val="000000" w:themeColor="text1"/>
          <w:szCs w:val="21"/>
        </w:rPr>
        <w:t>[2001]4</w:t>
      </w:r>
      <w:r w:rsidRPr="00C24ACA">
        <w:rPr>
          <w:rFonts w:eastAsiaTheme="minorEastAsia"/>
          <w:color w:val="000000" w:themeColor="text1"/>
          <w:szCs w:val="21"/>
        </w:rPr>
        <w:t>号文批准，本基金管理人成立于</w:t>
      </w:r>
      <w:r w:rsidRPr="00C24ACA">
        <w:rPr>
          <w:rFonts w:eastAsiaTheme="minorEastAsia"/>
          <w:color w:val="000000" w:themeColor="text1"/>
          <w:szCs w:val="21"/>
        </w:rPr>
        <w:t>2001</w:t>
      </w:r>
      <w:r w:rsidRPr="00C24ACA">
        <w:rPr>
          <w:rFonts w:eastAsiaTheme="minorEastAsia"/>
          <w:color w:val="000000" w:themeColor="text1"/>
          <w:szCs w:val="21"/>
        </w:rPr>
        <w:t>年</w:t>
      </w:r>
      <w:r w:rsidRPr="00C24ACA">
        <w:rPr>
          <w:rFonts w:eastAsiaTheme="minorEastAsia"/>
          <w:color w:val="000000" w:themeColor="text1"/>
          <w:szCs w:val="21"/>
        </w:rPr>
        <w:t>4</w:t>
      </w:r>
      <w:r w:rsidRPr="00C24ACA">
        <w:rPr>
          <w:rFonts w:eastAsiaTheme="minorEastAsia"/>
          <w:color w:val="000000" w:themeColor="text1"/>
          <w:szCs w:val="21"/>
        </w:rPr>
        <w:t>月</w:t>
      </w:r>
      <w:r w:rsidRPr="00C24ACA">
        <w:rPr>
          <w:rFonts w:eastAsiaTheme="minorEastAsia"/>
          <w:color w:val="000000" w:themeColor="text1"/>
          <w:szCs w:val="21"/>
        </w:rPr>
        <w:t>17</w:t>
      </w:r>
      <w:r w:rsidRPr="00C24ACA">
        <w:rPr>
          <w:rFonts w:eastAsiaTheme="minorEastAsia"/>
          <w:color w:val="000000" w:themeColor="text1"/>
          <w:szCs w:val="21"/>
        </w:rPr>
        <w:t>日，总部设在广州，在北京、上海、香港等地设有分公司或子公司。本基金管理人拥有公募、社保、年金、特定客户资产管理、</w:t>
      </w:r>
      <w:r w:rsidRPr="00C24ACA">
        <w:rPr>
          <w:rFonts w:eastAsiaTheme="minorEastAsia"/>
          <w:color w:val="000000" w:themeColor="text1"/>
          <w:szCs w:val="21"/>
        </w:rPr>
        <w:t>QDII</w:t>
      </w:r>
      <w:r w:rsidRPr="00C24ACA">
        <w:rPr>
          <w:rFonts w:eastAsiaTheme="minorEastAsia"/>
          <w:color w:val="000000" w:themeColor="text1"/>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4.1.2 </w:t>
      </w:r>
      <w:r w:rsidRPr="00C24ACA">
        <w:rPr>
          <w:rFonts w:eastAsiaTheme="minorEastAsia"/>
          <w:b/>
          <w:color w:val="000000" w:themeColor="text1"/>
          <w:kern w:val="0"/>
          <w:szCs w:val="21"/>
        </w:rPr>
        <w:t>基金经理（或基金经理小组）及基金经理助理的简介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1568"/>
        <w:gridCol w:w="1292"/>
        <w:gridCol w:w="1294"/>
        <w:gridCol w:w="1200"/>
        <w:gridCol w:w="2625"/>
      </w:tblGrid>
      <w:tr w:rsidR="00FC5407" w:rsidRPr="00C24ACA" w:rsidTr="008F4C10">
        <w:tc>
          <w:tcPr>
            <w:tcW w:w="653"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姓名</w:t>
            </w:r>
          </w:p>
        </w:tc>
        <w:tc>
          <w:tcPr>
            <w:tcW w:w="8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职务</w:t>
            </w:r>
          </w:p>
        </w:tc>
        <w:tc>
          <w:tcPr>
            <w:tcW w:w="1409" w:type="pct"/>
            <w:gridSpan w:val="2"/>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任本基金的基金经理（助理）期限</w:t>
            </w:r>
          </w:p>
        </w:tc>
        <w:tc>
          <w:tcPr>
            <w:tcW w:w="6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证券从业年限</w:t>
            </w:r>
          </w:p>
        </w:tc>
        <w:tc>
          <w:tcPr>
            <w:tcW w:w="1431"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说明</w:t>
            </w:r>
          </w:p>
        </w:tc>
      </w:tr>
      <w:tr w:rsidR="00FC5407" w:rsidRPr="00C24ACA" w:rsidTr="008F4C10">
        <w:tc>
          <w:tcPr>
            <w:tcW w:w="653"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8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任职日期</w:t>
            </w: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离任日期</w:t>
            </w:r>
          </w:p>
        </w:tc>
        <w:tc>
          <w:tcPr>
            <w:tcW w:w="6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1431"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r>
      <w:tr w:rsidR="005F7EF1">
        <w:tc>
          <w:tcPr>
            <w:tcW w:w="0" w:type="auto"/>
            <w:vAlign w:val="center"/>
          </w:tcPr>
          <w:p w:rsidR="005F7EF1" w:rsidRDefault="00E6254F">
            <w:pPr>
              <w:jc w:val="center"/>
            </w:pPr>
            <w:r>
              <w:rPr>
                <w:rFonts w:eastAsiaTheme="minorEastAsia"/>
                <w:color w:val="000000" w:themeColor="text1"/>
                <w:szCs w:val="21"/>
              </w:rPr>
              <w:t>张胜记</w:t>
            </w:r>
          </w:p>
        </w:tc>
        <w:tc>
          <w:tcPr>
            <w:tcW w:w="0" w:type="auto"/>
            <w:vAlign w:val="center"/>
          </w:tcPr>
          <w:p w:rsidR="005F7EF1" w:rsidRDefault="00E6254F">
            <w:pPr>
              <w:jc w:val="left"/>
            </w:pPr>
            <w:r>
              <w:rPr>
                <w:rFonts w:eastAsiaTheme="minorEastAsia"/>
                <w:color w:val="000000" w:themeColor="text1"/>
                <w:szCs w:val="21"/>
              </w:rPr>
              <w:t>本基金的基金经理、易方达恒生中国企业交易型开放式指数证券投资基金的基金经理（自</w:t>
            </w:r>
            <w:r>
              <w:rPr>
                <w:rFonts w:eastAsiaTheme="minorEastAsia"/>
                <w:color w:val="000000" w:themeColor="text1"/>
                <w:szCs w:val="21"/>
              </w:rPr>
              <w:t>2012</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09</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日）、易方达恒生中国企业交易型开放式指数证券投资基金联接基金的基金经理（自</w:t>
            </w:r>
            <w:r>
              <w:rPr>
                <w:rFonts w:eastAsiaTheme="minorEastAsia"/>
                <w:color w:val="000000" w:themeColor="text1"/>
                <w:szCs w:val="21"/>
              </w:rPr>
              <w:t>2012</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21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w:t>
            </w:r>
            <w:r>
              <w:rPr>
                <w:rFonts w:eastAsiaTheme="minorEastAsia"/>
                <w:color w:val="000000" w:themeColor="text1"/>
                <w:szCs w:val="21"/>
              </w:rPr>
              <w:t>50</w:t>
            </w:r>
            <w:r>
              <w:rPr>
                <w:rFonts w:eastAsiaTheme="minorEastAsia"/>
                <w:color w:val="000000" w:themeColor="text1"/>
                <w:szCs w:val="21"/>
              </w:rPr>
              <w:t>指数证券投资基金的基金经理、易方达标普全球高端消费品指数增强型证券投资基金的基金经理、易方达香港恒生综合小型股指数证券投资基金（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11</w:t>
            </w:r>
            <w:r>
              <w:rPr>
                <w:rFonts w:eastAsiaTheme="minorEastAsia"/>
                <w:color w:val="000000" w:themeColor="text1"/>
                <w:szCs w:val="21"/>
              </w:rPr>
              <w:t>月</w:t>
            </w:r>
            <w:r>
              <w:rPr>
                <w:rFonts w:eastAsiaTheme="minorEastAsia"/>
                <w:color w:val="000000" w:themeColor="text1"/>
                <w:szCs w:val="21"/>
              </w:rPr>
              <w:t>02</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日）、指数增强投资部联席总经理</w:t>
            </w:r>
          </w:p>
        </w:tc>
        <w:tc>
          <w:tcPr>
            <w:tcW w:w="0" w:type="auto"/>
            <w:vAlign w:val="center"/>
          </w:tcPr>
          <w:p w:rsidR="005F7EF1" w:rsidRDefault="00E6254F">
            <w:pPr>
              <w:jc w:val="center"/>
            </w:pPr>
            <w:r>
              <w:rPr>
                <w:rFonts w:eastAsiaTheme="minorEastAsia"/>
                <w:color w:val="000000" w:themeColor="text1"/>
                <w:szCs w:val="21"/>
              </w:rPr>
              <w:t>2016-12-19</w:t>
            </w:r>
          </w:p>
        </w:tc>
        <w:tc>
          <w:tcPr>
            <w:tcW w:w="0" w:type="auto"/>
            <w:vAlign w:val="center"/>
          </w:tcPr>
          <w:p w:rsidR="005F7EF1" w:rsidRDefault="00E6254F">
            <w:pPr>
              <w:jc w:val="center"/>
            </w:pPr>
            <w:r>
              <w:rPr>
                <w:rFonts w:eastAsiaTheme="minorEastAsia"/>
                <w:color w:val="000000" w:themeColor="text1"/>
                <w:szCs w:val="21"/>
              </w:rPr>
              <w:t>2020-03-18</w:t>
            </w:r>
          </w:p>
        </w:tc>
        <w:tc>
          <w:tcPr>
            <w:tcW w:w="0" w:type="auto"/>
            <w:vAlign w:val="center"/>
          </w:tcPr>
          <w:p w:rsidR="005F7EF1" w:rsidRDefault="00E6254F">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5F7EF1" w:rsidRDefault="00E6254F">
            <w:pPr>
              <w:jc w:val="left"/>
            </w:pPr>
            <w:r>
              <w:rPr>
                <w:rFonts w:eastAsiaTheme="minorEastAsia"/>
                <w:color w:val="000000" w:themeColor="text1"/>
                <w:szCs w:val="21"/>
              </w:rPr>
              <w:t>硕士研究生，具有基金从业资格。曾任易方达基金管理有限公司投资经理助理、基金经理助理、行业研究员、指数与量化投资部总经理助理、指数与量化投资部副总经理、指数及增强投资部副总经理、指数投资部总经理、易方达沪深</w:t>
            </w:r>
            <w:r>
              <w:rPr>
                <w:rFonts w:eastAsiaTheme="minorEastAsia"/>
                <w:color w:val="000000" w:themeColor="text1"/>
                <w:szCs w:val="21"/>
              </w:rPr>
              <w:t>300</w:t>
            </w:r>
            <w:r>
              <w:rPr>
                <w:rFonts w:eastAsiaTheme="minorEastAsia"/>
                <w:color w:val="000000" w:themeColor="text1"/>
                <w:szCs w:val="21"/>
              </w:rPr>
              <w:t>交易型开放式指数发起式证券投资基金联接基金（原易方达沪深</w:t>
            </w:r>
            <w:r>
              <w:rPr>
                <w:rFonts w:eastAsiaTheme="minorEastAsia"/>
                <w:color w:val="000000" w:themeColor="text1"/>
                <w:szCs w:val="21"/>
              </w:rPr>
              <w:t>300</w:t>
            </w:r>
            <w:r>
              <w:rPr>
                <w:rFonts w:eastAsiaTheme="minorEastAsia"/>
                <w:color w:val="000000" w:themeColor="text1"/>
                <w:szCs w:val="21"/>
              </w:rPr>
              <w:t>指数证券投资基金）基金经理、易方达上证中盘交易型开放式指数证券投资基金基金经理、易方达上证中盘交易型开放式指数证券投资基金联接基金基金经理、易方达标普医疗保健指数证券投资基金（</w:t>
            </w:r>
            <w:r>
              <w:rPr>
                <w:rFonts w:eastAsiaTheme="minorEastAsia"/>
                <w:color w:val="000000" w:themeColor="text1"/>
                <w:szCs w:val="21"/>
              </w:rPr>
              <w:t>LOF</w:t>
            </w:r>
            <w:r>
              <w:rPr>
                <w:rFonts w:eastAsiaTheme="minorEastAsia"/>
                <w:color w:val="000000" w:themeColor="text1"/>
                <w:szCs w:val="21"/>
              </w:rPr>
              <w:t>）基金经理、易方达标普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）基金经理、易方达标普生物科技指数证券投资基金（</w:t>
            </w:r>
            <w:r>
              <w:rPr>
                <w:rFonts w:eastAsiaTheme="minorEastAsia"/>
                <w:color w:val="000000" w:themeColor="text1"/>
                <w:szCs w:val="21"/>
              </w:rPr>
              <w:t>LOF</w:t>
            </w:r>
            <w:r>
              <w:rPr>
                <w:rFonts w:eastAsiaTheme="minorEastAsia"/>
                <w:color w:val="000000" w:themeColor="text1"/>
                <w:szCs w:val="21"/>
              </w:rPr>
              <w:t>）基金经理、易方达标普信息科技指数证券投资基金（</w:t>
            </w:r>
            <w:r>
              <w:rPr>
                <w:rFonts w:eastAsiaTheme="minorEastAsia"/>
                <w:color w:val="000000" w:themeColor="text1"/>
                <w:szCs w:val="21"/>
              </w:rPr>
              <w:t>LOF</w:t>
            </w:r>
            <w:r>
              <w:rPr>
                <w:rFonts w:eastAsiaTheme="minorEastAsia"/>
                <w:color w:val="000000" w:themeColor="text1"/>
                <w:szCs w:val="21"/>
              </w:rPr>
              <w:t>）基金经理。</w:t>
            </w:r>
          </w:p>
        </w:tc>
      </w:tr>
      <w:tr w:rsidR="005F7EF1">
        <w:tc>
          <w:tcPr>
            <w:tcW w:w="0" w:type="auto"/>
            <w:vAlign w:val="center"/>
          </w:tcPr>
          <w:p w:rsidR="005F7EF1" w:rsidRDefault="00E6254F">
            <w:pPr>
              <w:jc w:val="center"/>
            </w:pPr>
            <w:r>
              <w:rPr>
                <w:rFonts w:eastAsiaTheme="minorEastAsia"/>
                <w:color w:val="000000" w:themeColor="text1"/>
                <w:szCs w:val="21"/>
              </w:rPr>
              <w:t>FAN BING</w:t>
            </w:r>
            <w:r>
              <w:rPr>
                <w:rFonts w:eastAsiaTheme="minorEastAsia"/>
                <w:color w:val="000000" w:themeColor="text1"/>
                <w:szCs w:val="21"/>
              </w:rPr>
              <w:t>（范冰）</w:t>
            </w:r>
          </w:p>
        </w:tc>
        <w:tc>
          <w:tcPr>
            <w:tcW w:w="0" w:type="auto"/>
            <w:vAlign w:val="center"/>
          </w:tcPr>
          <w:p w:rsidR="005F7EF1" w:rsidRDefault="00E6254F">
            <w:pPr>
              <w:jc w:val="left"/>
            </w:pPr>
            <w:r>
              <w:rPr>
                <w:rFonts w:eastAsiaTheme="minorEastAsia"/>
                <w:color w:val="000000" w:themeColor="text1"/>
                <w:szCs w:val="21"/>
              </w:rPr>
              <w:t>本基金的基金经理、易方达黄金交易型开放式证券投资基金联接基金的基金经理、易方达标普全球高端消费品指数增强型证券投资基金的基金经理（自</w:t>
            </w:r>
            <w:r>
              <w:rPr>
                <w:rFonts w:eastAsiaTheme="minorEastAsia"/>
                <w:color w:val="000000" w:themeColor="text1"/>
                <w:szCs w:val="21"/>
              </w:rPr>
              <w:t>2017</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25</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19</w:t>
            </w:r>
            <w:r>
              <w:rPr>
                <w:rFonts w:eastAsiaTheme="minorEastAsia"/>
                <w:color w:val="000000" w:themeColor="text1"/>
                <w:szCs w:val="21"/>
              </w:rPr>
              <w:t>日）、易方达标普医疗保健指数证券投资基金（</w:t>
            </w:r>
            <w:r>
              <w:rPr>
                <w:rFonts w:eastAsiaTheme="minorEastAsia"/>
                <w:color w:val="000000" w:themeColor="text1"/>
                <w:szCs w:val="21"/>
              </w:rPr>
              <w:t>LOF</w:t>
            </w:r>
            <w:r>
              <w:rPr>
                <w:rFonts w:eastAsiaTheme="minorEastAsia"/>
                <w:color w:val="000000" w:themeColor="text1"/>
                <w:szCs w:val="21"/>
              </w:rPr>
              <w:t>）的基金经理、易方达黄金交易型开放式证券投资基金的基金经理、易方达标普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）的基金经理、易方达标普信息科技指数证券投资基金（</w:t>
            </w:r>
            <w:r>
              <w:rPr>
                <w:rFonts w:eastAsiaTheme="minorEastAsia"/>
                <w:color w:val="000000" w:themeColor="text1"/>
                <w:szCs w:val="21"/>
              </w:rPr>
              <w:t>LOF</w:t>
            </w:r>
            <w:r>
              <w:rPr>
                <w:rFonts w:eastAsiaTheme="minorEastAsia"/>
                <w:color w:val="000000" w:themeColor="text1"/>
                <w:szCs w:val="21"/>
              </w:rPr>
              <w:t>）的基金经理、易方达标普生物科技指数证券投资基金（</w:t>
            </w:r>
            <w:r>
              <w:rPr>
                <w:rFonts w:eastAsiaTheme="minorEastAsia"/>
                <w:color w:val="000000" w:themeColor="text1"/>
                <w:szCs w:val="21"/>
              </w:rPr>
              <w:t>LOF</w:t>
            </w:r>
            <w:r>
              <w:rPr>
                <w:rFonts w:eastAsiaTheme="minorEastAsia"/>
                <w:color w:val="000000" w:themeColor="text1"/>
                <w:szCs w:val="21"/>
              </w:rPr>
              <w:t>）的基金经理、易方达中证海外中国互联网</w:t>
            </w:r>
            <w:r>
              <w:rPr>
                <w:rFonts w:eastAsiaTheme="minorEastAsia"/>
                <w:color w:val="000000" w:themeColor="text1"/>
                <w:szCs w:val="21"/>
              </w:rPr>
              <w:t>50</w:t>
            </w:r>
            <w:r>
              <w:rPr>
                <w:rFonts w:eastAsiaTheme="minorEastAsia"/>
                <w:color w:val="000000" w:themeColor="text1"/>
                <w:szCs w:val="21"/>
              </w:rPr>
              <w:t>交易型开放式指数证券投资基金的基金经理、易方达纳斯达克</w:t>
            </w:r>
            <w:r>
              <w:rPr>
                <w:rFonts w:eastAsiaTheme="minorEastAsia"/>
                <w:color w:val="000000" w:themeColor="text1"/>
                <w:szCs w:val="21"/>
              </w:rPr>
              <w:t>100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股国际通交易型开放式指数证券投资基金的基金经理、易方达中证海外中国互联网</w:t>
            </w:r>
            <w:r>
              <w:rPr>
                <w:rFonts w:eastAsiaTheme="minorEastAsia"/>
                <w:color w:val="000000" w:themeColor="text1"/>
                <w:szCs w:val="21"/>
              </w:rPr>
              <w:t>50</w:t>
            </w:r>
            <w:r>
              <w:rPr>
                <w:rFonts w:eastAsiaTheme="minorEastAsia"/>
                <w:color w:val="000000" w:themeColor="text1"/>
                <w:szCs w:val="21"/>
              </w:rPr>
              <w:t>交易型开放式指数证券投资基金联接基金的基金经理、易方达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股国际通交易型开放式指数证券投资基金发起式联接基金的基金经理、易方达日兴资管日经</w:t>
            </w:r>
            <w:r>
              <w:rPr>
                <w:rFonts w:eastAsiaTheme="minorEastAsia"/>
                <w:color w:val="000000" w:themeColor="text1"/>
                <w:szCs w:val="21"/>
              </w:rPr>
              <w:t>225</w:t>
            </w:r>
            <w:r>
              <w:rPr>
                <w:rFonts w:eastAsiaTheme="minorEastAsia"/>
                <w:color w:val="000000" w:themeColor="text1"/>
                <w:szCs w:val="21"/>
              </w:rPr>
              <w:t>交易型开放式指数证券投资基金（</w:t>
            </w:r>
            <w:r>
              <w:rPr>
                <w:rFonts w:eastAsiaTheme="minorEastAsia"/>
                <w:color w:val="000000" w:themeColor="text1"/>
                <w:szCs w:val="21"/>
              </w:rPr>
              <w:t>QDII</w:t>
            </w:r>
            <w:r>
              <w:rPr>
                <w:rFonts w:eastAsiaTheme="minorEastAsia"/>
                <w:color w:val="000000" w:themeColor="text1"/>
                <w:szCs w:val="21"/>
              </w:rPr>
              <w:t>）的基金经理、易方达中证香港证券投资主题交易型开放式指数证券投资基金的基金经理</w:t>
            </w:r>
          </w:p>
        </w:tc>
        <w:tc>
          <w:tcPr>
            <w:tcW w:w="0" w:type="auto"/>
            <w:vAlign w:val="center"/>
          </w:tcPr>
          <w:p w:rsidR="005F7EF1" w:rsidRDefault="00E6254F">
            <w:pPr>
              <w:jc w:val="center"/>
            </w:pPr>
            <w:r>
              <w:rPr>
                <w:rFonts w:eastAsiaTheme="minorEastAsia"/>
                <w:color w:val="000000" w:themeColor="text1"/>
                <w:szCs w:val="21"/>
              </w:rPr>
              <w:t>2017-03-25</w:t>
            </w:r>
          </w:p>
        </w:tc>
        <w:tc>
          <w:tcPr>
            <w:tcW w:w="0" w:type="auto"/>
            <w:vAlign w:val="center"/>
          </w:tcPr>
          <w:p w:rsidR="005F7EF1" w:rsidRDefault="00E6254F">
            <w:pPr>
              <w:jc w:val="center"/>
            </w:pPr>
            <w:r>
              <w:rPr>
                <w:rFonts w:eastAsiaTheme="minorEastAsia"/>
                <w:color w:val="000000" w:themeColor="text1"/>
                <w:szCs w:val="21"/>
              </w:rPr>
              <w:t>-</w:t>
            </w:r>
          </w:p>
        </w:tc>
        <w:tc>
          <w:tcPr>
            <w:tcW w:w="0" w:type="auto"/>
            <w:vAlign w:val="center"/>
          </w:tcPr>
          <w:p w:rsidR="005F7EF1" w:rsidRDefault="00E6254F">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5F7EF1" w:rsidRDefault="00E6254F">
            <w:pPr>
              <w:jc w:val="left"/>
            </w:pPr>
            <w:r>
              <w:rPr>
                <w:rFonts w:eastAsiaTheme="minorEastAsia"/>
                <w:color w:val="000000" w:themeColor="text1"/>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5F7EF1">
        <w:tc>
          <w:tcPr>
            <w:tcW w:w="0" w:type="auto"/>
            <w:vAlign w:val="center"/>
          </w:tcPr>
          <w:p w:rsidR="005F7EF1" w:rsidRDefault="00E6254F">
            <w:pPr>
              <w:jc w:val="center"/>
            </w:pPr>
            <w:r>
              <w:rPr>
                <w:rFonts w:eastAsiaTheme="minorEastAsia"/>
                <w:color w:val="000000" w:themeColor="text1"/>
                <w:szCs w:val="21"/>
              </w:rPr>
              <w:t>成曦</w:t>
            </w:r>
          </w:p>
        </w:tc>
        <w:tc>
          <w:tcPr>
            <w:tcW w:w="0" w:type="auto"/>
            <w:vAlign w:val="center"/>
          </w:tcPr>
          <w:p w:rsidR="005F7EF1" w:rsidRDefault="00E6254F">
            <w:pPr>
              <w:jc w:val="left"/>
            </w:pPr>
            <w:r>
              <w:rPr>
                <w:rFonts w:eastAsiaTheme="minorEastAsia"/>
                <w:color w:val="000000" w:themeColor="text1"/>
                <w:szCs w:val="21"/>
              </w:rPr>
              <w:t>本基金的基金经理、易方达创业板交易型开放式指数证券投资基金的基金经理、易方达并购重组指数分级证券投资基金的基金经理（自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07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日）、易方达生物科技指数分级证券投资基金的基金经理（自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07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日）、易方达银行指数分级证券投资基金的基金经理（自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07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日）、易方达中小板指数证券投资基金（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07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日）、易方达创业板交易型开放式指数证券投资基金联接基金的基金经理、易方达深证</w:t>
            </w:r>
            <w:r>
              <w:rPr>
                <w:rFonts w:eastAsiaTheme="minorEastAsia"/>
                <w:color w:val="000000" w:themeColor="text1"/>
                <w:szCs w:val="21"/>
              </w:rPr>
              <w:t>100</w:t>
            </w:r>
            <w:r>
              <w:rPr>
                <w:rFonts w:eastAsiaTheme="minorEastAsia"/>
                <w:color w:val="000000" w:themeColor="text1"/>
                <w:szCs w:val="21"/>
              </w:rPr>
              <w:t>交易型开放式指数证券投资基金联接基金的基金经理、易方达深证</w:t>
            </w:r>
            <w:r>
              <w:rPr>
                <w:rFonts w:eastAsiaTheme="minorEastAsia"/>
                <w:color w:val="000000" w:themeColor="text1"/>
                <w:szCs w:val="21"/>
              </w:rPr>
              <w:t>100</w:t>
            </w:r>
            <w:r>
              <w:rPr>
                <w:rFonts w:eastAsiaTheme="minorEastAsia"/>
                <w:color w:val="000000" w:themeColor="text1"/>
                <w:szCs w:val="21"/>
              </w:rPr>
              <w:t>交易型开放式指数基金的基金经理、易方达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05</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日）、易方达恒生中国企业交易型开放式指数证券投资基金联接基金的基金经理、易方达纳斯达克</w:t>
            </w:r>
            <w:r>
              <w:rPr>
                <w:rFonts w:eastAsiaTheme="minorEastAsia"/>
                <w:color w:val="000000" w:themeColor="text1"/>
                <w:szCs w:val="21"/>
              </w:rPr>
              <w:t>100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11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日）、易方达恒生中国企业交易型开放式指数证券投资基金的基金经理、易方达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股国际通交易型开放式指数证券投资基金发起式联接基金的基金经理（自</w:t>
            </w: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13</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日）、易方达上证</w:t>
            </w:r>
            <w:r>
              <w:rPr>
                <w:rFonts w:eastAsiaTheme="minorEastAsia"/>
                <w:color w:val="000000" w:themeColor="text1"/>
                <w:szCs w:val="21"/>
              </w:rPr>
              <w:t>50</w:t>
            </w:r>
            <w:r>
              <w:rPr>
                <w:rFonts w:eastAsiaTheme="minorEastAsia"/>
                <w:color w:val="000000" w:themeColor="text1"/>
                <w:szCs w:val="21"/>
              </w:rPr>
              <w:t>交易型开放式指数证券投资基金的基金经理、易方达上证</w:t>
            </w:r>
            <w:r>
              <w:rPr>
                <w:rFonts w:eastAsiaTheme="minorEastAsia"/>
                <w:color w:val="000000" w:themeColor="text1"/>
                <w:szCs w:val="21"/>
              </w:rPr>
              <w:t>50</w:t>
            </w:r>
            <w:r>
              <w:rPr>
                <w:rFonts w:eastAsiaTheme="minorEastAsia"/>
                <w:color w:val="000000" w:themeColor="text1"/>
                <w:szCs w:val="21"/>
              </w:rPr>
              <w:t>交易型开放式指数证券投资基金发起式联接基金的基金经理、易方达中证香港证券投资主题交易型开放式指数证券投资基金的基金经理</w:t>
            </w:r>
          </w:p>
        </w:tc>
        <w:tc>
          <w:tcPr>
            <w:tcW w:w="0" w:type="auto"/>
            <w:vAlign w:val="center"/>
          </w:tcPr>
          <w:p w:rsidR="005F7EF1" w:rsidRDefault="00E6254F">
            <w:pPr>
              <w:jc w:val="center"/>
            </w:pPr>
            <w:r>
              <w:rPr>
                <w:rFonts w:eastAsiaTheme="minorEastAsia"/>
                <w:color w:val="000000" w:themeColor="text1"/>
                <w:szCs w:val="21"/>
              </w:rPr>
              <w:t>2018-08-11</w:t>
            </w:r>
          </w:p>
        </w:tc>
        <w:tc>
          <w:tcPr>
            <w:tcW w:w="0" w:type="auto"/>
            <w:vAlign w:val="center"/>
          </w:tcPr>
          <w:p w:rsidR="005F7EF1" w:rsidRDefault="00E6254F">
            <w:pPr>
              <w:jc w:val="center"/>
            </w:pPr>
            <w:r>
              <w:rPr>
                <w:rFonts w:eastAsiaTheme="minorEastAsia"/>
                <w:color w:val="000000" w:themeColor="text1"/>
                <w:szCs w:val="21"/>
              </w:rPr>
              <w:t>-</w:t>
            </w:r>
          </w:p>
        </w:tc>
        <w:tc>
          <w:tcPr>
            <w:tcW w:w="0" w:type="auto"/>
            <w:vAlign w:val="center"/>
          </w:tcPr>
          <w:p w:rsidR="005F7EF1" w:rsidRDefault="00E6254F">
            <w:pPr>
              <w:jc w:val="center"/>
            </w:pPr>
            <w:r>
              <w:rPr>
                <w:rFonts w:eastAsiaTheme="minorEastAsia"/>
                <w:color w:val="000000" w:themeColor="text1"/>
                <w:szCs w:val="21"/>
              </w:rPr>
              <w:t>12</w:t>
            </w:r>
            <w:r>
              <w:rPr>
                <w:rFonts w:eastAsiaTheme="minorEastAsia"/>
                <w:color w:val="000000" w:themeColor="text1"/>
                <w:szCs w:val="21"/>
              </w:rPr>
              <w:t>年</w:t>
            </w:r>
          </w:p>
        </w:tc>
        <w:tc>
          <w:tcPr>
            <w:tcW w:w="0" w:type="auto"/>
            <w:vAlign w:val="center"/>
          </w:tcPr>
          <w:p w:rsidR="005F7EF1" w:rsidRDefault="00E6254F">
            <w:pPr>
              <w:jc w:val="left"/>
            </w:pPr>
            <w:r>
              <w:rPr>
                <w:rFonts w:eastAsiaTheme="minorEastAsia"/>
                <w:color w:val="000000" w:themeColor="text1"/>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rsidR="005F7EF1" w:rsidRDefault="00E6254F">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E519A7" w:rsidRDefault="00FC5407" w:rsidP="00E519A7">
      <w:pPr>
        <w:tabs>
          <w:tab w:val="left" w:pos="426"/>
        </w:tabs>
        <w:spacing w:line="360" w:lineRule="auto"/>
        <w:ind w:firstLineChars="200" w:firstLine="420"/>
        <w:rPr>
          <w:kern w:val="0"/>
          <w:szCs w:val="21"/>
        </w:rPr>
      </w:pPr>
      <w:r w:rsidRPr="001412CA">
        <w:rPr>
          <w:rFonts w:eastAsiaTheme="minorEastAsia"/>
          <w:kern w:val="0"/>
          <w:szCs w:val="21"/>
        </w:rPr>
        <w:t>2.</w:t>
      </w:r>
      <w:r w:rsidRPr="001412CA">
        <w:rPr>
          <w:rFonts w:eastAsiaTheme="minorEastAsia"/>
          <w:kern w:val="0"/>
          <w:szCs w:val="21"/>
        </w:rPr>
        <w:t>证券从业的含义遵从《证券业从业人员资格管理办法》的相关规定。</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62423997"/>
      <w:bookmarkStart w:id="99" w:name="_Toc374459259"/>
      <w:bookmarkStart w:id="100" w:name="_Toc48664158"/>
      <w:r w:rsidRPr="0087359D">
        <w:rPr>
          <w:rFonts w:ascii="宋体" w:hAnsi="宋体"/>
          <w:kern w:val="0"/>
          <w:sz w:val="21"/>
          <w:szCs w:val="21"/>
        </w:rPr>
        <w:t>4.2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境外投资顾问为本基金提供投资建议的主要成员简介</w:t>
      </w:r>
      <w:bookmarkEnd w:id="92"/>
      <w:bookmarkEnd w:id="93"/>
      <w:bookmarkEnd w:id="94"/>
      <w:bookmarkEnd w:id="95"/>
      <w:bookmarkEnd w:id="96"/>
      <w:bookmarkEnd w:id="97"/>
      <w:bookmarkEnd w:id="98"/>
      <w:bookmarkEnd w:id="99"/>
      <w:bookmarkEnd w:id="100"/>
    </w:p>
    <w:p w:rsidR="00FC5407" w:rsidRPr="001412CA" w:rsidRDefault="00FC5407"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本基金未聘请境外投资顾问。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1" w:name="_Toc225498256"/>
      <w:bookmarkStart w:id="102" w:name="_Toc352255974"/>
      <w:bookmarkStart w:id="103" w:name="_Toc352256042"/>
      <w:bookmarkStart w:id="104" w:name="_Toc352331220"/>
      <w:bookmarkStart w:id="105" w:name="_Toc362423998"/>
      <w:bookmarkStart w:id="106" w:name="_Toc374459260"/>
      <w:bookmarkStart w:id="107" w:name="_Toc48664159"/>
      <w:r w:rsidRPr="0087359D">
        <w:rPr>
          <w:rFonts w:ascii="宋体" w:hAnsi="宋体"/>
          <w:kern w:val="0"/>
          <w:sz w:val="21"/>
          <w:szCs w:val="21"/>
        </w:rPr>
        <w:t>4.3</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管理人对报告期内本基金运作遵规守信情况的说明</w:t>
      </w:r>
      <w:bookmarkEnd w:id="101"/>
      <w:bookmarkEnd w:id="102"/>
      <w:bookmarkEnd w:id="103"/>
      <w:bookmarkEnd w:id="104"/>
      <w:bookmarkEnd w:id="105"/>
      <w:bookmarkEnd w:id="106"/>
      <w:bookmarkEnd w:id="107"/>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8" w:name="_Toc225498257"/>
      <w:bookmarkStart w:id="109" w:name="_Toc352255975"/>
      <w:bookmarkStart w:id="110" w:name="_Toc352256043"/>
      <w:bookmarkStart w:id="111" w:name="_Toc352331221"/>
      <w:bookmarkStart w:id="112" w:name="_Toc362423999"/>
      <w:bookmarkStart w:id="113" w:name="_Toc374459261"/>
      <w:bookmarkStart w:id="114" w:name="_Toc48664160"/>
      <w:r w:rsidRPr="0087359D">
        <w:rPr>
          <w:rFonts w:ascii="宋体" w:hAnsi="宋体"/>
          <w:kern w:val="0"/>
          <w:sz w:val="21"/>
          <w:szCs w:val="21"/>
        </w:rPr>
        <w:t>4.4</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管理人对报告期内公平交易情况的专项说明</w:t>
      </w:r>
      <w:bookmarkEnd w:id="108"/>
      <w:bookmarkEnd w:id="109"/>
      <w:bookmarkEnd w:id="110"/>
      <w:bookmarkEnd w:id="111"/>
      <w:bookmarkEnd w:id="112"/>
      <w:bookmarkEnd w:id="113"/>
      <w:bookmarkEnd w:id="114"/>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4.4.1 </w:t>
      </w:r>
      <w:r w:rsidRPr="00C24ACA">
        <w:rPr>
          <w:rFonts w:eastAsiaTheme="minorEastAsia"/>
          <w:b/>
          <w:color w:val="000000" w:themeColor="text1"/>
          <w:kern w:val="0"/>
          <w:szCs w:val="21"/>
        </w:rPr>
        <w:t>公平交易制度的执行情况</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4.4.2 </w:t>
      </w:r>
      <w:r w:rsidRPr="00C24ACA">
        <w:rPr>
          <w:rFonts w:eastAsiaTheme="minorEastAsia"/>
          <w:b/>
          <w:color w:val="000000" w:themeColor="text1"/>
          <w:kern w:val="0"/>
          <w:szCs w:val="21"/>
        </w:rPr>
        <w:t>异常交易行为的专项说明</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本报告期内，公司旗下所有投资组合参与的交易所公开竞价交易中，同日反向交易成交较少的单边交易量超过该证券当日成交量的</w:t>
      </w:r>
      <w:r>
        <w:rPr>
          <w:rFonts w:eastAsiaTheme="minorEastAsia"/>
          <w:kern w:val="0"/>
          <w:szCs w:val="21"/>
        </w:rPr>
        <w:t>5%</w:t>
      </w:r>
      <w:r>
        <w:rPr>
          <w:rFonts w:eastAsiaTheme="minorEastAsia"/>
          <w:kern w:val="0"/>
          <w:szCs w:val="21"/>
        </w:rPr>
        <w:t>的交易共</w:t>
      </w:r>
      <w:r>
        <w:rPr>
          <w:rFonts w:eastAsiaTheme="minorEastAsia"/>
          <w:kern w:val="0"/>
          <w:szCs w:val="21"/>
        </w:rPr>
        <w:t>59</w:t>
      </w:r>
      <w:r>
        <w:rPr>
          <w:rFonts w:eastAsiaTheme="minorEastAsia"/>
          <w:kern w:val="0"/>
          <w:szCs w:val="21"/>
        </w:rPr>
        <w:t>次，均为指数量化投资组合因投资策略需要和其他组合发生的反向交易。</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本报告期内，未发现本基金有可能导致不公平交易和利益输送的异常交易。</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15" w:name="_Toc225498258"/>
      <w:bookmarkStart w:id="116" w:name="_Toc352255976"/>
      <w:bookmarkStart w:id="117" w:name="_Toc352256044"/>
      <w:bookmarkStart w:id="118" w:name="_Toc352331222"/>
      <w:bookmarkStart w:id="119" w:name="_Toc362424000"/>
      <w:bookmarkStart w:id="120" w:name="_Toc374459262"/>
      <w:bookmarkStart w:id="121" w:name="_Toc48664161"/>
      <w:r w:rsidRPr="0087359D">
        <w:rPr>
          <w:rFonts w:ascii="宋体" w:hAnsi="宋体"/>
          <w:kern w:val="0"/>
          <w:sz w:val="21"/>
          <w:szCs w:val="21"/>
        </w:rPr>
        <w:t>4.5</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管理人对报告期内基金的投资策略和业绩表现的说明</w:t>
      </w:r>
      <w:bookmarkEnd w:id="115"/>
      <w:bookmarkEnd w:id="116"/>
      <w:bookmarkEnd w:id="117"/>
      <w:bookmarkEnd w:id="118"/>
      <w:bookmarkEnd w:id="119"/>
      <w:bookmarkEnd w:id="120"/>
      <w:bookmarkEnd w:id="121"/>
    </w:p>
    <w:p w:rsidR="00FC5407" w:rsidRPr="00C24ACA" w:rsidRDefault="00FC5407" w:rsidP="00FC5407">
      <w:pPr>
        <w:spacing w:line="360" w:lineRule="auto"/>
        <w:rPr>
          <w:rFonts w:eastAsiaTheme="minorEastAsia"/>
          <w:b/>
          <w:color w:val="000000" w:themeColor="text1"/>
          <w:szCs w:val="21"/>
        </w:rPr>
      </w:pPr>
      <w:r w:rsidRPr="00C24ACA">
        <w:rPr>
          <w:rFonts w:eastAsiaTheme="minorEastAsia"/>
          <w:b/>
          <w:color w:val="000000" w:themeColor="text1"/>
          <w:szCs w:val="21"/>
        </w:rPr>
        <w:t>4.5.1</w:t>
      </w:r>
      <w:r w:rsidRPr="00C24ACA">
        <w:rPr>
          <w:rFonts w:eastAsiaTheme="minorEastAsia"/>
          <w:b/>
          <w:color w:val="000000" w:themeColor="text1"/>
          <w:szCs w:val="21"/>
        </w:rPr>
        <w:t>报告期内基金投资策略和运作分析</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2020</w:t>
      </w:r>
      <w:r>
        <w:rPr>
          <w:rFonts w:eastAsiaTheme="minorEastAsia"/>
          <w:kern w:val="0"/>
          <w:szCs w:val="21"/>
        </w:rPr>
        <w:t>年一季度，在新冠疫情全球扩散的冲击下，全球经济增长的预期一再下调。中国国内对人员流动的严格管控给消费和服务带来较大的基本面压力，全球产业链在疫情蔓延下也受到供给和需求两个方面的冲击。美国失业救济申请人数远超市场预期。在原油供给端，以沙特和俄罗斯为代表的</w:t>
      </w:r>
      <w:r>
        <w:rPr>
          <w:rFonts w:eastAsiaTheme="minorEastAsia"/>
          <w:kern w:val="0"/>
          <w:szCs w:val="21"/>
        </w:rPr>
        <w:t>OPEC+</w:t>
      </w:r>
      <w:r>
        <w:rPr>
          <w:rFonts w:eastAsiaTheme="minorEastAsia"/>
          <w:kern w:val="0"/>
          <w:szCs w:val="21"/>
        </w:rPr>
        <w:t>未就原油减产达成协议，沙特和俄罗斯双双宣布将大幅增产原油。原油在需求和供给端都面临巨大压力，价格大跌。</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2020</w:t>
      </w:r>
      <w:r>
        <w:rPr>
          <w:rFonts w:eastAsiaTheme="minorEastAsia"/>
          <w:kern w:val="0"/>
          <w:szCs w:val="21"/>
        </w:rPr>
        <w:t>年二季度，因能源公司储油空间耗尽加剧市场抛售，</w:t>
      </w:r>
      <w:r>
        <w:rPr>
          <w:rFonts w:eastAsiaTheme="minorEastAsia"/>
          <w:kern w:val="0"/>
          <w:szCs w:val="21"/>
        </w:rPr>
        <w:t>WTI</w:t>
      </w:r>
      <w:r>
        <w:rPr>
          <w:rFonts w:eastAsiaTheme="minorEastAsia"/>
          <w:kern w:val="0"/>
          <w:szCs w:val="21"/>
        </w:rPr>
        <w:t>原油期货价格在</w:t>
      </w:r>
      <w:r>
        <w:rPr>
          <w:rFonts w:eastAsiaTheme="minorEastAsia"/>
          <w:kern w:val="0"/>
          <w:szCs w:val="21"/>
        </w:rPr>
        <w:t>4</w:t>
      </w:r>
      <w:r>
        <w:rPr>
          <w:rFonts w:eastAsiaTheme="minorEastAsia"/>
          <w:kern w:val="0"/>
          <w:szCs w:val="21"/>
        </w:rPr>
        <w:t>月份历史上首次跌入负值。沙特和俄罗斯结束价格战，</w:t>
      </w:r>
      <w:r>
        <w:rPr>
          <w:rFonts w:eastAsiaTheme="minorEastAsia"/>
          <w:kern w:val="0"/>
          <w:szCs w:val="21"/>
        </w:rPr>
        <w:t>OPEC+</w:t>
      </w:r>
      <w:r>
        <w:rPr>
          <w:rFonts w:eastAsiaTheme="minorEastAsia"/>
          <w:kern w:val="0"/>
          <w:szCs w:val="21"/>
        </w:rPr>
        <w:t>达成了新一轮减产协议，但谈判过程中各方利益关系错综复杂。中国石油消费的反弹和美国经济的重启，改善了石油需求端的预期。</w:t>
      </w:r>
      <w:r>
        <w:rPr>
          <w:rFonts w:eastAsiaTheme="minorEastAsia"/>
          <w:kern w:val="0"/>
          <w:szCs w:val="21"/>
        </w:rPr>
        <w:t>OPEC+</w:t>
      </w:r>
      <w:r>
        <w:rPr>
          <w:rFonts w:eastAsiaTheme="minorEastAsia"/>
          <w:kern w:val="0"/>
          <w:szCs w:val="21"/>
        </w:rPr>
        <w:t>减产执行效果显著，石油钻井数创历史新低，</w:t>
      </w:r>
      <w:r>
        <w:rPr>
          <w:rFonts w:eastAsiaTheme="minorEastAsia"/>
          <w:kern w:val="0"/>
          <w:szCs w:val="21"/>
        </w:rPr>
        <w:t>IEA</w:t>
      </w:r>
      <w:r>
        <w:rPr>
          <w:rFonts w:eastAsiaTheme="minorEastAsia"/>
          <w:kern w:val="0"/>
          <w:szCs w:val="21"/>
        </w:rPr>
        <w:t>预测全球原油库存从</w:t>
      </w:r>
      <w:r>
        <w:rPr>
          <w:rFonts w:eastAsiaTheme="minorEastAsia"/>
          <w:kern w:val="0"/>
          <w:szCs w:val="21"/>
        </w:rPr>
        <w:t>6</w:t>
      </w:r>
      <w:r>
        <w:rPr>
          <w:rFonts w:eastAsiaTheme="minorEastAsia"/>
          <w:kern w:val="0"/>
          <w:szCs w:val="21"/>
        </w:rPr>
        <w:t>月份开始减少。需求和供给端的利好，促使国际原油价格在二季度大幅反弹。</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在操作中，我们严格遵守基金合同，坚持既定的投资策略，在保障基金正常运作的前提下，力争实现对原油价格的跟踪。</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szCs w:val="21"/>
        </w:rPr>
      </w:pPr>
      <w:r w:rsidRPr="00C24ACA">
        <w:rPr>
          <w:rFonts w:eastAsiaTheme="minorEastAsia"/>
          <w:b/>
          <w:color w:val="000000" w:themeColor="text1"/>
          <w:szCs w:val="21"/>
        </w:rPr>
        <w:t xml:space="preserve">4.5.2 </w:t>
      </w:r>
      <w:r w:rsidRPr="00C24ACA">
        <w:rPr>
          <w:rFonts w:eastAsiaTheme="minorEastAsia"/>
          <w:b/>
          <w:color w:val="000000" w:themeColor="text1"/>
          <w:szCs w:val="21"/>
        </w:rPr>
        <w:t>报告期内基金的业绩表现</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截至报告期末，本基金</w:t>
      </w:r>
      <w:r w:rsidRPr="001412CA">
        <w:rPr>
          <w:rFonts w:eastAsiaTheme="minorEastAsia"/>
          <w:kern w:val="0"/>
          <w:szCs w:val="21"/>
        </w:rPr>
        <w:t>A</w:t>
      </w:r>
      <w:r w:rsidRPr="001412CA">
        <w:rPr>
          <w:rFonts w:eastAsiaTheme="minorEastAsia"/>
          <w:kern w:val="0"/>
          <w:szCs w:val="21"/>
        </w:rPr>
        <w:t>类基金份额净值为</w:t>
      </w:r>
      <w:r w:rsidRPr="001412CA">
        <w:rPr>
          <w:rFonts w:eastAsiaTheme="minorEastAsia"/>
          <w:kern w:val="0"/>
          <w:szCs w:val="21"/>
        </w:rPr>
        <w:t>0.5341</w:t>
      </w:r>
      <w:r w:rsidRPr="001412CA">
        <w:rPr>
          <w:rFonts w:eastAsiaTheme="minorEastAsia"/>
          <w:kern w:val="0"/>
          <w:szCs w:val="21"/>
        </w:rPr>
        <w:t>元，本报告期份额净值增长率为</w:t>
      </w:r>
      <w:r w:rsidRPr="001412CA">
        <w:rPr>
          <w:rFonts w:eastAsiaTheme="minorEastAsia"/>
          <w:kern w:val="0"/>
          <w:szCs w:val="21"/>
        </w:rPr>
        <w:t>-54.74%</w:t>
      </w:r>
      <w:r w:rsidRPr="001412CA">
        <w:rPr>
          <w:rFonts w:eastAsiaTheme="minorEastAsia"/>
          <w:kern w:val="0"/>
          <w:szCs w:val="21"/>
        </w:rPr>
        <w:t>，同期业绩比较基准收益率为</w:t>
      </w:r>
      <w:r w:rsidRPr="001412CA">
        <w:rPr>
          <w:rFonts w:eastAsiaTheme="minorEastAsia"/>
          <w:kern w:val="0"/>
          <w:szCs w:val="21"/>
        </w:rPr>
        <w:t>-66.22%</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类基金份额净值为</w:t>
      </w:r>
      <w:r w:rsidRPr="001412CA">
        <w:rPr>
          <w:rFonts w:eastAsiaTheme="minorEastAsia"/>
          <w:kern w:val="0"/>
          <w:szCs w:val="21"/>
        </w:rPr>
        <w:t>0.5213</w:t>
      </w:r>
      <w:r w:rsidRPr="001412CA">
        <w:rPr>
          <w:rFonts w:eastAsiaTheme="minorEastAsia"/>
          <w:kern w:val="0"/>
          <w:szCs w:val="21"/>
        </w:rPr>
        <w:t>元，本报告期份额净值增长率为</w:t>
      </w:r>
      <w:r w:rsidRPr="001412CA">
        <w:rPr>
          <w:rFonts w:eastAsiaTheme="minorEastAsia"/>
          <w:kern w:val="0"/>
          <w:szCs w:val="21"/>
        </w:rPr>
        <w:t>-55.26%</w:t>
      </w:r>
      <w:r w:rsidRPr="001412CA">
        <w:rPr>
          <w:rFonts w:eastAsiaTheme="minorEastAsia"/>
          <w:kern w:val="0"/>
          <w:szCs w:val="21"/>
        </w:rPr>
        <w:t>，同期业绩比较基准收益率为</w:t>
      </w:r>
      <w:r w:rsidRPr="001412CA">
        <w:rPr>
          <w:rFonts w:eastAsiaTheme="minorEastAsia"/>
          <w:kern w:val="0"/>
          <w:szCs w:val="21"/>
        </w:rPr>
        <w:t>-66.22%</w:t>
      </w:r>
      <w:r w:rsidRPr="001412CA">
        <w:rPr>
          <w:rFonts w:eastAsiaTheme="minorEastAsia"/>
          <w:kern w:val="0"/>
          <w:szCs w:val="21"/>
        </w:rPr>
        <w:t>。</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2" w:name="_Toc225498259"/>
      <w:bookmarkStart w:id="123" w:name="_Toc352255977"/>
      <w:bookmarkStart w:id="124" w:name="_Toc352256045"/>
      <w:bookmarkStart w:id="125" w:name="_Toc352331223"/>
      <w:bookmarkStart w:id="126" w:name="_Toc362424001"/>
      <w:bookmarkStart w:id="127" w:name="_Toc374459263"/>
      <w:bookmarkStart w:id="128" w:name="_Toc48664162"/>
      <w:r w:rsidRPr="0087359D">
        <w:rPr>
          <w:rFonts w:ascii="宋体" w:hAnsi="宋体"/>
          <w:kern w:val="0"/>
          <w:sz w:val="21"/>
          <w:szCs w:val="21"/>
        </w:rPr>
        <w:t>4.6</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管理人对宏观经济、证券市场及行业走势的简要展望</w:t>
      </w:r>
      <w:bookmarkEnd w:id="122"/>
      <w:bookmarkEnd w:id="123"/>
      <w:bookmarkEnd w:id="124"/>
      <w:bookmarkEnd w:id="125"/>
      <w:bookmarkEnd w:id="126"/>
      <w:bookmarkEnd w:id="127"/>
      <w:bookmarkEnd w:id="128"/>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展望</w:t>
      </w:r>
      <w:r w:rsidRPr="001412CA">
        <w:rPr>
          <w:rFonts w:eastAsiaTheme="minorEastAsia"/>
          <w:kern w:val="0"/>
          <w:szCs w:val="21"/>
        </w:rPr>
        <w:t>2020</w:t>
      </w:r>
      <w:r w:rsidRPr="001412CA">
        <w:rPr>
          <w:rFonts w:eastAsiaTheme="minorEastAsia"/>
          <w:kern w:val="0"/>
          <w:szCs w:val="21"/>
        </w:rPr>
        <w:t>年下半年，在供给端，</w:t>
      </w:r>
      <w:r w:rsidRPr="001412CA">
        <w:rPr>
          <w:rFonts w:eastAsiaTheme="minorEastAsia"/>
          <w:kern w:val="0"/>
          <w:szCs w:val="21"/>
        </w:rPr>
        <w:t>OPEC+</w:t>
      </w:r>
      <w:r w:rsidRPr="001412CA">
        <w:rPr>
          <w:rFonts w:eastAsiaTheme="minorEastAsia"/>
          <w:kern w:val="0"/>
          <w:szCs w:val="21"/>
        </w:rPr>
        <w:t>的减产协议得到了比较好的执行，未来油价走势将主要由需求端决定。中国对新冠疫情的应对得力，经济复苏的步伐领先全球其他主要经济体；但受疫情影响，美国的经济重启计划受阻。伴随全球经济复苏的步调，油价预计以震荡为主。</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9" w:name="_Toc247959457"/>
      <w:bookmarkStart w:id="130" w:name="_Toc225570083"/>
      <w:bookmarkStart w:id="131" w:name="_Toc352255979"/>
      <w:bookmarkStart w:id="132" w:name="_Toc352256047"/>
      <w:bookmarkStart w:id="133" w:name="_Toc352331225"/>
      <w:bookmarkStart w:id="134" w:name="_Toc362424003"/>
      <w:bookmarkStart w:id="135" w:name="_Toc374459265"/>
      <w:bookmarkStart w:id="136" w:name="_Toc48664163"/>
      <w:r w:rsidRPr="0087359D">
        <w:rPr>
          <w:rFonts w:ascii="宋体" w:hAnsi="宋体"/>
          <w:kern w:val="0"/>
          <w:sz w:val="21"/>
          <w:szCs w:val="21"/>
        </w:rPr>
        <w:t>4.7</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管理人对报告期内基金估值程序等事项的说明</w:t>
      </w:r>
      <w:bookmarkEnd w:id="129"/>
      <w:bookmarkEnd w:id="130"/>
      <w:bookmarkEnd w:id="131"/>
      <w:bookmarkEnd w:id="132"/>
      <w:bookmarkEnd w:id="133"/>
      <w:bookmarkEnd w:id="134"/>
      <w:bookmarkEnd w:id="135"/>
      <w:bookmarkEnd w:id="136"/>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本报告期内，参与估值流程各方之间不存在任何重大利益冲突。</w:t>
      </w:r>
      <w:r>
        <w:rPr>
          <w:rFonts w:eastAsiaTheme="minorEastAsia"/>
          <w:kern w:val="0"/>
          <w:szCs w:val="21"/>
        </w:rPr>
        <w:t xml:space="preserve"> </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37" w:name="_Toc247959458"/>
      <w:bookmarkStart w:id="138" w:name="_Toc225570084"/>
      <w:bookmarkStart w:id="139" w:name="_Toc352255980"/>
      <w:bookmarkStart w:id="140" w:name="_Toc352256048"/>
      <w:bookmarkStart w:id="141" w:name="_Toc352331226"/>
      <w:bookmarkStart w:id="142" w:name="_Toc362424004"/>
      <w:bookmarkStart w:id="143" w:name="_Toc374459266"/>
      <w:bookmarkStart w:id="144" w:name="_Toc48664164"/>
      <w:r w:rsidRPr="0087359D">
        <w:rPr>
          <w:rFonts w:ascii="宋体" w:hAnsi="宋体"/>
          <w:kern w:val="0"/>
          <w:sz w:val="21"/>
          <w:szCs w:val="21"/>
        </w:rPr>
        <w:t>4.8</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管理人对报告期内基金利润分配情况的说明</w:t>
      </w:r>
      <w:bookmarkEnd w:id="137"/>
      <w:bookmarkEnd w:id="138"/>
      <w:bookmarkEnd w:id="139"/>
      <w:bookmarkEnd w:id="140"/>
      <w:bookmarkEnd w:id="141"/>
      <w:bookmarkEnd w:id="142"/>
      <w:bookmarkEnd w:id="143"/>
      <w:bookmarkEnd w:id="144"/>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易方达原油（</w:t>
      </w:r>
      <w:r>
        <w:rPr>
          <w:rFonts w:eastAsiaTheme="minorEastAsia"/>
          <w:kern w:val="0"/>
          <w:szCs w:val="21"/>
        </w:rPr>
        <w:t>QDII-LOF-FOF</w:t>
      </w:r>
      <w:r>
        <w:rPr>
          <w:rFonts w:eastAsiaTheme="minorEastAsia"/>
          <w:kern w:val="0"/>
          <w:szCs w:val="21"/>
        </w:rPr>
        <w:t>）</w:t>
      </w:r>
      <w:r>
        <w:rPr>
          <w:rFonts w:eastAsiaTheme="minorEastAsia"/>
          <w:kern w:val="0"/>
          <w:szCs w:val="21"/>
        </w:rPr>
        <w:t>A:</w:t>
      </w:r>
      <w:r>
        <w:rPr>
          <w:rFonts w:eastAsiaTheme="minorEastAsia"/>
          <w:kern w:val="0"/>
          <w:szCs w:val="21"/>
        </w:rPr>
        <w:t>本报告期内未实施利润分配。</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易方达原油（</w:t>
      </w:r>
      <w:r w:rsidRPr="001412CA">
        <w:rPr>
          <w:rFonts w:eastAsiaTheme="minorEastAsia"/>
          <w:kern w:val="0"/>
          <w:szCs w:val="21"/>
        </w:rPr>
        <w:t>QDII-LOF-FOF</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本报告期内未实施利润分配。</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45" w:name="_Toc225498263"/>
      <w:bookmarkStart w:id="146" w:name="_Toc352255982"/>
      <w:bookmarkStart w:id="147" w:name="_Toc352256050"/>
      <w:bookmarkStart w:id="148" w:name="_Toc352331228"/>
      <w:bookmarkStart w:id="149" w:name="_Toc390164811"/>
      <w:bookmarkStart w:id="150" w:name="_Toc48664165"/>
      <w:r w:rsidRPr="000C6CCD">
        <w:rPr>
          <w:rFonts w:ascii="宋体" w:hAnsi="宋体"/>
          <w:bCs w:val="0"/>
          <w:color w:val="000000"/>
          <w:sz w:val="21"/>
          <w:szCs w:val="21"/>
        </w:rPr>
        <w:t>5</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托管人报告</w:t>
      </w:r>
      <w:bookmarkEnd w:id="145"/>
      <w:bookmarkEnd w:id="146"/>
      <w:bookmarkEnd w:id="147"/>
      <w:bookmarkEnd w:id="148"/>
      <w:bookmarkEnd w:id="149"/>
      <w:bookmarkEnd w:id="150"/>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1" w:name="_Toc225498264"/>
      <w:bookmarkStart w:id="152" w:name="_Toc352255983"/>
      <w:bookmarkStart w:id="153" w:name="_Toc352256051"/>
      <w:bookmarkStart w:id="154" w:name="_Toc352331229"/>
      <w:bookmarkStart w:id="155" w:name="_Toc390164812"/>
      <w:bookmarkStart w:id="156" w:name="_Toc48664166"/>
      <w:r w:rsidRPr="0087359D">
        <w:rPr>
          <w:rFonts w:ascii="宋体" w:hAnsi="宋体"/>
          <w:kern w:val="0"/>
          <w:sz w:val="21"/>
          <w:szCs w:val="21"/>
        </w:rPr>
        <w:t>5.1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报告期内本基金托管人遵规守信情况声明</w:t>
      </w:r>
      <w:bookmarkEnd w:id="151"/>
      <w:bookmarkEnd w:id="152"/>
      <w:bookmarkEnd w:id="153"/>
      <w:bookmarkEnd w:id="154"/>
      <w:bookmarkEnd w:id="155"/>
      <w:bookmarkEnd w:id="156"/>
    </w:p>
    <w:p w:rsidR="002716B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7" w:name="_Toc225498265"/>
      <w:bookmarkStart w:id="158" w:name="_Toc352255984"/>
      <w:bookmarkStart w:id="159" w:name="_Toc352256052"/>
      <w:bookmarkStart w:id="160" w:name="_Toc352331230"/>
      <w:bookmarkStart w:id="161" w:name="_Toc390164813"/>
      <w:bookmarkStart w:id="162" w:name="_Toc48664167"/>
      <w:r w:rsidRPr="0087359D">
        <w:rPr>
          <w:rFonts w:ascii="宋体" w:hAnsi="宋体"/>
          <w:kern w:val="0"/>
          <w:sz w:val="21"/>
          <w:szCs w:val="21"/>
        </w:rPr>
        <w:t>5.2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托管人对报告期内本基金投资运作遵规守信、净值计算、利润分配等情况的</w:t>
      </w:r>
      <w:bookmarkEnd w:id="157"/>
      <w:r w:rsidRPr="00C24ACA">
        <w:rPr>
          <w:rFonts w:ascii="Times New Roman" w:eastAsiaTheme="minorEastAsia" w:hAnsi="Times New Roman"/>
          <w:kern w:val="0"/>
          <w:sz w:val="21"/>
          <w:szCs w:val="21"/>
        </w:rPr>
        <w:t>说明</w:t>
      </w:r>
      <w:bookmarkEnd w:id="158"/>
      <w:bookmarkEnd w:id="159"/>
      <w:bookmarkEnd w:id="160"/>
      <w:bookmarkEnd w:id="161"/>
      <w:bookmarkEnd w:id="162"/>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招商银行根据法律法规、托管协议约定的投资监督条款，对托管产品的投资行为进行监督，并根据监管要求履行报告义务。</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招商银行按照托管协议约定的统一记账方法和会计处理原则，独立地设置、登录和保管本产品的全套账册，进行会计核算和资产估值并与管理人建立对账机制。</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本年度中期报告中利润分配情况真实、准确。</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63" w:name="_Toc225498266"/>
      <w:bookmarkStart w:id="164" w:name="_Toc352255985"/>
      <w:bookmarkStart w:id="165" w:name="_Toc352256053"/>
      <w:bookmarkStart w:id="166" w:name="_Toc352331231"/>
      <w:bookmarkStart w:id="167" w:name="_Toc390164814"/>
      <w:bookmarkStart w:id="168" w:name="_Toc48664168"/>
      <w:r w:rsidRPr="0087359D">
        <w:rPr>
          <w:rFonts w:ascii="宋体" w:hAnsi="宋体"/>
          <w:kern w:val="0"/>
          <w:sz w:val="21"/>
          <w:szCs w:val="21"/>
        </w:rPr>
        <w:t>5.3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托管人对本</w:t>
      </w:r>
      <w:r w:rsidR="00930E85">
        <w:rPr>
          <w:rFonts w:ascii="Times New Roman" w:eastAsiaTheme="minorEastAsia" w:hAnsi="Times New Roman"/>
          <w:kern w:val="0"/>
          <w:sz w:val="21"/>
          <w:szCs w:val="21"/>
        </w:rPr>
        <w:t>中期</w:t>
      </w:r>
      <w:r w:rsidRPr="00C24ACA">
        <w:rPr>
          <w:rFonts w:ascii="Times New Roman" w:eastAsiaTheme="minorEastAsia" w:hAnsi="Times New Roman"/>
          <w:kern w:val="0"/>
          <w:sz w:val="21"/>
          <w:szCs w:val="21"/>
        </w:rPr>
        <w:t>报告中财务信息等内容的真实、准确和完整发表意见</w:t>
      </w:r>
      <w:bookmarkEnd w:id="163"/>
      <w:bookmarkEnd w:id="164"/>
      <w:bookmarkEnd w:id="165"/>
      <w:bookmarkEnd w:id="166"/>
      <w:bookmarkEnd w:id="167"/>
      <w:bookmarkEnd w:id="168"/>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本年度中期报告中财务指标、净值表现、财务会计报告、投资组合报告内容真实、准确，不存在虚假记载、误导性陈述或者重大遗漏。</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69" w:name="_Toc331410096"/>
      <w:bookmarkStart w:id="170" w:name="_Toc390164815"/>
      <w:bookmarkStart w:id="171" w:name="_Toc48664169"/>
      <w:r w:rsidRPr="000C6CCD">
        <w:rPr>
          <w:rFonts w:ascii="宋体" w:hAnsi="宋体"/>
          <w:bCs w:val="0"/>
          <w:color w:val="000000"/>
          <w:sz w:val="21"/>
          <w:szCs w:val="21"/>
        </w:rPr>
        <w:t>6</w:t>
      </w:r>
      <w:bookmarkEnd w:id="169"/>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半年度财务会计报告（未经审计）</w:t>
      </w:r>
      <w:bookmarkEnd w:id="170"/>
      <w:bookmarkEnd w:id="17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2" w:name="_Toc225498268"/>
      <w:bookmarkStart w:id="173" w:name="_Toc352255991"/>
      <w:bookmarkStart w:id="174" w:name="_Toc352256059"/>
      <w:bookmarkStart w:id="175" w:name="_Toc352331237"/>
      <w:bookmarkStart w:id="176" w:name="_Toc390164816"/>
      <w:bookmarkStart w:id="177" w:name="_Toc48664170"/>
      <w:r w:rsidRPr="0087359D">
        <w:rPr>
          <w:rFonts w:ascii="宋体" w:hAnsi="宋体"/>
          <w:kern w:val="0"/>
          <w:sz w:val="21"/>
          <w:szCs w:val="21"/>
        </w:rPr>
        <w:t>6.1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资产负债表</w:t>
      </w:r>
      <w:bookmarkEnd w:id="172"/>
      <w:bookmarkEnd w:id="173"/>
      <w:bookmarkEnd w:id="174"/>
      <w:bookmarkEnd w:id="175"/>
      <w:bookmarkEnd w:id="176"/>
      <w:bookmarkEnd w:id="177"/>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会计主体：易方达原油证券投资基金（</w:t>
      </w:r>
      <w:r w:rsidRPr="00C24ACA">
        <w:rPr>
          <w:rFonts w:eastAsiaTheme="minorEastAsia"/>
          <w:color w:val="000000"/>
          <w:szCs w:val="21"/>
        </w:rPr>
        <w:t>QDII</w:t>
      </w:r>
      <w:r w:rsidRPr="00C24ACA">
        <w:rPr>
          <w:rFonts w:eastAsiaTheme="minorEastAsia"/>
          <w:color w:val="000000"/>
          <w:szCs w:val="21"/>
        </w:rPr>
        <w:t>）</w:t>
      </w:r>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报告截止日：</w:t>
      </w:r>
      <w:r w:rsidR="00AC4A34" w:rsidRPr="00C24ACA">
        <w:rPr>
          <w:rFonts w:eastAsiaTheme="minorEastAsia"/>
          <w:color w:val="000000"/>
          <w:szCs w:val="21"/>
        </w:rPr>
        <w:t>2020</w:t>
      </w:r>
      <w:r w:rsidR="00AC4A34" w:rsidRPr="00C24ACA">
        <w:rPr>
          <w:rFonts w:eastAsiaTheme="minorEastAsia"/>
          <w:color w:val="000000"/>
          <w:szCs w:val="21"/>
        </w:rPr>
        <w:t>年</w:t>
      </w:r>
      <w:r w:rsidR="00AC4A34" w:rsidRPr="00C24ACA">
        <w:rPr>
          <w:rFonts w:eastAsiaTheme="minorEastAsia"/>
          <w:color w:val="000000"/>
          <w:szCs w:val="21"/>
        </w:rPr>
        <w:t>6</w:t>
      </w:r>
      <w:r w:rsidR="00AC4A34" w:rsidRPr="00C24ACA">
        <w:rPr>
          <w:rFonts w:eastAsiaTheme="minorEastAsia"/>
          <w:color w:val="000000"/>
          <w:szCs w:val="21"/>
        </w:rPr>
        <w:t>月</w:t>
      </w:r>
      <w:r w:rsidR="00AC4A34" w:rsidRPr="00C24ACA">
        <w:rPr>
          <w:rFonts w:eastAsiaTheme="minorEastAsia"/>
          <w:color w:val="000000"/>
          <w:szCs w:val="21"/>
        </w:rPr>
        <w:t>30</w:t>
      </w:r>
      <w:r w:rsidR="00AC4A34" w:rsidRPr="00C24ACA">
        <w:rPr>
          <w:rFonts w:eastAsiaTheme="minorEastAsia"/>
          <w:color w:val="00000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8A5A5D" w:rsidRPr="00C24ACA" w:rsidTr="006D141C">
        <w:tc>
          <w:tcPr>
            <w:tcW w:w="288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资产</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资产：</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银行存款</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r w:rsidRPr="00C24ACA">
              <w:rPr>
                <w:rFonts w:eastAsiaTheme="minorEastAsia"/>
                <w:color w:val="000000"/>
                <w:szCs w:val="21"/>
              </w:rPr>
              <w:t>6.4.7.1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113,800,576.81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14,350,805.44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结算备付金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存出保证金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交易性金融资产</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713,072,435.88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206,515,799.56</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其中：股票投资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vAlign w:val="center"/>
          </w:tcPr>
          <w:p w:rsidR="00AE103C" w:rsidRPr="00C24ACA" w:rsidRDefault="00AE103C" w:rsidP="008134C7">
            <w:pPr>
              <w:pStyle w:val="af6"/>
              <w:ind w:firstLineChars="300" w:firstLine="630"/>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基金投资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713,072,435.88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206,515,799.56</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742218">
        <w:tc>
          <w:tcPr>
            <w:tcW w:w="2880" w:type="dxa"/>
            <w:vAlign w:val="center"/>
          </w:tcPr>
          <w:p w:rsidR="0076511D" w:rsidRPr="00390233" w:rsidRDefault="0076511D" w:rsidP="00742218">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6511D" w:rsidRPr="00390233" w:rsidRDefault="0076511D" w:rsidP="00742218">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衍生金融资产</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买入返售金融资产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6.4.7.4</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应收证券清算款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4,639,035.22</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应收利息</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6.4.7.5</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2,364.60</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1,653.88</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应收股利</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应收申购款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1,622,847.42</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递延所得税资产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其他资产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6.4.7.6</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b/>
                <w:color w:val="000000"/>
                <w:szCs w:val="21"/>
              </w:rPr>
            </w:pPr>
            <w:r w:rsidRPr="00C24ACA">
              <w:rPr>
                <w:rFonts w:eastAsiaTheme="minorEastAsia"/>
                <w:b/>
                <w:color w:val="000000"/>
                <w:szCs w:val="21"/>
              </w:rPr>
              <w:t>资产总计</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826,875,377.29</w:t>
            </w: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227,130,141.52</w:t>
            </w:r>
          </w:p>
        </w:tc>
      </w:tr>
      <w:tr w:rsidR="008A5A5D" w:rsidRPr="00C24ACA" w:rsidTr="006D141C">
        <w:tc>
          <w:tcPr>
            <w:tcW w:w="28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负债和所有者权益</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短期借款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衍生金融负债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卖出回购金融资产款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应付证券清算款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16,544,122.77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应付赎回款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11,659,176.66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7,982,311.59</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应付管理人报酬</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651,011.79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192,104.44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应付托管费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162,752.92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48,026.10</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应付销售服务费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67,137.89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32,031.12</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应付交易费用</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应交税费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应付利息</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递延所得税负债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其他负债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225,083.61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291,648.94</w:t>
            </w:r>
          </w:p>
        </w:tc>
      </w:tr>
      <w:tr w:rsidR="00AE103C" w:rsidRPr="00C24ACA" w:rsidTr="006D141C">
        <w:tc>
          <w:tcPr>
            <w:tcW w:w="2880" w:type="dxa"/>
            <w:vAlign w:val="center"/>
          </w:tcPr>
          <w:p w:rsidR="00AE103C" w:rsidRPr="00C24ACA" w:rsidRDefault="00AE103C">
            <w:pPr>
              <w:pStyle w:val="af6"/>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29,309,285.64</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8,546,122.19</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实收基金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1,505,534,277.53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186,591,997.84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未分配利润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-707,968,185.88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31,992,021.49</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797,566,091.65</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218,584,019.33</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负债和所有者权益总计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826,875,377.29</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227,130,141.52</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注：报告截止日</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r w:rsidRPr="00C24ACA">
        <w:rPr>
          <w:rFonts w:eastAsiaTheme="minorEastAsia"/>
          <w:kern w:val="0"/>
          <w:szCs w:val="21"/>
        </w:rPr>
        <w:t>A</w:t>
      </w:r>
      <w:r w:rsidRPr="00C24ACA">
        <w:rPr>
          <w:rFonts w:eastAsiaTheme="minorEastAsia"/>
          <w:kern w:val="0"/>
          <w:szCs w:val="21"/>
        </w:rPr>
        <w:t>类基金份额净值</w:t>
      </w:r>
      <w:r w:rsidRPr="00C24ACA">
        <w:rPr>
          <w:rFonts w:eastAsiaTheme="minorEastAsia"/>
          <w:kern w:val="0"/>
          <w:szCs w:val="21"/>
        </w:rPr>
        <w:t>0.5341</w:t>
      </w:r>
      <w:r w:rsidRPr="00C24ACA">
        <w:rPr>
          <w:rFonts w:eastAsiaTheme="minorEastAsia"/>
          <w:kern w:val="0"/>
          <w:szCs w:val="21"/>
        </w:rPr>
        <w:t>元，</w:t>
      </w:r>
      <w:r w:rsidRPr="00C24ACA">
        <w:rPr>
          <w:rFonts w:eastAsiaTheme="minorEastAsia"/>
          <w:kern w:val="0"/>
          <w:szCs w:val="21"/>
        </w:rPr>
        <w:t>C</w:t>
      </w:r>
      <w:r w:rsidRPr="00C24ACA">
        <w:rPr>
          <w:rFonts w:eastAsiaTheme="minorEastAsia"/>
          <w:kern w:val="0"/>
          <w:szCs w:val="21"/>
        </w:rPr>
        <w:t>类基金份额净值</w:t>
      </w:r>
      <w:r w:rsidRPr="00C24ACA">
        <w:rPr>
          <w:rFonts w:eastAsiaTheme="minorEastAsia"/>
          <w:kern w:val="0"/>
          <w:szCs w:val="21"/>
        </w:rPr>
        <w:t>0.5213</w:t>
      </w:r>
      <w:r w:rsidRPr="00C24ACA">
        <w:rPr>
          <w:rFonts w:eastAsiaTheme="minorEastAsia"/>
          <w:kern w:val="0"/>
          <w:szCs w:val="21"/>
        </w:rPr>
        <w:t>元；基金份额总额</w:t>
      </w:r>
      <w:r w:rsidRPr="00C24ACA">
        <w:rPr>
          <w:rFonts w:eastAsiaTheme="minorEastAsia"/>
          <w:kern w:val="0"/>
          <w:szCs w:val="21"/>
        </w:rPr>
        <w:t>1,505,534,277.53</w:t>
      </w:r>
      <w:r w:rsidRPr="00C24ACA">
        <w:rPr>
          <w:rFonts w:eastAsiaTheme="minorEastAsia"/>
          <w:kern w:val="0"/>
          <w:szCs w:val="21"/>
        </w:rPr>
        <w:t>份，下属分级基金的份额总额分别为：</w:t>
      </w:r>
      <w:r w:rsidRPr="00C24ACA">
        <w:rPr>
          <w:rFonts w:eastAsiaTheme="minorEastAsia"/>
          <w:kern w:val="0"/>
          <w:szCs w:val="21"/>
        </w:rPr>
        <w:t>A</w:t>
      </w:r>
      <w:r w:rsidRPr="00C24ACA">
        <w:rPr>
          <w:rFonts w:eastAsiaTheme="minorEastAsia"/>
          <w:kern w:val="0"/>
          <w:szCs w:val="21"/>
        </w:rPr>
        <w:t>类基金份额总额</w:t>
      </w:r>
      <w:r w:rsidRPr="00C24ACA">
        <w:rPr>
          <w:rFonts w:eastAsiaTheme="minorEastAsia"/>
          <w:kern w:val="0"/>
          <w:szCs w:val="21"/>
        </w:rPr>
        <w:t>991,727,010.58</w:t>
      </w:r>
      <w:r w:rsidRPr="00C24ACA">
        <w:rPr>
          <w:rFonts w:eastAsiaTheme="minorEastAsia"/>
          <w:kern w:val="0"/>
          <w:szCs w:val="21"/>
        </w:rPr>
        <w:t>份，</w:t>
      </w:r>
      <w:r w:rsidRPr="00C24ACA">
        <w:rPr>
          <w:rFonts w:eastAsiaTheme="minorEastAsia"/>
          <w:kern w:val="0"/>
          <w:szCs w:val="21"/>
        </w:rPr>
        <w:t>C</w:t>
      </w:r>
      <w:r w:rsidRPr="00C24ACA">
        <w:rPr>
          <w:rFonts w:eastAsiaTheme="minorEastAsia"/>
          <w:kern w:val="0"/>
          <w:szCs w:val="21"/>
        </w:rPr>
        <w:t>类基金份额总额</w:t>
      </w:r>
      <w:r w:rsidRPr="00C24ACA">
        <w:rPr>
          <w:rFonts w:eastAsiaTheme="minorEastAsia"/>
          <w:kern w:val="0"/>
          <w:szCs w:val="21"/>
        </w:rPr>
        <w:t>513,807,266.95</w:t>
      </w:r>
      <w:r w:rsidRPr="00C24ACA">
        <w:rPr>
          <w:rFonts w:eastAsiaTheme="minorEastAsia"/>
          <w:kern w:val="0"/>
          <w:szCs w:val="21"/>
        </w:rPr>
        <w:t>份。</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8" w:name="_Toc225498269"/>
      <w:bookmarkStart w:id="179" w:name="_Toc352255992"/>
      <w:bookmarkStart w:id="180" w:name="_Toc352256060"/>
      <w:bookmarkStart w:id="181" w:name="_Toc352331238"/>
      <w:bookmarkStart w:id="182" w:name="_Toc390164817"/>
      <w:bookmarkStart w:id="183" w:name="_Toc48664171"/>
      <w:r w:rsidRPr="0087359D">
        <w:rPr>
          <w:rFonts w:ascii="宋体" w:hAnsi="宋体"/>
          <w:kern w:val="0"/>
          <w:sz w:val="21"/>
          <w:szCs w:val="21"/>
        </w:rPr>
        <w:t>6.2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利润表</w:t>
      </w:r>
      <w:bookmarkEnd w:id="178"/>
      <w:bookmarkEnd w:id="179"/>
      <w:bookmarkEnd w:id="180"/>
      <w:bookmarkEnd w:id="181"/>
      <w:bookmarkEnd w:id="182"/>
      <w:bookmarkEnd w:id="183"/>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易方达原油证券投资基金（</w:t>
      </w:r>
      <w:r w:rsidRPr="00C24ACA">
        <w:rPr>
          <w:rFonts w:eastAsiaTheme="minorEastAsia"/>
          <w:kern w:val="0"/>
          <w:szCs w:val="21"/>
        </w:rPr>
        <w:t>QDII</w:t>
      </w:r>
      <w:r w:rsidRPr="00C24ACA">
        <w:rPr>
          <w:rFonts w:eastAsiaTheme="minorEastAsia"/>
          <w:kern w:val="0"/>
          <w:szCs w:val="21"/>
        </w:rPr>
        <w:t>）</w:t>
      </w:r>
    </w:p>
    <w:p w:rsidR="008A5A5D" w:rsidRPr="00C24ACA" w:rsidRDefault="008A5A5D" w:rsidP="00316012">
      <w:pPr>
        <w:spacing w:line="360" w:lineRule="auto"/>
        <w:rPr>
          <w:rFonts w:eastAsiaTheme="minorEastAsia"/>
          <w:color w:val="000000"/>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8A5A5D" w:rsidRPr="00C24ACA" w:rsidTr="0014666D">
        <w:tc>
          <w:tcPr>
            <w:tcW w:w="342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项目</w:t>
            </w:r>
          </w:p>
        </w:tc>
        <w:tc>
          <w:tcPr>
            <w:tcW w:w="108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w:t>
            </w:r>
          </w:p>
          <w:p w:rsidR="008A5A5D" w:rsidRPr="00C24ACA" w:rsidRDefault="00AC4A34"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上年度可比期间</w:t>
            </w:r>
          </w:p>
          <w:p w:rsidR="008A5A5D" w:rsidRPr="00C24ACA" w:rsidRDefault="00BD0707"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AE103C" w:rsidRPr="00C24ACA" w:rsidTr="0014666D">
        <w:tc>
          <w:tcPr>
            <w:tcW w:w="3420" w:type="dxa"/>
          </w:tcPr>
          <w:p w:rsidR="00AE103C" w:rsidRPr="00C24ACA" w:rsidRDefault="00AE103C">
            <w:pPr>
              <w:rPr>
                <w:rFonts w:eastAsiaTheme="minorEastAsia"/>
                <w:b/>
                <w:color w:val="000000"/>
                <w:szCs w:val="21"/>
              </w:rPr>
            </w:pPr>
            <w:r w:rsidRPr="00C24ACA">
              <w:rPr>
                <w:rFonts w:eastAsiaTheme="minorEastAsia"/>
                <w:b/>
                <w:color w:val="000000"/>
                <w:szCs w:val="21"/>
              </w:rPr>
              <w:t>一、收入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-393,049,184.91</w:t>
            </w: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53,520,546.19</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98,134.40</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63,437.55</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其中：存款利息收入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6.4.7.11</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98,134.40</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63,437.55</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买入返售金融资产收入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其他利息收入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投资收益（损失以</w:t>
            </w:r>
            <w:r w:rsidRPr="00C24ACA">
              <w:rPr>
                <w:rFonts w:eastAsiaTheme="minorEastAsia"/>
                <w:color w:val="000000"/>
                <w:szCs w:val="21"/>
              </w:rPr>
              <w:t>“-”</w:t>
            </w:r>
            <w:r w:rsidRPr="00C24ACA">
              <w:rPr>
                <w:rFonts w:eastAsiaTheme="minorEastAsia"/>
                <w:color w:val="000000"/>
                <w:szCs w:val="21"/>
              </w:rPr>
              <w:t>填列）</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-21,547,638.77</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-5,930,629.28</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其中：股票投资收益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vAlign w:val="center"/>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基金投资收益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6.4.7.13</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-21,616,594.64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-6,185,328.66</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224952">
              <w:rPr>
                <w:rFonts w:hint="eastAsia"/>
              </w:rPr>
              <w:t>贵金属投资收益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衍生工具收益</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股利收益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68,955.87</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254,699.38</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公允价值变动收益（损失以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6.4.7.17</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-371,936,857.51</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59,035,818.38</w:t>
            </w:r>
          </w:p>
        </w:tc>
      </w:tr>
      <w:tr w:rsidR="0076511D" w:rsidRPr="00C24ACA" w:rsidTr="0014666D">
        <w:tc>
          <w:tcPr>
            <w:tcW w:w="3420" w:type="dxa"/>
            <w:vAlign w:val="center"/>
          </w:tcPr>
          <w:p w:rsidR="0076511D" w:rsidRPr="00C24ACA" w:rsidRDefault="0076511D">
            <w:pPr>
              <w:pStyle w:val="af6"/>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4.</w:t>
            </w:r>
            <w:r w:rsidRPr="00C24ACA">
              <w:rPr>
                <w:rFonts w:ascii="Times New Roman" w:eastAsiaTheme="minorEastAsia" w:hAnsi="Times New Roman"/>
                <w:color w:val="000000"/>
                <w:sz w:val="21"/>
                <w:szCs w:val="21"/>
              </w:rPr>
              <w:t>汇兑收益（损失以</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-1,896,600.74</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170,721.67</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其他收入（损失以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2,233,777.71</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181,197.87</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减：二、费用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4,650,081.97</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1,975,672.46</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．管理人报酬</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2,821,754.50</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1,280,843.64</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．托管费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705,438.59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320,210.97</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．销售服务费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340,651.62</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195,224.94</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4</w:t>
            </w:r>
            <w:r w:rsidRPr="00C24ACA">
              <w:rPr>
                <w:rFonts w:eastAsiaTheme="minorEastAsia"/>
                <w:color w:val="000000"/>
                <w:szCs w:val="21"/>
              </w:rPr>
              <w:t>．交易费用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648,659.82</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47,908.36</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．利息支出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其中：卖出回购金融资产支出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6</w:t>
            </w:r>
            <w:r>
              <w:rPr>
                <w:rFonts w:eastAsiaTheme="minorEastAsia" w:hint="eastAsia"/>
                <w:color w:val="000000"/>
                <w:szCs w:val="21"/>
              </w:rPr>
              <w:t>．税金及附加</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7</w:t>
            </w:r>
            <w:r>
              <w:rPr>
                <w:rFonts w:eastAsiaTheme="minorEastAsia" w:hint="eastAsia"/>
                <w:color w:val="000000"/>
                <w:szCs w:val="21"/>
              </w:rPr>
              <w:t>．其他费用</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r>
              <w:rPr>
                <w:rFonts w:ascii="Times New Roman" w:eastAsiaTheme="minorEastAsia" w:hAnsi="Times New Roman"/>
                <w:color w:val="000000"/>
                <w:sz w:val="21"/>
                <w:szCs w:val="21"/>
              </w:rPr>
              <w:t>6.4.7.20</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133,577.44</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131,484.55</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三、利润总额（亏损总额以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-397,699,266.88</w:t>
            </w: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51,544,873.73</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szCs w:val="21"/>
              </w:rPr>
              <w:t>减：所得税费用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四、净利润（净亏损以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-397,699,266.88</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51,544,873.73</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84" w:name="_Toc225498270"/>
      <w:bookmarkStart w:id="185" w:name="_Toc352255993"/>
      <w:bookmarkStart w:id="186" w:name="_Toc352256061"/>
      <w:bookmarkStart w:id="187" w:name="_Toc352331239"/>
      <w:bookmarkStart w:id="188" w:name="_Toc390164818"/>
      <w:bookmarkStart w:id="189" w:name="_Toc48664172"/>
      <w:r w:rsidRPr="0087359D">
        <w:rPr>
          <w:rFonts w:ascii="宋体" w:hAnsi="宋体"/>
          <w:kern w:val="0"/>
          <w:sz w:val="21"/>
          <w:szCs w:val="21"/>
        </w:rPr>
        <w:t>6.3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所有者权益（基金净值）变动表</w:t>
      </w:r>
      <w:bookmarkEnd w:id="184"/>
      <w:bookmarkEnd w:id="185"/>
      <w:bookmarkEnd w:id="186"/>
      <w:bookmarkEnd w:id="187"/>
      <w:bookmarkEnd w:id="188"/>
      <w:bookmarkEnd w:id="189"/>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易方达原油证券投资基金（</w:t>
      </w:r>
      <w:r w:rsidRPr="00C24ACA">
        <w:rPr>
          <w:rFonts w:eastAsiaTheme="minorEastAsia"/>
          <w:kern w:val="0"/>
          <w:szCs w:val="21"/>
        </w:rPr>
        <w:t>QDII</w:t>
      </w:r>
      <w:r w:rsidRPr="00C24ACA">
        <w:rPr>
          <w:rFonts w:eastAsiaTheme="minorEastAsia"/>
          <w:kern w:val="0"/>
          <w:szCs w:val="21"/>
        </w:rPr>
        <w:t>）</w:t>
      </w:r>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8A5A5D" w:rsidRPr="00C24ACA" w:rsidTr="006D141C">
        <w:tc>
          <w:tcPr>
            <w:tcW w:w="2835" w:type="dxa"/>
            <w:vMerge w:val="restart"/>
            <w:vAlign w:val="center"/>
          </w:tcPr>
          <w:p w:rsidR="008A5A5D" w:rsidRPr="00C24ACA" w:rsidRDefault="008A5A5D" w:rsidP="00C96D24">
            <w:pPr>
              <w:jc w:val="center"/>
              <w:rPr>
                <w:rFonts w:eastAsiaTheme="minorEastAsia"/>
                <w:b/>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本期</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r>
      <w:tr w:rsidR="008A5A5D" w:rsidRPr="00C24ACA" w:rsidTr="006D141C">
        <w:tc>
          <w:tcPr>
            <w:tcW w:w="2835" w:type="dxa"/>
            <w:vMerge/>
            <w:vAlign w:val="center"/>
          </w:tcPr>
          <w:p w:rsidR="008A5A5D" w:rsidRPr="00C24ACA" w:rsidRDefault="008A5A5D">
            <w:pPr>
              <w:widowControl/>
              <w:jc w:val="left"/>
              <w:rPr>
                <w:rFonts w:eastAsiaTheme="minorEastAsia"/>
                <w:b/>
                <w:color w:val="000000"/>
                <w:szCs w:val="21"/>
              </w:rPr>
            </w:pPr>
          </w:p>
        </w:tc>
        <w:tc>
          <w:tcPr>
            <w:tcW w:w="2127"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186,591,997.84</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31,992,021.49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218,584,019.33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-397,699,266.88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-397,699,266.88</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1,318,942,279.69</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-342,260,940.49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976,681,339.20</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1,547,239,386.36</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-400,595,023.71</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1,146,644,362.65</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-228,297,106.67</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58,334,083.22</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-169,963,023.45</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1,505,534,277.53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-707,968,185.88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797,566,091.65</w:t>
            </w:r>
          </w:p>
        </w:tc>
      </w:tr>
      <w:tr w:rsidR="008A5A5D" w:rsidRPr="00C24ACA" w:rsidTr="006D141C">
        <w:tc>
          <w:tcPr>
            <w:tcW w:w="2835" w:type="dxa"/>
            <w:vMerge w:val="restart"/>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上年度可比期间</w:t>
            </w:r>
          </w:p>
          <w:p w:rsidR="008A5A5D" w:rsidRPr="00C24ACA" w:rsidRDefault="00BD0707">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8A5A5D" w:rsidRPr="00C24ACA" w:rsidTr="008964A8">
        <w:tc>
          <w:tcPr>
            <w:tcW w:w="2835" w:type="dxa"/>
            <w:vMerge/>
            <w:vAlign w:val="center"/>
          </w:tcPr>
          <w:p w:rsidR="008A5A5D" w:rsidRPr="00C24ACA" w:rsidRDefault="008A5A5D">
            <w:pPr>
              <w:widowControl/>
              <w:jc w:val="left"/>
              <w:rPr>
                <w:rFonts w:eastAsiaTheme="minorEastAsia"/>
                <w:color w:val="000000"/>
                <w:szCs w:val="21"/>
              </w:rPr>
            </w:pPr>
          </w:p>
        </w:tc>
        <w:tc>
          <w:tcPr>
            <w:tcW w:w="2127" w:type="dxa"/>
            <w:vAlign w:val="center"/>
          </w:tcPr>
          <w:p w:rsidR="008A5A5D" w:rsidRPr="00C24ACA" w:rsidRDefault="008A5A5D" w:rsidP="00E069E3">
            <w:pPr>
              <w:jc w:val="center"/>
              <w:rPr>
                <w:rFonts w:eastAsiaTheme="minorEastAsia"/>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rsidP="008964A8">
            <w:pPr>
              <w:jc w:val="center"/>
              <w:rPr>
                <w:rFonts w:eastAsiaTheme="minorEastAsia"/>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rsidP="008964A8">
            <w:pPr>
              <w:jc w:val="center"/>
              <w:rPr>
                <w:rFonts w:eastAsiaTheme="minorEastAsia"/>
                <w:b/>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253,451,568.43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-24,594,220.83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228,857,347.60</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51,544,873.73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51,544,873.73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-11,669,146.13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-3,159,845.14</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-14,828,991.27</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186,430,199.78</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12,817,922.79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199,248,122.57</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-198,099,345.91</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-15,977,767.93</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-214,077,113.84</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241,782,422.30</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23,790,807.76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265,573,230.06</w:t>
            </w:r>
          </w:p>
        </w:tc>
      </w:tr>
    </w:tbl>
    <w:p w:rsidR="0035753E" w:rsidRPr="00C24ACA" w:rsidRDefault="0035753E" w:rsidP="00732F5C">
      <w:pPr>
        <w:spacing w:beforeLines="100" w:before="312" w:line="360" w:lineRule="auto"/>
        <w:rPr>
          <w:rFonts w:eastAsiaTheme="minorEastAsia"/>
          <w:szCs w:val="21"/>
        </w:rPr>
      </w:pPr>
      <w:r w:rsidRPr="00C24ACA">
        <w:rPr>
          <w:rFonts w:eastAsiaTheme="minorEastAsia"/>
          <w:szCs w:val="21"/>
        </w:rPr>
        <w:t>报表附注为财务报表的组成部分。</w:t>
      </w:r>
    </w:p>
    <w:p w:rsidR="0035753E" w:rsidRPr="00C24ACA" w:rsidRDefault="0035753E" w:rsidP="00316012">
      <w:pPr>
        <w:spacing w:line="360" w:lineRule="auto"/>
        <w:rPr>
          <w:rFonts w:eastAsiaTheme="minorEastAsia"/>
          <w:szCs w:val="21"/>
        </w:rPr>
      </w:pPr>
      <w:r w:rsidRPr="00C24ACA">
        <w:rPr>
          <w:rFonts w:eastAsiaTheme="minorEastAsia"/>
          <w:szCs w:val="21"/>
        </w:rPr>
        <w:t>本报告</w:t>
      </w:r>
      <w:r w:rsidRPr="00C24ACA">
        <w:rPr>
          <w:rFonts w:eastAsiaTheme="minorEastAsia"/>
          <w:szCs w:val="21"/>
        </w:rPr>
        <w:t>6.1</w:t>
      </w:r>
      <w:r w:rsidRPr="00C24ACA">
        <w:rPr>
          <w:rFonts w:eastAsiaTheme="minorEastAsia"/>
          <w:szCs w:val="21"/>
        </w:rPr>
        <w:t>至</w:t>
      </w:r>
      <w:r w:rsidRPr="00C24ACA">
        <w:rPr>
          <w:rFonts w:eastAsiaTheme="minorEastAsia"/>
          <w:szCs w:val="21"/>
        </w:rPr>
        <w:t>6.4</w:t>
      </w:r>
      <w:r w:rsidRPr="00C24ACA">
        <w:rPr>
          <w:rFonts w:eastAsiaTheme="minorEastAsia"/>
          <w:szCs w:val="21"/>
        </w:rPr>
        <w:t>，财务报表由下列负责人签署：</w:t>
      </w:r>
    </w:p>
    <w:p w:rsidR="008A5A5D" w:rsidRPr="00C24ACA" w:rsidRDefault="00787FF8" w:rsidP="00862636">
      <w:pPr>
        <w:spacing w:line="360" w:lineRule="auto"/>
        <w:rPr>
          <w:rFonts w:eastAsiaTheme="minorEastAsia"/>
          <w:szCs w:val="21"/>
        </w:rPr>
      </w:pPr>
      <w:r w:rsidRPr="00C24ACA">
        <w:rPr>
          <w:rFonts w:eastAsiaTheme="minorEastAsia"/>
          <w:szCs w:val="21"/>
        </w:rPr>
        <w:t>基金管理人</w:t>
      </w:r>
      <w:r w:rsidR="0035753E" w:rsidRPr="00C24ACA">
        <w:rPr>
          <w:rFonts w:eastAsiaTheme="minorEastAsia"/>
          <w:szCs w:val="21"/>
        </w:rPr>
        <w:t>负责人：刘晓艳，主管会计工作负责人：陈荣，会计机构负责人：邱毅华</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90" w:name="_Toc225498271"/>
      <w:bookmarkStart w:id="191" w:name="_Toc352255994"/>
      <w:bookmarkStart w:id="192" w:name="_Toc352256062"/>
      <w:bookmarkStart w:id="193" w:name="_Toc352331240"/>
      <w:bookmarkStart w:id="194" w:name="_Toc390164819"/>
      <w:bookmarkStart w:id="195" w:name="_Toc48664173"/>
      <w:r w:rsidRPr="0087359D">
        <w:rPr>
          <w:rFonts w:ascii="宋体" w:hAnsi="宋体"/>
          <w:kern w:val="0"/>
          <w:sz w:val="21"/>
          <w:szCs w:val="21"/>
        </w:rPr>
        <w:t>6.4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报表附注</w:t>
      </w:r>
      <w:bookmarkEnd w:id="190"/>
      <w:bookmarkEnd w:id="191"/>
      <w:bookmarkEnd w:id="192"/>
      <w:bookmarkEnd w:id="193"/>
      <w:bookmarkEnd w:id="194"/>
      <w:bookmarkEnd w:id="195"/>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w:t>
      </w:r>
      <w:r w:rsidR="004F3E31" w:rsidRPr="00C24ACA">
        <w:rPr>
          <w:rFonts w:eastAsiaTheme="minorEastAsia"/>
          <w:b/>
          <w:bCs/>
          <w:color w:val="000000"/>
          <w:kern w:val="0"/>
          <w:szCs w:val="21"/>
        </w:rPr>
        <w:t xml:space="preserve"> </w:t>
      </w:r>
      <w:r w:rsidRPr="00C24ACA">
        <w:rPr>
          <w:rFonts w:eastAsiaTheme="minorEastAsia"/>
          <w:b/>
          <w:color w:val="000000"/>
          <w:kern w:val="0"/>
          <w:szCs w:val="21"/>
        </w:rPr>
        <w:t>基金基本情况</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易方达原油证券投资基金（</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w:t>
      </w:r>
      <w:r w:rsidRPr="00C24ACA">
        <w:rPr>
          <w:rFonts w:eastAsiaTheme="minorEastAsia"/>
          <w:kern w:val="0"/>
          <w:szCs w:val="21"/>
        </w:rPr>
        <w:t>以下简称</w:t>
      </w:r>
      <w:r w:rsidRPr="00C24ACA">
        <w:rPr>
          <w:rFonts w:eastAsiaTheme="minorEastAsia"/>
          <w:kern w:val="0"/>
          <w:szCs w:val="21"/>
        </w:rPr>
        <w:t>“</w:t>
      </w:r>
      <w:r w:rsidRPr="00C24ACA">
        <w:rPr>
          <w:rFonts w:eastAsiaTheme="minorEastAsia"/>
          <w:kern w:val="0"/>
          <w:szCs w:val="21"/>
        </w:rPr>
        <w:t>本基金</w:t>
      </w:r>
      <w:r w:rsidRPr="00C24ACA">
        <w:rPr>
          <w:rFonts w:eastAsiaTheme="minorEastAsia"/>
          <w:kern w:val="0"/>
          <w:szCs w:val="21"/>
        </w:rPr>
        <w:t xml:space="preserve">”) </w:t>
      </w:r>
      <w:r w:rsidRPr="00C24ACA">
        <w:rPr>
          <w:rFonts w:eastAsiaTheme="minorEastAsia"/>
          <w:kern w:val="0"/>
          <w:szCs w:val="21"/>
        </w:rPr>
        <w:t>根据中国证券监督管理委员会（简称</w:t>
      </w:r>
      <w:r w:rsidRPr="00C24ACA">
        <w:rPr>
          <w:rFonts w:eastAsiaTheme="minorEastAsia"/>
          <w:kern w:val="0"/>
          <w:szCs w:val="21"/>
        </w:rPr>
        <w:t>“</w:t>
      </w:r>
      <w:r w:rsidRPr="00C24ACA">
        <w:rPr>
          <w:rFonts w:eastAsiaTheme="minorEastAsia"/>
          <w:kern w:val="0"/>
          <w:szCs w:val="21"/>
        </w:rPr>
        <w:t>中国证监会</w:t>
      </w:r>
      <w:r w:rsidRPr="00C24ACA">
        <w:rPr>
          <w:rFonts w:eastAsiaTheme="minorEastAsia"/>
          <w:kern w:val="0"/>
          <w:szCs w:val="21"/>
        </w:rPr>
        <w:t>”</w:t>
      </w:r>
      <w:r w:rsidRPr="00C24ACA">
        <w:rPr>
          <w:rFonts w:eastAsiaTheme="minorEastAsia"/>
          <w:kern w:val="0"/>
          <w:szCs w:val="21"/>
        </w:rPr>
        <w:t>）</w:t>
      </w:r>
      <w:r w:rsidRPr="00C24ACA">
        <w:rPr>
          <w:rFonts w:eastAsiaTheme="minorEastAsia"/>
          <w:kern w:val="0"/>
          <w:szCs w:val="21"/>
        </w:rPr>
        <w:t>2016</w:t>
      </w:r>
      <w:r w:rsidRPr="00C24ACA">
        <w:rPr>
          <w:rFonts w:eastAsiaTheme="minorEastAsia"/>
          <w:kern w:val="0"/>
          <w:szCs w:val="21"/>
        </w:rPr>
        <w:t>年</w:t>
      </w:r>
      <w:r w:rsidRPr="00C24ACA">
        <w:rPr>
          <w:rFonts w:eastAsiaTheme="minorEastAsia"/>
          <w:kern w:val="0"/>
          <w:szCs w:val="21"/>
        </w:rPr>
        <w:t>8</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日印发的证监许可【</w:t>
      </w:r>
      <w:r w:rsidRPr="00C24ACA">
        <w:rPr>
          <w:rFonts w:eastAsiaTheme="minorEastAsia"/>
          <w:kern w:val="0"/>
          <w:szCs w:val="21"/>
        </w:rPr>
        <w:t>2016</w:t>
      </w:r>
      <w:r w:rsidRPr="00C24ACA">
        <w:rPr>
          <w:rFonts w:eastAsiaTheme="minorEastAsia"/>
          <w:kern w:val="0"/>
          <w:szCs w:val="21"/>
        </w:rPr>
        <w:t>】</w:t>
      </w:r>
      <w:r w:rsidRPr="00C24ACA">
        <w:rPr>
          <w:rFonts w:eastAsiaTheme="minorEastAsia"/>
          <w:kern w:val="0"/>
          <w:szCs w:val="21"/>
        </w:rPr>
        <w:t>1989</w:t>
      </w:r>
      <w:r w:rsidRPr="00C24ACA">
        <w:rPr>
          <w:rFonts w:eastAsiaTheme="minorEastAsia"/>
          <w:kern w:val="0"/>
          <w:szCs w:val="21"/>
        </w:rPr>
        <w:t>号《关于准予易方达原油证券投资基金（</w:t>
      </w:r>
      <w:r w:rsidRPr="00C24ACA">
        <w:rPr>
          <w:rFonts w:eastAsiaTheme="minorEastAsia"/>
          <w:kern w:val="0"/>
          <w:szCs w:val="21"/>
        </w:rPr>
        <w:t>QDII</w:t>
      </w:r>
      <w:r w:rsidRPr="00C24ACA">
        <w:rPr>
          <w:rFonts w:eastAsiaTheme="minorEastAsia"/>
          <w:kern w:val="0"/>
          <w:szCs w:val="21"/>
        </w:rPr>
        <w:t>）注册的批复》，由易方达基金管理有限公司依照《中华人民共和国证券投资基金法》和《易方达原油证券投资基金（</w:t>
      </w:r>
      <w:r w:rsidRPr="00C24ACA">
        <w:rPr>
          <w:rFonts w:eastAsiaTheme="minorEastAsia"/>
          <w:kern w:val="0"/>
          <w:szCs w:val="21"/>
        </w:rPr>
        <w:t>QDII</w:t>
      </w:r>
      <w:r w:rsidRPr="00C24ACA">
        <w:rPr>
          <w:rFonts w:eastAsiaTheme="minorEastAsia"/>
          <w:kern w:val="0"/>
          <w:szCs w:val="21"/>
        </w:rPr>
        <w:t>）基金合同》公开募集。经向中国证监会备案，《易方达原油证券投资基金（</w:t>
      </w:r>
      <w:r w:rsidRPr="00C24ACA">
        <w:rPr>
          <w:rFonts w:eastAsiaTheme="minorEastAsia"/>
          <w:kern w:val="0"/>
          <w:szCs w:val="21"/>
        </w:rPr>
        <w:t>QDII</w:t>
      </w:r>
      <w:r w:rsidRPr="00C24ACA">
        <w:rPr>
          <w:rFonts w:eastAsiaTheme="minorEastAsia"/>
          <w:kern w:val="0"/>
          <w:szCs w:val="21"/>
        </w:rPr>
        <w:t>）基金合同》于</w:t>
      </w:r>
      <w:r w:rsidRPr="00C24ACA">
        <w:rPr>
          <w:rFonts w:eastAsiaTheme="minorEastAsia"/>
          <w:kern w:val="0"/>
          <w:szCs w:val="21"/>
        </w:rPr>
        <w:t>2016</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19</w:t>
      </w:r>
      <w:r w:rsidRPr="00C24ACA">
        <w:rPr>
          <w:rFonts w:eastAsiaTheme="minorEastAsia"/>
          <w:kern w:val="0"/>
          <w:szCs w:val="21"/>
        </w:rPr>
        <w:t>日正式生效，基金合同生效日的基金份额总额为</w:t>
      </w:r>
      <w:r w:rsidRPr="00C24ACA">
        <w:rPr>
          <w:rFonts w:eastAsiaTheme="minorEastAsia"/>
          <w:kern w:val="0"/>
          <w:szCs w:val="21"/>
        </w:rPr>
        <w:t>303,112,346.60</w:t>
      </w:r>
      <w:r w:rsidRPr="00C24ACA">
        <w:rPr>
          <w:rFonts w:eastAsiaTheme="minorEastAsia"/>
          <w:kern w:val="0"/>
          <w:szCs w:val="21"/>
        </w:rPr>
        <w:t>份基金份额，其中认购资金利息折合</w:t>
      </w:r>
      <w:r w:rsidRPr="00C24ACA">
        <w:rPr>
          <w:rFonts w:eastAsiaTheme="minorEastAsia"/>
          <w:kern w:val="0"/>
          <w:szCs w:val="21"/>
        </w:rPr>
        <w:t>27,459.13</w:t>
      </w:r>
      <w:r w:rsidRPr="00C24ACA">
        <w:rPr>
          <w:rFonts w:eastAsiaTheme="minorEastAsia"/>
          <w:kern w:val="0"/>
          <w:szCs w:val="21"/>
        </w:rPr>
        <w:t>份基金份额。本基金为契约型开放式基金，存续期限不定。本基金的基金管理人为易方达基金管理有限公司，基金托管人为招商银行股份有限公司，境外托管人为香港上海汇丰银行有限公司。</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6.4.2</w:t>
      </w:r>
      <w:r w:rsidR="004F3E31" w:rsidRPr="00C24ACA">
        <w:rPr>
          <w:rFonts w:eastAsiaTheme="minorEastAsia"/>
          <w:b/>
          <w:bCs/>
          <w:color w:val="000000"/>
          <w:kern w:val="0"/>
          <w:szCs w:val="21"/>
        </w:rPr>
        <w:t xml:space="preserve"> </w:t>
      </w:r>
      <w:r w:rsidRPr="00C24ACA">
        <w:rPr>
          <w:rFonts w:eastAsiaTheme="minorEastAsia"/>
          <w:b/>
          <w:color w:val="000000"/>
          <w:kern w:val="0"/>
          <w:szCs w:val="21"/>
        </w:rPr>
        <w:t>会计报表的编制基础</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本财务报表系按照财政部颁布的《企业会计准则</w:t>
      </w:r>
      <w:r>
        <w:rPr>
          <w:rFonts w:eastAsiaTheme="minorEastAsia"/>
          <w:kern w:val="0"/>
          <w:szCs w:val="21"/>
        </w:rPr>
        <w:t>—</w:t>
      </w:r>
      <w:r>
        <w:rPr>
          <w:rFonts w:eastAsiaTheme="minorEastAsia"/>
          <w:kern w:val="0"/>
          <w:szCs w:val="21"/>
        </w:rPr>
        <w:t>基本准则》以及其后颁布及修订的具体会计准则、应用指南、解释以及其他相关规定（以下合称</w:t>
      </w:r>
      <w:r>
        <w:rPr>
          <w:rFonts w:eastAsiaTheme="minorEastAsia"/>
          <w:kern w:val="0"/>
          <w:szCs w:val="21"/>
        </w:rPr>
        <w:t>“</w:t>
      </w:r>
      <w:r>
        <w:rPr>
          <w:rFonts w:eastAsiaTheme="minorEastAsia"/>
          <w:kern w:val="0"/>
          <w:szCs w:val="21"/>
        </w:rPr>
        <w:t>企业会计准则</w:t>
      </w:r>
      <w:r>
        <w:rPr>
          <w:rFonts w:eastAsiaTheme="minorEastAsia"/>
          <w:kern w:val="0"/>
          <w:szCs w:val="21"/>
        </w:rPr>
        <w:t>”</w:t>
      </w:r>
      <w:r>
        <w:rPr>
          <w:rFonts w:eastAsiaTheme="minorEastAsia"/>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rFonts w:eastAsiaTheme="minorEastAsia"/>
          <w:kern w:val="0"/>
          <w:szCs w:val="21"/>
        </w:rPr>
        <w:t>2</w:t>
      </w:r>
      <w:r>
        <w:rPr>
          <w:rFonts w:eastAsiaTheme="minorEastAsia"/>
          <w:kern w:val="0"/>
          <w:szCs w:val="21"/>
        </w:rPr>
        <w:t>号《年度报告的内容与格式》、《证券投资基金信息披露编报规则》第</w:t>
      </w:r>
      <w:r>
        <w:rPr>
          <w:rFonts w:eastAsiaTheme="minorEastAsia"/>
          <w:kern w:val="0"/>
          <w:szCs w:val="21"/>
        </w:rPr>
        <w:t>3</w:t>
      </w:r>
      <w:r>
        <w:rPr>
          <w:rFonts w:eastAsiaTheme="minorEastAsia"/>
          <w:kern w:val="0"/>
          <w:szCs w:val="21"/>
        </w:rPr>
        <w:t>号《会计报表附注的编制及披露》、《证券投资基金信息披露</w:t>
      </w:r>
      <w:r>
        <w:rPr>
          <w:rFonts w:eastAsiaTheme="minorEastAsia"/>
          <w:kern w:val="0"/>
          <w:szCs w:val="21"/>
        </w:rPr>
        <w:t>XBRL</w:t>
      </w:r>
      <w:r>
        <w:rPr>
          <w:rFonts w:eastAsiaTheme="minorEastAsia"/>
          <w:kern w:val="0"/>
          <w:szCs w:val="21"/>
        </w:rPr>
        <w:t>模板第</w:t>
      </w:r>
      <w:r>
        <w:rPr>
          <w:rFonts w:eastAsiaTheme="minorEastAsia"/>
          <w:kern w:val="0"/>
          <w:szCs w:val="21"/>
        </w:rPr>
        <w:t>3</w:t>
      </w:r>
      <w:r>
        <w:rPr>
          <w:rFonts w:eastAsiaTheme="minorEastAsia"/>
          <w:kern w:val="0"/>
          <w:szCs w:val="21"/>
        </w:rPr>
        <w:t>号</w:t>
      </w:r>
      <w:r>
        <w:rPr>
          <w:rFonts w:eastAsiaTheme="minorEastAsia"/>
          <w:kern w:val="0"/>
          <w:szCs w:val="21"/>
        </w:rPr>
        <w:t>&lt;</w:t>
      </w:r>
      <w:r>
        <w:rPr>
          <w:rFonts w:eastAsiaTheme="minorEastAsia"/>
          <w:kern w:val="0"/>
          <w:szCs w:val="21"/>
        </w:rPr>
        <w:t>年度报告和中期报告</w:t>
      </w:r>
      <w:r>
        <w:rPr>
          <w:rFonts w:eastAsiaTheme="minorEastAsia"/>
          <w:kern w:val="0"/>
          <w:szCs w:val="21"/>
        </w:rPr>
        <w:t>&gt;</w:t>
      </w:r>
      <w:r>
        <w:rPr>
          <w:rFonts w:eastAsiaTheme="minorEastAsia"/>
          <w:kern w:val="0"/>
          <w:szCs w:val="21"/>
        </w:rPr>
        <w:t>》及其他中国证监会和中国证券投资基金业协会发布的相关规定和指引。</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本财务报表以本基金持续经营为基础列报。</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6.4.3</w:t>
      </w:r>
      <w:r w:rsidR="004F3E31" w:rsidRPr="00C24ACA">
        <w:rPr>
          <w:rFonts w:eastAsiaTheme="minorEastAsia"/>
          <w:b/>
          <w:bCs/>
          <w:color w:val="000000"/>
          <w:kern w:val="0"/>
          <w:szCs w:val="21"/>
        </w:rPr>
        <w:t xml:space="preserve"> </w:t>
      </w:r>
      <w:r w:rsidRPr="00C24ACA">
        <w:rPr>
          <w:rFonts w:eastAsiaTheme="minorEastAsia"/>
          <w:b/>
          <w:color w:val="000000"/>
          <w:kern w:val="0"/>
          <w:szCs w:val="21"/>
        </w:rPr>
        <w:t>遵循企业会计准则及其他有关规定的声明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本财务报表符合企业会计准则的要求，真实、完整地反映了本基金本报告期末的财务状况以及本报告期间的经营成果和基金净值变动情况等有关信息。</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w:t>
      </w:r>
      <w:r w:rsidR="004F3E31" w:rsidRPr="00C24ACA">
        <w:rPr>
          <w:rFonts w:eastAsiaTheme="minorEastAsia"/>
          <w:b/>
          <w:bCs/>
          <w:color w:val="000000"/>
          <w:kern w:val="0"/>
          <w:szCs w:val="21"/>
        </w:rPr>
        <w:t xml:space="preserve"> </w:t>
      </w:r>
      <w:r w:rsidR="004F3E31" w:rsidRPr="00C24ACA">
        <w:rPr>
          <w:rFonts w:eastAsiaTheme="minorEastAsia"/>
          <w:b/>
          <w:kern w:val="0"/>
          <w:szCs w:val="21"/>
        </w:rPr>
        <w:t>本报告期所采用的会计政策、会计估计与最近一期年度报告相一致的说明</w:t>
      </w:r>
    </w:p>
    <w:p w:rsidR="006E59EA"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本报告期所采用的会计政策、会计估计与最近一期年度报告相一致。</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w:t>
      </w:r>
      <w:r w:rsidRPr="00C24ACA">
        <w:rPr>
          <w:rFonts w:eastAsiaTheme="minorEastAsia"/>
          <w:b/>
          <w:color w:val="000000"/>
          <w:kern w:val="0"/>
          <w:szCs w:val="21"/>
        </w:rPr>
        <w:t xml:space="preserve"> </w:t>
      </w:r>
      <w:r w:rsidRPr="00C24ACA">
        <w:rPr>
          <w:rFonts w:eastAsiaTheme="minorEastAsia"/>
          <w:b/>
          <w:color w:val="000000"/>
          <w:kern w:val="0"/>
          <w:szCs w:val="21"/>
        </w:rPr>
        <w:t>差错更正的说明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本基金本报告期无会计差错更正。</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6.4.6</w:t>
      </w:r>
      <w:r w:rsidRPr="00C24ACA">
        <w:rPr>
          <w:rFonts w:eastAsiaTheme="minorEastAsia"/>
          <w:b/>
          <w:color w:val="000000"/>
          <w:kern w:val="0"/>
          <w:szCs w:val="21"/>
        </w:rPr>
        <w:t>税项</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[2016]36</w:t>
      </w:r>
      <w:r>
        <w:rPr>
          <w:rFonts w:eastAsiaTheme="minorEastAsia"/>
          <w:kern w:val="0"/>
          <w:szCs w:val="21"/>
        </w:rPr>
        <w:t>号文《关于全面推开营业税改增值税试点的通知》的规定，经国务院批准，自</w:t>
      </w:r>
      <w:r>
        <w:rPr>
          <w:rFonts w:eastAsiaTheme="minorEastAsia"/>
          <w:kern w:val="0"/>
          <w:szCs w:val="21"/>
        </w:rPr>
        <w:t>2016</w:t>
      </w:r>
      <w:r>
        <w:rPr>
          <w:rFonts w:eastAsiaTheme="minorEastAsia"/>
          <w:kern w:val="0"/>
          <w:szCs w:val="21"/>
        </w:rPr>
        <w:t>年</w:t>
      </w:r>
      <w:r>
        <w:rPr>
          <w:rFonts w:eastAsiaTheme="minorEastAsia"/>
          <w:kern w:val="0"/>
          <w:szCs w:val="21"/>
        </w:rPr>
        <w:t>5</w:t>
      </w:r>
      <w:r>
        <w:rPr>
          <w:rFonts w:eastAsiaTheme="minorEastAsia"/>
          <w:kern w:val="0"/>
          <w:szCs w:val="21"/>
        </w:rPr>
        <w:t>月</w:t>
      </w:r>
      <w:r>
        <w:rPr>
          <w:rFonts w:eastAsiaTheme="minorEastAsia"/>
          <w:kern w:val="0"/>
          <w:szCs w:val="21"/>
        </w:rPr>
        <w:t>1</w:t>
      </w:r>
      <w:r>
        <w:rPr>
          <w:rFonts w:eastAsiaTheme="minorEastAsia"/>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[2016]46</w:t>
      </w:r>
      <w:r>
        <w:rPr>
          <w:rFonts w:eastAsiaTheme="minorEastAsia"/>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[2016]70</w:t>
      </w:r>
      <w:r>
        <w:rPr>
          <w:rFonts w:eastAsiaTheme="minorEastAsia"/>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[2016]140</w:t>
      </w:r>
      <w:r>
        <w:rPr>
          <w:rFonts w:eastAsiaTheme="minorEastAsia"/>
          <w:kern w:val="0"/>
          <w:szCs w:val="21"/>
        </w:rPr>
        <w:t>号文《关于明确金融、房地产开发、教育辅助服务等增值税政策的通知》的规定，资管产品运营过程中发生的增值税应税行为，以资管产品管理人为增值税纳税人；</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[2017]56</w:t>
      </w:r>
      <w:r>
        <w:rPr>
          <w:rFonts w:eastAsiaTheme="minorEastAsia"/>
          <w:kern w:val="0"/>
          <w:szCs w:val="21"/>
        </w:rPr>
        <w:t>号文《关于资管产品增值税有关问题的通知》的规定，自</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日起，资管产品管理人运营资管产品过程中发生的增值税应税行为（以下简称</w:t>
      </w:r>
      <w:r>
        <w:rPr>
          <w:rFonts w:eastAsiaTheme="minorEastAsia"/>
          <w:kern w:val="0"/>
          <w:szCs w:val="21"/>
        </w:rPr>
        <w:t>“</w:t>
      </w:r>
      <w:r>
        <w:rPr>
          <w:rFonts w:eastAsiaTheme="minorEastAsia"/>
          <w:kern w:val="0"/>
          <w:szCs w:val="21"/>
        </w:rPr>
        <w:t>资管产品运营业务</w:t>
      </w:r>
      <w:r>
        <w:rPr>
          <w:rFonts w:eastAsiaTheme="minorEastAsia"/>
          <w:kern w:val="0"/>
          <w:szCs w:val="21"/>
        </w:rPr>
        <w:t>”</w:t>
      </w:r>
      <w:r>
        <w:rPr>
          <w:rFonts w:eastAsiaTheme="minorEastAsia"/>
          <w:kern w:val="0"/>
          <w:szCs w:val="21"/>
        </w:rPr>
        <w:t>），暂适用简易计税方法，按照</w:t>
      </w:r>
      <w:r>
        <w:rPr>
          <w:rFonts w:eastAsiaTheme="minorEastAsia"/>
          <w:kern w:val="0"/>
          <w:szCs w:val="21"/>
        </w:rPr>
        <w:t>3%</w:t>
      </w:r>
      <w:r>
        <w:rPr>
          <w:rFonts w:eastAsiaTheme="minorEastAsia"/>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日前运营过程中发生的增值税应税行为，未缴纳增值税的，不再缴纳；已缴纳增值税的，已纳税额从资管产品管理人以后月份的增值税应纳税额中抵减；</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[2017]90</w:t>
      </w:r>
      <w:r>
        <w:rPr>
          <w:rFonts w:eastAsiaTheme="minorEastAsia"/>
          <w:kern w:val="0"/>
          <w:szCs w:val="21"/>
        </w:rPr>
        <w:t>号文《关于租入固定资产进项税额抵扣等增值税政策的通知》的规定，自</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日起，资管产品管理人运营资管产品提供的贷款服务、发生的部分金融商品转让业务，按照以下规定确定销售额：提供贷款服务，以</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日起产生的利息及利息性质的收入为销售额；转让</w:t>
      </w:r>
      <w:r>
        <w:rPr>
          <w:rFonts w:eastAsiaTheme="minorEastAsia"/>
          <w:kern w:val="0"/>
          <w:szCs w:val="21"/>
        </w:rPr>
        <w:t>2017</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日前取得的股票（不包括限售股）、债券、基金、非货物期货，可以选择按照实际买入价计算销售额，或者以</w:t>
      </w:r>
      <w:r>
        <w:rPr>
          <w:rFonts w:eastAsiaTheme="minorEastAsia"/>
          <w:kern w:val="0"/>
          <w:szCs w:val="21"/>
        </w:rPr>
        <w:t>2017</w:t>
      </w:r>
      <w:r>
        <w:rPr>
          <w:rFonts w:eastAsiaTheme="minorEastAsia"/>
          <w:kern w:val="0"/>
          <w:szCs w:val="21"/>
        </w:rPr>
        <w:t>年最后一个交易日的股票收盘价（</w:t>
      </w:r>
      <w:r>
        <w:rPr>
          <w:rFonts w:eastAsiaTheme="minorEastAsia"/>
          <w:kern w:val="0"/>
          <w:szCs w:val="21"/>
        </w:rPr>
        <w:t>2017</w:t>
      </w:r>
      <w:r>
        <w:rPr>
          <w:rFonts w:eastAsiaTheme="minorEastAsia"/>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本基金分别按实际缴纳的增值税额的</w:t>
      </w:r>
      <w:r>
        <w:rPr>
          <w:rFonts w:eastAsiaTheme="minorEastAsia"/>
          <w:kern w:val="0"/>
          <w:szCs w:val="21"/>
        </w:rPr>
        <w:t>7%</w:t>
      </w:r>
      <w:r>
        <w:rPr>
          <w:rFonts w:eastAsiaTheme="minorEastAsia"/>
          <w:kern w:val="0"/>
          <w:szCs w:val="21"/>
        </w:rPr>
        <w:t>、</w:t>
      </w:r>
      <w:r>
        <w:rPr>
          <w:rFonts w:eastAsiaTheme="minorEastAsia"/>
          <w:kern w:val="0"/>
          <w:szCs w:val="21"/>
        </w:rPr>
        <w:t>3%</w:t>
      </w:r>
      <w:r>
        <w:rPr>
          <w:rFonts w:eastAsiaTheme="minorEastAsia"/>
          <w:kern w:val="0"/>
          <w:szCs w:val="21"/>
        </w:rPr>
        <w:t>和</w:t>
      </w:r>
      <w:r>
        <w:rPr>
          <w:rFonts w:eastAsiaTheme="minorEastAsia"/>
          <w:kern w:val="0"/>
          <w:szCs w:val="21"/>
        </w:rPr>
        <w:t>2%</w:t>
      </w:r>
      <w:r>
        <w:rPr>
          <w:rFonts w:eastAsiaTheme="minorEastAsia"/>
          <w:kern w:val="0"/>
          <w:szCs w:val="21"/>
        </w:rPr>
        <w:t>缴纳城市维护建设税、教育费附加和地方教育费附加。</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基金取得的源自境外的差价收入，其涉及的境外所得税税收政策，按照相关国家或地区税收法律和法规执行，在境内暂免征增值税和企业所得税；</w:t>
      </w:r>
      <w:r>
        <w:rPr>
          <w:rFonts w:eastAsiaTheme="minorEastAsia"/>
          <w:kern w:val="0"/>
          <w:szCs w:val="21"/>
        </w:rPr>
        <w:t xml:space="preserve"> </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基金取得的源自境外的股利收益，其涉及的境外所得税税收政策，按照相关国家或地区税收法律和法规执行，在境内暂未征收个人所得税和企业所得税。</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6.4.7</w:t>
      </w:r>
      <w:r w:rsidRPr="00C24ACA">
        <w:rPr>
          <w:rFonts w:eastAsiaTheme="minorEastAsia"/>
          <w:b/>
          <w:color w:val="000000"/>
          <w:kern w:val="0"/>
          <w:szCs w:val="21"/>
        </w:rPr>
        <w:t>重要财务报表项目的说明</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6.4.7.1</w:t>
      </w:r>
      <w:r w:rsidRPr="00C24ACA">
        <w:rPr>
          <w:rFonts w:eastAsiaTheme="minorEastAsia"/>
          <w:b/>
          <w:color w:val="000000"/>
          <w:szCs w:val="21"/>
        </w:rPr>
        <w:t>银行存款</w:t>
      </w:r>
    </w:p>
    <w:p w:rsidR="00FB3D98" w:rsidRDefault="00FB3D98" w:rsidP="00FB3D9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FB3D98" w:rsidTr="00AD6EE3">
        <w:trPr>
          <w:trHeight w:val="345"/>
          <w:jc w:val="center"/>
        </w:trPr>
        <w:tc>
          <w:tcPr>
            <w:tcW w:w="3766" w:type="dxa"/>
            <w:tcMar>
              <w:top w:w="15" w:type="dxa"/>
              <w:left w:w="15" w:type="dxa"/>
              <w:bottom w:w="0" w:type="dxa"/>
              <w:right w:w="15" w:type="dxa"/>
            </w:tcMar>
            <w:vAlign w:val="center"/>
            <w:hideMark/>
          </w:tcPr>
          <w:p w:rsidR="00FB3D98" w:rsidRDefault="00FB3D9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FB3D98" w:rsidRDefault="00FB3D98">
            <w:pPr>
              <w:jc w:val="center"/>
              <w:rPr>
                <w:kern w:val="0"/>
                <w:szCs w:val="21"/>
              </w:rPr>
            </w:pPr>
            <w:r>
              <w:rPr>
                <w:rFonts w:hAnsi="宋体" w:hint="eastAsia"/>
                <w:kern w:val="0"/>
                <w:szCs w:val="21"/>
              </w:rPr>
              <w:t>本期末</w:t>
            </w:r>
          </w:p>
          <w:p w:rsidR="00FB3D98" w:rsidRDefault="00FB3D9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113,800,576.81</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113,800,576.81</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6.4.7.2</w:t>
      </w:r>
      <w:r w:rsidRPr="00C24ACA">
        <w:rPr>
          <w:rFonts w:eastAsiaTheme="minorEastAsia"/>
          <w:b/>
          <w:color w:val="000000"/>
          <w:szCs w:val="21"/>
        </w:rPr>
        <w:t>交易性金融资产</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bCs/>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8A5A5D" w:rsidRPr="00C24ACA" w:rsidTr="00614C5C">
        <w:trPr>
          <w:trHeight w:val="255"/>
        </w:trPr>
        <w:tc>
          <w:tcPr>
            <w:tcW w:w="2268" w:type="dxa"/>
            <w:gridSpan w:val="2"/>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项目</w:t>
            </w:r>
          </w:p>
        </w:tc>
        <w:tc>
          <w:tcPr>
            <w:tcW w:w="7018" w:type="dxa"/>
            <w:gridSpan w:val="3"/>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本期末</w:t>
            </w:r>
          </w:p>
          <w:p w:rsidR="008A5A5D" w:rsidRPr="00C24ACA" w:rsidRDefault="00AC4A34" w:rsidP="004A4847">
            <w:pPr>
              <w:jc w:val="center"/>
              <w:rPr>
                <w:rFonts w:eastAsiaTheme="minorEastAsia"/>
                <w:color w:val="000000"/>
                <w:kern w:val="0"/>
                <w:szCs w:val="21"/>
              </w:rPr>
            </w:pPr>
            <w:r w:rsidRPr="00C24ACA">
              <w:rPr>
                <w:rFonts w:eastAsiaTheme="minorEastAsia"/>
                <w:color w:val="000000"/>
                <w:kern w:val="0"/>
                <w:szCs w:val="21"/>
              </w:rPr>
              <w:t>2020</w:t>
            </w:r>
            <w:r w:rsidRPr="00C24ACA">
              <w:rPr>
                <w:rFonts w:eastAsiaTheme="minorEastAsia"/>
                <w:color w:val="000000"/>
                <w:kern w:val="0"/>
                <w:szCs w:val="21"/>
              </w:rPr>
              <w:t>年</w:t>
            </w:r>
            <w:r w:rsidRPr="00C24ACA">
              <w:rPr>
                <w:rFonts w:eastAsiaTheme="minorEastAsia"/>
                <w:color w:val="000000"/>
                <w:kern w:val="0"/>
                <w:szCs w:val="21"/>
              </w:rPr>
              <w:t>6</w:t>
            </w:r>
            <w:r w:rsidRPr="00C24ACA">
              <w:rPr>
                <w:rFonts w:eastAsiaTheme="minorEastAsia"/>
                <w:color w:val="000000"/>
                <w:kern w:val="0"/>
                <w:szCs w:val="21"/>
              </w:rPr>
              <w:t>月</w:t>
            </w:r>
            <w:r w:rsidRPr="00C24ACA">
              <w:rPr>
                <w:rFonts w:eastAsiaTheme="minorEastAsia"/>
                <w:color w:val="000000"/>
                <w:kern w:val="0"/>
                <w:szCs w:val="21"/>
              </w:rPr>
              <w:t>30</w:t>
            </w:r>
            <w:r w:rsidRPr="00C24ACA">
              <w:rPr>
                <w:rFonts w:eastAsiaTheme="minorEastAsia"/>
                <w:color w:val="000000"/>
                <w:kern w:val="0"/>
                <w:szCs w:val="21"/>
              </w:rPr>
              <w:t>日</w:t>
            </w:r>
          </w:p>
        </w:tc>
      </w:tr>
      <w:tr w:rsidR="008A5A5D" w:rsidRPr="00C24ACA" w:rsidTr="00614C5C">
        <w:trPr>
          <w:trHeight w:val="270"/>
        </w:trPr>
        <w:tc>
          <w:tcPr>
            <w:tcW w:w="2268" w:type="dxa"/>
            <w:gridSpan w:val="2"/>
            <w:vMerge/>
            <w:vAlign w:val="center"/>
          </w:tcPr>
          <w:p w:rsidR="008A5A5D" w:rsidRPr="00C24ACA" w:rsidRDefault="008A5A5D" w:rsidP="004A4847">
            <w:pPr>
              <w:widowControl/>
              <w:jc w:val="left"/>
              <w:rPr>
                <w:rFonts w:eastAsiaTheme="minorEastAsia"/>
                <w:color w:val="000000"/>
                <w:kern w:val="0"/>
                <w:szCs w:val="21"/>
              </w:rPr>
            </w:pP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成本</w:t>
            </w: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w:t>
            </w:r>
          </w:p>
        </w:tc>
        <w:tc>
          <w:tcPr>
            <w:tcW w:w="234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公允价值变动</w:t>
            </w:r>
          </w:p>
        </w:tc>
      </w:tr>
      <w:tr w:rsidR="008A5A5D" w:rsidRPr="00C24ACA" w:rsidTr="00614C5C">
        <w:trPr>
          <w:trHeight w:val="270"/>
        </w:trPr>
        <w:tc>
          <w:tcPr>
            <w:tcW w:w="2268" w:type="dxa"/>
            <w:gridSpan w:val="2"/>
            <w:vAlign w:val="center"/>
          </w:tcPr>
          <w:p w:rsidR="008A5A5D" w:rsidRPr="00C24ACA" w:rsidRDefault="008A5A5D" w:rsidP="004A4847">
            <w:pPr>
              <w:widowControl/>
              <w:rPr>
                <w:rFonts w:eastAsiaTheme="minorEastAsia"/>
                <w:color w:val="000000"/>
                <w:kern w:val="0"/>
                <w:szCs w:val="21"/>
              </w:rPr>
            </w:pPr>
            <w:r w:rsidRPr="00C24ACA">
              <w:rPr>
                <w:rFonts w:eastAsiaTheme="minorEastAsia"/>
                <w:color w:val="000000"/>
                <w:kern w:val="0"/>
                <w:szCs w:val="21"/>
              </w:rPr>
              <w:t>股票</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270"/>
        </w:trPr>
        <w:tc>
          <w:tcPr>
            <w:tcW w:w="2268" w:type="dxa"/>
            <w:gridSpan w:val="2"/>
            <w:vAlign w:val="center"/>
          </w:tcPr>
          <w:p w:rsidR="00614C5C" w:rsidRPr="00224952" w:rsidRDefault="00614C5C" w:rsidP="00614C5C">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40"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r>
      <w:tr w:rsidR="00614C5C" w:rsidRPr="00C24ACA" w:rsidTr="00614C5C">
        <w:trPr>
          <w:trHeight w:val="285"/>
        </w:trPr>
        <w:tc>
          <w:tcPr>
            <w:tcW w:w="828" w:type="dxa"/>
            <w:vMerge w:val="restart"/>
            <w:vAlign w:val="center"/>
          </w:tcPr>
          <w:p w:rsidR="00614C5C" w:rsidRPr="00C24ACA" w:rsidRDefault="00614C5C" w:rsidP="00614C5C">
            <w:pPr>
              <w:jc w:val="center"/>
              <w:rPr>
                <w:rFonts w:eastAsiaTheme="minorEastAsia"/>
                <w:color w:val="000000"/>
                <w:kern w:val="0"/>
                <w:szCs w:val="21"/>
              </w:rPr>
            </w:pPr>
            <w:r w:rsidRPr="00C24ACA">
              <w:rPr>
                <w:rFonts w:eastAsiaTheme="minorEastAsia"/>
                <w:color w:val="000000"/>
                <w:kern w:val="0"/>
                <w:szCs w:val="21"/>
              </w:rPr>
              <w:t>债券</w:t>
            </w:r>
          </w:p>
        </w:tc>
        <w:tc>
          <w:tcPr>
            <w:tcW w:w="1440" w:type="dxa"/>
            <w:vAlign w:val="center"/>
          </w:tcPr>
          <w:p w:rsidR="00614C5C" w:rsidRPr="00C24ACA" w:rsidRDefault="00614C5C" w:rsidP="00614C5C">
            <w:pPr>
              <w:jc w:val="left"/>
              <w:rPr>
                <w:rFonts w:eastAsiaTheme="minorEastAsia"/>
                <w:color w:val="000000"/>
                <w:kern w:val="0"/>
                <w:szCs w:val="21"/>
              </w:rPr>
            </w:pPr>
            <w:r w:rsidRPr="00C24ACA">
              <w:rPr>
                <w:rFonts w:eastAsiaTheme="minorEastAsia"/>
                <w:color w:val="000000"/>
                <w:kern w:val="0"/>
                <w:szCs w:val="21"/>
              </w:rPr>
              <w:t>交易所市场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jc w:val="left"/>
              <w:rPr>
                <w:rFonts w:eastAsiaTheme="minorEastAsia"/>
                <w:color w:val="000000"/>
                <w:kern w:val="0"/>
                <w:szCs w:val="21"/>
              </w:rPr>
            </w:pPr>
            <w:r w:rsidRPr="00C24ACA">
              <w:rPr>
                <w:rFonts w:eastAsiaTheme="minorEastAsia"/>
                <w:color w:val="000000"/>
                <w:kern w:val="0"/>
                <w:szCs w:val="21"/>
              </w:rPr>
              <w:t>银行间市场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合计</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40"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资产支持证券</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基金</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1,083,149,385.50</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713,072,435.88</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-370,076,949.62</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其他</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jc w:val="center"/>
              <w:rPr>
                <w:rFonts w:eastAsiaTheme="minorEastAsia"/>
                <w:color w:val="000000"/>
                <w:kern w:val="0"/>
                <w:szCs w:val="21"/>
              </w:rPr>
            </w:pPr>
            <w:r w:rsidRPr="00C24ACA">
              <w:rPr>
                <w:rFonts w:eastAsiaTheme="minorEastAsia"/>
                <w:color w:val="000000"/>
                <w:kern w:val="0"/>
                <w:szCs w:val="21"/>
              </w:rPr>
              <w:t>合计</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1,083,149,385.50</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713,072,435.88</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-370,076,949.62</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股票</w:t>
      </w:r>
      <w:r w:rsidRPr="00C24ACA">
        <w:rPr>
          <w:rFonts w:eastAsiaTheme="minorEastAsia"/>
          <w:kern w:val="0"/>
          <w:szCs w:val="21"/>
        </w:rPr>
        <w:t>”</w:t>
      </w:r>
      <w:r w:rsidRPr="00C24ACA">
        <w:rPr>
          <w:rFonts w:eastAsiaTheme="minorEastAsia"/>
          <w:kern w:val="0"/>
          <w:szCs w:val="21"/>
        </w:rPr>
        <w:t>包括普通股、存托凭证和优先股等。</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6.4.7.3</w:t>
      </w:r>
      <w:r w:rsidRPr="00C24ACA">
        <w:rPr>
          <w:rFonts w:eastAsiaTheme="minorEastAsia"/>
          <w:b/>
          <w:color w:val="000000"/>
          <w:szCs w:val="21"/>
        </w:rPr>
        <w:t>衍生金融资产</w:t>
      </w:r>
      <w:r w:rsidRPr="00C24ACA">
        <w:rPr>
          <w:rFonts w:eastAsiaTheme="minorEastAsia"/>
          <w:b/>
          <w:color w:val="000000"/>
          <w:szCs w:val="21"/>
        </w:rPr>
        <w:t>/</w:t>
      </w:r>
      <w:r w:rsidRPr="00C24ACA">
        <w:rPr>
          <w:rFonts w:eastAsiaTheme="minorEastAsia"/>
          <w:b/>
          <w:color w:val="000000"/>
          <w:szCs w:val="21"/>
        </w:rPr>
        <w:t>负债</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本基金本报告期末无衍生金融资产</w:t>
      </w:r>
      <w:r w:rsidRPr="00C24ACA">
        <w:rPr>
          <w:rFonts w:eastAsiaTheme="minorEastAsia"/>
          <w:kern w:val="0"/>
          <w:szCs w:val="21"/>
        </w:rPr>
        <w:t>/</w:t>
      </w:r>
      <w:r w:rsidRPr="00C24ACA">
        <w:rPr>
          <w:rFonts w:eastAsiaTheme="minorEastAsia"/>
          <w:kern w:val="0"/>
          <w:szCs w:val="21"/>
        </w:rPr>
        <w:t>负债。</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w:t>
      </w:r>
      <w:r w:rsidRPr="00C24ACA">
        <w:rPr>
          <w:rFonts w:eastAsiaTheme="minorEastAsia"/>
          <w:b/>
          <w:color w:val="000000"/>
          <w:szCs w:val="21"/>
        </w:rPr>
        <w:t>买入返售金融资产</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6.4.7.4.1</w:t>
      </w:r>
      <w:r w:rsidRPr="00C24ACA">
        <w:rPr>
          <w:rFonts w:eastAsiaTheme="minorEastAsia"/>
          <w:b/>
          <w:color w:val="000000"/>
          <w:szCs w:val="21"/>
        </w:rPr>
        <w:t>各项买入返售金融资产期末余额</w:t>
      </w:r>
    </w:p>
    <w:p w:rsidR="00245F01" w:rsidRDefault="00245F01" w:rsidP="00245F01">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6.4.7.4.2</w:t>
      </w:r>
      <w:r w:rsidRPr="00C24ACA">
        <w:rPr>
          <w:rFonts w:eastAsiaTheme="minorEastAsia"/>
          <w:b/>
          <w:color w:val="000000"/>
          <w:szCs w:val="21"/>
        </w:rPr>
        <w:t>期末买断式逆回购交易中取得的债券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本基金本报告期末无买断式逆回购交易中取得的债券。</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6.4.7.5</w:t>
      </w:r>
      <w:r w:rsidRPr="00C24ACA">
        <w:rPr>
          <w:rFonts w:eastAsiaTheme="minorEastAsia"/>
          <w:b/>
          <w:color w:val="000000"/>
          <w:szCs w:val="21"/>
        </w:rPr>
        <w:t>应收利息</w:t>
      </w:r>
    </w:p>
    <w:p w:rsidR="008D191C" w:rsidRDefault="008D191C" w:rsidP="008D191C">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8D191C" w:rsidTr="00AD6EE3">
        <w:trPr>
          <w:trHeight w:val="330"/>
        </w:trPr>
        <w:tc>
          <w:tcPr>
            <w:tcW w:w="3701" w:type="dxa"/>
            <w:vAlign w:val="center"/>
            <w:hideMark/>
          </w:tcPr>
          <w:p w:rsidR="008D191C" w:rsidRDefault="008D191C">
            <w:pPr>
              <w:jc w:val="center"/>
              <w:rPr>
                <w:szCs w:val="21"/>
              </w:rPr>
            </w:pPr>
            <w:r>
              <w:rPr>
                <w:rFonts w:hint="eastAsia"/>
                <w:szCs w:val="21"/>
              </w:rPr>
              <w:t>项目</w:t>
            </w:r>
          </w:p>
        </w:tc>
        <w:tc>
          <w:tcPr>
            <w:tcW w:w="5528" w:type="dxa"/>
            <w:vAlign w:val="center"/>
            <w:hideMark/>
          </w:tcPr>
          <w:p w:rsidR="008D191C" w:rsidRDefault="008D191C">
            <w:pPr>
              <w:jc w:val="center"/>
              <w:rPr>
                <w:kern w:val="0"/>
                <w:szCs w:val="21"/>
              </w:rPr>
            </w:pPr>
            <w:r>
              <w:rPr>
                <w:rFonts w:hint="eastAsia"/>
                <w:kern w:val="0"/>
                <w:szCs w:val="21"/>
              </w:rPr>
              <w:t>本期末</w:t>
            </w:r>
          </w:p>
          <w:p w:rsidR="008D191C" w:rsidRDefault="008D191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8D191C" w:rsidTr="00AD6EE3">
        <w:trPr>
          <w:trHeight w:val="257"/>
        </w:trPr>
        <w:tc>
          <w:tcPr>
            <w:tcW w:w="3701" w:type="dxa"/>
            <w:vAlign w:val="center"/>
            <w:hideMark/>
          </w:tcPr>
          <w:p w:rsidR="008D191C" w:rsidRDefault="008D191C">
            <w:pPr>
              <w:rPr>
                <w:szCs w:val="21"/>
              </w:rPr>
            </w:pPr>
            <w:r>
              <w:rPr>
                <w:rFonts w:hint="eastAsia"/>
                <w:szCs w:val="21"/>
              </w:rPr>
              <w:t>应收活期存款利息</w:t>
            </w:r>
          </w:p>
        </w:tc>
        <w:tc>
          <w:tcPr>
            <w:tcW w:w="5528" w:type="dxa"/>
            <w:vAlign w:val="center"/>
            <w:hideMark/>
          </w:tcPr>
          <w:p w:rsidR="008D191C" w:rsidRDefault="008D191C">
            <w:pPr>
              <w:jc w:val="right"/>
              <w:rPr>
                <w:szCs w:val="21"/>
              </w:rPr>
            </w:pPr>
            <w:r>
              <w:rPr>
                <w:szCs w:val="21"/>
              </w:rPr>
              <w:t>2,364.60</w:t>
            </w:r>
          </w:p>
        </w:tc>
      </w:tr>
      <w:tr w:rsidR="008D191C" w:rsidTr="00AD6EE3">
        <w:trPr>
          <w:trHeight w:val="223"/>
        </w:trPr>
        <w:tc>
          <w:tcPr>
            <w:tcW w:w="3701" w:type="dxa"/>
            <w:vAlign w:val="center"/>
            <w:hideMark/>
          </w:tcPr>
          <w:p w:rsidR="008D191C" w:rsidRDefault="008D191C">
            <w:pPr>
              <w:rPr>
                <w:szCs w:val="21"/>
              </w:rPr>
            </w:pPr>
            <w:r>
              <w:rPr>
                <w:rFonts w:hint="eastAsia"/>
                <w:szCs w:val="21"/>
              </w:rPr>
              <w:t>应收定期存款利息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应收其他存款利息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应收结算备付金利息</w:t>
            </w:r>
          </w:p>
        </w:tc>
        <w:tc>
          <w:tcPr>
            <w:tcW w:w="5528" w:type="dxa"/>
            <w:vAlign w:val="center"/>
            <w:hideMark/>
          </w:tcPr>
          <w:p w:rsidR="008D191C" w:rsidRDefault="008D191C">
            <w:pPr>
              <w:jc w:val="right"/>
              <w:rPr>
                <w:szCs w:val="21"/>
              </w:rPr>
            </w:pPr>
            <w:r>
              <w:rPr>
                <w:szCs w:val="21"/>
              </w:rPr>
              <w:t>-</w:t>
            </w:r>
          </w:p>
        </w:tc>
      </w:tr>
      <w:tr w:rsidR="008D191C" w:rsidTr="00AD6EE3">
        <w:trPr>
          <w:trHeight w:val="269"/>
        </w:trPr>
        <w:tc>
          <w:tcPr>
            <w:tcW w:w="3701" w:type="dxa"/>
            <w:vAlign w:val="center"/>
            <w:hideMark/>
          </w:tcPr>
          <w:p w:rsidR="008D191C" w:rsidRDefault="008D191C">
            <w:pPr>
              <w:rPr>
                <w:szCs w:val="21"/>
              </w:rPr>
            </w:pPr>
            <w:r>
              <w:rPr>
                <w:rFonts w:hint="eastAsia"/>
                <w:szCs w:val="21"/>
              </w:rPr>
              <w:t>应收债券利息</w:t>
            </w:r>
          </w:p>
        </w:tc>
        <w:tc>
          <w:tcPr>
            <w:tcW w:w="5528" w:type="dxa"/>
            <w:vAlign w:val="center"/>
            <w:hideMark/>
          </w:tcPr>
          <w:p w:rsidR="008D191C" w:rsidRDefault="008D191C">
            <w:pPr>
              <w:jc w:val="right"/>
              <w:rPr>
                <w:szCs w:val="21"/>
              </w:rPr>
            </w:pPr>
            <w:r>
              <w:rPr>
                <w:szCs w:val="21"/>
              </w:rPr>
              <w:t>-</w:t>
            </w:r>
          </w:p>
        </w:tc>
      </w:tr>
      <w:tr w:rsidR="008D191C" w:rsidTr="00AD6EE3">
        <w:trPr>
          <w:trHeight w:val="287"/>
        </w:trPr>
        <w:tc>
          <w:tcPr>
            <w:tcW w:w="3701" w:type="dxa"/>
            <w:vAlign w:val="bottom"/>
            <w:hideMark/>
          </w:tcPr>
          <w:p w:rsidR="008D191C" w:rsidRDefault="008D191C">
            <w:pPr>
              <w:rPr>
                <w:rFonts w:eastAsiaTheme="minorEastAsia"/>
                <w:szCs w:val="21"/>
              </w:rPr>
            </w:pPr>
            <w:r>
              <w:rPr>
                <w:rFonts w:eastAsiaTheme="minorEastAsia" w:hint="eastAsia"/>
                <w:szCs w:val="21"/>
              </w:rPr>
              <w:t>应收资产支持证券利息</w:t>
            </w:r>
          </w:p>
        </w:tc>
        <w:tc>
          <w:tcPr>
            <w:tcW w:w="5528" w:type="dxa"/>
            <w:hideMark/>
          </w:tcPr>
          <w:p w:rsidR="008D191C" w:rsidRDefault="008D191C">
            <w:pPr>
              <w:jc w:val="right"/>
              <w:rPr>
                <w:rFonts w:eastAsiaTheme="minorEastAsia"/>
                <w:szCs w:val="21"/>
              </w:rPr>
            </w:pPr>
            <w:r>
              <w:rPr>
                <w:rFonts w:eastAsiaTheme="minorEastAsia"/>
                <w:szCs w:val="21"/>
              </w:rPr>
              <w:t>-</w:t>
            </w:r>
          </w:p>
        </w:tc>
      </w:tr>
      <w:tr w:rsidR="008D191C" w:rsidTr="00AD6EE3">
        <w:trPr>
          <w:trHeight w:val="287"/>
        </w:trPr>
        <w:tc>
          <w:tcPr>
            <w:tcW w:w="3701" w:type="dxa"/>
            <w:vAlign w:val="center"/>
            <w:hideMark/>
          </w:tcPr>
          <w:p w:rsidR="008D191C" w:rsidRDefault="008D191C">
            <w:pPr>
              <w:rPr>
                <w:szCs w:val="21"/>
              </w:rPr>
            </w:pPr>
            <w:r>
              <w:rPr>
                <w:rFonts w:hint="eastAsia"/>
                <w:szCs w:val="21"/>
              </w:rPr>
              <w:t>应收买入返售证券利息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应收申购款利息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应收黄金合约拆借孳息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其他</w:t>
            </w:r>
          </w:p>
        </w:tc>
        <w:tc>
          <w:tcPr>
            <w:tcW w:w="5528" w:type="dxa"/>
            <w:vAlign w:val="center"/>
            <w:hideMark/>
          </w:tcPr>
          <w:p w:rsidR="008D191C" w:rsidRDefault="008D191C">
            <w:pPr>
              <w:jc w:val="right"/>
              <w:rPr>
                <w:szCs w:val="21"/>
              </w:rPr>
            </w:pPr>
            <w:r>
              <w:rPr>
                <w:szCs w:val="21"/>
              </w:rPr>
              <w:t>-</w:t>
            </w:r>
          </w:p>
        </w:tc>
      </w:tr>
      <w:tr w:rsidR="008D191C" w:rsidTr="00AD6EE3">
        <w:trPr>
          <w:trHeight w:val="330"/>
        </w:trPr>
        <w:tc>
          <w:tcPr>
            <w:tcW w:w="3701" w:type="dxa"/>
            <w:vAlign w:val="center"/>
            <w:hideMark/>
          </w:tcPr>
          <w:p w:rsidR="008D191C" w:rsidRDefault="008D191C">
            <w:pPr>
              <w:jc w:val="center"/>
              <w:rPr>
                <w:szCs w:val="21"/>
              </w:rPr>
            </w:pPr>
            <w:r>
              <w:rPr>
                <w:rFonts w:hint="eastAsia"/>
                <w:szCs w:val="21"/>
              </w:rPr>
              <w:t>合计</w:t>
            </w:r>
          </w:p>
        </w:tc>
        <w:tc>
          <w:tcPr>
            <w:tcW w:w="5528" w:type="dxa"/>
            <w:vAlign w:val="center"/>
            <w:hideMark/>
          </w:tcPr>
          <w:p w:rsidR="008D191C" w:rsidRDefault="008D191C">
            <w:pPr>
              <w:jc w:val="right"/>
              <w:rPr>
                <w:szCs w:val="21"/>
              </w:rPr>
            </w:pPr>
            <w:r>
              <w:rPr>
                <w:szCs w:val="21"/>
              </w:rPr>
              <w:t>2,364.60</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6.4.7.6</w:t>
      </w:r>
      <w:r w:rsidRPr="00C24ACA">
        <w:rPr>
          <w:rFonts w:eastAsiaTheme="minorEastAsia"/>
          <w:b/>
          <w:color w:val="000000"/>
          <w:szCs w:val="21"/>
        </w:rPr>
        <w:t>其他资产</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本基金本报告期末无其他资产。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6.4.7.7</w:t>
      </w:r>
      <w:r w:rsidRPr="00C24ACA">
        <w:rPr>
          <w:rFonts w:eastAsiaTheme="minorEastAsia"/>
          <w:b/>
          <w:color w:val="000000"/>
          <w:szCs w:val="21"/>
        </w:rPr>
        <w:t>应付交易费用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本基金本报告期末无应付交易费用。</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6.4.7.8</w:t>
      </w:r>
      <w:r w:rsidRPr="00C24ACA">
        <w:rPr>
          <w:rFonts w:eastAsiaTheme="minorEastAsia"/>
          <w:b/>
          <w:color w:val="000000"/>
          <w:szCs w:val="21"/>
        </w:rPr>
        <w:t>其他负债</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8A5A5D" w:rsidRPr="00C24ACA" w:rsidTr="00862636">
        <w:trPr>
          <w:trHeight w:val="330"/>
        </w:trPr>
        <w:tc>
          <w:tcPr>
            <w:tcW w:w="370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center"/>
          </w:tcPr>
          <w:p w:rsidR="008A5A5D" w:rsidRPr="00C24ACA" w:rsidRDefault="008A5A5D" w:rsidP="004A4847">
            <w:pPr>
              <w:jc w:val="center"/>
              <w:rPr>
                <w:rFonts w:eastAsiaTheme="minorEastAsia"/>
                <w:kern w:val="0"/>
                <w:szCs w:val="21"/>
              </w:rPr>
            </w:pPr>
            <w:r w:rsidRPr="00C24ACA">
              <w:rPr>
                <w:rFonts w:eastAsiaTheme="minorEastAsia"/>
                <w:kern w:val="0"/>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应付券商交易单元保证金</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应付赎回费</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5,740.75</w:t>
            </w:r>
          </w:p>
        </w:tc>
      </w:tr>
      <w:tr w:rsidR="005F7EF1">
        <w:tc>
          <w:tcPr>
            <w:tcW w:w="3701" w:type="dxa"/>
            <w:vAlign w:val="center"/>
          </w:tcPr>
          <w:p w:rsidR="005F7EF1" w:rsidRDefault="00E6254F">
            <w:pPr>
              <w:jc w:val="left"/>
            </w:pPr>
            <w:r>
              <w:rPr>
                <w:rFonts w:eastAsiaTheme="minorEastAsia"/>
                <w:szCs w:val="21"/>
              </w:rPr>
              <w:t>预提费用</w:t>
            </w:r>
          </w:p>
        </w:tc>
        <w:tc>
          <w:tcPr>
            <w:tcW w:w="5528" w:type="dxa"/>
            <w:vAlign w:val="center"/>
          </w:tcPr>
          <w:p w:rsidR="005F7EF1" w:rsidRDefault="00E6254F">
            <w:pPr>
              <w:jc w:val="right"/>
            </w:pPr>
            <w:r>
              <w:rPr>
                <w:rFonts w:eastAsiaTheme="minorEastAsia"/>
                <w:szCs w:val="21"/>
              </w:rPr>
              <w:t>219,342.86</w:t>
            </w:r>
          </w:p>
        </w:tc>
      </w:tr>
      <w:tr w:rsidR="008A5A5D" w:rsidRPr="00C24ACA" w:rsidTr="00862636">
        <w:trPr>
          <w:trHeight w:val="325"/>
        </w:trPr>
        <w:tc>
          <w:tcPr>
            <w:tcW w:w="3701" w:type="dxa"/>
            <w:vAlign w:val="center"/>
          </w:tcPr>
          <w:p w:rsidR="008A5A5D" w:rsidRPr="00C24ACA" w:rsidRDefault="008A5A5D" w:rsidP="00052E9B">
            <w:pP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225,083.61</w:t>
            </w:r>
          </w:p>
        </w:tc>
      </w:tr>
    </w:tbl>
    <w:p w:rsidR="00471935"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6.4.7.9</w:t>
      </w:r>
      <w:r w:rsidRPr="00C24ACA">
        <w:rPr>
          <w:rFonts w:eastAsiaTheme="minorEastAsia"/>
          <w:b/>
          <w:color w:val="000000"/>
          <w:szCs w:val="21"/>
        </w:rPr>
        <w:t>实收基金</w:t>
      </w:r>
    </w:p>
    <w:p w:rsidR="00471935" w:rsidRPr="00896265" w:rsidRDefault="00471935" w:rsidP="00471935">
      <w:pPr>
        <w:adjustRightInd w:val="0"/>
        <w:snapToGrid w:val="0"/>
        <w:spacing w:line="360" w:lineRule="auto"/>
        <w:rPr>
          <w:rFonts w:eastAsiaTheme="minorEastAsia"/>
          <w:b/>
          <w:color w:val="000000"/>
          <w:szCs w:val="21"/>
        </w:rPr>
      </w:pPr>
      <w:r w:rsidRPr="00896265">
        <w:rPr>
          <w:rFonts w:eastAsiaTheme="minorEastAsia"/>
          <w:szCs w:val="21"/>
        </w:rPr>
        <w:t>易方达原油（</w:t>
      </w:r>
      <w:r w:rsidRPr="00896265">
        <w:rPr>
          <w:rFonts w:eastAsiaTheme="minorEastAsia"/>
          <w:szCs w:val="21"/>
        </w:rPr>
        <w:t>QDII-LOF-FOF</w:t>
      </w:r>
      <w:r w:rsidRPr="00896265">
        <w:rPr>
          <w:rFonts w:eastAsiaTheme="minorEastAsia"/>
          <w:szCs w:val="21"/>
        </w:rPr>
        <w:t>）</w:t>
      </w:r>
      <w:r w:rsidRPr="00896265">
        <w:rPr>
          <w:rFonts w:eastAsiaTheme="minorEastAsia"/>
          <w:szCs w:val="21"/>
        </w:rPr>
        <w:t>A</w:t>
      </w:r>
    </w:p>
    <w:p w:rsidR="00471935" w:rsidRPr="00C24ACA" w:rsidRDefault="00471935" w:rsidP="00471935">
      <w:pPr>
        <w:wordWrap w:val="0"/>
        <w:spacing w:line="360" w:lineRule="auto"/>
        <w:jc w:val="right"/>
        <w:rPr>
          <w:rFonts w:eastAsiaTheme="minorEastAsia"/>
          <w:szCs w:val="21"/>
        </w:rPr>
      </w:pPr>
      <w:r w:rsidRPr="00C24ACA">
        <w:rPr>
          <w:rFonts w:eastAsiaTheme="minorEastAsia"/>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spacing w:line="360" w:lineRule="auto"/>
              <w:jc w:val="center"/>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79,295,556.28</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79,295,556.28</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969,852,072.84</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969,852,072.84</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-57,420,618.54</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-57,420,618.54</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991,727,010.58</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991,727,010.58</w:t>
            </w:r>
          </w:p>
        </w:tc>
      </w:tr>
    </w:tbl>
    <w:p w:rsidR="00471935" w:rsidRPr="00896265" w:rsidRDefault="00471935" w:rsidP="00471935">
      <w:pPr>
        <w:adjustRightInd w:val="0"/>
        <w:snapToGrid w:val="0"/>
        <w:spacing w:line="360" w:lineRule="auto"/>
        <w:rPr>
          <w:rFonts w:eastAsiaTheme="minorEastAsia"/>
          <w:szCs w:val="21"/>
        </w:rPr>
      </w:pPr>
      <w:r w:rsidRPr="00896265">
        <w:rPr>
          <w:rFonts w:eastAsiaTheme="minorEastAsia"/>
          <w:szCs w:val="21"/>
        </w:rPr>
        <w:t>易方达原油（</w:t>
      </w:r>
      <w:r w:rsidRPr="00896265">
        <w:rPr>
          <w:rFonts w:eastAsiaTheme="minorEastAsia"/>
          <w:szCs w:val="21"/>
        </w:rPr>
        <w:t>QDII-LOF-FOF</w:t>
      </w:r>
      <w:r w:rsidRPr="00896265">
        <w:rPr>
          <w:rFonts w:eastAsiaTheme="minorEastAsia"/>
          <w:szCs w:val="21"/>
        </w:rPr>
        <w:t>）</w:t>
      </w:r>
      <w:r w:rsidRPr="00896265">
        <w:rPr>
          <w:rFonts w:eastAsiaTheme="minorEastAsia"/>
          <w:szCs w:val="21"/>
        </w:rPr>
        <w:t>C</w:t>
      </w:r>
    </w:p>
    <w:p w:rsidR="00471935" w:rsidRPr="00C24ACA" w:rsidRDefault="00471935" w:rsidP="00471935">
      <w:pPr>
        <w:adjustRightInd w:val="0"/>
        <w:snapToGrid w:val="0"/>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107,296,441.56</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107,296,441.56</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577,387,313.52</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577,387,313.52</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-170,876,488.13</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-170,876,488.13</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513,807,266.95</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513,807,266.95</w:t>
            </w:r>
          </w:p>
        </w:tc>
      </w:tr>
    </w:tbl>
    <w:p w:rsidR="008A5A5D" w:rsidRPr="00C24ACA"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6.4.7.10</w:t>
      </w:r>
      <w:r w:rsidRPr="00C24ACA">
        <w:rPr>
          <w:rFonts w:eastAsiaTheme="minorEastAsia"/>
          <w:b/>
          <w:color w:val="000000"/>
          <w:szCs w:val="21"/>
        </w:rPr>
        <w:t>未分配利润</w:t>
      </w:r>
    </w:p>
    <w:p w:rsidR="008A5A5D" w:rsidRPr="00C24ACA" w:rsidRDefault="008A5A5D" w:rsidP="002116B9">
      <w:pPr>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2915FE" w:rsidRPr="00C24ACA" w:rsidTr="005C3575">
        <w:tc>
          <w:tcPr>
            <w:tcW w:w="9415" w:type="dxa"/>
            <w:gridSpan w:val="4"/>
          </w:tcPr>
          <w:p w:rsidR="002915FE" w:rsidRPr="00C24ACA" w:rsidRDefault="002915FE" w:rsidP="002915FE">
            <w:pPr>
              <w:tabs>
                <w:tab w:val="left" w:pos="3015"/>
              </w:tabs>
              <w:jc w:val="center"/>
              <w:rPr>
                <w:rFonts w:eastAsiaTheme="minorEastAsia"/>
                <w:color w:val="000000"/>
                <w:szCs w:val="21"/>
              </w:rPr>
            </w:pPr>
            <w:r w:rsidRPr="00C24ACA">
              <w:rPr>
                <w:rFonts w:eastAsiaTheme="minorEastAsia"/>
                <w:color w:val="000000"/>
                <w:szCs w:val="21"/>
              </w:rPr>
              <w:t>易方达原油（</w:t>
            </w:r>
            <w:r w:rsidRPr="00C24ACA">
              <w:rPr>
                <w:rFonts w:eastAsiaTheme="minorEastAsia"/>
                <w:color w:val="000000"/>
                <w:szCs w:val="21"/>
              </w:rPr>
              <w:t>QDII-LOF-FOF</w:t>
            </w:r>
            <w:r w:rsidRPr="00C24ACA">
              <w:rPr>
                <w:rFonts w:eastAsiaTheme="minorEastAsia"/>
                <w:color w:val="000000"/>
                <w:szCs w:val="21"/>
              </w:rPr>
              <w:t>）</w:t>
            </w:r>
            <w:r w:rsidRPr="00C24ACA">
              <w:rPr>
                <w:rFonts w:eastAsiaTheme="minorEastAsia"/>
                <w:color w:val="000000"/>
                <w:szCs w:val="21"/>
              </w:rPr>
              <w:t>A</w:t>
            </w:r>
          </w:p>
        </w:tc>
      </w:tr>
      <w:tr w:rsidR="002915FE" w:rsidRPr="00C24ACA" w:rsidTr="002915FE">
        <w:tc>
          <w:tcPr>
            <w:tcW w:w="2706" w:type="dxa"/>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未分配利润合计</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-24,874,723.78</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39,146,548.28</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14,271,824.50</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-15,785,875.15</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-180,070,615.98</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-195,856,491.13</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-297,467,451.24</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17,042,627.19</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-280,424,824.05</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-316,168,947.89</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25,797,503.70</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-290,371,444.19</w:t>
            </w:r>
          </w:p>
        </w:tc>
      </w:tr>
      <w:tr w:rsidR="002915FE" w:rsidRPr="00C24ACA" w:rsidTr="002915FE">
        <w:tc>
          <w:tcPr>
            <w:tcW w:w="2706" w:type="dxa"/>
            <w:vAlign w:val="center"/>
          </w:tcPr>
          <w:p w:rsidR="002915FE" w:rsidRPr="00C24ACA" w:rsidRDefault="002915FE"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18,701,496.65</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-8,754,876.51</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9,946,620.14</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-338,128,050.17</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-123,881,440.51</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-462,009,490.68</w:t>
            </w:r>
          </w:p>
        </w:tc>
      </w:tr>
    </w:tbl>
    <w:p w:rsidR="0057216B" w:rsidRPr="00C24ACA" w:rsidRDefault="0057216B" w:rsidP="002915FE">
      <w:pPr>
        <w:adjustRightInd w:val="0"/>
        <w:snapToGrid w:val="0"/>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7216B" w:rsidRPr="00C24ACA" w:rsidTr="005C3575">
        <w:tc>
          <w:tcPr>
            <w:tcW w:w="9415" w:type="dxa"/>
            <w:gridSpan w:val="4"/>
          </w:tcPr>
          <w:p w:rsidR="002915FE" w:rsidRPr="00C24ACA" w:rsidRDefault="002915FE" w:rsidP="002915FE">
            <w:pPr>
              <w:jc w:val="center"/>
              <w:rPr>
                <w:rFonts w:eastAsiaTheme="minorEastAsia"/>
                <w:color w:val="000000"/>
                <w:szCs w:val="21"/>
              </w:rPr>
            </w:pPr>
            <w:r w:rsidRPr="00C24ACA">
              <w:rPr>
                <w:rFonts w:eastAsiaTheme="minorEastAsia"/>
                <w:color w:val="000000"/>
                <w:szCs w:val="21"/>
              </w:rPr>
              <w:t>易方达原油（</w:t>
            </w:r>
            <w:r w:rsidRPr="00C24ACA">
              <w:rPr>
                <w:rFonts w:eastAsiaTheme="minorEastAsia"/>
                <w:color w:val="000000"/>
                <w:szCs w:val="21"/>
              </w:rPr>
              <w:t>QDII-LOF-FOF</w:t>
            </w:r>
            <w:r w:rsidRPr="00C24ACA">
              <w:rPr>
                <w:rFonts w:eastAsiaTheme="minorEastAsia"/>
                <w:color w:val="000000"/>
                <w:szCs w:val="21"/>
              </w:rPr>
              <w:t>）</w:t>
            </w:r>
            <w:r w:rsidRPr="00C24ACA">
              <w:rPr>
                <w:rFonts w:eastAsiaTheme="minorEastAsia"/>
                <w:color w:val="000000"/>
                <w:szCs w:val="21"/>
              </w:rPr>
              <w:t>C</w:t>
            </w:r>
          </w:p>
        </w:tc>
      </w:tr>
      <w:tr w:rsidR="0057216B" w:rsidRPr="00C24ACA" w:rsidTr="00AD6EE3">
        <w:tc>
          <w:tcPr>
            <w:tcW w:w="2706" w:type="dxa"/>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未分配利润合计</w:t>
            </w:r>
          </w:p>
        </w:tc>
      </w:tr>
      <w:tr w:rsidR="0057216B" w:rsidRPr="00C24ACA" w:rsidTr="00AD6EE3">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-34,767,284.91</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52,487,481.90</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17,720,196.99</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-9,976,534.22</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-191,866,241.53</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-201,842,775.75</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-136,003,930.80</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74,167,814.36</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-61,836,116.44</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-193,989,151.57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83,765,572.05</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-110,223,579.52</w:t>
            </w:r>
          </w:p>
        </w:tc>
      </w:tr>
      <w:tr w:rsidR="0057216B" w:rsidRPr="00C24ACA" w:rsidTr="0057216B">
        <w:tc>
          <w:tcPr>
            <w:tcW w:w="2706" w:type="dxa"/>
            <w:vAlign w:val="center"/>
          </w:tcPr>
          <w:p w:rsidR="0057216B" w:rsidRPr="00C24ACA" w:rsidRDefault="0057216B"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57,985,220.77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-9,597,757.69</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48,387,463.08</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-180,747,749.93</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-65,210,945.27</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-245,958,695.20</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6.4.7.11</w:t>
      </w:r>
      <w:r w:rsidRPr="00C24ACA">
        <w:rPr>
          <w:rFonts w:eastAsiaTheme="minorEastAsia"/>
          <w:b/>
          <w:color w:val="000000"/>
          <w:szCs w:val="21"/>
        </w:rPr>
        <w:t>存款利息收入</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8A5A5D" w:rsidRPr="00C24ACA" w:rsidTr="000869C6">
        <w:tc>
          <w:tcPr>
            <w:tcW w:w="3828"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86" w:type="dxa"/>
            <w:vAlign w:val="center"/>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活期存款利息收入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95,456.55</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定期存款利息收入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结算备付金利息收入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2,677.85</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98,134.40</w:t>
            </w:r>
          </w:p>
        </w:tc>
      </w:tr>
    </w:tbl>
    <w:p w:rsidR="004D0FA5" w:rsidRPr="00C24ACA" w:rsidRDefault="004D0FA5" w:rsidP="004D0FA5">
      <w:pPr>
        <w:spacing w:line="360" w:lineRule="auto"/>
        <w:rPr>
          <w:rFonts w:eastAsiaTheme="minorEastAsia"/>
          <w:b/>
          <w:bCs/>
          <w:color w:val="000000"/>
          <w:szCs w:val="21"/>
        </w:rPr>
      </w:pPr>
      <w:r w:rsidRPr="00C24ACA">
        <w:rPr>
          <w:rFonts w:eastAsiaTheme="minorEastAsia"/>
          <w:b/>
          <w:bCs/>
          <w:color w:val="000000"/>
          <w:kern w:val="0"/>
          <w:szCs w:val="21"/>
        </w:rPr>
        <w:t xml:space="preserve">6.4.7.12 </w:t>
      </w:r>
      <w:r w:rsidR="00601974" w:rsidRPr="00C24ACA">
        <w:rPr>
          <w:rFonts w:eastAsiaTheme="minorEastAsia"/>
          <w:b/>
          <w:color w:val="000000"/>
          <w:szCs w:val="21"/>
        </w:rPr>
        <w:t>股票投资收益</w:t>
      </w:r>
      <w:r w:rsidRPr="00C24ACA">
        <w:rPr>
          <w:rFonts w:eastAsiaTheme="minorEastAsia"/>
          <w:b/>
          <w:color w:val="000000"/>
          <w:szCs w:val="21"/>
        </w:rPr>
        <w:t>——</w:t>
      </w:r>
      <w:r w:rsidRPr="00C24ACA">
        <w:rPr>
          <w:rFonts w:eastAsiaTheme="minorEastAsia"/>
          <w:b/>
          <w:color w:val="000000"/>
          <w:szCs w:val="21"/>
        </w:rPr>
        <w:t>买卖股票差价收入</w:t>
      </w:r>
    </w:p>
    <w:p w:rsidR="004D0FA5" w:rsidRPr="00C24ACA" w:rsidRDefault="004D0FA5"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本基金本报告期无股票投资收益。</w:t>
      </w:r>
    </w:p>
    <w:p w:rsidR="00D85D98" w:rsidRPr="00C24ACA" w:rsidRDefault="00D85D98"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 xml:space="preserve">6.4.7.13 </w:t>
      </w:r>
      <w:r w:rsidRPr="00C24ACA">
        <w:rPr>
          <w:rFonts w:eastAsiaTheme="minorEastAsia"/>
          <w:b/>
          <w:color w:val="000000"/>
          <w:szCs w:val="21"/>
        </w:rPr>
        <w:t>基金投资收益</w:t>
      </w:r>
    </w:p>
    <w:p w:rsidR="00D85D98" w:rsidRPr="00C24ACA" w:rsidRDefault="00D85D98" w:rsidP="00D85D98">
      <w:pPr>
        <w:jc w:val="right"/>
        <w:rPr>
          <w:rFonts w:eastAsiaTheme="minorEastAsia"/>
          <w:color w:val="000000"/>
          <w:szCs w:val="21"/>
        </w:rPr>
      </w:pPr>
      <w:r w:rsidRPr="00C24ACA">
        <w:rPr>
          <w:rFonts w:eastAsiaTheme="minorEastAsia"/>
          <w:color w:val="000000"/>
          <w:szCs w:val="21"/>
        </w:rPr>
        <w:t>单位：人民币元</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D85D98" w:rsidRPr="00C24ACA" w:rsidTr="00862636">
        <w:trPr>
          <w:trHeight w:val="315"/>
        </w:trPr>
        <w:tc>
          <w:tcPr>
            <w:tcW w:w="3836" w:type="dxa"/>
            <w:vAlign w:val="center"/>
          </w:tcPr>
          <w:p w:rsidR="00D85D98" w:rsidRPr="00C24ACA" w:rsidRDefault="00D85D98" w:rsidP="001A0AD5">
            <w:pPr>
              <w:jc w:val="center"/>
              <w:rPr>
                <w:rFonts w:eastAsiaTheme="minorEastAsia"/>
                <w:color w:val="000000"/>
                <w:szCs w:val="21"/>
              </w:rPr>
            </w:pPr>
            <w:r w:rsidRPr="00C24ACA">
              <w:rPr>
                <w:rFonts w:eastAsiaTheme="minorEastAsia"/>
                <w:color w:val="000000"/>
                <w:szCs w:val="21"/>
              </w:rPr>
              <w:t>项目</w:t>
            </w:r>
          </w:p>
        </w:tc>
        <w:tc>
          <w:tcPr>
            <w:tcW w:w="5533"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本期</w:t>
            </w:r>
          </w:p>
          <w:p w:rsidR="00D85D98" w:rsidRPr="00C24ACA" w:rsidRDefault="00D85D98" w:rsidP="00A97A4E">
            <w:pPr>
              <w:jc w:val="center"/>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卖出</w:t>
            </w:r>
            <w:r w:rsidRPr="00C24ACA">
              <w:rPr>
                <w:rFonts w:eastAsiaTheme="minorEastAsia"/>
                <w:color w:val="000000"/>
                <w:szCs w:val="21"/>
              </w:rPr>
              <w:t>/</w:t>
            </w:r>
            <w:r w:rsidRPr="00C24ACA">
              <w:rPr>
                <w:rFonts w:eastAsiaTheme="minorEastAsia"/>
                <w:color w:val="000000"/>
                <w:szCs w:val="21"/>
              </w:rPr>
              <w:t>赎回基金成交总额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99,381,482.35</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减：卖出</w:t>
            </w:r>
            <w:r w:rsidRPr="00C24ACA">
              <w:rPr>
                <w:rFonts w:eastAsiaTheme="minorEastAsia"/>
                <w:color w:val="000000"/>
                <w:szCs w:val="21"/>
              </w:rPr>
              <w:t>/</w:t>
            </w:r>
            <w:r w:rsidRPr="00C24ACA">
              <w:rPr>
                <w:rFonts w:eastAsiaTheme="minorEastAsia"/>
                <w:color w:val="000000"/>
                <w:szCs w:val="21"/>
              </w:rPr>
              <w:t>赎回基金成本总额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120,998,076.99</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基金投资收益</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-21,616,594.64</w:t>
            </w:r>
          </w:p>
        </w:tc>
      </w:tr>
    </w:tbl>
    <w:p w:rsidR="00005C09" w:rsidRPr="00C24ACA" w:rsidRDefault="00005C09" w:rsidP="00005C09">
      <w:pPr>
        <w:spacing w:line="360" w:lineRule="auto"/>
        <w:rPr>
          <w:rFonts w:eastAsiaTheme="minorEastAsia"/>
          <w:b/>
          <w:color w:val="000000" w:themeColor="text1"/>
          <w:szCs w:val="21"/>
        </w:rPr>
      </w:pPr>
      <w:r w:rsidRPr="00C24ACA">
        <w:rPr>
          <w:rFonts w:eastAsiaTheme="minorEastAsia"/>
          <w:b/>
          <w:bCs/>
          <w:color w:val="000000" w:themeColor="text1"/>
          <w:kern w:val="0"/>
          <w:szCs w:val="21"/>
        </w:rPr>
        <w:t>6.4.7.14</w:t>
      </w:r>
      <w:r w:rsidRPr="00C24ACA">
        <w:rPr>
          <w:rFonts w:eastAsiaTheme="minorEastAsia"/>
          <w:b/>
          <w:color w:val="000000" w:themeColor="text1"/>
          <w:szCs w:val="21"/>
        </w:rPr>
        <w:t>债券投资收益</w:t>
      </w:r>
      <w:r w:rsidRPr="00C24ACA">
        <w:rPr>
          <w:rFonts w:eastAsiaTheme="minorEastAsia"/>
          <w:b/>
          <w:color w:val="000000" w:themeColor="text1"/>
          <w:szCs w:val="21"/>
        </w:rPr>
        <w:t>——</w:t>
      </w:r>
      <w:r w:rsidRPr="00C24ACA">
        <w:rPr>
          <w:rFonts w:eastAsiaTheme="minorEastAsia"/>
          <w:b/>
          <w:color w:val="000000" w:themeColor="text1"/>
          <w:szCs w:val="21"/>
        </w:rPr>
        <w:t>买卖债券差价收入</w:t>
      </w:r>
    </w:p>
    <w:p w:rsidR="00005C09" w:rsidRPr="001412CA" w:rsidRDefault="00005C09"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本基金本报告期无债券投资收益。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6.4.7.15</w:t>
      </w:r>
      <w:r w:rsidRPr="00C24ACA">
        <w:rPr>
          <w:rFonts w:eastAsiaTheme="minorEastAsia"/>
          <w:b/>
          <w:color w:val="000000"/>
          <w:szCs w:val="21"/>
        </w:rPr>
        <w:t>衍生工具收益</w:t>
      </w:r>
    </w:p>
    <w:p w:rsidR="00806635" w:rsidRDefault="00806635" w:rsidP="0080663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本基金本报告期无衍生工具收益。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6.4.7.16</w:t>
      </w:r>
      <w:r w:rsidRPr="00C24ACA">
        <w:rPr>
          <w:rFonts w:eastAsiaTheme="minorEastAsia"/>
          <w:b/>
          <w:color w:val="000000"/>
          <w:szCs w:val="21"/>
        </w:rPr>
        <w:t>股利收益</w:t>
      </w:r>
    </w:p>
    <w:p w:rsidR="008A5A5D" w:rsidRPr="00C24ACA" w:rsidRDefault="008A5A5D" w:rsidP="003955D3">
      <w:pPr>
        <w:tabs>
          <w:tab w:val="left" w:pos="7200"/>
          <w:tab w:val="left" w:pos="8280"/>
        </w:tabs>
        <w:ind w:rightChars="33" w:right="69"/>
        <w:jc w:val="right"/>
        <w:rPr>
          <w:rFonts w:eastAsiaTheme="minorEastAsia"/>
          <w:color w:val="000000"/>
          <w:szCs w:val="21"/>
        </w:rPr>
      </w:pPr>
      <w:r w:rsidRPr="00C24ACA">
        <w:rPr>
          <w:rFonts w:eastAsiaTheme="minorEastAsia"/>
          <w:color w:val="000000"/>
          <w:szCs w:val="21"/>
        </w:rPr>
        <w:t>单位：人民币元</w:t>
      </w:r>
    </w:p>
    <w:tbl>
      <w:tblPr>
        <w:tblW w:w="93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8A5A5D" w:rsidRPr="00C24ACA" w:rsidTr="00862636">
        <w:tc>
          <w:tcPr>
            <w:tcW w:w="3794"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41"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股票投资产生的股利收益</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基金投资产生的股利收益</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68,955.87</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68,955.87</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6.4.7.17</w:t>
      </w:r>
      <w:r w:rsidRPr="00C24ACA">
        <w:rPr>
          <w:rFonts w:eastAsiaTheme="minorEastAsia"/>
          <w:b/>
          <w:color w:val="000000"/>
          <w:szCs w:val="21"/>
        </w:rPr>
        <w:t>公允价值变动收益</w:t>
      </w:r>
    </w:p>
    <w:p w:rsidR="008F7328" w:rsidRDefault="008F7328" w:rsidP="008F7328">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F7328" w:rsidTr="00AD6EE3">
        <w:trPr>
          <w:trHeight w:val="285"/>
        </w:trPr>
        <w:tc>
          <w:tcPr>
            <w:tcW w:w="3794" w:type="dxa"/>
            <w:vAlign w:val="center"/>
            <w:hideMark/>
          </w:tcPr>
          <w:p w:rsidR="008F7328" w:rsidRDefault="008F7328">
            <w:pPr>
              <w:jc w:val="center"/>
              <w:rPr>
                <w:szCs w:val="21"/>
              </w:rPr>
            </w:pPr>
            <w:r>
              <w:rPr>
                <w:rFonts w:hint="eastAsia"/>
                <w:kern w:val="0"/>
                <w:szCs w:val="21"/>
              </w:rPr>
              <w:t>项目名称</w:t>
            </w:r>
          </w:p>
        </w:tc>
        <w:tc>
          <w:tcPr>
            <w:tcW w:w="5528" w:type="dxa"/>
            <w:vAlign w:val="center"/>
            <w:hideMark/>
          </w:tcPr>
          <w:p w:rsidR="008F7328" w:rsidRDefault="008F7328">
            <w:pPr>
              <w:jc w:val="center"/>
              <w:rPr>
                <w:szCs w:val="21"/>
              </w:rPr>
            </w:pPr>
            <w:r>
              <w:rPr>
                <w:rFonts w:hint="eastAsia"/>
                <w:szCs w:val="21"/>
              </w:rPr>
              <w:t>本期</w:t>
            </w:r>
          </w:p>
          <w:p w:rsidR="008F7328" w:rsidRDefault="008F7328">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F7328" w:rsidRDefault="008F7328">
            <w:pPr>
              <w:jc w:val="right"/>
              <w:rPr>
                <w:szCs w:val="21"/>
              </w:rPr>
            </w:pPr>
            <w:r>
              <w:rPr>
                <w:szCs w:val="21"/>
              </w:rPr>
              <w:t>-371,936,857.51</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股票投资</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债券投资</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F7328" w:rsidRDefault="008F7328">
            <w:pPr>
              <w:jc w:val="right"/>
              <w:rPr>
                <w:kern w:val="0"/>
                <w:szCs w:val="21"/>
              </w:rPr>
            </w:pPr>
            <w:r>
              <w:rPr>
                <w:kern w:val="0"/>
                <w:szCs w:val="21"/>
              </w:rPr>
              <w:t>-371,936,857.51</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F7328" w:rsidRDefault="008F7328">
            <w:pPr>
              <w:widowControl/>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F7328" w:rsidRDefault="008F7328">
            <w:pPr>
              <w:widowControl/>
              <w:jc w:val="right"/>
              <w:rPr>
                <w:kern w:val="0"/>
                <w:szCs w:val="21"/>
              </w:rPr>
            </w:pPr>
            <w:r>
              <w:rPr>
                <w:rFonts w:eastAsiaTheme="minorEastAsia"/>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F7328" w:rsidRDefault="008F7328">
            <w:pPr>
              <w:jc w:val="right"/>
              <w:rPr>
                <w:kern w:val="0"/>
                <w:szCs w:val="21"/>
              </w:rPr>
            </w:pPr>
            <w:r>
              <w:rPr>
                <w:kern w:val="0"/>
                <w:szCs w:val="21"/>
              </w:rPr>
              <w:t>-</w:t>
            </w:r>
          </w:p>
        </w:tc>
      </w:tr>
      <w:tr w:rsidR="005F7EF1">
        <w:tc>
          <w:tcPr>
            <w:tcW w:w="3794" w:type="dxa"/>
            <w:vAlign w:val="center"/>
          </w:tcPr>
          <w:p w:rsidR="005F7EF1" w:rsidRDefault="00E6254F">
            <w:pPr>
              <w:jc w:val="left"/>
            </w:pPr>
            <w:r>
              <w:rPr>
                <w:kern w:val="0"/>
                <w:szCs w:val="21"/>
              </w:rPr>
              <w:t>——</w:t>
            </w:r>
            <w:r>
              <w:rPr>
                <w:kern w:val="0"/>
                <w:szCs w:val="21"/>
              </w:rPr>
              <w:t>期货投资</w:t>
            </w:r>
          </w:p>
        </w:tc>
        <w:tc>
          <w:tcPr>
            <w:tcW w:w="5529" w:type="dxa"/>
            <w:vAlign w:val="center"/>
          </w:tcPr>
          <w:p w:rsidR="005F7EF1" w:rsidRDefault="00E6254F">
            <w:pPr>
              <w:jc w:val="right"/>
            </w:pPr>
            <w:r>
              <w:rPr>
                <w:kern w:val="0"/>
                <w:szCs w:val="21"/>
              </w:rPr>
              <w:t>-</w:t>
            </w:r>
          </w:p>
        </w:tc>
      </w:tr>
      <w:tr w:rsidR="005F7EF1">
        <w:tc>
          <w:tcPr>
            <w:tcW w:w="3794" w:type="dxa"/>
            <w:vAlign w:val="center"/>
          </w:tcPr>
          <w:p w:rsidR="005F7EF1" w:rsidRDefault="00E6254F">
            <w:pPr>
              <w:jc w:val="left"/>
            </w:pPr>
            <w:r>
              <w:rPr>
                <w:kern w:val="0"/>
                <w:szCs w:val="21"/>
              </w:rPr>
              <w:t>——</w:t>
            </w:r>
            <w:r>
              <w:rPr>
                <w:kern w:val="0"/>
                <w:szCs w:val="21"/>
              </w:rPr>
              <w:t>期权投资</w:t>
            </w:r>
          </w:p>
        </w:tc>
        <w:tc>
          <w:tcPr>
            <w:tcW w:w="5529" w:type="dxa"/>
            <w:vAlign w:val="center"/>
          </w:tcPr>
          <w:p w:rsidR="005F7EF1" w:rsidRDefault="00E6254F">
            <w:pPr>
              <w:jc w:val="right"/>
            </w:pPr>
            <w:r>
              <w:rPr>
                <w:kern w:val="0"/>
                <w:szCs w:val="21"/>
              </w:rPr>
              <w:t>-</w:t>
            </w:r>
          </w:p>
        </w:tc>
      </w:tr>
      <w:tr w:rsidR="008F7328" w:rsidTr="00AD6EE3">
        <w:trPr>
          <w:trHeight w:val="285"/>
        </w:trPr>
        <w:tc>
          <w:tcPr>
            <w:tcW w:w="3794" w:type="dxa"/>
            <w:vAlign w:val="center"/>
            <w:hideMark/>
          </w:tcPr>
          <w:p w:rsidR="008F7328" w:rsidRDefault="008F7328">
            <w:pPr>
              <w:widowControl/>
              <w:rPr>
                <w:szCs w:val="21"/>
              </w:rPr>
            </w:pPr>
            <w:r>
              <w:rPr>
                <w:kern w:val="0"/>
                <w:szCs w:val="21"/>
              </w:rPr>
              <w:t>3.</w:t>
            </w:r>
            <w:r>
              <w:rPr>
                <w:rFonts w:hint="eastAsia"/>
                <w:kern w:val="0"/>
                <w:szCs w:val="21"/>
              </w:rPr>
              <w:t>其他</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F7328" w:rsidRDefault="008F7328">
            <w:pPr>
              <w:jc w:val="right"/>
              <w:rPr>
                <w:rFonts w:eastAsiaTheme="minorEastAsia"/>
                <w:szCs w:val="21"/>
              </w:rPr>
            </w:pPr>
            <w:r>
              <w:rPr>
                <w:rFonts w:eastAsiaTheme="minorEastAsia"/>
                <w:szCs w:val="21"/>
              </w:rPr>
              <w:t>-</w:t>
            </w:r>
          </w:p>
        </w:tc>
      </w:tr>
      <w:tr w:rsidR="008F7328" w:rsidTr="00AD6EE3">
        <w:trPr>
          <w:trHeight w:val="285"/>
        </w:trPr>
        <w:tc>
          <w:tcPr>
            <w:tcW w:w="3794" w:type="dxa"/>
            <w:vAlign w:val="center"/>
            <w:hideMark/>
          </w:tcPr>
          <w:p w:rsidR="008F7328" w:rsidRDefault="008F7328">
            <w:pPr>
              <w:widowControl/>
              <w:rPr>
                <w:szCs w:val="21"/>
              </w:rPr>
            </w:pPr>
            <w:r>
              <w:rPr>
                <w:rFonts w:hint="eastAsia"/>
                <w:kern w:val="0"/>
                <w:szCs w:val="21"/>
              </w:rPr>
              <w:t>合计</w:t>
            </w:r>
          </w:p>
        </w:tc>
        <w:tc>
          <w:tcPr>
            <w:tcW w:w="5528" w:type="dxa"/>
            <w:vAlign w:val="center"/>
            <w:hideMark/>
          </w:tcPr>
          <w:p w:rsidR="008F7328" w:rsidRDefault="008F7328">
            <w:pPr>
              <w:jc w:val="right"/>
              <w:rPr>
                <w:szCs w:val="21"/>
              </w:rPr>
            </w:pPr>
            <w:r>
              <w:rPr>
                <w:szCs w:val="21"/>
              </w:rPr>
              <w:t>-371,936,857.51</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6.4.7.18</w:t>
      </w:r>
      <w:r w:rsidRPr="00C24ACA">
        <w:rPr>
          <w:rFonts w:eastAsiaTheme="minorEastAsia"/>
          <w:b/>
          <w:color w:val="000000"/>
          <w:szCs w:val="21"/>
        </w:rPr>
        <w:t>其他收入</w:t>
      </w:r>
    </w:p>
    <w:p w:rsidR="008A5A5D" w:rsidRPr="00C24ACA" w:rsidRDefault="008A5A5D" w:rsidP="003955D3">
      <w:pPr>
        <w:tabs>
          <w:tab w:val="left" w:pos="7200"/>
          <w:tab w:val="left" w:pos="8280"/>
        </w:tabs>
        <w:ind w:rightChars="-52" w:right="-109"/>
        <w:jc w:val="right"/>
        <w:rPr>
          <w:rFonts w:eastAsiaTheme="minorEastAsia"/>
          <w:szCs w:val="21"/>
          <w:lang w:val="en-AU"/>
        </w:rPr>
      </w:pPr>
      <w:r w:rsidRPr="00C24ACA">
        <w:rPr>
          <w:rFonts w:eastAsiaTheme="minorEastAsia"/>
          <w:color w:val="000000"/>
          <w:szCs w:val="21"/>
        </w:rPr>
        <w:t>单位：人民币元</w:t>
      </w:r>
    </w:p>
    <w:tbl>
      <w:tblPr>
        <w:tblW w:w="90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8A5A5D" w:rsidRPr="00C24ACA" w:rsidTr="00862636">
        <w:trPr>
          <w:trHeight w:val="255"/>
        </w:trPr>
        <w:tc>
          <w:tcPr>
            <w:tcW w:w="3833"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242"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基金赎回费收入</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203,888.52</w:t>
            </w:r>
          </w:p>
        </w:tc>
      </w:tr>
      <w:tr w:rsidR="005F7EF1">
        <w:tc>
          <w:tcPr>
            <w:tcW w:w="3833" w:type="dxa"/>
            <w:vAlign w:val="center"/>
          </w:tcPr>
          <w:p w:rsidR="005F7EF1" w:rsidRDefault="00E6254F">
            <w:pPr>
              <w:jc w:val="left"/>
            </w:pPr>
            <w:r>
              <w:rPr>
                <w:rFonts w:eastAsiaTheme="minorEastAsia"/>
                <w:szCs w:val="21"/>
              </w:rPr>
              <w:t>其他</w:t>
            </w:r>
          </w:p>
        </w:tc>
        <w:tc>
          <w:tcPr>
            <w:tcW w:w="5242" w:type="dxa"/>
            <w:vAlign w:val="center"/>
          </w:tcPr>
          <w:p w:rsidR="005F7EF1" w:rsidRDefault="00E6254F">
            <w:pPr>
              <w:jc w:val="right"/>
            </w:pPr>
            <w:r>
              <w:rPr>
                <w:rFonts w:eastAsiaTheme="minorEastAsia"/>
                <w:szCs w:val="21"/>
              </w:rPr>
              <w:t>2,029,889.19</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2,233,777.71</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6.4.7.19</w:t>
      </w:r>
      <w:r w:rsidRPr="00C24ACA">
        <w:rPr>
          <w:rFonts w:eastAsiaTheme="minorEastAsia"/>
          <w:b/>
          <w:color w:val="000000"/>
          <w:szCs w:val="21"/>
        </w:rPr>
        <w:t>交易费用</w:t>
      </w:r>
    </w:p>
    <w:p w:rsidR="004D679F" w:rsidRDefault="004D679F" w:rsidP="004D679F">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7"/>
        <w:gridCol w:w="5249"/>
      </w:tblGrid>
      <w:tr w:rsidR="004D679F" w:rsidTr="00AD6EE3">
        <w:trPr>
          <w:trHeight w:val="285"/>
        </w:trPr>
        <w:tc>
          <w:tcPr>
            <w:tcW w:w="3827"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648,659.82</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5F7EF1">
        <w:tc>
          <w:tcPr>
            <w:tcW w:w="3827" w:type="dxa"/>
            <w:vAlign w:val="center"/>
          </w:tcPr>
          <w:p w:rsidR="005F7EF1" w:rsidRDefault="00E6254F">
            <w:pPr>
              <w:jc w:val="center"/>
            </w:pPr>
            <w:r>
              <w:rPr>
                <w:rFonts w:eastAsiaTheme="minorEastAsia"/>
                <w:color w:val="000000" w:themeColor="text1"/>
                <w:kern w:val="0"/>
                <w:szCs w:val="21"/>
              </w:rPr>
              <w:t>其他</w:t>
            </w:r>
          </w:p>
        </w:tc>
        <w:tc>
          <w:tcPr>
            <w:tcW w:w="5249" w:type="dxa"/>
            <w:vAlign w:val="center"/>
          </w:tcPr>
          <w:p w:rsidR="005F7EF1" w:rsidRDefault="00E6254F">
            <w:pPr>
              <w:jc w:val="right"/>
            </w:pPr>
            <w:r>
              <w:rPr>
                <w:rFonts w:eastAsiaTheme="minorEastAsia"/>
                <w:color w:val="000000" w:themeColor="text1"/>
                <w:kern w:val="0"/>
                <w:szCs w:val="21"/>
              </w:rPr>
              <w:t>648,659.82</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648,659.82</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6.4.7.20</w:t>
      </w:r>
      <w:r w:rsidRPr="00C24ACA">
        <w:rPr>
          <w:rFonts w:eastAsiaTheme="minorEastAsia"/>
          <w:b/>
          <w:color w:val="000000"/>
          <w:szCs w:val="21"/>
        </w:rPr>
        <w:t>其他费用</w:t>
      </w:r>
    </w:p>
    <w:p w:rsidR="008A5A5D" w:rsidRPr="00C24ACA" w:rsidRDefault="008A5A5D" w:rsidP="003955D3">
      <w:pPr>
        <w:tabs>
          <w:tab w:val="left" w:pos="7200"/>
          <w:tab w:val="left" w:pos="8280"/>
          <w:tab w:val="left" w:pos="9000"/>
        </w:tabs>
        <w:ind w:rightChars="-52" w:right="-109"/>
        <w:jc w:val="right"/>
        <w:rPr>
          <w:rFonts w:eastAsiaTheme="minorEastAsia"/>
          <w:bCs/>
          <w:szCs w:val="21"/>
        </w:rPr>
      </w:pPr>
      <w:r w:rsidRPr="00C24ACA">
        <w:rPr>
          <w:rFonts w:eastAsiaTheme="minorEastAsia"/>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8A5A5D" w:rsidRPr="00C24ACA" w:rsidTr="00862636">
        <w:tc>
          <w:tcPr>
            <w:tcW w:w="3936"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50"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审计费用</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29,835.26</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信息披露费</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59,672.34</w:t>
            </w:r>
          </w:p>
        </w:tc>
      </w:tr>
      <w:tr w:rsidR="005F7EF1">
        <w:tc>
          <w:tcPr>
            <w:tcW w:w="3936" w:type="dxa"/>
            <w:vAlign w:val="center"/>
          </w:tcPr>
          <w:p w:rsidR="005F7EF1" w:rsidRDefault="00E6254F">
            <w:pPr>
              <w:jc w:val="left"/>
            </w:pPr>
            <w:r>
              <w:rPr>
                <w:rFonts w:eastAsiaTheme="minorEastAsia"/>
                <w:szCs w:val="21"/>
              </w:rPr>
              <w:t>银行汇划费</w:t>
            </w:r>
          </w:p>
        </w:tc>
        <w:tc>
          <w:tcPr>
            <w:tcW w:w="5350" w:type="dxa"/>
            <w:vAlign w:val="center"/>
          </w:tcPr>
          <w:p w:rsidR="005F7EF1" w:rsidRDefault="00E6254F">
            <w:pPr>
              <w:jc w:val="right"/>
            </w:pPr>
            <w:r>
              <w:rPr>
                <w:rFonts w:eastAsiaTheme="minorEastAsia"/>
                <w:szCs w:val="21"/>
              </w:rPr>
              <w:t>14,234.58</w:t>
            </w:r>
          </w:p>
        </w:tc>
      </w:tr>
      <w:tr w:rsidR="005F7EF1">
        <w:tc>
          <w:tcPr>
            <w:tcW w:w="3936" w:type="dxa"/>
            <w:vAlign w:val="center"/>
          </w:tcPr>
          <w:p w:rsidR="005F7EF1" w:rsidRDefault="00E6254F">
            <w:pPr>
              <w:jc w:val="left"/>
            </w:pPr>
            <w:r>
              <w:rPr>
                <w:rFonts w:eastAsiaTheme="minorEastAsia"/>
                <w:szCs w:val="21"/>
              </w:rPr>
              <w:t>上市费</w:t>
            </w:r>
          </w:p>
        </w:tc>
        <w:tc>
          <w:tcPr>
            <w:tcW w:w="5350" w:type="dxa"/>
            <w:vAlign w:val="center"/>
          </w:tcPr>
          <w:p w:rsidR="005F7EF1" w:rsidRDefault="00E6254F">
            <w:pPr>
              <w:jc w:val="right"/>
            </w:pPr>
            <w:r>
              <w:rPr>
                <w:rFonts w:eastAsiaTheme="minorEastAsia"/>
                <w:szCs w:val="21"/>
              </w:rPr>
              <w:t>29,835.26</w:t>
            </w:r>
          </w:p>
        </w:tc>
      </w:tr>
      <w:tr w:rsidR="008A5A5D" w:rsidRPr="00C24ACA" w:rsidTr="00862636">
        <w:tc>
          <w:tcPr>
            <w:tcW w:w="3936"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133,577.44</w:t>
            </w:r>
          </w:p>
        </w:tc>
      </w:tr>
    </w:tbl>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6.4.8 </w:t>
      </w:r>
      <w:r w:rsidRPr="00C24ACA">
        <w:rPr>
          <w:rFonts w:eastAsiaTheme="minorEastAsia"/>
          <w:b/>
          <w:color w:val="000000"/>
          <w:kern w:val="0"/>
          <w:szCs w:val="21"/>
        </w:rPr>
        <w:t>或有事项、资产负债表日后事项的说明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6.4.8.1</w:t>
      </w:r>
      <w:r w:rsidRPr="00C24ACA">
        <w:rPr>
          <w:rFonts w:eastAsiaTheme="minorEastAsia"/>
          <w:b/>
          <w:color w:val="000000"/>
          <w:kern w:val="0"/>
          <w:szCs w:val="21"/>
        </w:rPr>
        <w:t xml:space="preserve"> </w:t>
      </w:r>
      <w:r w:rsidRPr="00C24ACA">
        <w:rPr>
          <w:rFonts w:eastAsiaTheme="minorEastAsia"/>
          <w:b/>
          <w:color w:val="000000"/>
          <w:kern w:val="0"/>
          <w:szCs w:val="21"/>
        </w:rPr>
        <w:t>或有事项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截至资产负债表日，本基金无须作披露的或有事项。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6.4.8.2</w:t>
      </w:r>
      <w:r w:rsidRPr="00C24ACA">
        <w:rPr>
          <w:rFonts w:eastAsiaTheme="minorEastAsia"/>
          <w:b/>
          <w:color w:val="000000"/>
          <w:kern w:val="0"/>
          <w:szCs w:val="21"/>
        </w:rPr>
        <w:t xml:space="preserve"> </w:t>
      </w:r>
      <w:r w:rsidRPr="00C24ACA">
        <w:rPr>
          <w:rFonts w:eastAsiaTheme="minorEastAsia"/>
          <w:b/>
          <w:color w:val="000000"/>
          <w:kern w:val="0"/>
          <w:szCs w:val="21"/>
        </w:rPr>
        <w:t>资产负债表日后事项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截至本会计报表批准报出日，本基金无须作披露的资产负债表日后事项。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6.4.9</w:t>
      </w:r>
      <w:r w:rsidRPr="00C24ACA">
        <w:rPr>
          <w:rFonts w:eastAsiaTheme="minorEastAsia"/>
          <w:b/>
          <w:color w:val="000000"/>
          <w:kern w:val="0"/>
          <w:szCs w:val="21"/>
        </w:rPr>
        <w:t>关联方关系</w:t>
      </w:r>
    </w:p>
    <w:p w:rsidR="008A5A5D" w:rsidRPr="00C24ACA" w:rsidRDefault="008A5A5D" w:rsidP="009967D7">
      <w:pPr>
        <w:spacing w:line="360" w:lineRule="auto"/>
        <w:rPr>
          <w:rFonts w:eastAsiaTheme="minorEastAsia"/>
          <w:b/>
          <w:kern w:val="0"/>
          <w:szCs w:val="21"/>
        </w:rPr>
      </w:pPr>
      <w:r w:rsidRPr="00C24ACA">
        <w:rPr>
          <w:rFonts w:eastAsiaTheme="minorEastAsia"/>
          <w:b/>
          <w:bCs/>
          <w:color w:val="000000"/>
          <w:kern w:val="0"/>
          <w:szCs w:val="21"/>
        </w:rPr>
        <w:t>6.4.9.1</w:t>
      </w:r>
      <w:r w:rsidRPr="00C24ACA">
        <w:rPr>
          <w:rFonts w:eastAsiaTheme="minorEastAsia"/>
          <w:b/>
          <w:kern w:val="0"/>
          <w:szCs w:val="21"/>
        </w:rPr>
        <w:t xml:space="preserve"> </w:t>
      </w:r>
      <w:r w:rsidRPr="00C24ACA">
        <w:rPr>
          <w:rFonts w:eastAsiaTheme="minorEastAsia"/>
          <w:b/>
          <w:kern w:val="0"/>
          <w:szCs w:val="21"/>
        </w:rPr>
        <w:t>本报告期存在控制关系或其他重大利害关系的关联方发生变化的情况</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本报告期内存在控制关系或其他重大利害关系的关联方未发生变化。</w:t>
      </w:r>
    </w:p>
    <w:p w:rsidR="008A5A5D" w:rsidRPr="00C24ACA" w:rsidRDefault="008A5A5D" w:rsidP="00732F5C">
      <w:pPr>
        <w:spacing w:beforeLines="100" w:before="312" w:line="360" w:lineRule="auto"/>
        <w:rPr>
          <w:rFonts w:eastAsiaTheme="minorEastAsia"/>
          <w:b/>
          <w:kern w:val="0"/>
          <w:szCs w:val="21"/>
        </w:rPr>
      </w:pPr>
      <w:r w:rsidRPr="00C24ACA">
        <w:rPr>
          <w:rFonts w:eastAsiaTheme="minorEastAsia"/>
          <w:b/>
          <w:bCs/>
          <w:color w:val="000000"/>
          <w:kern w:val="0"/>
          <w:szCs w:val="21"/>
        </w:rPr>
        <w:t>6.4.9.2</w:t>
      </w:r>
      <w:r w:rsidRPr="00C24ACA">
        <w:rPr>
          <w:rFonts w:eastAsiaTheme="minor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8A5A5D" w:rsidRPr="00C24ACA" w:rsidTr="004A4847">
        <w:tc>
          <w:tcPr>
            <w:tcW w:w="522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关联方名称</w:t>
            </w:r>
          </w:p>
        </w:tc>
        <w:tc>
          <w:tcPr>
            <w:tcW w:w="378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与本基金的关系</w:t>
            </w:r>
          </w:p>
        </w:tc>
      </w:tr>
      <w:tr w:rsidR="005F7EF1">
        <w:tc>
          <w:tcPr>
            <w:tcW w:w="5220" w:type="dxa"/>
            <w:vAlign w:val="center"/>
          </w:tcPr>
          <w:p w:rsidR="005F7EF1" w:rsidRDefault="00E6254F">
            <w:pPr>
              <w:jc w:val="left"/>
            </w:pPr>
            <w:r>
              <w:rPr>
                <w:rFonts w:eastAsiaTheme="minorEastAsia"/>
                <w:color w:val="000000"/>
                <w:szCs w:val="21"/>
              </w:rPr>
              <w:t>易方达基金管理有限公司</w:t>
            </w:r>
          </w:p>
        </w:tc>
        <w:tc>
          <w:tcPr>
            <w:tcW w:w="3780" w:type="dxa"/>
            <w:vAlign w:val="center"/>
          </w:tcPr>
          <w:p w:rsidR="005F7EF1" w:rsidRDefault="00E6254F">
            <w:pPr>
              <w:jc w:val="left"/>
            </w:pPr>
            <w:r>
              <w:rPr>
                <w:rFonts w:eastAsiaTheme="minorEastAsia"/>
                <w:color w:val="000000"/>
                <w:szCs w:val="21"/>
              </w:rPr>
              <w:t>基金管理人、注册登记机构、基金销售机构</w:t>
            </w:r>
          </w:p>
        </w:tc>
      </w:tr>
      <w:tr w:rsidR="005F7EF1">
        <w:tc>
          <w:tcPr>
            <w:tcW w:w="5220" w:type="dxa"/>
            <w:vAlign w:val="center"/>
          </w:tcPr>
          <w:p w:rsidR="005F7EF1" w:rsidRDefault="00E6254F">
            <w:pPr>
              <w:jc w:val="left"/>
            </w:pPr>
            <w:r>
              <w:rPr>
                <w:rFonts w:eastAsiaTheme="minorEastAsia"/>
                <w:color w:val="000000"/>
                <w:szCs w:val="21"/>
              </w:rPr>
              <w:t>招商银行股份有限公司（以下简称</w:t>
            </w:r>
            <w:r>
              <w:rPr>
                <w:rFonts w:eastAsiaTheme="minorEastAsia"/>
                <w:color w:val="000000"/>
                <w:szCs w:val="21"/>
              </w:rPr>
              <w:t>“</w:t>
            </w:r>
            <w:r>
              <w:rPr>
                <w:rFonts w:eastAsiaTheme="minorEastAsia"/>
                <w:color w:val="000000"/>
                <w:szCs w:val="21"/>
              </w:rPr>
              <w:t>招商银行</w:t>
            </w:r>
            <w:r>
              <w:rPr>
                <w:rFonts w:eastAsiaTheme="minorEastAsia"/>
                <w:color w:val="000000"/>
                <w:szCs w:val="21"/>
              </w:rPr>
              <w:t>”</w:t>
            </w:r>
            <w:r>
              <w:rPr>
                <w:rFonts w:eastAsiaTheme="minorEastAsia"/>
                <w:color w:val="000000"/>
                <w:szCs w:val="21"/>
              </w:rPr>
              <w:t>）</w:t>
            </w:r>
          </w:p>
        </w:tc>
        <w:tc>
          <w:tcPr>
            <w:tcW w:w="3780" w:type="dxa"/>
            <w:vAlign w:val="center"/>
          </w:tcPr>
          <w:p w:rsidR="005F7EF1" w:rsidRDefault="00E6254F">
            <w:pPr>
              <w:jc w:val="left"/>
            </w:pPr>
            <w:r>
              <w:rPr>
                <w:rFonts w:eastAsiaTheme="minorEastAsia"/>
                <w:color w:val="000000"/>
                <w:szCs w:val="21"/>
              </w:rPr>
              <w:t>基金托管人、基金销售机构</w:t>
            </w:r>
          </w:p>
        </w:tc>
      </w:tr>
      <w:tr w:rsidR="005F7EF1">
        <w:tc>
          <w:tcPr>
            <w:tcW w:w="5220" w:type="dxa"/>
            <w:vAlign w:val="center"/>
          </w:tcPr>
          <w:p w:rsidR="005F7EF1" w:rsidRDefault="00E6254F">
            <w:pPr>
              <w:jc w:val="left"/>
            </w:pPr>
            <w:r>
              <w:rPr>
                <w:rFonts w:eastAsiaTheme="minorEastAsia"/>
                <w:color w:val="000000"/>
                <w:szCs w:val="21"/>
              </w:rPr>
              <w:t>广发证券股份有限公司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广发证券</w:t>
            </w:r>
            <w:r>
              <w:rPr>
                <w:rFonts w:eastAsiaTheme="minorEastAsia"/>
                <w:color w:val="000000"/>
                <w:szCs w:val="21"/>
              </w:rPr>
              <w:t>”)</w:t>
            </w:r>
          </w:p>
        </w:tc>
        <w:tc>
          <w:tcPr>
            <w:tcW w:w="3780" w:type="dxa"/>
            <w:vAlign w:val="center"/>
          </w:tcPr>
          <w:p w:rsidR="005F7EF1" w:rsidRDefault="00E6254F">
            <w:pPr>
              <w:jc w:val="left"/>
            </w:pPr>
            <w:r>
              <w:rPr>
                <w:rFonts w:eastAsiaTheme="minorEastAsia"/>
                <w:color w:val="000000"/>
                <w:szCs w:val="21"/>
              </w:rPr>
              <w:t>基金管理人股东、基金销售机构</w:t>
            </w:r>
          </w:p>
        </w:tc>
      </w:tr>
      <w:tr w:rsidR="005F7EF1">
        <w:tc>
          <w:tcPr>
            <w:tcW w:w="5220" w:type="dxa"/>
            <w:vAlign w:val="center"/>
          </w:tcPr>
          <w:p w:rsidR="005F7EF1" w:rsidRDefault="00E6254F">
            <w:pPr>
              <w:jc w:val="left"/>
            </w:pPr>
            <w:r>
              <w:rPr>
                <w:rFonts w:eastAsiaTheme="minorEastAsia"/>
                <w:color w:val="000000"/>
                <w:szCs w:val="21"/>
              </w:rPr>
              <w:t>香港上海汇丰银行有限公司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汇丰银行</w:t>
            </w:r>
            <w:r>
              <w:rPr>
                <w:rFonts w:eastAsiaTheme="minorEastAsia"/>
                <w:color w:val="000000"/>
                <w:szCs w:val="21"/>
              </w:rPr>
              <w:t>”)</w:t>
            </w:r>
          </w:p>
        </w:tc>
        <w:tc>
          <w:tcPr>
            <w:tcW w:w="3780" w:type="dxa"/>
            <w:vAlign w:val="center"/>
          </w:tcPr>
          <w:p w:rsidR="005F7EF1" w:rsidRDefault="00E6254F">
            <w:pPr>
              <w:jc w:val="left"/>
            </w:pPr>
            <w:r>
              <w:rPr>
                <w:rFonts w:eastAsiaTheme="minorEastAsia"/>
                <w:color w:val="000000"/>
                <w:szCs w:val="21"/>
              </w:rPr>
              <w:t>境外资产托管人</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注：以下关联交易均在正常业务范围内按一般商业条款订立。</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6.4.10 </w:t>
      </w:r>
      <w:r w:rsidRPr="00C24ACA">
        <w:rPr>
          <w:rFonts w:eastAsiaTheme="minorEastAsia"/>
          <w:b/>
          <w:color w:val="000000"/>
          <w:kern w:val="0"/>
          <w:szCs w:val="21"/>
        </w:rPr>
        <w:t>本报告期及上年度可比期间的关联方交易</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6.4.10.1</w:t>
      </w:r>
      <w:r w:rsidRPr="00C24ACA">
        <w:rPr>
          <w:rFonts w:eastAsiaTheme="minorEastAsia"/>
          <w:b/>
          <w:color w:val="000000"/>
          <w:kern w:val="0"/>
          <w:szCs w:val="21"/>
        </w:rPr>
        <w:t xml:space="preserve"> </w:t>
      </w:r>
      <w:r w:rsidRPr="00C24ACA">
        <w:rPr>
          <w:rFonts w:eastAsiaTheme="minorEastAsia"/>
          <w:b/>
          <w:color w:val="000000"/>
          <w:kern w:val="0"/>
          <w:szCs w:val="21"/>
        </w:rPr>
        <w:t>通过关联方交易单元进行的交易</w:t>
      </w:r>
    </w:p>
    <w:p w:rsidR="008A5A5D" w:rsidRPr="00C24ACA" w:rsidRDefault="008A5A5D" w:rsidP="009967D7">
      <w:pPr>
        <w:spacing w:line="360" w:lineRule="auto"/>
        <w:rPr>
          <w:rFonts w:eastAsiaTheme="minorEastAsia"/>
          <w:color w:val="000000"/>
          <w:szCs w:val="21"/>
        </w:rPr>
      </w:pPr>
      <w:r w:rsidRPr="00C24ACA">
        <w:rPr>
          <w:rFonts w:eastAsiaTheme="minorEastAsia"/>
          <w:b/>
          <w:bCs/>
          <w:color w:val="000000"/>
          <w:kern w:val="0"/>
          <w:szCs w:val="21"/>
        </w:rPr>
        <w:t>6.4.10.1.1</w:t>
      </w:r>
      <w:r w:rsidRPr="00C24ACA">
        <w:rPr>
          <w:rFonts w:eastAsiaTheme="minorEastAsia"/>
          <w:b/>
          <w:color w:val="000000"/>
          <w:szCs w:val="21"/>
        </w:rPr>
        <w:t>股票交易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本基金本报告期及上年度可比期间未发生通过关联方交易单元进行的股票交易。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6.4.10.1.2</w:t>
      </w:r>
      <w:r w:rsidRPr="00C24ACA">
        <w:rPr>
          <w:rFonts w:eastAsiaTheme="minorEastAsia"/>
          <w:b/>
          <w:color w:val="000000"/>
          <w:szCs w:val="21"/>
        </w:rPr>
        <w:t>权证交易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本基金本报告期及上年度可比期间未发生通过关联方交易单元进行的权证交易。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6.4.10.1.3</w:t>
      </w:r>
      <w:r w:rsidRPr="00C24ACA">
        <w:rPr>
          <w:rFonts w:eastAsiaTheme="minorEastAsia"/>
          <w:b/>
          <w:color w:val="000000"/>
          <w:szCs w:val="21"/>
        </w:rPr>
        <w:t>应支付关联方的佣金</w:t>
      </w:r>
    </w:p>
    <w:p w:rsidR="008A5A5D" w:rsidRPr="00C24ACA" w:rsidRDefault="00A97A4E"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本基金本报告期及上年度可比期间无应支付关联方的佣金。</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w:t>
      </w:r>
      <w:r w:rsidRPr="00C24ACA">
        <w:rPr>
          <w:rFonts w:eastAsiaTheme="minorEastAsia"/>
          <w:b/>
          <w:color w:val="000000"/>
          <w:kern w:val="0"/>
          <w:szCs w:val="21"/>
        </w:rPr>
        <w:t>关联方报酬</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6.4.10.2.1</w:t>
      </w:r>
      <w:r w:rsidRPr="00C24ACA">
        <w:rPr>
          <w:rFonts w:eastAsiaTheme="minorEastAsia"/>
          <w:b/>
          <w:color w:val="000000"/>
          <w:kern w:val="0"/>
          <w:szCs w:val="21"/>
        </w:rPr>
        <w:t>基金管理费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当期发生的基金应支付的管理费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2,821,754.50</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1,280,843.64</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其中：支付销售机构的客户维护费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724,981.95</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452,561.08</w:t>
            </w:r>
          </w:p>
        </w:tc>
      </w:tr>
    </w:tbl>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注：本基金的管理费按前一日基金资产净值的</w:t>
      </w:r>
      <w:r>
        <w:rPr>
          <w:rFonts w:eastAsiaTheme="minorEastAsia"/>
          <w:kern w:val="0"/>
          <w:szCs w:val="21"/>
        </w:rPr>
        <w:t>1.0%</w:t>
      </w:r>
      <w:r>
        <w:rPr>
          <w:rFonts w:eastAsiaTheme="minorEastAsia"/>
          <w:kern w:val="0"/>
          <w:szCs w:val="21"/>
        </w:rPr>
        <w:t>年费率计提。管理费的计算方法如下：</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E×1.0%÷</w:t>
      </w:r>
      <w:r>
        <w:rPr>
          <w:rFonts w:eastAsiaTheme="minorEastAsia"/>
          <w:kern w:val="0"/>
          <w:szCs w:val="21"/>
        </w:rPr>
        <w:t>当年天数</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为每日应计提的基金管理费</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基金管理费每日计提，逐日累计至每个月月末，按月支付。经基金管理人与基金托管人核对一致后，基金托管人按照与基金管理人协商一致的方式于次月前</w:t>
      </w:r>
      <w:r w:rsidRPr="00C24ACA">
        <w:rPr>
          <w:rFonts w:eastAsiaTheme="minorEastAsia"/>
          <w:kern w:val="0"/>
          <w:szCs w:val="21"/>
        </w:rPr>
        <w:t>5</w:t>
      </w:r>
      <w:r w:rsidRPr="00C24ACA">
        <w:rPr>
          <w:rFonts w:eastAsiaTheme="minorEastAsia"/>
          <w:kern w:val="0"/>
          <w:szCs w:val="21"/>
        </w:rPr>
        <w:t>个工作日内从基金财产中一次性支付给基金管理人。若遇法定节假日、公休假等，支付日期顺延。</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6.4.10.2.2</w:t>
      </w:r>
      <w:r w:rsidRPr="00C24ACA">
        <w:rPr>
          <w:rFonts w:eastAsiaTheme="minorEastAsia"/>
          <w:b/>
          <w:color w:val="000000"/>
          <w:kern w:val="0"/>
          <w:szCs w:val="21"/>
        </w:rPr>
        <w:t>基金托管费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当期发生的基金应支付的托管费</w:t>
            </w:r>
          </w:p>
        </w:tc>
        <w:tc>
          <w:tcPr>
            <w:tcW w:w="2657" w:type="dxa"/>
            <w:vAlign w:val="center"/>
          </w:tcPr>
          <w:p w:rsidR="00A97A4E" w:rsidRPr="00C24ACA" w:rsidRDefault="00A97A4E" w:rsidP="00A97A4E">
            <w:pPr>
              <w:jc w:val="right"/>
              <w:rPr>
                <w:rFonts w:eastAsiaTheme="minorEastAsia"/>
                <w:color w:val="000000"/>
                <w:kern w:val="0"/>
                <w:szCs w:val="21"/>
              </w:rPr>
            </w:pPr>
            <w:r w:rsidRPr="00C24ACA">
              <w:rPr>
                <w:rFonts w:eastAsiaTheme="minorEastAsia"/>
                <w:szCs w:val="21"/>
              </w:rPr>
              <w:t>705,438.59</w:t>
            </w:r>
          </w:p>
        </w:tc>
        <w:tc>
          <w:tcPr>
            <w:tcW w:w="2588" w:type="dxa"/>
            <w:vAlign w:val="center"/>
          </w:tcPr>
          <w:p w:rsidR="00A97A4E" w:rsidRPr="00C24ACA" w:rsidRDefault="00A97A4E" w:rsidP="00A97A4E">
            <w:pPr>
              <w:jc w:val="right"/>
              <w:rPr>
                <w:rFonts w:eastAsiaTheme="minorEastAsia"/>
                <w:color w:val="000000"/>
                <w:szCs w:val="21"/>
              </w:rPr>
            </w:pPr>
            <w:r w:rsidRPr="00C24ACA">
              <w:rPr>
                <w:rFonts w:eastAsiaTheme="minorEastAsia"/>
                <w:szCs w:val="21"/>
              </w:rPr>
              <w:t>320,210.97</w:t>
            </w:r>
          </w:p>
        </w:tc>
      </w:tr>
    </w:tbl>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注：本基金的托管费按前一日基金资产净值的</w:t>
      </w:r>
      <w:r>
        <w:rPr>
          <w:rFonts w:eastAsiaTheme="minorEastAsia"/>
          <w:kern w:val="0"/>
          <w:szCs w:val="21"/>
        </w:rPr>
        <w:t>0.25%</w:t>
      </w:r>
      <w:r>
        <w:rPr>
          <w:rFonts w:eastAsiaTheme="minorEastAsia"/>
          <w:kern w:val="0"/>
          <w:szCs w:val="21"/>
        </w:rPr>
        <w:t>的年费率计提。托管费的计算方法如下：</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E×0.25%÷</w:t>
      </w:r>
      <w:r>
        <w:rPr>
          <w:rFonts w:eastAsiaTheme="minorEastAsia"/>
          <w:kern w:val="0"/>
          <w:szCs w:val="21"/>
        </w:rPr>
        <w:t>当年天数</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为每日应计提的基金托管费</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基金托管费每日计提，逐日累计至每个月月末，按月支付。经基金管理人与基金托管人核对一致后，基金托管人按照与基金管理人协商一致的方式于次月前</w:t>
      </w:r>
      <w:r w:rsidRPr="00C24ACA">
        <w:rPr>
          <w:rFonts w:eastAsiaTheme="minorEastAsia"/>
          <w:kern w:val="0"/>
          <w:szCs w:val="21"/>
        </w:rPr>
        <w:t>5</w:t>
      </w:r>
      <w:r w:rsidRPr="00C24ACA">
        <w:rPr>
          <w:rFonts w:eastAsiaTheme="minorEastAsia"/>
          <w:kern w:val="0"/>
          <w:szCs w:val="21"/>
        </w:rPr>
        <w:t>个工作日内从基金财产中一次性支取。若遇法定节假日、公休假等，支付日期顺延。</w:t>
      </w:r>
    </w:p>
    <w:p w:rsidR="00871B95" w:rsidRPr="00C24ACA" w:rsidRDefault="00871B95"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6.4.10.2.3 </w:t>
      </w:r>
      <w:r w:rsidRPr="00C24ACA">
        <w:rPr>
          <w:rFonts w:eastAsiaTheme="minorEastAsia"/>
          <w:b/>
          <w:color w:val="000000"/>
          <w:kern w:val="0"/>
          <w:szCs w:val="21"/>
        </w:rPr>
        <w:t>销售服务费</w:t>
      </w:r>
    </w:p>
    <w:p w:rsidR="003921B9" w:rsidRPr="00325F8A" w:rsidRDefault="003921B9" w:rsidP="003921B9">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2287"/>
        <w:gridCol w:w="2409"/>
        <w:gridCol w:w="2691"/>
      </w:tblGrid>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易方达原油（</w:t>
            </w:r>
            <w:r w:rsidRPr="00325F8A">
              <w:rPr>
                <w:rFonts w:eastAsiaTheme="minorEastAsia"/>
                <w:szCs w:val="21"/>
              </w:rPr>
              <w:t>QDII-LOF-FOF</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易方达原油（</w:t>
            </w:r>
            <w:r w:rsidRPr="00325F8A">
              <w:rPr>
                <w:rFonts w:eastAsiaTheme="minorEastAsia"/>
                <w:szCs w:val="21"/>
              </w:rPr>
              <w:t>QDII-LOF-FOF</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5F7EF1">
        <w:tc>
          <w:tcPr>
            <w:tcW w:w="2108" w:type="dxa"/>
            <w:vAlign w:val="center"/>
          </w:tcPr>
          <w:p w:rsidR="005F7EF1" w:rsidRDefault="00E6254F">
            <w:pPr>
              <w:jc w:val="left"/>
            </w:pPr>
            <w:r>
              <w:rPr>
                <w:rFonts w:eastAsiaTheme="minorEastAsia"/>
                <w:szCs w:val="21"/>
              </w:rPr>
              <w:t>易方达基金管理有限公司</w:t>
            </w:r>
          </w:p>
        </w:tc>
        <w:tc>
          <w:tcPr>
            <w:tcW w:w="2287" w:type="dxa"/>
            <w:vAlign w:val="center"/>
          </w:tcPr>
          <w:p w:rsidR="005F7EF1" w:rsidRDefault="00E6254F">
            <w:pPr>
              <w:jc w:val="right"/>
            </w:pPr>
            <w:r>
              <w:rPr>
                <w:rFonts w:eastAsiaTheme="minorEastAsia"/>
                <w:szCs w:val="21"/>
              </w:rPr>
              <w:t>-</w:t>
            </w:r>
          </w:p>
        </w:tc>
        <w:tc>
          <w:tcPr>
            <w:tcW w:w="2409" w:type="dxa"/>
            <w:vAlign w:val="center"/>
          </w:tcPr>
          <w:p w:rsidR="005F7EF1" w:rsidRDefault="00E6254F">
            <w:pPr>
              <w:jc w:val="right"/>
            </w:pPr>
            <w:r>
              <w:rPr>
                <w:rFonts w:eastAsiaTheme="minorEastAsia"/>
                <w:szCs w:val="21"/>
              </w:rPr>
              <w:t>54,473.76</w:t>
            </w:r>
          </w:p>
        </w:tc>
        <w:tc>
          <w:tcPr>
            <w:tcW w:w="2691" w:type="dxa"/>
            <w:vAlign w:val="center"/>
          </w:tcPr>
          <w:p w:rsidR="005F7EF1" w:rsidRDefault="00E6254F">
            <w:pPr>
              <w:jc w:val="right"/>
            </w:pPr>
            <w:r>
              <w:rPr>
                <w:rFonts w:eastAsiaTheme="minorEastAsia"/>
                <w:szCs w:val="21"/>
              </w:rPr>
              <w:t>54,473.76</w:t>
            </w:r>
          </w:p>
        </w:tc>
      </w:tr>
      <w:tr w:rsidR="005F7EF1">
        <w:tc>
          <w:tcPr>
            <w:tcW w:w="2108" w:type="dxa"/>
            <w:vAlign w:val="center"/>
          </w:tcPr>
          <w:p w:rsidR="005F7EF1" w:rsidRDefault="00E6254F">
            <w:pPr>
              <w:jc w:val="left"/>
            </w:pPr>
            <w:r>
              <w:rPr>
                <w:rFonts w:eastAsiaTheme="minorEastAsia"/>
                <w:szCs w:val="21"/>
              </w:rPr>
              <w:t>招商银行</w:t>
            </w:r>
          </w:p>
        </w:tc>
        <w:tc>
          <w:tcPr>
            <w:tcW w:w="2287" w:type="dxa"/>
            <w:vAlign w:val="center"/>
          </w:tcPr>
          <w:p w:rsidR="005F7EF1" w:rsidRDefault="00E6254F">
            <w:pPr>
              <w:jc w:val="right"/>
            </w:pPr>
            <w:r>
              <w:rPr>
                <w:rFonts w:eastAsiaTheme="minorEastAsia"/>
                <w:szCs w:val="21"/>
              </w:rPr>
              <w:t>-</w:t>
            </w:r>
          </w:p>
        </w:tc>
        <w:tc>
          <w:tcPr>
            <w:tcW w:w="2409" w:type="dxa"/>
            <w:vAlign w:val="center"/>
          </w:tcPr>
          <w:p w:rsidR="005F7EF1" w:rsidRDefault="00E6254F">
            <w:pPr>
              <w:jc w:val="right"/>
            </w:pPr>
            <w:r>
              <w:rPr>
                <w:rFonts w:eastAsiaTheme="minorEastAsia"/>
                <w:szCs w:val="21"/>
              </w:rPr>
              <w:t>60,862.79</w:t>
            </w:r>
          </w:p>
        </w:tc>
        <w:tc>
          <w:tcPr>
            <w:tcW w:w="2691" w:type="dxa"/>
            <w:vAlign w:val="center"/>
          </w:tcPr>
          <w:p w:rsidR="005F7EF1" w:rsidRDefault="00E6254F">
            <w:pPr>
              <w:jc w:val="right"/>
            </w:pPr>
            <w:r>
              <w:rPr>
                <w:rFonts w:eastAsiaTheme="minorEastAsia"/>
                <w:szCs w:val="21"/>
              </w:rPr>
              <w:t>60,862.79</w:t>
            </w:r>
          </w:p>
        </w:tc>
      </w:tr>
      <w:tr w:rsidR="005F7EF1">
        <w:tc>
          <w:tcPr>
            <w:tcW w:w="2108" w:type="dxa"/>
            <w:vAlign w:val="center"/>
          </w:tcPr>
          <w:p w:rsidR="005F7EF1" w:rsidRDefault="00E6254F">
            <w:pPr>
              <w:jc w:val="left"/>
            </w:pPr>
            <w:r>
              <w:rPr>
                <w:rFonts w:eastAsiaTheme="minorEastAsia"/>
                <w:szCs w:val="21"/>
              </w:rPr>
              <w:t>广发证券</w:t>
            </w:r>
          </w:p>
        </w:tc>
        <w:tc>
          <w:tcPr>
            <w:tcW w:w="2287" w:type="dxa"/>
            <w:vAlign w:val="center"/>
          </w:tcPr>
          <w:p w:rsidR="005F7EF1" w:rsidRDefault="00E6254F">
            <w:pPr>
              <w:jc w:val="right"/>
            </w:pPr>
            <w:r>
              <w:rPr>
                <w:rFonts w:eastAsiaTheme="minorEastAsia"/>
                <w:szCs w:val="21"/>
              </w:rPr>
              <w:t>-</w:t>
            </w:r>
          </w:p>
        </w:tc>
        <w:tc>
          <w:tcPr>
            <w:tcW w:w="2409" w:type="dxa"/>
            <w:vAlign w:val="center"/>
          </w:tcPr>
          <w:p w:rsidR="005F7EF1" w:rsidRDefault="00E6254F">
            <w:pPr>
              <w:jc w:val="right"/>
            </w:pPr>
            <w:r>
              <w:rPr>
                <w:rFonts w:eastAsiaTheme="minorEastAsia"/>
                <w:szCs w:val="21"/>
              </w:rPr>
              <w:t>623.60</w:t>
            </w:r>
          </w:p>
        </w:tc>
        <w:tc>
          <w:tcPr>
            <w:tcW w:w="2691" w:type="dxa"/>
            <w:vAlign w:val="center"/>
          </w:tcPr>
          <w:p w:rsidR="005F7EF1" w:rsidRDefault="00E6254F">
            <w:pPr>
              <w:jc w:val="right"/>
            </w:pPr>
            <w:r>
              <w:rPr>
                <w:rFonts w:eastAsiaTheme="minorEastAsia"/>
                <w:szCs w:val="21"/>
              </w:rPr>
              <w:t>623.60</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115,960.15</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115,960.15</w:t>
            </w:r>
          </w:p>
        </w:tc>
      </w:tr>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易方达原油（</w:t>
            </w:r>
            <w:r w:rsidRPr="00325F8A">
              <w:rPr>
                <w:rFonts w:eastAsiaTheme="minorEastAsia"/>
                <w:szCs w:val="21"/>
              </w:rPr>
              <w:t>QDII-LOF-FOF</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易方达原油（</w:t>
            </w:r>
            <w:r w:rsidRPr="00325F8A">
              <w:rPr>
                <w:rFonts w:eastAsiaTheme="minorEastAsia"/>
                <w:szCs w:val="21"/>
              </w:rPr>
              <w:t>QDII-LOF-FOF</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5F7EF1">
        <w:tc>
          <w:tcPr>
            <w:tcW w:w="2108" w:type="dxa"/>
            <w:vAlign w:val="center"/>
          </w:tcPr>
          <w:p w:rsidR="005F7EF1" w:rsidRDefault="00E6254F">
            <w:pPr>
              <w:jc w:val="left"/>
            </w:pPr>
            <w:r>
              <w:rPr>
                <w:rFonts w:eastAsiaTheme="minorEastAsia"/>
                <w:szCs w:val="21"/>
              </w:rPr>
              <w:t>易方达基金管理有限公司</w:t>
            </w:r>
          </w:p>
        </w:tc>
        <w:tc>
          <w:tcPr>
            <w:tcW w:w="2287" w:type="dxa"/>
            <w:vAlign w:val="center"/>
          </w:tcPr>
          <w:p w:rsidR="005F7EF1" w:rsidRDefault="00E6254F">
            <w:pPr>
              <w:jc w:val="right"/>
            </w:pPr>
            <w:r>
              <w:rPr>
                <w:rFonts w:eastAsiaTheme="minorEastAsia"/>
                <w:szCs w:val="21"/>
              </w:rPr>
              <w:t>-</w:t>
            </w:r>
          </w:p>
        </w:tc>
        <w:tc>
          <w:tcPr>
            <w:tcW w:w="2409" w:type="dxa"/>
            <w:vAlign w:val="center"/>
          </w:tcPr>
          <w:p w:rsidR="005F7EF1" w:rsidRDefault="00E6254F">
            <w:pPr>
              <w:jc w:val="right"/>
            </w:pPr>
            <w:r>
              <w:rPr>
                <w:rFonts w:eastAsiaTheme="minorEastAsia"/>
                <w:szCs w:val="21"/>
              </w:rPr>
              <w:t>21,405.75</w:t>
            </w:r>
          </w:p>
        </w:tc>
        <w:tc>
          <w:tcPr>
            <w:tcW w:w="2691" w:type="dxa"/>
            <w:vAlign w:val="center"/>
          </w:tcPr>
          <w:p w:rsidR="005F7EF1" w:rsidRDefault="00E6254F">
            <w:pPr>
              <w:jc w:val="right"/>
            </w:pPr>
            <w:r>
              <w:rPr>
                <w:rFonts w:eastAsiaTheme="minorEastAsia"/>
                <w:szCs w:val="21"/>
              </w:rPr>
              <w:t>21,405.75</w:t>
            </w:r>
          </w:p>
        </w:tc>
      </w:tr>
      <w:tr w:rsidR="005F7EF1">
        <w:tc>
          <w:tcPr>
            <w:tcW w:w="2108" w:type="dxa"/>
            <w:vAlign w:val="center"/>
          </w:tcPr>
          <w:p w:rsidR="005F7EF1" w:rsidRDefault="00E6254F">
            <w:pPr>
              <w:jc w:val="left"/>
            </w:pPr>
            <w:r>
              <w:rPr>
                <w:rFonts w:eastAsiaTheme="minorEastAsia"/>
                <w:szCs w:val="21"/>
              </w:rPr>
              <w:t>招商银行</w:t>
            </w:r>
          </w:p>
        </w:tc>
        <w:tc>
          <w:tcPr>
            <w:tcW w:w="2287" w:type="dxa"/>
            <w:vAlign w:val="center"/>
          </w:tcPr>
          <w:p w:rsidR="005F7EF1" w:rsidRDefault="00E6254F">
            <w:pPr>
              <w:jc w:val="right"/>
            </w:pPr>
            <w:r>
              <w:rPr>
                <w:rFonts w:eastAsiaTheme="minorEastAsia"/>
                <w:szCs w:val="21"/>
              </w:rPr>
              <w:t>-</w:t>
            </w:r>
          </w:p>
        </w:tc>
        <w:tc>
          <w:tcPr>
            <w:tcW w:w="2409" w:type="dxa"/>
            <w:vAlign w:val="center"/>
          </w:tcPr>
          <w:p w:rsidR="005F7EF1" w:rsidRDefault="00E6254F">
            <w:pPr>
              <w:jc w:val="right"/>
            </w:pPr>
            <w:r>
              <w:rPr>
                <w:rFonts w:eastAsiaTheme="minorEastAsia"/>
                <w:szCs w:val="21"/>
              </w:rPr>
              <w:t>51,653.52</w:t>
            </w:r>
          </w:p>
        </w:tc>
        <w:tc>
          <w:tcPr>
            <w:tcW w:w="2691" w:type="dxa"/>
            <w:vAlign w:val="center"/>
          </w:tcPr>
          <w:p w:rsidR="005F7EF1" w:rsidRDefault="00E6254F">
            <w:pPr>
              <w:jc w:val="right"/>
            </w:pPr>
            <w:r>
              <w:rPr>
                <w:rFonts w:eastAsiaTheme="minorEastAsia"/>
                <w:szCs w:val="21"/>
              </w:rPr>
              <w:t>51,653.52</w:t>
            </w:r>
          </w:p>
        </w:tc>
      </w:tr>
      <w:tr w:rsidR="005F7EF1">
        <w:tc>
          <w:tcPr>
            <w:tcW w:w="2108" w:type="dxa"/>
            <w:vAlign w:val="center"/>
          </w:tcPr>
          <w:p w:rsidR="005F7EF1" w:rsidRDefault="00E6254F">
            <w:pPr>
              <w:jc w:val="left"/>
            </w:pPr>
            <w:r>
              <w:rPr>
                <w:rFonts w:eastAsiaTheme="minorEastAsia"/>
                <w:szCs w:val="21"/>
              </w:rPr>
              <w:t>广发证券</w:t>
            </w:r>
          </w:p>
        </w:tc>
        <w:tc>
          <w:tcPr>
            <w:tcW w:w="2287" w:type="dxa"/>
            <w:vAlign w:val="center"/>
          </w:tcPr>
          <w:p w:rsidR="005F7EF1" w:rsidRDefault="00E6254F">
            <w:pPr>
              <w:jc w:val="right"/>
            </w:pPr>
            <w:r>
              <w:rPr>
                <w:rFonts w:eastAsiaTheme="minorEastAsia"/>
                <w:szCs w:val="21"/>
              </w:rPr>
              <w:t>-</w:t>
            </w:r>
          </w:p>
        </w:tc>
        <w:tc>
          <w:tcPr>
            <w:tcW w:w="2409" w:type="dxa"/>
            <w:vAlign w:val="center"/>
          </w:tcPr>
          <w:p w:rsidR="005F7EF1" w:rsidRDefault="00E6254F">
            <w:pPr>
              <w:jc w:val="right"/>
            </w:pPr>
            <w:r>
              <w:rPr>
                <w:rFonts w:eastAsiaTheme="minorEastAsia"/>
                <w:szCs w:val="21"/>
              </w:rPr>
              <w:t>612.33</w:t>
            </w:r>
          </w:p>
        </w:tc>
        <w:tc>
          <w:tcPr>
            <w:tcW w:w="2691" w:type="dxa"/>
            <w:vAlign w:val="center"/>
          </w:tcPr>
          <w:p w:rsidR="005F7EF1" w:rsidRDefault="00E6254F">
            <w:pPr>
              <w:jc w:val="right"/>
            </w:pPr>
            <w:r>
              <w:rPr>
                <w:rFonts w:eastAsiaTheme="minorEastAsia"/>
                <w:szCs w:val="21"/>
              </w:rPr>
              <w:t>612.33</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73,671.60</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73,671.60</w:t>
            </w:r>
          </w:p>
        </w:tc>
      </w:tr>
    </w:tbl>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注：销售服务费可用于本基金市场推广、销售以及基金份额持有人服务等各项费用。本基金份额分为不同的类别，适用不同的销售服务费率。其中，</w:t>
      </w:r>
      <w:r>
        <w:rPr>
          <w:rFonts w:eastAsiaTheme="minorEastAsia"/>
          <w:kern w:val="0"/>
          <w:szCs w:val="21"/>
        </w:rPr>
        <w:t>A</w:t>
      </w:r>
      <w:r>
        <w:rPr>
          <w:rFonts w:eastAsiaTheme="minorEastAsia"/>
          <w:kern w:val="0"/>
          <w:szCs w:val="21"/>
        </w:rPr>
        <w:t>类不收取销售服务费，</w:t>
      </w:r>
      <w:r>
        <w:rPr>
          <w:rFonts w:eastAsiaTheme="minorEastAsia"/>
          <w:kern w:val="0"/>
          <w:szCs w:val="21"/>
        </w:rPr>
        <w:t>C</w:t>
      </w:r>
      <w:r>
        <w:rPr>
          <w:rFonts w:eastAsiaTheme="minorEastAsia"/>
          <w:kern w:val="0"/>
          <w:szCs w:val="21"/>
        </w:rPr>
        <w:t>类销售服务费年费率为</w:t>
      </w:r>
      <w:r>
        <w:rPr>
          <w:rFonts w:eastAsiaTheme="minorEastAsia"/>
          <w:kern w:val="0"/>
          <w:szCs w:val="21"/>
        </w:rPr>
        <w:t>0.3%</w:t>
      </w:r>
      <w:r>
        <w:rPr>
          <w:rFonts w:eastAsiaTheme="minorEastAsia"/>
          <w:kern w:val="0"/>
          <w:szCs w:val="21"/>
        </w:rPr>
        <w:t>。销售服务费计算方法如下：</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E×R÷</w:t>
      </w:r>
      <w:r>
        <w:rPr>
          <w:rFonts w:eastAsiaTheme="minorEastAsia"/>
          <w:kern w:val="0"/>
          <w:szCs w:val="21"/>
        </w:rPr>
        <w:t>当年天数</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为</w:t>
      </w:r>
      <w:r>
        <w:rPr>
          <w:rFonts w:eastAsiaTheme="minorEastAsia"/>
          <w:kern w:val="0"/>
          <w:szCs w:val="21"/>
        </w:rPr>
        <w:t>C</w:t>
      </w:r>
      <w:r>
        <w:rPr>
          <w:rFonts w:eastAsiaTheme="minorEastAsia"/>
          <w:kern w:val="0"/>
          <w:szCs w:val="21"/>
        </w:rPr>
        <w:t>类基金份额每日应计提的销售服务费</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E</w:t>
      </w:r>
      <w:r>
        <w:rPr>
          <w:rFonts w:eastAsiaTheme="minorEastAsia"/>
          <w:kern w:val="0"/>
          <w:szCs w:val="21"/>
        </w:rPr>
        <w:t>为本基金</w:t>
      </w:r>
      <w:r>
        <w:rPr>
          <w:rFonts w:eastAsiaTheme="minorEastAsia"/>
          <w:kern w:val="0"/>
          <w:szCs w:val="21"/>
        </w:rPr>
        <w:t>C</w:t>
      </w:r>
      <w:r>
        <w:rPr>
          <w:rFonts w:eastAsiaTheme="minorEastAsia"/>
          <w:kern w:val="0"/>
          <w:szCs w:val="21"/>
        </w:rPr>
        <w:t>类基金份额前一日基金资产净值</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R</w:t>
      </w:r>
      <w:r>
        <w:rPr>
          <w:rFonts w:eastAsiaTheme="minorEastAsia"/>
          <w:kern w:val="0"/>
          <w:szCs w:val="21"/>
        </w:rPr>
        <w:t>为本基金</w:t>
      </w:r>
      <w:r>
        <w:rPr>
          <w:rFonts w:eastAsiaTheme="minorEastAsia"/>
          <w:kern w:val="0"/>
          <w:szCs w:val="21"/>
        </w:rPr>
        <w:t>C</w:t>
      </w:r>
      <w:r>
        <w:rPr>
          <w:rFonts w:eastAsiaTheme="minorEastAsia"/>
          <w:kern w:val="0"/>
          <w:szCs w:val="21"/>
        </w:rPr>
        <w:t>类基金份额适用的销售服务费率</w:t>
      </w:r>
    </w:p>
    <w:p w:rsidR="008A5A5D" w:rsidRPr="00C24ACA" w:rsidRDefault="003921B9"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销售服务费每日计提，逐日累计至每个月月末，按月支付。经基金管理人与基金托管人核对一致后，基金托管人按照与基金管理人协商一致的方式于次月前</w:t>
      </w:r>
      <w:r w:rsidRPr="001412CA">
        <w:rPr>
          <w:rFonts w:eastAsiaTheme="minorEastAsia"/>
          <w:kern w:val="0"/>
          <w:szCs w:val="21"/>
        </w:rPr>
        <w:t>5</w:t>
      </w:r>
      <w:r w:rsidRPr="001412CA">
        <w:rPr>
          <w:rFonts w:eastAsiaTheme="minorEastAsia"/>
          <w:kern w:val="0"/>
          <w:szCs w:val="21"/>
        </w:rPr>
        <w:t>个工作日内从基金财产中一次性支付至登记结算机构，由登记结算机构代付给销售机构。若遇法定节假日、公休假等，支付日期顺延。</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6.4.10.3</w:t>
      </w:r>
      <w:r w:rsidRPr="00C24ACA">
        <w:rPr>
          <w:rFonts w:eastAsiaTheme="minorEastAsia"/>
          <w:b/>
          <w:bCs/>
          <w:color w:val="000000"/>
          <w:szCs w:val="21"/>
        </w:rPr>
        <w:t>与关联方进行银行间同业市场的债券</w:t>
      </w:r>
      <w:r w:rsidRPr="00C24ACA">
        <w:rPr>
          <w:rFonts w:eastAsiaTheme="minorEastAsia"/>
          <w:b/>
          <w:bCs/>
          <w:color w:val="000000"/>
          <w:szCs w:val="21"/>
        </w:rPr>
        <w:t>(</w:t>
      </w:r>
      <w:r w:rsidRPr="00C24ACA">
        <w:rPr>
          <w:rFonts w:eastAsiaTheme="minorEastAsia"/>
          <w:b/>
          <w:bCs/>
          <w:color w:val="000000"/>
          <w:szCs w:val="21"/>
        </w:rPr>
        <w:t>含回购</w:t>
      </w:r>
      <w:r w:rsidRPr="00C24ACA">
        <w:rPr>
          <w:rFonts w:eastAsiaTheme="minorEastAsia"/>
          <w:b/>
          <w:bCs/>
          <w:color w:val="000000"/>
          <w:szCs w:val="21"/>
        </w:rPr>
        <w:t>)</w:t>
      </w:r>
      <w:r w:rsidRPr="00C24ACA">
        <w:rPr>
          <w:rFonts w:eastAsiaTheme="minorEastAsia"/>
          <w:b/>
          <w:bCs/>
          <w:color w:val="000000"/>
          <w:szCs w:val="21"/>
        </w:rPr>
        <w:t>交易</w:t>
      </w:r>
    </w:p>
    <w:p w:rsidR="0096290F" w:rsidRPr="00C24ACA" w:rsidRDefault="0096290F"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本基金本报告期及上年度可比期间未与关联方进行银行间同业市场债券（含回购）交易。</w:t>
      </w:r>
    </w:p>
    <w:p w:rsidR="008A5A5D" w:rsidRPr="00C24ACA" w:rsidRDefault="008A5A5D" w:rsidP="00EC68BF">
      <w:pPr>
        <w:spacing w:line="360" w:lineRule="auto"/>
        <w:rPr>
          <w:rFonts w:eastAsiaTheme="minorEastAsia"/>
          <w:b/>
          <w:bCs/>
          <w:color w:val="000000"/>
          <w:szCs w:val="21"/>
        </w:rPr>
      </w:pPr>
      <w:r w:rsidRPr="00C24ACA">
        <w:rPr>
          <w:rFonts w:eastAsiaTheme="minorEastAsia"/>
          <w:b/>
          <w:bCs/>
          <w:color w:val="000000"/>
          <w:kern w:val="0"/>
          <w:szCs w:val="21"/>
        </w:rPr>
        <w:t>6.4.10.4</w:t>
      </w:r>
      <w:r w:rsidRPr="00C24ACA">
        <w:rPr>
          <w:rFonts w:eastAsiaTheme="minorEastAsia"/>
          <w:b/>
          <w:bCs/>
          <w:color w:val="000000"/>
          <w:szCs w:val="21"/>
        </w:rPr>
        <w:t>各关联方投资本基金的情况</w:t>
      </w:r>
    </w:p>
    <w:p w:rsidR="008A5A5D" w:rsidRPr="00C24ACA" w:rsidRDefault="008A5A5D" w:rsidP="00EC68BF">
      <w:pPr>
        <w:adjustRightInd w:val="0"/>
        <w:snapToGrid w:val="0"/>
        <w:spacing w:line="360" w:lineRule="auto"/>
        <w:rPr>
          <w:rFonts w:eastAsiaTheme="minorEastAsia"/>
          <w:b/>
          <w:bCs/>
          <w:color w:val="000000"/>
          <w:szCs w:val="21"/>
        </w:rPr>
      </w:pPr>
      <w:r w:rsidRPr="00C24ACA">
        <w:rPr>
          <w:rFonts w:eastAsiaTheme="minorEastAsia"/>
          <w:b/>
          <w:bCs/>
          <w:color w:val="000000"/>
          <w:kern w:val="0"/>
          <w:szCs w:val="21"/>
        </w:rPr>
        <w:t>6.4.10.4.1</w:t>
      </w:r>
      <w:r w:rsidRPr="00C24ACA">
        <w:rPr>
          <w:rFonts w:eastAsiaTheme="minorEastAsia"/>
          <w:b/>
          <w:bCs/>
          <w:color w:val="000000"/>
          <w:szCs w:val="21"/>
        </w:rPr>
        <w:t>报告期内基金管理人运用固有资金投资本基金的情况</w:t>
      </w:r>
    </w:p>
    <w:p w:rsidR="00732F5C" w:rsidRPr="00D77452" w:rsidRDefault="00732F5C" w:rsidP="00732F5C">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9B7B09" w:rsidRPr="007F6A4B" w:rsidRDefault="008A5A5D" w:rsidP="007F6A4B">
      <w:pPr>
        <w:adjustRightInd w:val="0"/>
        <w:snapToGrid w:val="0"/>
        <w:spacing w:line="360" w:lineRule="auto"/>
        <w:rPr>
          <w:rFonts w:eastAsiaTheme="minorEastAsia"/>
          <w:b/>
          <w:bCs/>
          <w:color w:val="000000"/>
          <w:kern w:val="0"/>
          <w:szCs w:val="21"/>
        </w:rPr>
      </w:pPr>
      <w:r w:rsidRPr="00C24ACA">
        <w:rPr>
          <w:rFonts w:eastAsiaTheme="minorEastAsia"/>
          <w:b/>
          <w:bCs/>
          <w:color w:val="000000"/>
          <w:kern w:val="0"/>
          <w:szCs w:val="21"/>
        </w:rPr>
        <w:t>6.4.10.4.2</w:t>
      </w:r>
      <w:r w:rsidRPr="007F6A4B">
        <w:rPr>
          <w:rFonts w:eastAsiaTheme="minorEastAsia"/>
          <w:b/>
          <w:bCs/>
          <w:color w:val="000000"/>
          <w:kern w:val="0"/>
          <w:szCs w:val="21"/>
        </w:rPr>
        <w:t>报告期末除基金管理人之外的其他关联方投资本基金的情况</w:t>
      </w:r>
    </w:p>
    <w:p w:rsidR="009B7B09" w:rsidRPr="003560D2" w:rsidRDefault="009B7B09" w:rsidP="009B7B09">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易方达原油（</w:t>
      </w:r>
      <w:r w:rsidRPr="003560D2">
        <w:rPr>
          <w:rFonts w:eastAsiaTheme="minorEastAsia" w:hint="eastAsia"/>
          <w:b/>
          <w:color w:val="000000"/>
          <w:szCs w:val="21"/>
        </w:rPr>
        <w:t>QDII-LOF-FOF</w:t>
      </w:r>
      <w:r w:rsidRPr="003560D2">
        <w:rPr>
          <w:rFonts w:eastAsiaTheme="minorEastAsia" w:hint="eastAsia"/>
          <w:b/>
          <w:color w:val="000000"/>
          <w:szCs w:val="21"/>
        </w:rPr>
        <w:t>）</w:t>
      </w:r>
      <w:r w:rsidRPr="003560D2">
        <w:rPr>
          <w:rFonts w:eastAsiaTheme="minorEastAsia" w:hint="eastAsia"/>
          <w:b/>
          <w:color w:val="000000"/>
          <w:szCs w:val="21"/>
        </w:rPr>
        <w:t>A</w:t>
      </w:r>
    </w:p>
    <w:p w:rsidR="009B7B09" w:rsidRPr="00325F8A" w:rsidRDefault="009B7B09" w:rsidP="009B7B09">
      <w:pPr>
        <w:tabs>
          <w:tab w:val="left" w:pos="426"/>
        </w:tabs>
        <w:spacing w:line="360" w:lineRule="auto"/>
        <w:ind w:firstLineChars="200" w:firstLine="420"/>
        <w:jc w:val="left"/>
        <w:rPr>
          <w:kern w:val="0"/>
          <w:szCs w:val="21"/>
        </w:rPr>
      </w:pPr>
      <w:r w:rsidRPr="00325F8A">
        <w:rPr>
          <w:kern w:val="0"/>
          <w:szCs w:val="21"/>
        </w:rPr>
        <w:t>无。</w:t>
      </w:r>
    </w:p>
    <w:p w:rsidR="009B7B09" w:rsidRPr="00325F8A" w:rsidRDefault="009B7B09" w:rsidP="009B7B09">
      <w:pPr>
        <w:adjustRightInd w:val="0"/>
        <w:snapToGrid w:val="0"/>
        <w:spacing w:line="288" w:lineRule="auto"/>
        <w:ind w:firstLineChars="200" w:firstLine="422"/>
        <w:rPr>
          <w:b/>
          <w:bCs/>
          <w:color w:val="000000"/>
          <w:szCs w:val="21"/>
        </w:rPr>
      </w:pPr>
      <w:r w:rsidRPr="00325F8A">
        <w:rPr>
          <w:rFonts w:eastAsiaTheme="minorEastAsia"/>
          <w:b/>
          <w:szCs w:val="21"/>
        </w:rPr>
        <w:t>易方达原油（</w:t>
      </w:r>
      <w:r w:rsidRPr="00325F8A">
        <w:rPr>
          <w:rFonts w:eastAsiaTheme="minorEastAsia"/>
          <w:b/>
          <w:szCs w:val="21"/>
        </w:rPr>
        <w:t>QDII-LOF-FOF</w:t>
      </w:r>
      <w:r w:rsidRPr="00325F8A">
        <w:rPr>
          <w:rFonts w:eastAsiaTheme="minorEastAsia"/>
          <w:b/>
          <w:szCs w:val="21"/>
        </w:rPr>
        <w:t>）</w:t>
      </w:r>
      <w:r w:rsidRPr="00325F8A">
        <w:rPr>
          <w:rFonts w:eastAsiaTheme="minorEastAsia"/>
          <w:b/>
          <w:szCs w:val="21"/>
        </w:rPr>
        <w:t>C</w:t>
      </w:r>
    </w:p>
    <w:p w:rsidR="009B7B09" w:rsidRPr="00683042" w:rsidRDefault="009B7B09" w:rsidP="009B7B09">
      <w:pPr>
        <w:tabs>
          <w:tab w:val="left" w:pos="426"/>
        </w:tabs>
        <w:spacing w:line="360" w:lineRule="auto"/>
        <w:ind w:firstLineChars="200" w:firstLine="420"/>
        <w:jc w:val="left"/>
        <w:rPr>
          <w:kern w:val="0"/>
          <w:szCs w:val="21"/>
        </w:rPr>
      </w:pPr>
      <w:r w:rsidRPr="00683042">
        <w:rPr>
          <w:rFonts w:hint="eastAsia"/>
          <w:kern w:val="0"/>
          <w:szCs w:val="21"/>
        </w:rPr>
        <w:t>无。</w:t>
      </w:r>
    </w:p>
    <w:p w:rsidR="008A5A5D" w:rsidRPr="00C24ACA" w:rsidRDefault="008A5A5D" w:rsidP="009B7B09">
      <w:pPr>
        <w:adjustRightInd w:val="0"/>
        <w:snapToGrid w:val="0"/>
        <w:spacing w:beforeLines="100" w:before="312" w:line="360" w:lineRule="auto"/>
        <w:rPr>
          <w:rFonts w:eastAsiaTheme="minorEastAsia"/>
          <w:b/>
          <w:bCs/>
          <w:color w:val="000000"/>
          <w:szCs w:val="21"/>
        </w:rPr>
      </w:pPr>
      <w:r w:rsidRPr="00C24ACA">
        <w:rPr>
          <w:rFonts w:eastAsiaTheme="minorEastAsia"/>
          <w:b/>
          <w:bCs/>
          <w:color w:val="000000"/>
          <w:kern w:val="0"/>
          <w:szCs w:val="21"/>
        </w:rPr>
        <w:t>6.4.10.5</w:t>
      </w:r>
      <w:r w:rsidRPr="00C24ACA">
        <w:rPr>
          <w:rFonts w:eastAsiaTheme="minorEastAsia"/>
          <w:b/>
          <w:bCs/>
          <w:color w:val="000000"/>
          <w:szCs w:val="21"/>
        </w:rPr>
        <w:t>由关联方保管的银行存款余额及当期产生的利息收入</w:t>
      </w:r>
    </w:p>
    <w:p w:rsidR="008A5A5D" w:rsidRPr="00C24ACA" w:rsidRDefault="008A5A5D" w:rsidP="002116B9">
      <w:pPr>
        <w:autoSpaceDE w:val="0"/>
        <w:autoSpaceDN w:val="0"/>
        <w:adjustRightInd w:val="0"/>
        <w:spacing w:before="29" w:line="288" w:lineRule="auto"/>
        <w:ind w:left="15" w:right="210"/>
        <w:jc w:val="right"/>
        <w:rPr>
          <w:rFonts w:eastAsiaTheme="minorEastAsia"/>
          <w:bCs/>
          <w:color w:val="000000"/>
          <w:szCs w:val="21"/>
        </w:rPr>
      </w:pPr>
      <w:r w:rsidRPr="00C24ACA">
        <w:rPr>
          <w:rFonts w:eastAsiaTheme="minorEastAsia"/>
          <w:bCs/>
          <w:color w:val="000000"/>
          <w:szCs w:val="21"/>
        </w:rPr>
        <w:t>单位：人民币元</w:t>
      </w:r>
    </w:p>
    <w:tbl>
      <w:tblPr>
        <w:tblStyle w:val="af7"/>
        <w:tblW w:w="0" w:type="auto"/>
        <w:tblInd w:w="108" w:type="dxa"/>
        <w:tblLayout w:type="fixed"/>
        <w:tblLook w:val="04A0" w:firstRow="1" w:lastRow="0" w:firstColumn="1" w:lastColumn="0" w:noHBand="0" w:noVBand="1"/>
      </w:tblPr>
      <w:tblGrid>
        <w:gridCol w:w="1526"/>
        <w:gridCol w:w="1851"/>
        <w:gridCol w:w="1851"/>
        <w:gridCol w:w="1851"/>
        <w:gridCol w:w="1851"/>
      </w:tblGrid>
      <w:tr w:rsidR="00B01102" w:rsidRPr="00C24ACA" w:rsidTr="004C02E0">
        <w:tc>
          <w:tcPr>
            <w:tcW w:w="1526" w:type="dxa"/>
            <w:vMerge w:val="restart"/>
            <w:vAlign w:val="center"/>
          </w:tcPr>
          <w:p w:rsidR="00B01102" w:rsidRPr="00C24ACA" w:rsidRDefault="00B01102" w:rsidP="00145CAE">
            <w:pPr>
              <w:jc w:val="center"/>
              <w:rPr>
                <w:rFonts w:eastAsiaTheme="minorEastAsia"/>
                <w:kern w:val="0"/>
                <w:szCs w:val="21"/>
              </w:rPr>
            </w:pPr>
            <w:r w:rsidRPr="00C24ACA">
              <w:rPr>
                <w:rFonts w:eastAsiaTheme="minorEastAsia"/>
                <w:color w:val="000000"/>
                <w:szCs w:val="21"/>
              </w:rPr>
              <w:t>关联方名称</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本期</w:t>
            </w:r>
          </w:p>
          <w:p w:rsidR="00B01102" w:rsidRPr="00C24ACA" w:rsidRDefault="00B01102" w:rsidP="00B01102">
            <w:pPr>
              <w:jc w:val="left"/>
              <w:rPr>
                <w:rFonts w:eastAsiaTheme="minorEastAsia"/>
                <w:kern w:val="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上年度可比期间</w:t>
            </w:r>
          </w:p>
          <w:p w:rsidR="00B01102" w:rsidRPr="00C24ACA" w:rsidRDefault="00B01102" w:rsidP="000E28C9">
            <w:pPr>
              <w:jc w:val="left"/>
              <w:rPr>
                <w:rFonts w:eastAsiaTheme="minorEastAsia"/>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B01102" w:rsidRPr="00C24ACA" w:rsidTr="004C02E0">
        <w:tc>
          <w:tcPr>
            <w:tcW w:w="1526" w:type="dxa"/>
            <w:vMerge/>
          </w:tcPr>
          <w:p w:rsidR="00B01102" w:rsidRPr="00C24ACA" w:rsidRDefault="00B01102" w:rsidP="002116B9">
            <w:pPr>
              <w:jc w:val="left"/>
              <w:rPr>
                <w:rFonts w:eastAsiaTheme="minorEastAsia"/>
                <w:kern w:val="0"/>
                <w:szCs w:val="21"/>
              </w:rPr>
            </w:pP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r>
      <w:tr w:rsidR="005F7EF1">
        <w:tc>
          <w:tcPr>
            <w:tcW w:w="1526" w:type="dxa"/>
            <w:vAlign w:val="center"/>
          </w:tcPr>
          <w:p w:rsidR="005F7EF1" w:rsidRDefault="00E6254F">
            <w:pPr>
              <w:jc w:val="left"/>
            </w:pPr>
            <w:r>
              <w:rPr>
                <w:rFonts w:eastAsiaTheme="minorEastAsia"/>
                <w:szCs w:val="21"/>
              </w:rPr>
              <w:t>招商银行</w:t>
            </w:r>
            <w:r>
              <w:rPr>
                <w:rFonts w:eastAsiaTheme="minorEastAsia"/>
                <w:szCs w:val="21"/>
              </w:rPr>
              <w:t>-</w:t>
            </w:r>
            <w:r>
              <w:rPr>
                <w:rFonts w:eastAsiaTheme="minorEastAsia"/>
                <w:szCs w:val="21"/>
              </w:rPr>
              <w:t>活期存款</w:t>
            </w:r>
          </w:p>
        </w:tc>
        <w:tc>
          <w:tcPr>
            <w:tcW w:w="1851" w:type="dxa"/>
            <w:vAlign w:val="center"/>
          </w:tcPr>
          <w:p w:rsidR="005F7EF1" w:rsidRDefault="00E6254F">
            <w:pPr>
              <w:jc w:val="right"/>
            </w:pPr>
            <w:r>
              <w:rPr>
                <w:rFonts w:eastAsiaTheme="minorEastAsia"/>
                <w:szCs w:val="21"/>
              </w:rPr>
              <w:t>24,676,886.80</w:t>
            </w:r>
          </w:p>
        </w:tc>
        <w:tc>
          <w:tcPr>
            <w:tcW w:w="1851" w:type="dxa"/>
            <w:vAlign w:val="center"/>
          </w:tcPr>
          <w:p w:rsidR="005F7EF1" w:rsidRDefault="00E6254F">
            <w:pPr>
              <w:jc w:val="right"/>
            </w:pPr>
            <w:r>
              <w:rPr>
                <w:rFonts w:eastAsiaTheme="minorEastAsia"/>
                <w:szCs w:val="21"/>
              </w:rPr>
              <w:t>91,194.68</w:t>
            </w:r>
          </w:p>
        </w:tc>
        <w:tc>
          <w:tcPr>
            <w:tcW w:w="1851" w:type="dxa"/>
            <w:vAlign w:val="center"/>
          </w:tcPr>
          <w:p w:rsidR="005F7EF1" w:rsidRDefault="00E6254F">
            <w:pPr>
              <w:jc w:val="right"/>
            </w:pPr>
            <w:r>
              <w:rPr>
                <w:rFonts w:eastAsiaTheme="minorEastAsia"/>
                <w:szCs w:val="21"/>
              </w:rPr>
              <w:t>15,212,133.47</w:t>
            </w:r>
          </w:p>
        </w:tc>
        <w:tc>
          <w:tcPr>
            <w:tcW w:w="1851" w:type="dxa"/>
            <w:vAlign w:val="center"/>
          </w:tcPr>
          <w:p w:rsidR="005F7EF1" w:rsidRDefault="00E6254F">
            <w:pPr>
              <w:jc w:val="right"/>
            </w:pPr>
            <w:r>
              <w:rPr>
                <w:rFonts w:eastAsiaTheme="minorEastAsia"/>
                <w:szCs w:val="21"/>
              </w:rPr>
              <w:t>40,344.12</w:t>
            </w:r>
          </w:p>
        </w:tc>
      </w:tr>
      <w:tr w:rsidR="005F7EF1">
        <w:tc>
          <w:tcPr>
            <w:tcW w:w="1526" w:type="dxa"/>
            <w:vAlign w:val="center"/>
          </w:tcPr>
          <w:p w:rsidR="005F7EF1" w:rsidRDefault="00E6254F">
            <w:pPr>
              <w:jc w:val="left"/>
            </w:pPr>
            <w:r>
              <w:rPr>
                <w:rFonts w:eastAsiaTheme="minorEastAsia"/>
                <w:szCs w:val="21"/>
              </w:rPr>
              <w:t>汇丰银行</w:t>
            </w:r>
            <w:r>
              <w:rPr>
                <w:rFonts w:eastAsiaTheme="minorEastAsia"/>
                <w:szCs w:val="21"/>
              </w:rPr>
              <w:t>-</w:t>
            </w:r>
            <w:r>
              <w:rPr>
                <w:rFonts w:eastAsiaTheme="minorEastAsia"/>
                <w:szCs w:val="21"/>
              </w:rPr>
              <w:t>活期存款</w:t>
            </w:r>
          </w:p>
        </w:tc>
        <w:tc>
          <w:tcPr>
            <w:tcW w:w="1851" w:type="dxa"/>
            <w:vAlign w:val="center"/>
          </w:tcPr>
          <w:p w:rsidR="005F7EF1" w:rsidRDefault="00E6254F">
            <w:pPr>
              <w:jc w:val="right"/>
            </w:pPr>
            <w:r>
              <w:rPr>
                <w:rFonts w:eastAsiaTheme="minorEastAsia"/>
                <w:szCs w:val="21"/>
              </w:rPr>
              <w:t>89,123,690.01</w:t>
            </w:r>
          </w:p>
        </w:tc>
        <w:tc>
          <w:tcPr>
            <w:tcW w:w="1851" w:type="dxa"/>
            <w:vAlign w:val="center"/>
          </w:tcPr>
          <w:p w:rsidR="005F7EF1" w:rsidRDefault="00E6254F">
            <w:pPr>
              <w:jc w:val="right"/>
            </w:pPr>
            <w:r>
              <w:rPr>
                <w:rFonts w:eastAsiaTheme="minorEastAsia"/>
                <w:szCs w:val="21"/>
              </w:rPr>
              <w:t>4,261.87</w:t>
            </w:r>
          </w:p>
        </w:tc>
        <w:tc>
          <w:tcPr>
            <w:tcW w:w="1851" w:type="dxa"/>
            <w:vAlign w:val="center"/>
          </w:tcPr>
          <w:p w:rsidR="005F7EF1" w:rsidRDefault="00E6254F">
            <w:pPr>
              <w:jc w:val="right"/>
            </w:pPr>
            <w:r>
              <w:rPr>
                <w:rFonts w:eastAsiaTheme="minorEastAsia"/>
                <w:szCs w:val="21"/>
              </w:rPr>
              <w:t>4,134,099.58</w:t>
            </w:r>
          </w:p>
        </w:tc>
        <w:tc>
          <w:tcPr>
            <w:tcW w:w="1851" w:type="dxa"/>
            <w:vAlign w:val="center"/>
          </w:tcPr>
          <w:p w:rsidR="005F7EF1" w:rsidRDefault="00E6254F">
            <w:pPr>
              <w:jc w:val="right"/>
            </w:pPr>
            <w:r>
              <w:rPr>
                <w:rFonts w:eastAsiaTheme="minorEastAsia"/>
                <w:szCs w:val="21"/>
              </w:rPr>
              <w:t>22,391.82</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注：本基金的上述银行存款由基金托管人招商银行股份有限公司和香港上海汇丰银行有限公司保管，按银行同业利率或约定利率计息。</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6.4.10.6</w:t>
      </w:r>
      <w:r w:rsidRPr="00C24ACA">
        <w:rPr>
          <w:rFonts w:eastAsiaTheme="minorEastAsia"/>
          <w:b/>
          <w:bCs/>
          <w:color w:val="000000"/>
          <w:szCs w:val="21"/>
        </w:rPr>
        <w:t>本基金在承销期内参与关联方承销证券的情况</w:t>
      </w:r>
    </w:p>
    <w:p w:rsidR="008A5A5D" w:rsidRPr="00C24ACA" w:rsidRDefault="00EF6CFA"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本基金本报告期及上年度可比期间未在承销期内参与关联方承销证券。</w:t>
      </w:r>
    </w:p>
    <w:p w:rsidR="00AE3215" w:rsidRPr="00A73188" w:rsidRDefault="00AE3215" w:rsidP="00732F5C">
      <w:pPr>
        <w:adjustRightInd w:val="0"/>
        <w:snapToGrid w:val="0"/>
        <w:spacing w:beforeLines="100" w:before="312" w:line="360" w:lineRule="auto"/>
        <w:rPr>
          <w:rFonts w:eastAsiaTheme="minorEastAsia"/>
          <w:b/>
          <w:color w:val="000000" w:themeColor="text1"/>
          <w:szCs w:val="21"/>
        </w:rPr>
      </w:pPr>
      <w:r w:rsidRPr="00A73188">
        <w:rPr>
          <w:rFonts w:eastAsiaTheme="minorEastAsia"/>
          <w:b/>
          <w:bCs/>
          <w:color w:val="000000" w:themeColor="text1"/>
          <w:kern w:val="0"/>
          <w:szCs w:val="21"/>
        </w:rPr>
        <w:t xml:space="preserve">6.4.10.7 </w:t>
      </w:r>
      <w:r w:rsidRPr="00A73188">
        <w:rPr>
          <w:rFonts w:eastAsiaTheme="minorEastAsia"/>
          <w:b/>
          <w:color w:val="000000" w:themeColor="text1"/>
          <w:szCs w:val="21"/>
        </w:rPr>
        <w:t>其他关联交易事项的说明</w:t>
      </w:r>
    </w:p>
    <w:p w:rsidR="00AE3215" w:rsidRPr="00A73188" w:rsidRDefault="00AE3215" w:rsidP="00AE3215">
      <w:pPr>
        <w:adjustRightInd w:val="0"/>
        <w:snapToGrid w:val="0"/>
        <w:spacing w:line="360" w:lineRule="auto"/>
        <w:rPr>
          <w:rFonts w:eastAsiaTheme="minorEastAsia"/>
          <w:b/>
          <w:color w:val="000000" w:themeColor="text1"/>
          <w:szCs w:val="21"/>
        </w:rPr>
      </w:pPr>
      <w:r w:rsidRPr="00A73188">
        <w:rPr>
          <w:rFonts w:eastAsiaTheme="minorEastAsia"/>
          <w:b/>
          <w:bCs/>
          <w:color w:val="000000" w:themeColor="text1"/>
          <w:kern w:val="0"/>
          <w:szCs w:val="21"/>
        </w:rPr>
        <w:t>6.4.10.7</w:t>
      </w:r>
      <w:r w:rsidRPr="00A73188">
        <w:rPr>
          <w:rFonts w:eastAsiaTheme="minorEastAsia" w:hint="eastAsia"/>
          <w:b/>
          <w:bCs/>
          <w:color w:val="000000" w:themeColor="text1"/>
          <w:kern w:val="0"/>
          <w:szCs w:val="21"/>
        </w:rPr>
        <w:t xml:space="preserve">.1 </w:t>
      </w:r>
      <w:r w:rsidRPr="00A73188">
        <w:rPr>
          <w:rFonts w:eastAsiaTheme="minorEastAsia"/>
          <w:b/>
          <w:color w:val="000000" w:themeColor="text1"/>
          <w:szCs w:val="21"/>
        </w:rPr>
        <w:t>其他关联交易事项的说明</w:t>
      </w:r>
    </w:p>
    <w:p w:rsidR="00AE3215" w:rsidRPr="001412CA" w:rsidRDefault="00AE3215"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本报告期其他收入</w:t>
      </w:r>
      <w:r w:rsidRPr="001412CA">
        <w:rPr>
          <w:rFonts w:eastAsiaTheme="minorEastAsia"/>
          <w:kern w:val="0"/>
          <w:szCs w:val="21"/>
        </w:rPr>
        <w:t>-</w:t>
      </w:r>
      <w:r w:rsidRPr="001412CA">
        <w:rPr>
          <w:rFonts w:eastAsiaTheme="minorEastAsia"/>
          <w:kern w:val="0"/>
          <w:szCs w:val="21"/>
        </w:rPr>
        <w:t>其他来自基金管理人。</w:t>
      </w:r>
    </w:p>
    <w:p w:rsidR="00CC3588"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6.4.11</w:t>
      </w:r>
      <w:r w:rsidRPr="00C24ACA">
        <w:rPr>
          <w:rFonts w:eastAsiaTheme="minorEastAsia"/>
          <w:b/>
          <w:bCs/>
          <w:color w:val="000000"/>
          <w:szCs w:val="21"/>
        </w:rPr>
        <w:t>利润分配情况</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易方达原油（</w:t>
      </w:r>
      <w:r>
        <w:rPr>
          <w:rFonts w:eastAsiaTheme="minorEastAsia"/>
          <w:b/>
          <w:color w:val="000000"/>
          <w:szCs w:val="21"/>
        </w:rPr>
        <w:t>QDII-LOF-FOF</w:t>
      </w:r>
      <w:r>
        <w:rPr>
          <w:rFonts w:eastAsiaTheme="minorEastAsia"/>
          <w:b/>
          <w:color w:val="000000"/>
          <w:szCs w:val="21"/>
        </w:rPr>
        <w:t>）</w:t>
      </w:r>
      <w:r>
        <w:rPr>
          <w:rFonts w:eastAsiaTheme="minorEastAsia"/>
          <w:b/>
          <w:color w:val="000000"/>
          <w:szCs w:val="21"/>
        </w:rPr>
        <w:t>A</w:t>
      </w:r>
    </w:p>
    <w:p w:rsidR="00CC3588" w:rsidRDefault="00CC3588" w:rsidP="00CC3588">
      <w:pPr>
        <w:tabs>
          <w:tab w:val="left" w:pos="426"/>
        </w:tabs>
        <w:spacing w:line="360" w:lineRule="auto"/>
        <w:ind w:firstLineChars="200" w:firstLine="420"/>
        <w:jc w:val="left"/>
        <w:rPr>
          <w:kern w:val="0"/>
          <w:szCs w:val="21"/>
        </w:rPr>
      </w:pPr>
      <w:r>
        <w:rPr>
          <w:kern w:val="0"/>
          <w:szCs w:val="21"/>
        </w:rPr>
        <w:t>本报告期内未发生利润分配。</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易方达原油（</w:t>
      </w:r>
      <w:r>
        <w:rPr>
          <w:rFonts w:eastAsiaTheme="minorEastAsia"/>
          <w:b/>
          <w:color w:val="000000"/>
          <w:szCs w:val="21"/>
        </w:rPr>
        <w:t>QDII-LOF-FOF</w:t>
      </w:r>
      <w:r>
        <w:rPr>
          <w:rFonts w:eastAsiaTheme="minorEastAsia"/>
          <w:b/>
          <w:color w:val="000000"/>
          <w:szCs w:val="21"/>
        </w:rPr>
        <w:t>）</w:t>
      </w:r>
      <w:r>
        <w:rPr>
          <w:rFonts w:eastAsiaTheme="minorEastAsia"/>
          <w:b/>
          <w:color w:val="000000"/>
          <w:szCs w:val="21"/>
        </w:rPr>
        <w:t>C</w:t>
      </w:r>
    </w:p>
    <w:p w:rsidR="00CC3588" w:rsidRDefault="00CC3588" w:rsidP="00CC3588">
      <w:pPr>
        <w:tabs>
          <w:tab w:val="left" w:pos="426"/>
        </w:tabs>
        <w:spacing w:line="360" w:lineRule="auto"/>
        <w:ind w:firstLineChars="200" w:firstLine="420"/>
        <w:rPr>
          <w:rFonts w:eastAsiaTheme="minorEastAsia"/>
          <w:kern w:val="0"/>
          <w:szCs w:val="21"/>
        </w:rPr>
      </w:pPr>
      <w:r>
        <w:rPr>
          <w:kern w:val="0"/>
          <w:szCs w:val="21"/>
        </w:rPr>
        <w:t>本报告期内未发生利润分配。</w:t>
      </w:r>
    </w:p>
    <w:p w:rsidR="008A5A5D" w:rsidRPr="00C24ACA"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6.4.12</w:t>
      </w:r>
      <w:r w:rsidRPr="00C24ACA">
        <w:rPr>
          <w:rFonts w:eastAsiaTheme="minorEastAsia"/>
          <w:b/>
          <w:bCs/>
          <w:color w:val="000000"/>
          <w:szCs w:val="21"/>
        </w:rPr>
        <w:t>期末（</w:t>
      </w:r>
      <w:r w:rsidR="00AC4A34" w:rsidRPr="00C24ACA">
        <w:rPr>
          <w:rFonts w:eastAsiaTheme="minorEastAsia"/>
          <w:b/>
          <w:bCs/>
          <w:color w:val="000000"/>
          <w:szCs w:val="21"/>
        </w:rPr>
        <w:t>2020</w:t>
      </w:r>
      <w:r w:rsidR="00AC4A34" w:rsidRPr="00C24ACA">
        <w:rPr>
          <w:rFonts w:eastAsiaTheme="minorEastAsia"/>
          <w:b/>
          <w:bCs/>
          <w:color w:val="000000"/>
          <w:szCs w:val="21"/>
        </w:rPr>
        <w:t>年</w:t>
      </w:r>
      <w:r w:rsidR="00AC4A34" w:rsidRPr="00C24ACA">
        <w:rPr>
          <w:rFonts w:eastAsiaTheme="minorEastAsia"/>
          <w:b/>
          <w:bCs/>
          <w:color w:val="000000"/>
          <w:szCs w:val="21"/>
        </w:rPr>
        <w:t>6</w:t>
      </w:r>
      <w:r w:rsidR="00AC4A34" w:rsidRPr="00C24ACA">
        <w:rPr>
          <w:rFonts w:eastAsiaTheme="minorEastAsia"/>
          <w:b/>
          <w:bCs/>
          <w:color w:val="000000"/>
          <w:szCs w:val="21"/>
        </w:rPr>
        <w:t>月</w:t>
      </w:r>
      <w:r w:rsidR="00AC4A34" w:rsidRPr="00C24ACA">
        <w:rPr>
          <w:rFonts w:eastAsiaTheme="minorEastAsia"/>
          <w:b/>
          <w:bCs/>
          <w:color w:val="000000"/>
          <w:szCs w:val="21"/>
        </w:rPr>
        <w:t>30</w:t>
      </w:r>
      <w:r w:rsidR="00AC4A34" w:rsidRPr="00C24ACA">
        <w:rPr>
          <w:rFonts w:eastAsiaTheme="minorEastAsia"/>
          <w:b/>
          <w:bCs/>
          <w:color w:val="000000"/>
          <w:szCs w:val="21"/>
        </w:rPr>
        <w:t>日</w:t>
      </w:r>
      <w:r w:rsidRPr="00C24ACA">
        <w:rPr>
          <w:rFonts w:eastAsiaTheme="minorEastAsia"/>
          <w:b/>
          <w:bCs/>
          <w:color w:val="000000"/>
          <w:szCs w:val="21"/>
        </w:rPr>
        <w:t>）本基金持有的流通受限证券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6.4.12.1</w:t>
      </w:r>
      <w:r w:rsidRPr="00C24ACA">
        <w:rPr>
          <w:rFonts w:eastAsiaTheme="minorEastAsia"/>
          <w:b/>
          <w:bCs/>
          <w:color w:val="000000"/>
          <w:szCs w:val="21"/>
        </w:rPr>
        <w:t>因认购新发</w:t>
      </w:r>
      <w:r w:rsidRPr="00C24ACA">
        <w:rPr>
          <w:rFonts w:eastAsiaTheme="minorEastAsia"/>
          <w:b/>
          <w:bCs/>
          <w:color w:val="000000"/>
          <w:szCs w:val="21"/>
        </w:rPr>
        <w:t>/</w:t>
      </w:r>
      <w:r w:rsidRPr="00C24ACA">
        <w:rPr>
          <w:rFonts w:eastAsiaTheme="minorEastAsia"/>
          <w:b/>
          <w:bCs/>
          <w:color w:val="000000"/>
          <w:szCs w:val="21"/>
        </w:rPr>
        <w:t>增发证券而于期末持有的流通受限证券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本基金无因认购新发</w:t>
      </w:r>
      <w:r w:rsidRPr="00C24ACA">
        <w:rPr>
          <w:rFonts w:eastAsiaTheme="minorEastAsia"/>
          <w:kern w:val="0"/>
          <w:szCs w:val="21"/>
        </w:rPr>
        <w:t>/</w:t>
      </w:r>
      <w:r w:rsidRPr="00C24ACA">
        <w:rPr>
          <w:rFonts w:eastAsiaTheme="minorEastAsia"/>
          <w:kern w:val="0"/>
          <w:szCs w:val="21"/>
        </w:rPr>
        <w:t>增发证券而于期末持有的流通受限证券。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6.4.12.2</w:t>
      </w:r>
      <w:r w:rsidRPr="00C24ACA">
        <w:rPr>
          <w:rFonts w:eastAsiaTheme="minorEastAsia"/>
          <w:b/>
          <w:bCs/>
          <w:color w:val="000000"/>
          <w:szCs w:val="21"/>
        </w:rPr>
        <w:t>期末持有的暂时停牌等流通受限股票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本基金本报告期末未持有股票。</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w:t>
      </w:r>
      <w:r w:rsidRPr="00C24ACA">
        <w:rPr>
          <w:rFonts w:eastAsiaTheme="minorEastAsia"/>
          <w:b/>
          <w:bCs/>
          <w:color w:val="000000"/>
          <w:szCs w:val="21"/>
        </w:rPr>
        <w:t>期末债券正回购交易中作为抵押的债券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6.4.12.3.1</w:t>
      </w:r>
      <w:r w:rsidRPr="00C24ACA">
        <w:rPr>
          <w:rFonts w:eastAsiaTheme="minorEastAsia"/>
          <w:b/>
          <w:bCs/>
          <w:color w:val="000000"/>
          <w:szCs w:val="21"/>
        </w:rPr>
        <w:t>银行间市场债券正回购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日止，本基金从事银行间市场债券正回购交易形成的卖出回购证券款余额为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6.4.12.3.2</w:t>
      </w:r>
      <w:r w:rsidRPr="00C24ACA">
        <w:rPr>
          <w:rFonts w:eastAsiaTheme="minorEastAsia"/>
          <w:b/>
          <w:bCs/>
          <w:color w:val="000000"/>
          <w:szCs w:val="21"/>
        </w:rPr>
        <w:t>交易所市场债券正回购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日止，本基金从事证券交易所债券正回购交易形成的卖出回购证券款余额为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w:t>
      </w:r>
      <w:r w:rsidRPr="00C24ACA">
        <w:rPr>
          <w:rFonts w:eastAsiaTheme="minorEastAsia"/>
          <w:b/>
          <w:bCs/>
          <w:color w:val="000000"/>
          <w:szCs w:val="21"/>
        </w:rPr>
        <w:t>金融工具风险及管理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6.4.13.1</w:t>
      </w:r>
      <w:r w:rsidRPr="00C24ACA">
        <w:rPr>
          <w:rFonts w:eastAsiaTheme="minorEastAsia"/>
          <w:b/>
          <w:bCs/>
          <w:color w:val="000000"/>
          <w:szCs w:val="21"/>
        </w:rPr>
        <w:t>风险管理政策和组织架构</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w:t>
      </w:r>
      <w:r>
        <w:rPr>
          <w:rFonts w:eastAsiaTheme="minorEastAsia"/>
          <w:kern w:val="0"/>
          <w:szCs w:val="21"/>
        </w:rPr>
        <w:t>“</w:t>
      </w:r>
      <w:r>
        <w:rPr>
          <w:rFonts w:eastAsiaTheme="minorEastAsia"/>
          <w:kern w:val="0"/>
          <w:szCs w:val="21"/>
        </w:rPr>
        <w:t>自上而下与自下而上相结合，全面管理、专业分工</w:t>
      </w:r>
      <w:r>
        <w:rPr>
          <w:rFonts w:eastAsiaTheme="minorEastAsia"/>
          <w:kern w:val="0"/>
          <w:szCs w:val="21"/>
        </w:rPr>
        <w:t>”</w:t>
      </w:r>
      <w:r>
        <w:rPr>
          <w:rFonts w:eastAsiaTheme="minorEastAsia"/>
          <w:kern w:val="0"/>
          <w:szCs w:val="21"/>
        </w:rPr>
        <w:t>的思路，将风险控制嵌入到全公司的组织架构中，对风险实行多层次、多角度、全方位的管理。</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rFonts w:eastAsiaTheme="minorEastAsia"/>
          <w:kern w:val="0"/>
          <w:szCs w:val="21"/>
        </w:rPr>
        <w:t>“</w:t>
      </w:r>
      <w:r>
        <w:rPr>
          <w:rFonts w:eastAsiaTheme="minorEastAsia"/>
          <w:kern w:val="0"/>
          <w:szCs w:val="21"/>
        </w:rPr>
        <w:t>事前的风险定位、事中的风险管理和事后的风险评估</w:t>
      </w:r>
      <w:r>
        <w:rPr>
          <w:rFonts w:eastAsiaTheme="minorEastAsia"/>
          <w:kern w:val="0"/>
          <w:szCs w:val="21"/>
        </w:rPr>
        <w:t>”</w:t>
      </w:r>
      <w:r>
        <w:rPr>
          <w:rFonts w:eastAsiaTheme="minorEastAsia"/>
          <w:kern w:val="0"/>
          <w:szCs w:val="21"/>
        </w:rPr>
        <w:t>的健全的风险监控体系。</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本基金为基金中基金，其投资于基金的资产合计不低于本基金基金资产净值的</w:t>
      </w:r>
      <w:r w:rsidRPr="00C24ACA">
        <w:rPr>
          <w:rFonts w:eastAsiaTheme="minorEastAsia"/>
          <w:kern w:val="0"/>
          <w:szCs w:val="21"/>
        </w:rPr>
        <w:t>80%</w:t>
      </w:r>
      <w:r w:rsidRPr="00C24ACA">
        <w:rPr>
          <w:rFonts w:eastAsiaTheme="minorEastAsia"/>
          <w:kern w:val="0"/>
          <w:szCs w:val="21"/>
        </w:rPr>
        <w:t>，投资于基金的资产中不低于</w:t>
      </w:r>
      <w:r w:rsidRPr="00C24ACA">
        <w:rPr>
          <w:rFonts w:eastAsiaTheme="minorEastAsia"/>
          <w:kern w:val="0"/>
          <w:szCs w:val="21"/>
        </w:rPr>
        <w:t>80%</w:t>
      </w:r>
      <w:r w:rsidRPr="00C24ACA">
        <w:rPr>
          <w:rFonts w:eastAsiaTheme="minorEastAsia"/>
          <w:kern w:val="0"/>
          <w:szCs w:val="21"/>
        </w:rPr>
        <w:t>投资于原油</w:t>
      </w:r>
      <w:r w:rsidRPr="00C24ACA">
        <w:rPr>
          <w:rFonts w:eastAsiaTheme="minorEastAsia"/>
          <w:kern w:val="0"/>
          <w:szCs w:val="21"/>
        </w:rPr>
        <w:t>ETF</w:t>
      </w:r>
      <w:r w:rsidRPr="00C24ACA">
        <w:rPr>
          <w:rFonts w:eastAsiaTheme="minorEastAsia"/>
          <w:kern w:val="0"/>
          <w:szCs w:val="21"/>
        </w:rPr>
        <w:t>，原油基金，因此，本基金的表现与原油价格相关性较高。历史上原油价格波幅较大，波动周期较长，预期收益可能长期超过或低于股票、债券等传统金融资产，因此本基金是预期收益与预期风险较高的基金品种。</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6.4.13.2</w:t>
      </w:r>
      <w:r w:rsidRPr="00C24ACA">
        <w:rPr>
          <w:rFonts w:eastAsiaTheme="minorEastAsia"/>
          <w:b/>
          <w:bCs/>
          <w:color w:val="000000"/>
          <w:szCs w:val="21"/>
        </w:rPr>
        <w:t>信用风险</w:t>
      </w:r>
    </w:p>
    <w:p w:rsidR="005F7EF1" w:rsidRDefault="00E6254F">
      <w:pPr>
        <w:tabs>
          <w:tab w:val="left" w:pos="426"/>
        </w:tabs>
        <w:spacing w:line="360" w:lineRule="auto"/>
        <w:ind w:firstLineChars="200" w:firstLine="420"/>
        <w:rPr>
          <w:kern w:val="0"/>
          <w:szCs w:val="21"/>
        </w:rPr>
      </w:pPr>
      <w:r>
        <w:rPr>
          <w:rFonts w:eastAsiaTheme="minorEastAsia"/>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31CAC" w:rsidRDefault="008A5A5D" w:rsidP="00831CAC">
      <w:pPr>
        <w:tabs>
          <w:tab w:val="left" w:pos="426"/>
        </w:tabs>
        <w:spacing w:line="360" w:lineRule="auto"/>
        <w:ind w:firstLineChars="200" w:firstLine="420"/>
        <w:rPr>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日，本基金持有的除国债、央行票据和政策性金融债以外的债券占基金资产净值的比例为</w:t>
      </w:r>
      <w:r w:rsidRPr="00C24ACA">
        <w:rPr>
          <w:rFonts w:eastAsiaTheme="minorEastAsia"/>
          <w:kern w:val="0"/>
          <w:szCs w:val="21"/>
        </w:rPr>
        <w:t>0.00%(2019</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w:t>
      </w:r>
      <w:r w:rsidRPr="00C24ACA">
        <w:rPr>
          <w:rFonts w:eastAsiaTheme="minorEastAsia"/>
          <w:kern w:val="0"/>
          <w:szCs w:val="21"/>
        </w:rPr>
        <w:t>0.00%)</w:t>
      </w:r>
      <w:r w:rsidRPr="00C24ACA">
        <w:rPr>
          <w:rFonts w:eastAsiaTheme="minorEastAsia"/>
          <w:kern w:val="0"/>
          <w:szCs w:val="21"/>
        </w:rPr>
        <w:t>。</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6.4.13.2.1 </w:t>
      </w:r>
      <w:r w:rsidRPr="00BD7906">
        <w:rPr>
          <w:rFonts w:eastAsiaTheme="minorEastAsia" w:hint="eastAsia"/>
          <w:b/>
          <w:color w:val="000000"/>
          <w:szCs w:val="21"/>
        </w:rPr>
        <w:t>按短期信用评级列示的债券投资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31CAC" w:rsidTr="00A218AC">
        <w:trPr>
          <w:jc w:val="center"/>
        </w:trPr>
        <w:tc>
          <w:tcPr>
            <w:tcW w:w="2552" w:type="dxa"/>
            <w:vAlign w:val="center"/>
            <w:hideMark/>
          </w:tcPr>
          <w:p w:rsidR="00831CAC" w:rsidRDefault="00831CAC">
            <w:pPr>
              <w:jc w:val="center"/>
              <w:rPr>
                <w:szCs w:val="21"/>
              </w:rPr>
            </w:pPr>
            <w:r>
              <w:rPr>
                <w:rFonts w:hint="eastAsia"/>
                <w:szCs w:val="21"/>
              </w:rPr>
              <w:t>短期信用评级</w:t>
            </w:r>
          </w:p>
        </w:tc>
        <w:tc>
          <w:tcPr>
            <w:tcW w:w="3045"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rPr>
          <w:jc w:val="center"/>
        </w:trPr>
        <w:tc>
          <w:tcPr>
            <w:tcW w:w="2552" w:type="dxa"/>
            <w:vAlign w:val="center"/>
            <w:hideMark/>
          </w:tcPr>
          <w:p w:rsidR="00831CAC" w:rsidRDefault="00831CAC">
            <w:pPr>
              <w:rPr>
                <w:szCs w:val="21"/>
              </w:rPr>
            </w:pPr>
            <w:r>
              <w:rPr>
                <w:szCs w:val="21"/>
              </w:rPr>
              <w:t>A-1</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szCs w:val="21"/>
              </w:rPr>
              <w:t>A-1</w:t>
            </w:r>
            <w:r>
              <w:rPr>
                <w:rFonts w:hint="eastAsia"/>
                <w:szCs w:val="21"/>
              </w:rPr>
              <w:t>以下</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未评级</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合计</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bl>
    <w:p w:rsidR="005F7EF1" w:rsidRDefault="00E6254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F7EF1" w:rsidRDefault="00E6254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31CAC" w:rsidRDefault="00831CAC" w:rsidP="00831CAC">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6.4.13.2.2 </w:t>
      </w:r>
      <w:r w:rsidRPr="00BD7906">
        <w:rPr>
          <w:rFonts w:eastAsiaTheme="minorEastAsia" w:hint="eastAsia"/>
          <w:b/>
          <w:color w:val="000000"/>
          <w:szCs w:val="21"/>
        </w:rPr>
        <w:t>按短期信用评级列示的资产支持证券投资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31CAC" w:rsidTr="00A218AC">
        <w:trPr>
          <w:jc w:val="center"/>
        </w:trPr>
        <w:tc>
          <w:tcPr>
            <w:tcW w:w="2552"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3049"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6.4.13.2.3 </w:t>
      </w:r>
      <w:r w:rsidRPr="00BD7906">
        <w:rPr>
          <w:rFonts w:eastAsiaTheme="minorEastAsia" w:hint="eastAsia"/>
          <w:b/>
          <w:color w:val="000000"/>
          <w:szCs w:val="21"/>
        </w:rPr>
        <w:t>按短期信用评级列示的同业存单投资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6.4.13.2.4 </w:t>
      </w:r>
      <w:r w:rsidRPr="00BD7906">
        <w:rPr>
          <w:rFonts w:eastAsiaTheme="minorEastAsia" w:hint="eastAsia"/>
          <w:b/>
          <w:color w:val="000000"/>
          <w:szCs w:val="21"/>
        </w:rPr>
        <w:t>按长期信用评级列示的债券投资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31CAC" w:rsidTr="00A218AC">
        <w:tc>
          <w:tcPr>
            <w:tcW w:w="2655" w:type="dxa"/>
            <w:vAlign w:val="center"/>
            <w:hideMark/>
          </w:tcPr>
          <w:p w:rsidR="00831CAC" w:rsidRDefault="00831CAC">
            <w:pPr>
              <w:jc w:val="center"/>
              <w:rPr>
                <w:szCs w:val="21"/>
              </w:rPr>
            </w:pPr>
            <w:r>
              <w:rPr>
                <w:rFonts w:hint="eastAsia"/>
                <w:szCs w:val="21"/>
              </w:rPr>
              <w:t>长期信用评级</w:t>
            </w:r>
          </w:p>
        </w:tc>
        <w:tc>
          <w:tcPr>
            <w:tcW w:w="2977"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c>
          <w:tcPr>
            <w:tcW w:w="2655" w:type="dxa"/>
            <w:vAlign w:val="center"/>
            <w:hideMark/>
          </w:tcPr>
          <w:p w:rsidR="00831CAC" w:rsidRDefault="00831CAC">
            <w:pPr>
              <w:rPr>
                <w:szCs w:val="21"/>
              </w:rPr>
            </w:pPr>
            <w:r>
              <w:rPr>
                <w:szCs w:val="21"/>
              </w:rPr>
              <w:t>AAA</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szCs w:val="21"/>
              </w:rPr>
              <w:t>AAA</w:t>
            </w:r>
            <w:r>
              <w:rPr>
                <w:rFonts w:hint="eastAsia"/>
                <w:szCs w:val="21"/>
              </w:rPr>
              <w:t>以下</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rFonts w:hint="eastAsia"/>
                <w:kern w:val="0"/>
                <w:szCs w:val="21"/>
              </w:rPr>
              <w:t>未评级</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kern w:val="0"/>
                <w:szCs w:val="21"/>
              </w:rPr>
            </w:pPr>
            <w:r>
              <w:rPr>
                <w:rFonts w:hint="eastAsia"/>
                <w:kern w:val="0"/>
                <w:szCs w:val="21"/>
              </w:rPr>
              <w:t>合计</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bl>
    <w:p w:rsidR="005F7EF1" w:rsidRDefault="00E6254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F7EF1" w:rsidRDefault="00E6254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31CAC" w:rsidRDefault="00831CAC" w:rsidP="00831CAC">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6.4.13.2.5 </w:t>
      </w:r>
      <w:r w:rsidRPr="00BD7906">
        <w:rPr>
          <w:rFonts w:eastAsiaTheme="minorEastAsia" w:hint="eastAsia"/>
          <w:b/>
          <w:color w:val="000000"/>
          <w:szCs w:val="21"/>
        </w:rPr>
        <w:t>按长期信用评级列示的资产支持证券投资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6.4.13.2.6</w:t>
      </w:r>
      <w:r w:rsidRPr="00BD7906">
        <w:rPr>
          <w:rFonts w:eastAsiaTheme="minorEastAsia" w:hint="eastAsia"/>
          <w:b/>
          <w:color w:val="000000"/>
          <w:szCs w:val="21"/>
        </w:rPr>
        <w:t>按长期信用评级列示的同业存单投资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A5A5D" w:rsidRPr="00C24ACA" w:rsidRDefault="008A5A5D" w:rsidP="00831CAC">
      <w:pPr>
        <w:tabs>
          <w:tab w:val="left" w:pos="426"/>
        </w:tabs>
        <w:spacing w:line="360" w:lineRule="auto"/>
        <w:ind w:firstLineChars="200" w:firstLine="422"/>
        <w:jc w:val="left"/>
        <w:rPr>
          <w:rFonts w:eastAsiaTheme="minorEastAsia"/>
          <w:b/>
          <w:bCs/>
          <w:color w:val="000000"/>
          <w:szCs w:val="21"/>
        </w:rPr>
      </w:pPr>
      <w:r w:rsidRPr="00C24ACA">
        <w:rPr>
          <w:rFonts w:eastAsiaTheme="minorEastAsia"/>
          <w:b/>
          <w:bCs/>
          <w:color w:val="000000"/>
          <w:kern w:val="0"/>
          <w:szCs w:val="21"/>
        </w:rPr>
        <w:t>6.4.13.3</w:t>
      </w:r>
      <w:r w:rsidRPr="00C24ACA">
        <w:rPr>
          <w:rFonts w:eastAsiaTheme="minorEastAsia"/>
          <w:b/>
          <w:bCs/>
          <w:color w:val="000000"/>
          <w:szCs w:val="21"/>
        </w:rPr>
        <w:t>流动性风险</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日，除卖出回购金融资产款余额</w:t>
      </w:r>
      <w:r w:rsidRPr="00C24ACA">
        <w:rPr>
          <w:rFonts w:eastAsiaTheme="minorEastAsia"/>
          <w:kern w:val="0"/>
          <w:szCs w:val="21"/>
        </w:rPr>
        <w:t>(</w:t>
      </w:r>
      <w:r w:rsidRPr="00C24ACA">
        <w:rPr>
          <w:rFonts w:eastAsiaTheme="minorEastAsia"/>
          <w:kern w:val="0"/>
          <w:szCs w:val="21"/>
        </w:rPr>
        <w:t>计息但该利息金额不重大</w:t>
      </w:r>
      <w:r w:rsidRPr="00C24ACA">
        <w:rPr>
          <w:rFonts w:eastAsiaTheme="minorEastAsia"/>
          <w:kern w:val="0"/>
          <w:szCs w:val="21"/>
        </w:rPr>
        <w:t>)</w:t>
      </w:r>
      <w:r w:rsidRPr="00C24ACA">
        <w:rPr>
          <w:rFonts w:eastAsiaTheme="minorEastAsia"/>
          <w:kern w:val="0"/>
          <w:szCs w:val="21"/>
        </w:rPr>
        <w:t>以外，本基金承担的其他金融负债的合约约定到期日均为一年以内且不计息，可赎回基金份额净值</w:t>
      </w:r>
      <w:r w:rsidRPr="00C24ACA">
        <w:rPr>
          <w:rFonts w:eastAsiaTheme="minorEastAsia"/>
          <w:kern w:val="0"/>
          <w:szCs w:val="21"/>
        </w:rPr>
        <w:t>(</w:t>
      </w:r>
      <w:r w:rsidRPr="00C24ACA">
        <w:rPr>
          <w:rFonts w:eastAsiaTheme="minorEastAsia"/>
          <w:kern w:val="0"/>
          <w:szCs w:val="21"/>
        </w:rPr>
        <w:t>所有者权益</w:t>
      </w:r>
      <w:r w:rsidRPr="00C24ACA">
        <w:rPr>
          <w:rFonts w:eastAsiaTheme="minorEastAsia"/>
          <w:kern w:val="0"/>
          <w:szCs w:val="21"/>
        </w:rPr>
        <w:t>)</w:t>
      </w:r>
      <w:r w:rsidRPr="00C24ACA">
        <w:rPr>
          <w:rFonts w:eastAsiaTheme="minorEastAsia"/>
          <w:kern w:val="0"/>
          <w:szCs w:val="21"/>
        </w:rPr>
        <w:t>无固定到期日且不计息，因此账面余额约为未折现的合约到期现金流量。</w:t>
      </w:r>
    </w:p>
    <w:p w:rsidR="00206D74" w:rsidRPr="00A73188" w:rsidRDefault="00206D74" w:rsidP="00732F5C">
      <w:pPr>
        <w:spacing w:beforeLines="50" w:before="156" w:line="360" w:lineRule="auto"/>
        <w:rPr>
          <w:rFonts w:eastAsiaTheme="minorEastAsia"/>
          <w:b/>
          <w:bCs/>
          <w:color w:val="000000" w:themeColor="text1"/>
          <w:szCs w:val="21"/>
        </w:rPr>
      </w:pPr>
      <w:r w:rsidRPr="00A73188">
        <w:rPr>
          <w:rFonts w:eastAsiaTheme="minorEastAsia"/>
          <w:b/>
          <w:bCs/>
          <w:color w:val="000000" w:themeColor="text1"/>
          <w:kern w:val="0"/>
          <w:szCs w:val="21"/>
        </w:rPr>
        <w:t>6.4.13.3</w:t>
      </w:r>
      <w:r w:rsidRPr="00A73188">
        <w:rPr>
          <w:rFonts w:eastAsiaTheme="minorEastAsia" w:hint="eastAsia"/>
          <w:b/>
          <w:bCs/>
          <w:color w:val="000000" w:themeColor="text1"/>
          <w:kern w:val="0"/>
          <w:szCs w:val="21"/>
        </w:rPr>
        <w:t>.1</w:t>
      </w:r>
      <w:r w:rsidRPr="00A73188">
        <w:rPr>
          <w:rFonts w:eastAsiaTheme="minorEastAsia"/>
          <w:b/>
          <w:bCs/>
          <w:color w:val="000000" w:themeColor="text1"/>
          <w:kern w:val="0"/>
          <w:szCs w:val="21"/>
        </w:rPr>
        <w:t xml:space="preserve"> </w:t>
      </w:r>
      <w:r w:rsidRPr="00A73188">
        <w:rPr>
          <w:rFonts w:eastAsiaTheme="minorEastAsia" w:hint="eastAsia"/>
          <w:b/>
          <w:bCs/>
          <w:color w:val="000000" w:themeColor="text1"/>
          <w:szCs w:val="21"/>
        </w:rPr>
        <w:t>报告期内本基金组合资产的流动性风险分析</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06D74" w:rsidRPr="00C24ACA" w:rsidRDefault="00206D74" w:rsidP="00206D74">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本基金的投资范围为具有良好流动性的金融工具，所持大部分证券在流动性良好的证券交易所或者银行间同业市场交易，期末除本报告</w:t>
      </w:r>
      <w:r w:rsidRPr="001412CA">
        <w:rPr>
          <w:rFonts w:eastAsiaTheme="minorEastAsia"/>
          <w:kern w:val="0"/>
          <w:szCs w:val="21"/>
        </w:rPr>
        <w:t>“</w:t>
      </w:r>
      <w:r w:rsidRPr="001412CA">
        <w:rPr>
          <w:rFonts w:eastAsiaTheme="minorEastAsia"/>
          <w:kern w:val="0"/>
          <w:szCs w:val="21"/>
        </w:rPr>
        <w:t>期末本基金持有的流通受限证券</w:t>
      </w:r>
      <w:r w:rsidRPr="001412CA">
        <w:rPr>
          <w:rFonts w:eastAsiaTheme="minorEastAsia"/>
          <w:kern w:val="0"/>
          <w:szCs w:val="21"/>
        </w:rPr>
        <w:t>”</w:t>
      </w:r>
      <w:r w:rsidRPr="001412CA">
        <w:rPr>
          <w:rFonts w:eastAsiaTheme="minorEastAsia"/>
          <w:kern w:val="0"/>
          <w:szCs w:val="21"/>
        </w:rPr>
        <w:t>章节中所列示券种流通暂时受限制不能自由转让外，其余均能及时变现。评估结果显示组合高流动性资产比重较高，组合变现比例能力较好。</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w:t>
      </w:r>
      <w:r w:rsidRPr="00C24ACA">
        <w:rPr>
          <w:rFonts w:eastAsiaTheme="minorEastAsia"/>
          <w:b/>
          <w:bCs/>
          <w:color w:val="000000"/>
          <w:szCs w:val="21"/>
        </w:rPr>
        <w:t>市场风险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市场风险是指基金所持金融工具的公允价值或未来现金流量因所处市场各类价格因素的变动而发生波动的风险，包括利率风险、外汇风险和其他价格风险。</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w:t>
      </w:r>
      <w:r w:rsidRPr="00C24ACA">
        <w:rPr>
          <w:rFonts w:eastAsiaTheme="minorEastAsia"/>
          <w:b/>
          <w:bCs/>
          <w:color w:val="000000"/>
          <w:szCs w:val="21"/>
        </w:rPr>
        <w:t>利率风险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利率风险是指基金的财务状况和现金流量受市场利率变动而发生波动的风险。投资管理人通过久期、凸度、</w:t>
      </w:r>
      <w:r w:rsidRPr="00C24ACA">
        <w:rPr>
          <w:rFonts w:eastAsiaTheme="minorEastAsia"/>
          <w:kern w:val="0"/>
          <w:szCs w:val="21"/>
        </w:rPr>
        <w:t>VAR</w:t>
      </w:r>
      <w:r w:rsidRPr="00C24ACA">
        <w:rPr>
          <w:rFonts w:eastAsiaTheme="minorEastAsia"/>
          <w:kern w:val="0"/>
          <w:szCs w:val="21"/>
        </w:rPr>
        <w:t>等方法评估组合面临的利率风险敞口，并通过调整投资组合的久期等方法对上述利率风险进行管理。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6.4.13.4.1.1</w:t>
      </w:r>
      <w:r w:rsidRPr="00C24ACA">
        <w:rPr>
          <w:rFonts w:eastAsiaTheme="minorEastAsia"/>
          <w:b/>
          <w:bCs/>
          <w:color w:val="000000"/>
          <w:szCs w:val="21"/>
        </w:rPr>
        <w:t>利率风险敞口</w:t>
      </w:r>
    </w:p>
    <w:p w:rsidR="00A10C6C" w:rsidRPr="00C24ACA" w:rsidRDefault="00A10C6C" w:rsidP="00A10C6C">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单位：人民币元</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本期末</w:t>
            </w:r>
          </w:p>
          <w:p w:rsidR="00A10C6C" w:rsidRPr="00C24ACA" w:rsidRDefault="00A10C6C" w:rsidP="00427BFF">
            <w:pPr>
              <w:spacing w:line="360" w:lineRule="auto"/>
              <w:jc w:val="center"/>
              <w:rPr>
                <w:rFonts w:eastAsiaTheme="minorEastAsia"/>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5F7EF1">
        <w:tc>
          <w:tcPr>
            <w:tcW w:w="1588" w:type="dxa"/>
            <w:vAlign w:val="center"/>
          </w:tcPr>
          <w:p w:rsidR="005F7EF1" w:rsidRDefault="00E6254F">
            <w:pPr>
              <w:jc w:val="center"/>
            </w:pPr>
            <w:r>
              <w:rPr>
                <w:rFonts w:eastAsiaTheme="minorEastAsia"/>
                <w:color w:val="000000"/>
                <w:szCs w:val="21"/>
              </w:rPr>
              <w:t>银行存款</w:t>
            </w:r>
          </w:p>
        </w:tc>
        <w:tc>
          <w:tcPr>
            <w:tcW w:w="1701" w:type="dxa"/>
            <w:vAlign w:val="center"/>
          </w:tcPr>
          <w:p w:rsidR="005F7EF1" w:rsidRDefault="00E6254F">
            <w:pPr>
              <w:jc w:val="right"/>
            </w:pPr>
            <w:r>
              <w:rPr>
                <w:rFonts w:eastAsiaTheme="minorEastAsia"/>
                <w:color w:val="000000"/>
                <w:szCs w:val="21"/>
              </w:rPr>
              <w:t>113,800,576.81</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113,800,576.81</w:t>
            </w:r>
          </w:p>
        </w:tc>
      </w:tr>
      <w:tr w:rsidR="005F7EF1">
        <w:tc>
          <w:tcPr>
            <w:tcW w:w="1588" w:type="dxa"/>
            <w:vAlign w:val="center"/>
          </w:tcPr>
          <w:p w:rsidR="005F7EF1" w:rsidRDefault="00E6254F">
            <w:pPr>
              <w:jc w:val="center"/>
            </w:pPr>
            <w:r>
              <w:rPr>
                <w:rFonts w:eastAsiaTheme="minorEastAsia"/>
                <w:color w:val="000000"/>
                <w:szCs w:val="21"/>
              </w:rPr>
              <w:t>结算备付金</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存出保证金</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交易性金融资产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713,072,435.88</w:t>
            </w:r>
          </w:p>
        </w:tc>
        <w:tc>
          <w:tcPr>
            <w:tcW w:w="1301" w:type="dxa"/>
            <w:vAlign w:val="center"/>
          </w:tcPr>
          <w:p w:rsidR="005F7EF1" w:rsidRDefault="00E6254F">
            <w:pPr>
              <w:jc w:val="right"/>
            </w:pPr>
            <w:r>
              <w:rPr>
                <w:rFonts w:eastAsiaTheme="minorEastAsia"/>
                <w:color w:val="000000"/>
                <w:szCs w:val="21"/>
              </w:rPr>
              <w:t>713,072,435.88</w:t>
            </w:r>
          </w:p>
        </w:tc>
      </w:tr>
      <w:tr w:rsidR="005F7EF1">
        <w:tc>
          <w:tcPr>
            <w:tcW w:w="1588" w:type="dxa"/>
            <w:vAlign w:val="center"/>
          </w:tcPr>
          <w:p w:rsidR="005F7EF1" w:rsidRDefault="00E6254F">
            <w:pPr>
              <w:jc w:val="center"/>
            </w:pPr>
            <w:r>
              <w:rPr>
                <w:rFonts w:eastAsiaTheme="minorEastAsia"/>
                <w:color w:val="000000"/>
                <w:szCs w:val="21"/>
              </w:rPr>
              <w:t>衍生金融资产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买入返售金融资产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应收证券清算款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应收利息</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2,364.60</w:t>
            </w:r>
          </w:p>
        </w:tc>
        <w:tc>
          <w:tcPr>
            <w:tcW w:w="1301" w:type="dxa"/>
            <w:vAlign w:val="center"/>
          </w:tcPr>
          <w:p w:rsidR="005F7EF1" w:rsidRDefault="00E6254F">
            <w:pPr>
              <w:jc w:val="right"/>
            </w:pPr>
            <w:r>
              <w:rPr>
                <w:rFonts w:eastAsiaTheme="minorEastAsia"/>
                <w:color w:val="000000"/>
                <w:szCs w:val="21"/>
              </w:rPr>
              <w:t>2,364.60</w:t>
            </w:r>
          </w:p>
        </w:tc>
      </w:tr>
      <w:tr w:rsidR="005F7EF1">
        <w:tc>
          <w:tcPr>
            <w:tcW w:w="1588" w:type="dxa"/>
            <w:vAlign w:val="center"/>
          </w:tcPr>
          <w:p w:rsidR="005F7EF1" w:rsidRDefault="00E6254F">
            <w:pPr>
              <w:jc w:val="center"/>
            </w:pPr>
            <w:r>
              <w:rPr>
                <w:rFonts w:eastAsiaTheme="minorEastAsia"/>
                <w:color w:val="000000"/>
                <w:szCs w:val="21"/>
              </w:rPr>
              <w:t>应收股利</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应收申购款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递延所得税资产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其他资产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autoSpaceDE w:val="0"/>
              <w:autoSpaceDN w:val="0"/>
              <w:adjustRightInd w:val="0"/>
              <w:spacing w:before="29"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113,800,576.81</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713,074,800.48</w:t>
            </w:r>
          </w:p>
        </w:tc>
        <w:tc>
          <w:tcPr>
            <w:tcW w:w="13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826,875,377.29</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center"/>
          </w:tcPr>
          <w:p w:rsidR="00A10C6C" w:rsidRPr="00C24ACA" w:rsidRDefault="00A10C6C" w:rsidP="00427BFF">
            <w:pPr>
              <w:spacing w:line="360" w:lineRule="auto"/>
              <w:jc w:val="right"/>
              <w:rPr>
                <w:rFonts w:eastAsiaTheme="minorEastAsia"/>
                <w:color w:val="0000FF"/>
                <w:kern w:val="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color w:val="000000"/>
                <w:szCs w:val="21"/>
              </w:rPr>
            </w:pPr>
          </w:p>
        </w:tc>
      </w:tr>
      <w:tr w:rsidR="005F7EF1">
        <w:tc>
          <w:tcPr>
            <w:tcW w:w="1588" w:type="dxa"/>
            <w:vAlign w:val="center"/>
          </w:tcPr>
          <w:p w:rsidR="005F7EF1" w:rsidRDefault="00E6254F">
            <w:pPr>
              <w:jc w:val="center"/>
            </w:pPr>
            <w:r>
              <w:rPr>
                <w:rFonts w:eastAsiaTheme="minorEastAsia"/>
                <w:color w:val="000000"/>
                <w:szCs w:val="21"/>
              </w:rPr>
              <w:t>短期借款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交易性金融负债</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衍生金融负债</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卖出回购金融资产款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应付证券清算款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16,544,122.77</w:t>
            </w:r>
          </w:p>
        </w:tc>
        <w:tc>
          <w:tcPr>
            <w:tcW w:w="1301" w:type="dxa"/>
            <w:vAlign w:val="center"/>
          </w:tcPr>
          <w:p w:rsidR="005F7EF1" w:rsidRDefault="00E6254F">
            <w:pPr>
              <w:jc w:val="right"/>
            </w:pPr>
            <w:r>
              <w:rPr>
                <w:rFonts w:eastAsiaTheme="minorEastAsia"/>
                <w:color w:val="000000"/>
                <w:szCs w:val="21"/>
              </w:rPr>
              <w:t>16,544,122.77</w:t>
            </w:r>
          </w:p>
        </w:tc>
      </w:tr>
      <w:tr w:rsidR="005F7EF1">
        <w:tc>
          <w:tcPr>
            <w:tcW w:w="1588" w:type="dxa"/>
            <w:vAlign w:val="center"/>
          </w:tcPr>
          <w:p w:rsidR="005F7EF1" w:rsidRDefault="00E6254F">
            <w:pPr>
              <w:jc w:val="center"/>
            </w:pPr>
            <w:r>
              <w:rPr>
                <w:rFonts w:eastAsiaTheme="minorEastAsia"/>
                <w:color w:val="000000"/>
                <w:szCs w:val="21"/>
              </w:rPr>
              <w:t>应付赎回款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11,659,176.66</w:t>
            </w:r>
          </w:p>
        </w:tc>
        <w:tc>
          <w:tcPr>
            <w:tcW w:w="1301" w:type="dxa"/>
            <w:vAlign w:val="center"/>
          </w:tcPr>
          <w:p w:rsidR="005F7EF1" w:rsidRDefault="00E6254F">
            <w:pPr>
              <w:jc w:val="right"/>
            </w:pPr>
            <w:r>
              <w:rPr>
                <w:rFonts w:eastAsiaTheme="minorEastAsia"/>
                <w:color w:val="000000"/>
                <w:szCs w:val="21"/>
              </w:rPr>
              <w:t>11,659,176.66</w:t>
            </w:r>
          </w:p>
        </w:tc>
      </w:tr>
      <w:tr w:rsidR="005F7EF1">
        <w:tc>
          <w:tcPr>
            <w:tcW w:w="1588" w:type="dxa"/>
            <w:vAlign w:val="center"/>
          </w:tcPr>
          <w:p w:rsidR="005F7EF1" w:rsidRDefault="00E6254F">
            <w:pPr>
              <w:jc w:val="center"/>
            </w:pPr>
            <w:r>
              <w:rPr>
                <w:rFonts w:eastAsiaTheme="minorEastAsia"/>
                <w:color w:val="000000"/>
                <w:szCs w:val="21"/>
              </w:rPr>
              <w:t>应付管理人报酬</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651,011.79</w:t>
            </w:r>
          </w:p>
        </w:tc>
        <w:tc>
          <w:tcPr>
            <w:tcW w:w="1301" w:type="dxa"/>
            <w:vAlign w:val="center"/>
          </w:tcPr>
          <w:p w:rsidR="005F7EF1" w:rsidRDefault="00E6254F">
            <w:pPr>
              <w:jc w:val="right"/>
            </w:pPr>
            <w:r>
              <w:rPr>
                <w:rFonts w:eastAsiaTheme="minorEastAsia"/>
                <w:color w:val="000000"/>
                <w:szCs w:val="21"/>
              </w:rPr>
              <w:t>651,011.79</w:t>
            </w:r>
          </w:p>
        </w:tc>
      </w:tr>
      <w:tr w:rsidR="005F7EF1">
        <w:tc>
          <w:tcPr>
            <w:tcW w:w="1588" w:type="dxa"/>
            <w:vAlign w:val="center"/>
          </w:tcPr>
          <w:p w:rsidR="005F7EF1" w:rsidRDefault="00E6254F">
            <w:pPr>
              <w:jc w:val="center"/>
            </w:pPr>
            <w:r>
              <w:rPr>
                <w:rFonts w:eastAsiaTheme="minorEastAsia"/>
                <w:color w:val="000000"/>
                <w:szCs w:val="21"/>
              </w:rPr>
              <w:t>应付托管费</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162,752.92</w:t>
            </w:r>
          </w:p>
        </w:tc>
        <w:tc>
          <w:tcPr>
            <w:tcW w:w="1301" w:type="dxa"/>
            <w:vAlign w:val="center"/>
          </w:tcPr>
          <w:p w:rsidR="005F7EF1" w:rsidRDefault="00E6254F">
            <w:pPr>
              <w:jc w:val="right"/>
            </w:pPr>
            <w:r>
              <w:rPr>
                <w:rFonts w:eastAsiaTheme="minorEastAsia"/>
                <w:color w:val="000000"/>
                <w:szCs w:val="21"/>
              </w:rPr>
              <w:t>162,752.92</w:t>
            </w:r>
          </w:p>
        </w:tc>
      </w:tr>
      <w:tr w:rsidR="005F7EF1">
        <w:tc>
          <w:tcPr>
            <w:tcW w:w="1588" w:type="dxa"/>
            <w:vAlign w:val="center"/>
          </w:tcPr>
          <w:p w:rsidR="005F7EF1" w:rsidRDefault="00E6254F">
            <w:pPr>
              <w:jc w:val="center"/>
            </w:pPr>
            <w:r>
              <w:rPr>
                <w:rFonts w:eastAsiaTheme="minorEastAsia"/>
                <w:color w:val="000000"/>
                <w:szCs w:val="21"/>
              </w:rPr>
              <w:t>应付销售服务费</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67,137.89</w:t>
            </w:r>
          </w:p>
        </w:tc>
        <w:tc>
          <w:tcPr>
            <w:tcW w:w="1301" w:type="dxa"/>
            <w:vAlign w:val="center"/>
          </w:tcPr>
          <w:p w:rsidR="005F7EF1" w:rsidRDefault="00E6254F">
            <w:pPr>
              <w:jc w:val="right"/>
            </w:pPr>
            <w:r>
              <w:rPr>
                <w:rFonts w:eastAsiaTheme="minorEastAsia"/>
                <w:color w:val="000000"/>
                <w:szCs w:val="21"/>
              </w:rPr>
              <w:t>67,137.89</w:t>
            </w:r>
          </w:p>
        </w:tc>
      </w:tr>
      <w:tr w:rsidR="005F7EF1">
        <w:tc>
          <w:tcPr>
            <w:tcW w:w="1588" w:type="dxa"/>
            <w:vAlign w:val="center"/>
          </w:tcPr>
          <w:p w:rsidR="005F7EF1" w:rsidRDefault="00E6254F">
            <w:pPr>
              <w:jc w:val="center"/>
            </w:pPr>
            <w:r>
              <w:rPr>
                <w:rFonts w:eastAsiaTheme="minorEastAsia"/>
                <w:color w:val="000000"/>
                <w:szCs w:val="21"/>
              </w:rPr>
              <w:t>应付交易费用</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应交税费</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应付利息</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应付利润</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递延所得税负债</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其他负债</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225,083.61</w:t>
            </w:r>
          </w:p>
        </w:tc>
        <w:tc>
          <w:tcPr>
            <w:tcW w:w="1301" w:type="dxa"/>
            <w:vAlign w:val="center"/>
          </w:tcPr>
          <w:p w:rsidR="005F7EF1" w:rsidRDefault="00E6254F">
            <w:pPr>
              <w:jc w:val="right"/>
            </w:pPr>
            <w:r>
              <w:rPr>
                <w:rFonts w:eastAsiaTheme="minorEastAsia"/>
                <w:color w:val="000000"/>
                <w:szCs w:val="21"/>
              </w:rPr>
              <w:t>225,083.61</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29,309,285.64</w:t>
            </w:r>
          </w:p>
        </w:tc>
        <w:tc>
          <w:tcPr>
            <w:tcW w:w="1301" w:type="dxa"/>
            <w:vAlign w:val="center"/>
          </w:tcPr>
          <w:p w:rsidR="00A10C6C" w:rsidRPr="00C24ACA" w:rsidRDefault="00A10C6C" w:rsidP="00C903E7">
            <w:pPr>
              <w:spacing w:line="360" w:lineRule="auto"/>
              <w:ind w:right="210"/>
              <w:jc w:val="right"/>
              <w:rPr>
                <w:rFonts w:eastAsiaTheme="minorEastAsia"/>
                <w:szCs w:val="21"/>
              </w:rPr>
            </w:pPr>
            <w:r w:rsidRPr="00C24ACA">
              <w:rPr>
                <w:rFonts w:eastAsiaTheme="minorEastAsia"/>
                <w:szCs w:val="21"/>
              </w:rPr>
              <w:t>29,309,285.64</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113,800,576.81</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683,765,514.84</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797,566,091.65</w:t>
            </w:r>
          </w:p>
        </w:tc>
      </w:tr>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上年度末</w:t>
            </w:r>
          </w:p>
          <w:p w:rsidR="00A10C6C" w:rsidRPr="00C24ACA" w:rsidRDefault="00A10C6C" w:rsidP="00427BFF">
            <w:pPr>
              <w:spacing w:line="360" w:lineRule="auto"/>
              <w:jc w:val="center"/>
              <w:rPr>
                <w:rFonts w:eastAsiaTheme="minorEastAsia"/>
                <w:color w:val="000000"/>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31</w:t>
            </w:r>
            <w:r w:rsidRPr="00C24ACA">
              <w:rPr>
                <w:rFonts w:eastAsiaTheme="minorEastAsia"/>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5F7EF1">
        <w:tc>
          <w:tcPr>
            <w:tcW w:w="1588" w:type="dxa"/>
            <w:vAlign w:val="center"/>
          </w:tcPr>
          <w:p w:rsidR="005F7EF1" w:rsidRDefault="00E6254F">
            <w:pPr>
              <w:jc w:val="center"/>
            </w:pPr>
            <w:r>
              <w:rPr>
                <w:rFonts w:eastAsiaTheme="minorEastAsia"/>
                <w:color w:val="000000"/>
                <w:szCs w:val="21"/>
              </w:rPr>
              <w:t>银行存款</w:t>
            </w:r>
          </w:p>
        </w:tc>
        <w:tc>
          <w:tcPr>
            <w:tcW w:w="1701" w:type="dxa"/>
            <w:vAlign w:val="center"/>
          </w:tcPr>
          <w:p w:rsidR="005F7EF1" w:rsidRDefault="00E6254F">
            <w:pPr>
              <w:jc w:val="right"/>
            </w:pPr>
            <w:r>
              <w:rPr>
                <w:rFonts w:eastAsiaTheme="minorEastAsia"/>
                <w:color w:val="000000"/>
                <w:szCs w:val="21"/>
              </w:rPr>
              <w:t>14,350,805.44</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14,350,805.44</w:t>
            </w:r>
          </w:p>
        </w:tc>
      </w:tr>
      <w:tr w:rsidR="005F7EF1">
        <w:tc>
          <w:tcPr>
            <w:tcW w:w="1588" w:type="dxa"/>
            <w:vAlign w:val="center"/>
          </w:tcPr>
          <w:p w:rsidR="005F7EF1" w:rsidRDefault="00E6254F">
            <w:pPr>
              <w:jc w:val="center"/>
            </w:pPr>
            <w:r>
              <w:rPr>
                <w:rFonts w:eastAsiaTheme="minorEastAsia"/>
                <w:color w:val="000000"/>
                <w:szCs w:val="21"/>
              </w:rPr>
              <w:t>结算备付金</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存出保证金</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交易性金融资产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206,515,799.56</w:t>
            </w:r>
          </w:p>
        </w:tc>
        <w:tc>
          <w:tcPr>
            <w:tcW w:w="1301" w:type="dxa"/>
            <w:vAlign w:val="center"/>
          </w:tcPr>
          <w:p w:rsidR="005F7EF1" w:rsidRDefault="00E6254F">
            <w:pPr>
              <w:jc w:val="right"/>
            </w:pPr>
            <w:r>
              <w:rPr>
                <w:rFonts w:eastAsiaTheme="minorEastAsia"/>
                <w:color w:val="000000"/>
                <w:szCs w:val="21"/>
              </w:rPr>
              <w:t>206,515,799.56</w:t>
            </w:r>
          </w:p>
        </w:tc>
      </w:tr>
      <w:tr w:rsidR="005F7EF1">
        <w:tc>
          <w:tcPr>
            <w:tcW w:w="1588" w:type="dxa"/>
            <w:vAlign w:val="center"/>
          </w:tcPr>
          <w:p w:rsidR="005F7EF1" w:rsidRDefault="00E6254F">
            <w:pPr>
              <w:jc w:val="center"/>
            </w:pPr>
            <w:r>
              <w:rPr>
                <w:rFonts w:eastAsiaTheme="minorEastAsia"/>
                <w:color w:val="000000"/>
                <w:szCs w:val="21"/>
              </w:rPr>
              <w:t>衍生金融资产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买入返售金融资产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应收证券清算款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4,639,035.22</w:t>
            </w:r>
          </w:p>
        </w:tc>
        <w:tc>
          <w:tcPr>
            <w:tcW w:w="1301" w:type="dxa"/>
            <w:vAlign w:val="center"/>
          </w:tcPr>
          <w:p w:rsidR="005F7EF1" w:rsidRDefault="00E6254F">
            <w:pPr>
              <w:jc w:val="right"/>
            </w:pPr>
            <w:r>
              <w:rPr>
                <w:rFonts w:eastAsiaTheme="minorEastAsia"/>
                <w:color w:val="000000"/>
                <w:szCs w:val="21"/>
              </w:rPr>
              <w:t>4,639,035.22</w:t>
            </w:r>
          </w:p>
        </w:tc>
      </w:tr>
      <w:tr w:rsidR="005F7EF1">
        <w:tc>
          <w:tcPr>
            <w:tcW w:w="1588" w:type="dxa"/>
            <w:vAlign w:val="center"/>
          </w:tcPr>
          <w:p w:rsidR="005F7EF1" w:rsidRDefault="00E6254F">
            <w:pPr>
              <w:jc w:val="center"/>
            </w:pPr>
            <w:r>
              <w:rPr>
                <w:rFonts w:eastAsiaTheme="minorEastAsia"/>
                <w:color w:val="000000"/>
                <w:szCs w:val="21"/>
              </w:rPr>
              <w:t>应收利息</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1,653.88</w:t>
            </w:r>
          </w:p>
        </w:tc>
        <w:tc>
          <w:tcPr>
            <w:tcW w:w="1301" w:type="dxa"/>
            <w:vAlign w:val="center"/>
          </w:tcPr>
          <w:p w:rsidR="005F7EF1" w:rsidRDefault="00E6254F">
            <w:pPr>
              <w:jc w:val="right"/>
            </w:pPr>
            <w:r>
              <w:rPr>
                <w:rFonts w:eastAsiaTheme="minorEastAsia"/>
                <w:color w:val="000000"/>
                <w:szCs w:val="21"/>
              </w:rPr>
              <w:t>1,653.88</w:t>
            </w:r>
          </w:p>
        </w:tc>
      </w:tr>
      <w:tr w:rsidR="005F7EF1">
        <w:tc>
          <w:tcPr>
            <w:tcW w:w="1588" w:type="dxa"/>
            <w:vAlign w:val="center"/>
          </w:tcPr>
          <w:p w:rsidR="005F7EF1" w:rsidRDefault="00E6254F">
            <w:pPr>
              <w:jc w:val="center"/>
            </w:pPr>
            <w:r>
              <w:rPr>
                <w:rFonts w:eastAsiaTheme="minorEastAsia"/>
                <w:color w:val="000000"/>
                <w:szCs w:val="21"/>
              </w:rPr>
              <w:t>应收股利</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应收申购款</w:t>
            </w:r>
          </w:p>
        </w:tc>
        <w:tc>
          <w:tcPr>
            <w:tcW w:w="1701" w:type="dxa"/>
            <w:vAlign w:val="center"/>
          </w:tcPr>
          <w:p w:rsidR="005F7EF1" w:rsidRDefault="00E6254F">
            <w:pPr>
              <w:jc w:val="right"/>
            </w:pPr>
            <w:r>
              <w:rPr>
                <w:rFonts w:eastAsiaTheme="minorEastAsia"/>
                <w:color w:val="000000"/>
                <w:szCs w:val="21"/>
              </w:rPr>
              <w:t>42,313.04</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1,580,534.38</w:t>
            </w:r>
          </w:p>
        </w:tc>
        <w:tc>
          <w:tcPr>
            <w:tcW w:w="1301" w:type="dxa"/>
            <w:vAlign w:val="center"/>
          </w:tcPr>
          <w:p w:rsidR="005F7EF1" w:rsidRDefault="00E6254F">
            <w:pPr>
              <w:jc w:val="right"/>
            </w:pPr>
            <w:r>
              <w:rPr>
                <w:rFonts w:eastAsiaTheme="minorEastAsia"/>
                <w:color w:val="000000"/>
                <w:szCs w:val="21"/>
              </w:rPr>
              <w:t>1,622,847.42</w:t>
            </w:r>
          </w:p>
        </w:tc>
      </w:tr>
      <w:tr w:rsidR="005F7EF1">
        <w:tc>
          <w:tcPr>
            <w:tcW w:w="1588" w:type="dxa"/>
            <w:vAlign w:val="center"/>
          </w:tcPr>
          <w:p w:rsidR="005F7EF1" w:rsidRDefault="00E6254F">
            <w:pPr>
              <w:jc w:val="center"/>
            </w:pPr>
            <w:r>
              <w:rPr>
                <w:rFonts w:eastAsiaTheme="minorEastAsia"/>
                <w:color w:val="000000"/>
                <w:szCs w:val="21"/>
              </w:rPr>
              <w:t>递延所得税资产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其他资产</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14,393,118.48</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212,737,023.04</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227,130,141.52</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bottom"/>
          </w:tcPr>
          <w:p w:rsidR="00A10C6C" w:rsidRPr="00C24ACA" w:rsidRDefault="00A10C6C" w:rsidP="00427BFF">
            <w:pPr>
              <w:spacing w:line="360" w:lineRule="auto"/>
              <w:jc w:val="right"/>
              <w:rPr>
                <w:rFonts w:eastAsiaTheme="minorEastAsia"/>
                <w:color w:val="0000FF"/>
                <w:kern w:val="0"/>
                <w:szCs w:val="21"/>
              </w:rPr>
            </w:pPr>
          </w:p>
        </w:tc>
        <w:tc>
          <w:tcPr>
            <w:tcW w:w="1701"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301" w:type="dxa"/>
            <w:vAlign w:val="bottom"/>
          </w:tcPr>
          <w:p w:rsidR="00A10C6C" w:rsidRPr="00C24ACA" w:rsidRDefault="00A10C6C" w:rsidP="00427BFF">
            <w:pPr>
              <w:spacing w:line="360" w:lineRule="auto"/>
              <w:jc w:val="right"/>
              <w:rPr>
                <w:rFonts w:eastAsiaTheme="minorEastAsia"/>
                <w:color w:val="000000"/>
                <w:szCs w:val="21"/>
              </w:rPr>
            </w:pPr>
          </w:p>
        </w:tc>
      </w:tr>
      <w:tr w:rsidR="005F7EF1">
        <w:tc>
          <w:tcPr>
            <w:tcW w:w="1588" w:type="dxa"/>
            <w:vAlign w:val="center"/>
          </w:tcPr>
          <w:p w:rsidR="005F7EF1" w:rsidRDefault="00E6254F">
            <w:pPr>
              <w:jc w:val="center"/>
            </w:pPr>
            <w:r>
              <w:rPr>
                <w:rFonts w:eastAsiaTheme="minorEastAsia"/>
                <w:color w:val="000000"/>
                <w:szCs w:val="21"/>
              </w:rPr>
              <w:t>短期借款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交易性金融负债</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衍生金融负债</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卖出回购金融资产款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应付证券清算款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应付赎回款</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7,982,311.59</w:t>
            </w:r>
          </w:p>
        </w:tc>
        <w:tc>
          <w:tcPr>
            <w:tcW w:w="1301" w:type="dxa"/>
            <w:vAlign w:val="center"/>
          </w:tcPr>
          <w:p w:rsidR="005F7EF1" w:rsidRDefault="00E6254F">
            <w:pPr>
              <w:jc w:val="right"/>
            </w:pPr>
            <w:r>
              <w:rPr>
                <w:rFonts w:eastAsiaTheme="minorEastAsia"/>
                <w:color w:val="000000"/>
                <w:szCs w:val="21"/>
              </w:rPr>
              <w:t>7,982,311.59</w:t>
            </w:r>
          </w:p>
        </w:tc>
      </w:tr>
      <w:tr w:rsidR="005F7EF1">
        <w:tc>
          <w:tcPr>
            <w:tcW w:w="1588" w:type="dxa"/>
            <w:vAlign w:val="center"/>
          </w:tcPr>
          <w:p w:rsidR="005F7EF1" w:rsidRDefault="00E6254F">
            <w:pPr>
              <w:jc w:val="center"/>
            </w:pPr>
            <w:r>
              <w:rPr>
                <w:rFonts w:eastAsiaTheme="minorEastAsia"/>
                <w:color w:val="000000"/>
                <w:szCs w:val="21"/>
              </w:rPr>
              <w:t>应付管理人报酬</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192,104.44</w:t>
            </w:r>
          </w:p>
        </w:tc>
        <w:tc>
          <w:tcPr>
            <w:tcW w:w="1301" w:type="dxa"/>
            <w:vAlign w:val="center"/>
          </w:tcPr>
          <w:p w:rsidR="005F7EF1" w:rsidRDefault="00E6254F">
            <w:pPr>
              <w:jc w:val="right"/>
            </w:pPr>
            <w:r>
              <w:rPr>
                <w:rFonts w:eastAsiaTheme="minorEastAsia"/>
                <w:color w:val="000000"/>
                <w:szCs w:val="21"/>
              </w:rPr>
              <w:t>192,104.44</w:t>
            </w:r>
          </w:p>
        </w:tc>
      </w:tr>
      <w:tr w:rsidR="005F7EF1">
        <w:tc>
          <w:tcPr>
            <w:tcW w:w="1588" w:type="dxa"/>
            <w:vAlign w:val="center"/>
          </w:tcPr>
          <w:p w:rsidR="005F7EF1" w:rsidRDefault="00E6254F">
            <w:pPr>
              <w:jc w:val="center"/>
            </w:pPr>
            <w:r>
              <w:rPr>
                <w:rFonts w:eastAsiaTheme="minorEastAsia"/>
                <w:color w:val="000000"/>
                <w:szCs w:val="21"/>
              </w:rPr>
              <w:t>应付托管费</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48,026.10</w:t>
            </w:r>
          </w:p>
        </w:tc>
        <w:tc>
          <w:tcPr>
            <w:tcW w:w="1301" w:type="dxa"/>
            <w:vAlign w:val="center"/>
          </w:tcPr>
          <w:p w:rsidR="005F7EF1" w:rsidRDefault="00E6254F">
            <w:pPr>
              <w:jc w:val="right"/>
            </w:pPr>
            <w:r>
              <w:rPr>
                <w:rFonts w:eastAsiaTheme="minorEastAsia"/>
                <w:color w:val="000000"/>
                <w:szCs w:val="21"/>
              </w:rPr>
              <w:t>48,026.10</w:t>
            </w:r>
          </w:p>
        </w:tc>
      </w:tr>
      <w:tr w:rsidR="005F7EF1">
        <w:tc>
          <w:tcPr>
            <w:tcW w:w="1588" w:type="dxa"/>
            <w:vAlign w:val="center"/>
          </w:tcPr>
          <w:p w:rsidR="005F7EF1" w:rsidRDefault="00E6254F">
            <w:pPr>
              <w:jc w:val="center"/>
            </w:pPr>
            <w:r>
              <w:rPr>
                <w:rFonts w:eastAsiaTheme="minorEastAsia"/>
                <w:color w:val="000000"/>
                <w:szCs w:val="21"/>
              </w:rPr>
              <w:t>应付销售服务费</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32,031.12</w:t>
            </w:r>
          </w:p>
        </w:tc>
        <w:tc>
          <w:tcPr>
            <w:tcW w:w="1301" w:type="dxa"/>
            <w:vAlign w:val="center"/>
          </w:tcPr>
          <w:p w:rsidR="005F7EF1" w:rsidRDefault="00E6254F">
            <w:pPr>
              <w:jc w:val="right"/>
            </w:pPr>
            <w:r>
              <w:rPr>
                <w:rFonts w:eastAsiaTheme="minorEastAsia"/>
                <w:color w:val="000000"/>
                <w:szCs w:val="21"/>
              </w:rPr>
              <w:t>32,031.12</w:t>
            </w:r>
          </w:p>
        </w:tc>
      </w:tr>
      <w:tr w:rsidR="005F7EF1">
        <w:tc>
          <w:tcPr>
            <w:tcW w:w="1588" w:type="dxa"/>
            <w:vAlign w:val="center"/>
          </w:tcPr>
          <w:p w:rsidR="005F7EF1" w:rsidRDefault="00E6254F">
            <w:pPr>
              <w:jc w:val="center"/>
            </w:pPr>
            <w:r>
              <w:rPr>
                <w:rFonts w:eastAsiaTheme="minorEastAsia"/>
                <w:color w:val="000000"/>
                <w:szCs w:val="21"/>
              </w:rPr>
              <w:t>应付交易费用</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应交税费</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应付利息</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应付利润</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递延所得税负债</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w:t>
            </w:r>
          </w:p>
        </w:tc>
        <w:tc>
          <w:tcPr>
            <w:tcW w:w="1301" w:type="dxa"/>
            <w:vAlign w:val="center"/>
          </w:tcPr>
          <w:p w:rsidR="005F7EF1" w:rsidRDefault="00E6254F">
            <w:pPr>
              <w:jc w:val="right"/>
            </w:pPr>
            <w:r>
              <w:rPr>
                <w:rFonts w:eastAsiaTheme="minorEastAsia"/>
                <w:color w:val="000000"/>
                <w:szCs w:val="21"/>
              </w:rPr>
              <w:t>-</w:t>
            </w:r>
          </w:p>
        </w:tc>
      </w:tr>
      <w:tr w:rsidR="005F7EF1">
        <w:tc>
          <w:tcPr>
            <w:tcW w:w="1588" w:type="dxa"/>
            <w:vAlign w:val="center"/>
          </w:tcPr>
          <w:p w:rsidR="005F7EF1" w:rsidRDefault="00E6254F">
            <w:pPr>
              <w:jc w:val="center"/>
            </w:pPr>
            <w:r>
              <w:rPr>
                <w:rFonts w:eastAsiaTheme="minorEastAsia"/>
                <w:color w:val="000000"/>
                <w:szCs w:val="21"/>
              </w:rPr>
              <w:t>其他负债</w:t>
            </w:r>
          </w:p>
        </w:tc>
        <w:tc>
          <w:tcPr>
            <w:tcW w:w="1701" w:type="dxa"/>
            <w:vAlign w:val="center"/>
          </w:tcPr>
          <w:p w:rsidR="005F7EF1" w:rsidRDefault="00E6254F">
            <w:pPr>
              <w:jc w:val="right"/>
            </w:pPr>
            <w:r>
              <w:rPr>
                <w:rFonts w:eastAsiaTheme="minorEastAsia"/>
                <w:color w:val="000000"/>
                <w:szCs w:val="21"/>
              </w:rPr>
              <w:t>-</w:t>
            </w:r>
          </w:p>
        </w:tc>
        <w:tc>
          <w:tcPr>
            <w:tcW w:w="1701"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right"/>
            </w:pPr>
            <w:r>
              <w:rPr>
                <w:rFonts w:eastAsiaTheme="minorEastAsia"/>
                <w:color w:val="000000"/>
                <w:szCs w:val="21"/>
              </w:rPr>
              <w:t>-</w:t>
            </w:r>
          </w:p>
        </w:tc>
        <w:tc>
          <w:tcPr>
            <w:tcW w:w="1559" w:type="dxa"/>
            <w:vAlign w:val="center"/>
          </w:tcPr>
          <w:p w:rsidR="005F7EF1" w:rsidRDefault="00E6254F">
            <w:pPr>
              <w:jc w:val="center"/>
            </w:pPr>
            <w:r>
              <w:rPr>
                <w:rFonts w:eastAsiaTheme="minorEastAsia"/>
                <w:color w:val="000000"/>
                <w:szCs w:val="21"/>
              </w:rPr>
              <w:t>291,648.94</w:t>
            </w:r>
          </w:p>
        </w:tc>
        <w:tc>
          <w:tcPr>
            <w:tcW w:w="1301" w:type="dxa"/>
            <w:vAlign w:val="center"/>
          </w:tcPr>
          <w:p w:rsidR="005F7EF1" w:rsidRDefault="00E6254F">
            <w:pPr>
              <w:jc w:val="right"/>
            </w:pPr>
            <w:r>
              <w:rPr>
                <w:rFonts w:eastAsiaTheme="minorEastAsia"/>
                <w:color w:val="000000"/>
                <w:szCs w:val="21"/>
              </w:rPr>
              <w:t>291,648.94</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8,546,122.19</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8,546,122.19</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14,393,118.48</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204,190,900.85</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218,584,019.33</w:t>
            </w:r>
          </w:p>
        </w:tc>
      </w:tr>
    </w:tbl>
    <w:p w:rsidR="008A5A5D" w:rsidRPr="00C24ACA" w:rsidRDefault="00A10C6C"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注：各期限分类的标准为按金融资产或金融负债的重新定价日或到期日孰早者进行分类。</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6.4.13.4.1.2</w:t>
      </w:r>
      <w:r w:rsidRPr="00C24ACA">
        <w:rPr>
          <w:rFonts w:eastAsiaTheme="minorEastAsia"/>
          <w:b/>
          <w:bCs/>
          <w:color w:val="000000"/>
          <w:szCs w:val="21"/>
        </w:rPr>
        <w:t>利率风险的敏感性分析</w:t>
      </w:r>
    </w:p>
    <w:p w:rsidR="008A5A5D" w:rsidRPr="00C24ACA" w:rsidRDefault="00022F8F"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本期末本基金未持有交易性债券投资</w:t>
      </w:r>
      <w:r w:rsidRPr="00C24ACA">
        <w:rPr>
          <w:rFonts w:eastAsiaTheme="minorEastAsia"/>
          <w:kern w:val="0"/>
          <w:szCs w:val="21"/>
        </w:rPr>
        <w:t>(</w:t>
      </w:r>
      <w:r w:rsidRPr="00C24ACA">
        <w:rPr>
          <w:rFonts w:eastAsiaTheme="minorEastAsia"/>
          <w:kern w:val="0"/>
          <w:szCs w:val="21"/>
        </w:rPr>
        <w:t>不包括可转债），因此市场利率的变动对于本基金资产净值无重大影响。</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w:t>
      </w:r>
      <w:r w:rsidRPr="00C24ACA">
        <w:rPr>
          <w:rFonts w:eastAsiaTheme="minorEastAsia"/>
          <w:b/>
          <w:bCs/>
          <w:color w:val="000000"/>
          <w:szCs w:val="21"/>
        </w:rPr>
        <w:t>外汇风险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6.4.13.4.2.1</w:t>
      </w:r>
      <w:r w:rsidRPr="00C24ACA">
        <w:rPr>
          <w:rFonts w:eastAsiaTheme="minorEastAsia"/>
          <w:b/>
          <w:bCs/>
          <w:color w:val="000000"/>
          <w:szCs w:val="21"/>
        </w:rPr>
        <w:t>外汇风险敞口</w:t>
      </w:r>
    </w:p>
    <w:p w:rsidR="0056101E" w:rsidRPr="00C24ACA" w:rsidRDefault="0056101E" w:rsidP="0056101E">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400"/>
        <w:gridCol w:w="2020"/>
        <w:gridCol w:w="2160"/>
      </w:tblGrid>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本期末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美元</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港币</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其他币种</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5F7EF1">
        <w:tc>
          <w:tcPr>
            <w:tcW w:w="1477" w:type="dxa"/>
            <w:vAlign w:val="center"/>
          </w:tcPr>
          <w:p w:rsidR="005F7EF1" w:rsidRDefault="00E6254F">
            <w:pPr>
              <w:jc w:val="left"/>
            </w:pPr>
            <w:r>
              <w:rPr>
                <w:rFonts w:eastAsiaTheme="minorEastAsia"/>
                <w:color w:val="000000"/>
                <w:kern w:val="0"/>
                <w:szCs w:val="21"/>
              </w:rPr>
              <w:t>银行存款</w:t>
            </w:r>
          </w:p>
        </w:tc>
        <w:tc>
          <w:tcPr>
            <w:tcW w:w="1943" w:type="dxa"/>
            <w:vAlign w:val="center"/>
          </w:tcPr>
          <w:p w:rsidR="005F7EF1" w:rsidRDefault="00E6254F">
            <w:pPr>
              <w:jc w:val="right"/>
            </w:pPr>
            <w:r>
              <w:rPr>
                <w:rFonts w:eastAsiaTheme="minorEastAsia"/>
                <w:color w:val="000000"/>
                <w:kern w:val="0"/>
                <w:szCs w:val="21"/>
              </w:rPr>
              <w:t>90,033,329.78</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w:t>
            </w:r>
          </w:p>
        </w:tc>
        <w:tc>
          <w:tcPr>
            <w:tcW w:w="2160" w:type="dxa"/>
            <w:vAlign w:val="center"/>
          </w:tcPr>
          <w:p w:rsidR="005F7EF1" w:rsidRDefault="00E6254F">
            <w:pPr>
              <w:jc w:val="right"/>
            </w:pPr>
            <w:r>
              <w:rPr>
                <w:rFonts w:eastAsiaTheme="minorEastAsia"/>
                <w:color w:val="000000"/>
                <w:kern w:val="0"/>
                <w:szCs w:val="21"/>
              </w:rPr>
              <w:t>90,033,329.78</w:t>
            </w:r>
          </w:p>
        </w:tc>
      </w:tr>
      <w:tr w:rsidR="005F7EF1">
        <w:tc>
          <w:tcPr>
            <w:tcW w:w="1477" w:type="dxa"/>
            <w:vAlign w:val="center"/>
          </w:tcPr>
          <w:p w:rsidR="005F7EF1" w:rsidRDefault="00E6254F">
            <w:pPr>
              <w:jc w:val="left"/>
            </w:pPr>
            <w:r>
              <w:rPr>
                <w:rFonts w:eastAsiaTheme="minorEastAsia"/>
                <w:color w:val="000000"/>
                <w:kern w:val="0"/>
                <w:szCs w:val="21"/>
              </w:rPr>
              <w:t>结算备付金</w:t>
            </w:r>
          </w:p>
        </w:tc>
        <w:tc>
          <w:tcPr>
            <w:tcW w:w="1943" w:type="dxa"/>
            <w:vAlign w:val="center"/>
          </w:tcPr>
          <w:p w:rsidR="005F7EF1" w:rsidRDefault="00E6254F">
            <w:pPr>
              <w:jc w:val="right"/>
            </w:pPr>
            <w:r>
              <w:rPr>
                <w:rFonts w:eastAsiaTheme="minorEastAsia"/>
                <w:color w:val="000000"/>
                <w:kern w:val="0"/>
                <w:szCs w:val="21"/>
              </w:rPr>
              <w:t>-</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w:t>
            </w:r>
          </w:p>
        </w:tc>
        <w:tc>
          <w:tcPr>
            <w:tcW w:w="2160" w:type="dxa"/>
            <w:vAlign w:val="center"/>
          </w:tcPr>
          <w:p w:rsidR="005F7EF1" w:rsidRDefault="00E6254F">
            <w:pPr>
              <w:jc w:val="right"/>
            </w:pPr>
            <w:r>
              <w:rPr>
                <w:rFonts w:eastAsiaTheme="minorEastAsia"/>
                <w:color w:val="000000"/>
                <w:kern w:val="0"/>
                <w:szCs w:val="21"/>
              </w:rPr>
              <w:t>-</w:t>
            </w:r>
          </w:p>
        </w:tc>
      </w:tr>
      <w:tr w:rsidR="005F7EF1">
        <w:tc>
          <w:tcPr>
            <w:tcW w:w="1477" w:type="dxa"/>
            <w:vAlign w:val="center"/>
          </w:tcPr>
          <w:p w:rsidR="005F7EF1" w:rsidRDefault="00E6254F">
            <w:pPr>
              <w:jc w:val="left"/>
            </w:pPr>
            <w:r>
              <w:rPr>
                <w:rFonts w:eastAsiaTheme="minorEastAsia"/>
                <w:color w:val="000000"/>
                <w:kern w:val="0"/>
                <w:szCs w:val="21"/>
              </w:rPr>
              <w:t>交易性金融资产</w:t>
            </w:r>
          </w:p>
        </w:tc>
        <w:tc>
          <w:tcPr>
            <w:tcW w:w="1943" w:type="dxa"/>
            <w:vAlign w:val="center"/>
          </w:tcPr>
          <w:p w:rsidR="005F7EF1" w:rsidRDefault="00E6254F">
            <w:pPr>
              <w:jc w:val="right"/>
            </w:pPr>
            <w:r>
              <w:rPr>
                <w:rFonts w:eastAsiaTheme="minorEastAsia"/>
                <w:color w:val="000000"/>
                <w:kern w:val="0"/>
                <w:szCs w:val="21"/>
              </w:rPr>
              <w:t>582,935,799.72</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130,136,636.16</w:t>
            </w:r>
          </w:p>
        </w:tc>
        <w:tc>
          <w:tcPr>
            <w:tcW w:w="2160" w:type="dxa"/>
            <w:vAlign w:val="center"/>
          </w:tcPr>
          <w:p w:rsidR="005F7EF1" w:rsidRDefault="00E6254F">
            <w:pPr>
              <w:jc w:val="right"/>
            </w:pPr>
            <w:r>
              <w:rPr>
                <w:rFonts w:eastAsiaTheme="minorEastAsia"/>
                <w:color w:val="000000"/>
                <w:kern w:val="0"/>
                <w:szCs w:val="21"/>
              </w:rPr>
              <w:t>713,072,435.88</w:t>
            </w:r>
          </w:p>
        </w:tc>
      </w:tr>
      <w:tr w:rsidR="005F7EF1">
        <w:tc>
          <w:tcPr>
            <w:tcW w:w="1477" w:type="dxa"/>
            <w:vAlign w:val="center"/>
          </w:tcPr>
          <w:p w:rsidR="005F7EF1" w:rsidRDefault="00E6254F">
            <w:pPr>
              <w:jc w:val="left"/>
            </w:pPr>
            <w:r>
              <w:rPr>
                <w:rFonts w:eastAsiaTheme="minorEastAsia"/>
                <w:color w:val="000000"/>
                <w:kern w:val="0"/>
                <w:szCs w:val="21"/>
              </w:rPr>
              <w:t>衍生金融资产</w:t>
            </w:r>
          </w:p>
        </w:tc>
        <w:tc>
          <w:tcPr>
            <w:tcW w:w="1943" w:type="dxa"/>
            <w:vAlign w:val="center"/>
          </w:tcPr>
          <w:p w:rsidR="005F7EF1" w:rsidRDefault="00E6254F">
            <w:pPr>
              <w:jc w:val="right"/>
            </w:pPr>
            <w:r>
              <w:rPr>
                <w:rFonts w:eastAsiaTheme="minorEastAsia"/>
                <w:color w:val="000000"/>
                <w:kern w:val="0"/>
                <w:szCs w:val="21"/>
              </w:rPr>
              <w:t>-</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w:t>
            </w:r>
          </w:p>
        </w:tc>
        <w:tc>
          <w:tcPr>
            <w:tcW w:w="2160" w:type="dxa"/>
            <w:vAlign w:val="center"/>
          </w:tcPr>
          <w:p w:rsidR="005F7EF1" w:rsidRDefault="00E6254F">
            <w:pPr>
              <w:jc w:val="right"/>
            </w:pPr>
            <w:r>
              <w:rPr>
                <w:rFonts w:eastAsiaTheme="minorEastAsia"/>
                <w:color w:val="000000"/>
                <w:kern w:val="0"/>
                <w:szCs w:val="21"/>
              </w:rPr>
              <w:t>-</w:t>
            </w:r>
          </w:p>
        </w:tc>
      </w:tr>
      <w:tr w:rsidR="005F7EF1">
        <w:tc>
          <w:tcPr>
            <w:tcW w:w="1477" w:type="dxa"/>
            <w:vAlign w:val="center"/>
          </w:tcPr>
          <w:p w:rsidR="005F7EF1" w:rsidRDefault="00E6254F">
            <w:pPr>
              <w:jc w:val="left"/>
            </w:pPr>
            <w:r>
              <w:rPr>
                <w:rFonts w:eastAsiaTheme="minorEastAsia"/>
                <w:color w:val="000000"/>
                <w:kern w:val="0"/>
                <w:szCs w:val="21"/>
              </w:rPr>
              <w:t>应收证券清算款</w:t>
            </w:r>
          </w:p>
        </w:tc>
        <w:tc>
          <w:tcPr>
            <w:tcW w:w="1943" w:type="dxa"/>
            <w:vAlign w:val="center"/>
          </w:tcPr>
          <w:p w:rsidR="005F7EF1" w:rsidRDefault="00E6254F">
            <w:pPr>
              <w:jc w:val="right"/>
            </w:pPr>
            <w:r>
              <w:rPr>
                <w:rFonts w:eastAsiaTheme="minorEastAsia"/>
                <w:color w:val="000000"/>
                <w:kern w:val="0"/>
                <w:szCs w:val="21"/>
              </w:rPr>
              <w:t>-</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w:t>
            </w:r>
          </w:p>
        </w:tc>
        <w:tc>
          <w:tcPr>
            <w:tcW w:w="2160" w:type="dxa"/>
            <w:vAlign w:val="center"/>
          </w:tcPr>
          <w:p w:rsidR="005F7EF1" w:rsidRDefault="00E6254F">
            <w:pPr>
              <w:jc w:val="right"/>
            </w:pPr>
            <w:r>
              <w:rPr>
                <w:rFonts w:eastAsiaTheme="minorEastAsia"/>
                <w:color w:val="000000"/>
                <w:kern w:val="0"/>
                <w:szCs w:val="21"/>
              </w:rPr>
              <w:t>-</w:t>
            </w:r>
          </w:p>
        </w:tc>
      </w:tr>
      <w:tr w:rsidR="005F7EF1">
        <w:tc>
          <w:tcPr>
            <w:tcW w:w="1477" w:type="dxa"/>
            <w:vAlign w:val="center"/>
          </w:tcPr>
          <w:p w:rsidR="005F7EF1" w:rsidRDefault="00E6254F">
            <w:pPr>
              <w:jc w:val="left"/>
            </w:pPr>
            <w:r>
              <w:rPr>
                <w:rFonts w:eastAsiaTheme="minorEastAsia"/>
                <w:color w:val="000000"/>
                <w:kern w:val="0"/>
                <w:szCs w:val="21"/>
              </w:rPr>
              <w:t>应收利息</w:t>
            </w:r>
          </w:p>
        </w:tc>
        <w:tc>
          <w:tcPr>
            <w:tcW w:w="1943" w:type="dxa"/>
            <w:vAlign w:val="center"/>
          </w:tcPr>
          <w:p w:rsidR="005F7EF1" w:rsidRDefault="00E6254F">
            <w:pPr>
              <w:jc w:val="right"/>
            </w:pPr>
            <w:r>
              <w:rPr>
                <w:rFonts w:eastAsiaTheme="minorEastAsia"/>
                <w:color w:val="000000"/>
                <w:kern w:val="0"/>
                <w:szCs w:val="21"/>
              </w:rPr>
              <w:t>15.22</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w:t>
            </w:r>
          </w:p>
        </w:tc>
        <w:tc>
          <w:tcPr>
            <w:tcW w:w="2160" w:type="dxa"/>
            <w:vAlign w:val="center"/>
          </w:tcPr>
          <w:p w:rsidR="005F7EF1" w:rsidRDefault="00E6254F">
            <w:pPr>
              <w:jc w:val="right"/>
            </w:pPr>
            <w:r>
              <w:rPr>
                <w:rFonts w:eastAsiaTheme="minorEastAsia"/>
                <w:color w:val="000000"/>
                <w:kern w:val="0"/>
                <w:szCs w:val="21"/>
              </w:rPr>
              <w:t>15.22</w:t>
            </w:r>
          </w:p>
        </w:tc>
      </w:tr>
      <w:tr w:rsidR="005F7EF1">
        <w:tc>
          <w:tcPr>
            <w:tcW w:w="1477" w:type="dxa"/>
            <w:vAlign w:val="center"/>
          </w:tcPr>
          <w:p w:rsidR="005F7EF1" w:rsidRDefault="00E6254F">
            <w:pPr>
              <w:jc w:val="left"/>
            </w:pPr>
            <w:r>
              <w:rPr>
                <w:rFonts w:eastAsiaTheme="minorEastAsia"/>
                <w:color w:val="000000"/>
                <w:kern w:val="0"/>
                <w:szCs w:val="21"/>
              </w:rPr>
              <w:t>应收股利</w:t>
            </w:r>
          </w:p>
        </w:tc>
        <w:tc>
          <w:tcPr>
            <w:tcW w:w="1943" w:type="dxa"/>
            <w:vAlign w:val="center"/>
          </w:tcPr>
          <w:p w:rsidR="005F7EF1" w:rsidRDefault="00E6254F">
            <w:pPr>
              <w:jc w:val="right"/>
            </w:pPr>
            <w:r>
              <w:rPr>
                <w:rFonts w:eastAsiaTheme="minorEastAsia"/>
                <w:color w:val="000000"/>
                <w:kern w:val="0"/>
                <w:szCs w:val="21"/>
              </w:rPr>
              <w:t>-</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w:t>
            </w:r>
          </w:p>
        </w:tc>
        <w:tc>
          <w:tcPr>
            <w:tcW w:w="2160" w:type="dxa"/>
            <w:vAlign w:val="center"/>
          </w:tcPr>
          <w:p w:rsidR="005F7EF1" w:rsidRDefault="00E6254F">
            <w:pPr>
              <w:jc w:val="right"/>
            </w:pPr>
            <w:r>
              <w:rPr>
                <w:rFonts w:eastAsiaTheme="minorEastAsia"/>
                <w:color w:val="000000"/>
                <w:kern w:val="0"/>
                <w:szCs w:val="21"/>
              </w:rPr>
              <w:t>-</w:t>
            </w:r>
          </w:p>
        </w:tc>
      </w:tr>
      <w:tr w:rsidR="005F7EF1">
        <w:tc>
          <w:tcPr>
            <w:tcW w:w="1477" w:type="dxa"/>
            <w:vAlign w:val="center"/>
          </w:tcPr>
          <w:p w:rsidR="005F7EF1" w:rsidRDefault="00E6254F">
            <w:pPr>
              <w:jc w:val="left"/>
            </w:pPr>
            <w:r>
              <w:rPr>
                <w:rFonts w:eastAsiaTheme="minorEastAsia"/>
                <w:color w:val="000000"/>
                <w:kern w:val="0"/>
                <w:szCs w:val="21"/>
              </w:rPr>
              <w:t>应收申购款</w:t>
            </w:r>
          </w:p>
        </w:tc>
        <w:tc>
          <w:tcPr>
            <w:tcW w:w="1943" w:type="dxa"/>
            <w:vAlign w:val="center"/>
          </w:tcPr>
          <w:p w:rsidR="005F7EF1" w:rsidRDefault="00E6254F">
            <w:pPr>
              <w:jc w:val="right"/>
            </w:pPr>
            <w:r>
              <w:rPr>
                <w:rFonts w:eastAsiaTheme="minorEastAsia"/>
                <w:color w:val="000000"/>
                <w:kern w:val="0"/>
                <w:szCs w:val="21"/>
              </w:rPr>
              <w:t>-</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w:t>
            </w:r>
          </w:p>
        </w:tc>
        <w:tc>
          <w:tcPr>
            <w:tcW w:w="2160" w:type="dxa"/>
            <w:vAlign w:val="center"/>
          </w:tcPr>
          <w:p w:rsidR="005F7EF1" w:rsidRDefault="00E6254F">
            <w:pPr>
              <w:jc w:val="right"/>
            </w:pPr>
            <w:r>
              <w:rPr>
                <w:rFonts w:eastAsiaTheme="minorEastAsia"/>
                <w:color w:val="000000"/>
                <w:kern w:val="0"/>
                <w:szCs w:val="21"/>
              </w:rPr>
              <w:t>-</w:t>
            </w:r>
          </w:p>
        </w:tc>
      </w:tr>
      <w:tr w:rsidR="005F7EF1">
        <w:tc>
          <w:tcPr>
            <w:tcW w:w="1477" w:type="dxa"/>
            <w:vAlign w:val="center"/>
          </w:tcPr>
          <w:p w:rsidR="005F7EF1" w:rsidRDefault="00E6254F">
            <w:pPr>
              <w:jc w:val="left"/>
            </w:pPr>
            <w:r>
              <w:rPr>
                <w:rFonts w:eastAsiaTheme="minorEastAsia"/>
                <w:color w:val="000000"/>
                <w:kern w:val="0"/>
                <w:szCs w:val="21"/>
              </w:rPr>
              <w:t>其他资产</w:t>
            </w:r>
          </w:p>
        </w:tc>
        <w:tc>
          <w:tcPr>
            <w:tcW w:w="1943" w:type="dxa"/>
            <w:vAlign w:val="center"/>
          </w:tcPr>
          <w:p w:rsidR="005F7EF1" w:rsidRDefault="00E6254F">
            <w:pPr>
              <w:jc w:val="right"/>
            </w:pPr>
            <w:r>
              <w:rPr>
                <w:rFonts w:eastAsiaTheme="minorEastAsia"/>
                <w:color w:val="000000"/>
                <w:kern w:val="0"/>
                <w:szCs w:val="21"/>
              </w:rPr>
              <w:t>-</w:t>
            </w:r>
          </w:p>
        </w:tc>
        <w:tc>
          <w:tcPr>
            <w:tcW w:w="1400" w:type="dxa"/>
            <w:vAlign w:val="center"/>
          </w:tcPr>
          <w:p w:rsidR="005F7EF1" w:rsidRDefault="00E6254F">
            <w:pPr>
              <w:jc w:val="right"/>
            </w:pPr>
            <w:r>
              <w:rPr>
                <w:rFonts w:eastAsiaTheme="minorEastAsia"/>
                <w:color w:val="000000"/>
                <w:kern w:val="0"/>
                <w:szCs w:val="21"/>
              </w:rPr>
              <w:t>-</w:t>
            </w:r>
          </w:p>
        </w:tc>
        <w:tc>
          <w:tcPr>
            <w:tcW w:w="2020" w:type="dxa"/>
            <w:vAlign w:val="center"/>
          </w:tcPr>
          <w:p w:rsidR="005F7EF1" w:rsidRDefault="00E6254F">
            <w:pPr>
              <w:jc w:val="right"/>
            </w:pPr>
            <w:r>
              <w:rPr>
                <w:rFonts w:eastAsiaTheme="minorEastAsia"/>
                <w:color w:val="000000"/>
                <w:kern w:val="0"/>
                <w:szCs w:val="21"/>
              </w:rPr>
              <w:t>-</w:t>
            </w:r>
          </w:p>
        </w:tc>
        <w:tc>
          <w:tcPr>
            <w:tcW w:w="2160" w:type="dxa"/>
            <w:vAlign w:val="center"/>
          </w:tcPr>
          <w:p w:rsidR="005F7EF1" w:rsidRDefault="00E6254F">
            <w:pPr>
              <w:jc w:val="right"/>
            </w:pPr>
            <w:r>
              <w:rPr>
                <w:rFonts w:eastAsiaTheme="minorEastAsia"/>
                <w:color w:val="000000"/>
                <w:kern w:val="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672,969,144.72</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130,136,636.16</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803,105,780.88</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5F7EF1">
        <w:tc>
          <w:tcPr>
            <w:tcW w:w="1477" w:type="dxa"/>
            <w:vAlign w:val="center"/>
          </w:tcPr>
          <w:p w:rsidR="005F7EF1" w:rsidRDefault="00E6254F">
            <w:pPr>
              <w:jc w:val="left"/>
            </w:pPr>
            <w:r>
              <w:rPr>
                <w:rFonts w:eastAsiaTheme="minorEastAsia"/>
                <w:color w:val="000000"/>
                <w:szCs w:val="21"/>
              </w:rPr>
              <w:t>应付证券清算款</w:t>
            </w:r>
          </w:p>
        </w:tc>
        <w:tc>
          <w:tcPr>
            <w:tcW w:w="1943" w:type="dxa"/>
            <w:vAlign w:val="center"/>
          </w:tcPr>
          <w:p w:rsidR="005F7EF1" w:rsidRDefault="00E6254F">
            <w:pPr>
              <w:jc w:val="right"/>
            </w:pPr>
            <w:r>
              <w:rPr>
                <w:rFonts w:eastAsiaTheme="minorEastAsia"/>
                <w:color w:val="000000"/>
                <w:szCs w:val="21"/>
              </w:rPr>
              <w:t>16,544,122.77</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16,544,122.77</w:t>
            </w:r>
          </w:p>
        </w:tc>
      </w:tr>
      <w:tr w:rsidR="005F7EF1">
        <w:tc>
          <w:tcPr>
            <w:tcW w:w="1477" w:type="dxa"/>
            <w:vAlign w:val="center"/>
          </w:tcPr>
          <w:p w:rsidR="005F7EF1" w:rsidRDefault="00E6254F">
            <w:pPr>
              <w:jc w:val="left"/>
            </w:pPr>
            <w:r>
              <w:rPr>
                <w:rFonts w:eastAsiaTheme="minorEastAsia"/>
                <w:color w:val="000000"/>
                <w:szCs w:val="21"/>
              </w:rPr>
              <w:t>应付赎回款</w:t>
            </w:r>
          </w:p>
        </w:tc>
        <w:tc>
          <w:tcPr>
            <w:tcW w:w="1943" w:type="dxa"/>
            <w:vAlign w:val="center"/>
          </w:tcPr>
          <w:p w:rsidR="005F7EF1" w:rsidRDefault="00E6254F">
            <w:pPr>
              <w:jc w:val="right"/>
            </w:pPr>
            <w:r>
              <w:rPr>
                <w:rFonts w:eastAsiaTheme="minorEastAsia"/>
                <w:color w:val="000000"/>
                <w:szCs w:val="21"/>
              </w:rPr>
              <w:t>250,747.54</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250,747.54</w:t>
            </w:r>
          </w:p>
        </w:tc>
      </w:tr>
      <w:tr w:rsidR="005F7EF1">
        <w:tc>
          <w:tcPr>
            <w:tcW w:w="1477" w:type="dxa"/>
            <w:vAlign w:val="center"/>
          </w:tcPr>
          <w:p w:rsidR="005F7EF1" w:rsidRDefault="00E6254F">
            <w:pPr>
              <w:jc w:val="left"/>
            </w:pPr>
            <w:r>
              <w:rPr>
                <w:rFonts w:eastAsiaTheme="minorEastAsia"/>
                <w:color w:val="000000"/>
                <w:szCs w:val="21"/>
              </w:rPr>
              <w:t>其他负债</w:t>
            </w:r>
          </w:p>
        </w:tc>
        <w:tc>
          <w:tcPr>
            <w:tcW w:w="1943" w:type="dxa"/>
            <w:vAlign w:val="center"/>
          </w:tcPr>
          <w:p w:rsidR="005F7EF1" w:rsidRDefault="00E6254F">
            <w:pPr>
              <w:jc w:val="right"/>
            </w:pPr>
            <w:r>
              <w:rPr>
                <w:rFonts w:eastAsiaTheme="minorEastAsia"/>
                <w:color w:val="000000"/>
                <w:szCs w:val="21"/>
              </w:rPr>
              <w:t>2.48</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2.48</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16,794,872.79</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16,794,872.79</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656,174,271.93</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130,136,636.16</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786,310,908.09</w:t>
            </w:r>
          </w:p>
        </w:tc>
      </w:tr>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上年度末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2019</w:t>
            </w:r>
            <w:r w:rsidRPr="00C24ACA">
              <w:rPr>
                <w:rFonts w:eastAsiaTheme="minorEastAsia"/>
                <w:b/>
                <w:szCs w:val="21"/>
              </w:rPr>
              <w:t>年</w:t>
            </w:r>
            <w:r w:rsidRPr="00C24ACA">
              <w:rPr>
                <w:rFonts w:eastAsiaTheme="minorEastAsia"/>
                <w:b/>
                <w:szCs w:val="21"/>
              </w:rPr>
              <w:t>12</w:t>
            </w:r>
            <w:r w:rsidRPr="00C24ACA">
              <w:rPr>
                <w:rFonts w:eastAsiaTheme="minorEastAsia"/>
                <w:b/>
                <w:szCs w:val="21"/>
              </w:rPr>
              <w:t>月</w:t>
            </w:r>
            <w:r w:rsidRPr="00C24ACA">
              <w:rPr>
                <w:rFonts w:eastAsiaTheme="minorEastAsia"/>
                <w:b/>
                <w:szCs w:val="21"/>
              </w:rPr>
              <w:t>31</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美元</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港币</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其他币种</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5F7EF1">
        <w:tc>
          <w:tcPr>
            <w:tcW w:w="1477" w:type="dxa"/>
            <w:vAlign w:val="center"/>
          </w:tcPr>
          <w:p w:rsidR="005F7EF1" w:rsidRDefault="00E6254F">
            <w:pPr>
              <w:jc w:val="left"/>
            </w:pPr>
            <w:r>
              <w:rPr>
                <w:rFonts w:eastAsiaTheme="minorEastAsia"/>
                <w:color w:val="000000"/>
                <w:szCs w:val="21"/>
              </w:rPr>
              <w:t>银行存款</w:t>
            </w:r>
          </w:p>
        </w:tc>
        <w:tc>
          <w:tcPr>
            <w:tcW w:w="1943" w:type="dxa"/>
            <w:vAlign w:val="center"/>
          </w:tcPr>
          <w:p w:rsidR="005F7EF1" w:rsidRDefault="00E6254F">
            <w:pPr>
              <w:jc w:val="right"/>
            </w:pPr>
            <w:r>
              <w:rPr>
                <w:rFonts w:eastAsiaTheme="minorEastAsia"/>
                <w:color w:val="000000"/>
                <w:szCs w:val="21"/>
              </w:rPr>
              <w:t>6,827,828.09</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4,707,249.81</w:t>
            </w:r>
          </w:p>
        </w:tc>
        <w:tc>
          <w:tcPr>
            <w:tcW w:w="2160" w:type="dxa"/>
            <w:vAlign w:val="center"/>
          </w:tcPr>
          <w:p w:rsidR="005F7EF1" w:rsidRDefault="00E6254F">
            <w:pPr>
              <w:jc w:val="right"/>
            </w:pPr>
            <w:r>
              <w:rPr>
                <w:rFonts w:eastAsiaTheme="minorEastAsia"/>
                <w:color w:val="000000"/>
                <w:szCs w:val="21"/>
              </w:rPr>
              <w:t>11,535,077.90</w:t>
            </w:r>
          </w:p>
        </w:tc>
      </w:tr>
      <w:tr w:rsidR="005F7EF1">
        <w:tc>
          <w:tcPr>
            <w:tcW w:w="1477" w:type="dxa"/>
            <w:vAlign w:val="center"/>
          </w:tcPr>
          <w:p w:rsidR="005F7EF1" w:rsidRDefault="00E6254F">
            <w:pPr>
              <w:jc w:val="left"/>
            </w:pPr>
            <w:r>
              <w:rPr>
                <w:rFonts w:eastAsiaTheme="minorEastAsia"/>
                <w:color w:val="000000"/>
                <w:szCs w:val="21"/>
              </w:rPr>
              <w:t>结算备付金</w:t>
            </w:r>
          </w:p>
        </w:tc>
        <w:tc>
          <w:tcPr>
            <w:tcW w:w="1943" w:type="dxa"/>
            <w:vAlign w:val="center"/>
          </w:tcPr>
          <w:p w:rsidR="005F7EF1" w:rsidRDefault="00E6254F">
            <w:pPr>
              <w:jc w:val="right"/>
            </w:pPr>
            <w:r>
              <w:rPr>
                <w:rFonts w:eastAsiaTheme="minorEastAsia"/>
                <w:color w:val="000000"/>
                <w:szCs w:val="21"/>
              </w:rPr>
              <w:t>-</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w:t>
            </w:r>
          </w:p>
        </w:tc>
      </w:tr>
      <w:tr w:rsidR="005F7EF1">
        <w:tc>
          <w:tcPr>
            <w:tcW w:w="1477" w:type="dxa"/>
            <w:vAlign w:val="center"/>
          </w:tcPr>
          <w:p w:rsidR="005F7EF1" w:rsidRDefault="00E6254F">
            <w:pPr>
              <w:jc w:val="left"/>
            </w:pPr>
            <w:r>
              <w:rPr>
                <w:rFonts w:eastAsiaTheme="minorEastAsia"/>
                <w:color w:val="000000"/>
                <w:szCs w:val="21"/>
              </w:rPr>
              <w:t>交易性金融资产</w:t>
            </w:r>
          </w:p>
        </w:tc>
        <w:tc>
          <w:tcPr>
            <w:tcW w:w="1943" w:type="dxa"/>
            <w:vAlign w:val="center"/>
          </w:tcPr>
          <w:p w:rsidR="005F7EF1" w:rsidRDefault="00E6254F">
            <w:pPr>
              <w:jc w:val="right"/>
            </w:pPr>
            <w:r>
              <w:rPr>
                <w:rFonts w:eastAsiaTheme="minorEastAsia"/>
                <w:color w:val="000000"/>
                <w:szCs w:val="21"/>
              </w:rPr>
              <w:t>176,216,579.62</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30,299,219.94</w:t>
            </w:r>
          </w:p>
        </w:tc>
        <w:tc>
          <w:tcPr>
            <w:tcW w:w="2160" w:type="dxa"/>
            <w:vAlign w:val="center"/>
          </w:tcPr>
          <w:p w:rsidR="005F7EF1" w:rsidRDefault="00E6254F">
            <w:pPr>
              <w:jc w:val="right"/>
            </w:pPr>
            <w:r>
              <w:rPr>
                <w:rFonts w:eastAsiaTheme="minorEastAsia"/>
                <w:color w:val="000000"/>
                <w:szCs w:val="21"/>
              </w:rPr>
              <w:t>206,515,799.56</w:t>
            </w:r>
          </w:p>
        </w:tc>
      </w:tr>
      <w:tr w:rsidR="005F7EF1">
        <w:tc>
          <w:tcPr>
            <w:tcW w:w="1477" w:type="dxa"/>
            <w:vAlign w:val="center"/>
          </w:tcPr>
          <w:p w:rsidR="005F7EF1" w:rsidRDefault="00E6254F">
            <w:pPr>
              <w:jc w:val="left"/>
            </w:pPr>
            <w:r>
              <w:rPr>
                <w:rFonts w:eastAsiaTheme="minorEastAsia"/>
                <w:color w:val="000000"/>
                <w:szCs w:val="21"/>
              </w:rPr>
              <w:t>衍生金融资产</w:t>
            </w:r>
          </w:p>
        </w:tc>
        <w:tc>
          <w:tcPr>
            <w:tcW w:w="1943" w:type="dxa"/>
            <w:vAlign w:val="center"/>
          </w:tcPr>
          <w:p w:rsidR="005F7EF1" w:rsidRDefault="00E6254F">
            <w:pPr>
              <w:jc w:val="right"/>
            </w:pPr>
            <w:r>
              <w:rPr>
                <w:rFonts w:eastAsiaTheme="minorEastAsia"/>
                <w:color w:val="000000"/>
                <w:szCs w:val="21"/>
              </w:rPr>
              <w:t>-</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w:t>
            </w:r>
          </w:p>
        </w:tc>
      </w:tr>
      <w:tr w:rsidR="005F7EF1">
        <w:tc>
          <w:tcPr>
            <w:tcW w:w="1477" w:type="dxa"/>
            <w:vAlign w:val="center"/>
          </w:tcPr>
          <w:p w:rsidR="005F7EF1" w:rsidRDefault="00E6254F">
            <w:pPr>
              <w:jc w:val="left"/>
            </w:pPr>
            <w:r>
              <w:rPr>
                <w:rFonts w:eastAsiaTheme="minorEastAsia"/>
                <w:color w:val="000000"/>
                <w:szCs w:val="21"/>
              </w:rPr>
              <w:t>应收证券清算款</w:t>
            </w:r>
          </w:p>
        </w:tc>
        <w:tc>
          <w:tcPr>
            <w:tcW w:w="1943" w:type="dxa"/>
            <w:vAlign w:val="center"/>
          </w:tcPr>
          <w:p w:rsidR="005F7EF1" w:rsidRDefault="00E6254F">
            <w:pPr>
              <w:jc w:val="right"/>
            </w:pPr>
            <w:r>
              <w:rPr>
                <w:rFonts w:eastAsiaTheme="minorEastAsia"/>
                <w:color w:val="000000"/>
                <w:szCs w:val="21"/>
              </w:rPr>
              <w:t>4,639,035.22</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4,639,035.22</w:t>
            </w:r>
          </w:p>
        </w:tc>
      </w:tr>
      <w:tr w:rsidR="005F7EF1">
        <w:tc>
          <w:tcPr>
            <w:tcW w:w="1477" w:type="dxa"/>
            <w:vAlign w:val="center"/>
          </w:tcPr>
          <w:p w:rsidR="005F7EF1" w:rsidRDefault="00E6254F">
            <w:pPr>
              <w:jc w:val="left"/>
            </w:pPr>
            <w:r>
              <w:rPr>
                <w:rFonts w:eastAsiaTheme="minorEastAsia"/>
                <w:color w:val="000000"/>
                <w:szCs w:val="21"/>
              </w:rPr>
              <w:t>应收利息</w:t>
            </w:r>
          </w:p>
        </w:tc>
        <w:tc>
          <w:tcPr>
            <w:tcW w:w="1943" w:type="dxa"/>
            <w:vAlign w:val="center"/>
          </w:tcPr>
          <w:p w:rsidR="005F7EF1" w:rsidRDefault="00E6254F">
            <w:pPr>
              <w:jc w:val="right"/>
            </w:pPr>
            <w:r>
              <w:rPr>
                <w:rFonts w:eastAsiaTheme="minorEastAsia"/>
                <w:color w:val="000000"/>
                <w:szCs w:val="21"/>
              </w:rPr>
              <w:t>132.20</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132.20</w:t>
            </w:r>
          </w:p>
        </w:tc>
      </w:tr>
      <w:tr w:rsidR="005F7EF1">
        <w:tc>
          <w:tcPr>
            <w:tcW w:w="1477" w:type="dxa"/>
            <w:vAlign w:val="center"/>
          </w:tcPr>
          <w:p w:rsidR="005F7EF1" w:rsidRDefault="00E6254F">
            <w:pPr>
              <w:jc w:val="left"/>
            </w:pPr>
            <w:r>
              <w:rPr>
                <w:rFonts w:eastAsiaTheme="minorEastAsia"/>
                <w:color w:val="000000"/>
                <w:szCs w:val="21"/>
              </w:rPr>
              <w:t>应收股利</w:t>
            </w:r>
          </w:p>
        </w:tc>
        <w:tc>
          <w:tcPr>
            <w:tcW w:w="1943" w:type="dxa"/>
            <w:vAlign w:val="center"/>
          </w:tcPr>
          <w:p w:rsidR="005F7EF1" w:rsidRDefault="00E6254F">
            <w:pPr>
              <w:jc w:val="right"/>
            </w:pPr>
            <w:r>
              <w:rPr>
                <w:rFonts w:eastAsiaTheme="minorEastAsia"/>
                <w:color w:val="000000"/>
                <w:szCs w:val="21"/>
              </w:rPr>
              <w:t>-</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w:t>
            </w:r>
          </w:p>
        </w:tc>
      </w:tr>
      <w:tr w:rsidR="005F7EF1">
        <w:tc>
          <w:tcPr>
            <w:tcW w:w="1477" w:type="dxa"/>
            <w:vAlign w:val="center"/>
          </w:tcPr>
          <w:p w:rsidR="005F7EF1" w:rsidRDefault="00E6254F">
            <w:pPr>
              <w:jc w:val="left"/>
            </w:pPr>
            <w:r>
              <w:rPr>
                <w:rFonts w:eastAsiaTheme="minorEastAsia"/>
                <w:color w:val="000000"/>
                <w:szCs w:val="21"/>
              </w:rPr>
              <w:t>应收申购款</w:t>
            </w:r>
          </w:p>
        </w:tc>
        <w:tc>
          <w:tcPr>
            <w:tcW w:w="1943" w:type="dxa"/>
            <w:vAlign w:val="center"/>
          </w:tcPr>
          <w:p w:rsidR="005F7EF1" w:rsidRDefault="00E6254F">
            <w:pPr>
              <w:jc w:val="right"/>
            </w:pPr>
            <w:r>
              <w:rPr>
                <w:rFonts w:eastAsiaTheme="minorEastAsia"/>
                <w:color w:val="000000"/>
                <w:szCs w:val="21"/>
              </w:rPr>
              <w:t>572,431.25</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572,431.25</w:t>
            </w:r>
          </w:p>
        </w:tc>
      </w:tr>
      <w:tr w:rsidR="005F7EF1">
        <w:tc>
          <w:tcPr>
            <w:tcW w:w="1477" w:type="dxa"/>
            <w:vAlign w:val="center"/>
          </w:tcPr>
          <w:p w:rsidR="005F7EF1" w:rsidRDefault="00E6254F">
            <w:pPr>
              <w:jc w:val="left"/>
            </w:pPr>
            <w:r>
              <w:rPr>
                <w:rFonts w:eastAsiaTheme="minorEastAsia"/>
                <w:color w:val="000000"/>
                <w:szCs w:val="21"/>
              </w:rPr>
              <w:t>其他资产</w:t>
            </w:r>
          </w:p>
        </w:tc>
        <w:tc>
          <w:tcPr>
            <w:tcW w:w="1943" w:type="dxa"/>
            <w:vAlign w:val="center"/>
          </w:tcPr>
          <w:p w:rsidR="005F7EF1" w:rsidRDefault="00E6254F">
            <w:pPr>
              <w:jc w:val="right"/>
            </w:pPr>
            <w:r>
              <w:rPr>
                <w:rFonts w:eastAsiaTheme="minorEastAsia"/>
                <w:color w:val="000000"/>
                <w:szCs w:val="21"/>
              </w:rPr>
              <w:t>-</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188,256,006.38</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35,006,469.75</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223,262,476.13</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5F7EF1">
        <w:tc>
          <w:tcPr>
            <w:tcW w:w="1477" w:type="dxa"/>
            <w:vAlign w:val="center"/>
          </w:tcPr>
          <w:p w:rsidR="005F7EF1" w:rsidRDefault="00E6254F">
            <w:pPr>
              <w:jc w:val="left"/>
            </w:pPr>
            <w:r>
              <w:rPr>
                <w:rFonts w:eastAsiaTheme="minorEastAsia"/>
                <w:color w:val="000000"/>
                <w:szCs w:val="21"/>
              </w:rPr>
              <w:t>应付证券清算款</w:t>
            </w:r>
          </w:p>
        </w:tc>
        <w:tc>
          <w:tcPr>
            <w:tcW w:w="1943" w:type="dxa"/>
            <w:vAlign w:val="center"/>
          </w:tcPr>
          <w:p w:rsidR="005F7EF1" w:rsidRDefault="00E6254F">
            <w:pPr>
              <w:jc w:val="right"/>
            </w:pPr>
            <w:r>
              <w:rPr>
                <w:rFonts w:eastAsiaTheme="minorEastAsia"/>
                <w:color w:val="000000"/>
                <w:szCs w:val="21"/>
              </w:rPr>
              <w:t>-</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w:t>
            </w:r>
          </w:p>
        </w:tc>
      </w:tr>
      <w:tr w:rsidR="005F7EF1">
        <w:tc>
          <w:tcPr>
            <w:tcW w:w="1477" w:type="dxa"/>
            <w:vAlign w:val="center"/>
          </w:tcPr>
          <w:p w:rsidR="005F7EF1" w:rsidRDefault="00E6254F">
            <w:pPr>
              <w:jc w:val="left"/>
            </w:pPr>
            <w:r>
              <w:rPr>
                <w:rFonts w:eastAsiaTheme="minorEastAsia"/>
                <w:color w:val="000000"/>
                <w:szCs w:val="21"/>
              </w:rPr>
              <w:t>应付赎回款</w:t>
            </w:r>
          </w:p>
        </w:tc>
        <w:tc>
          <w:tcPr>
            <w:tcW w:w="1943" w:type="dxa"/>
            <w:vAlign w:val="center"/>
          </w:tcPr>
          <w:p w:rsidR="005F7EF1" w:rsidRDefault="00E6254F">
            <w:pPr>
              <w:jc w:val="right"/>
            </w:pPr>
            <w:r>
              <w:rPr>
                <w:rFonts w:eastAsiaTheme="minorEastAsia"/>
                <w:color w:val="000000"/>
                <w:szCs w:val="21"/>
              </w:rPr>
              <w:t>1,850,434.54</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1,850,434.54</w:t>
            </w:r>
          </w:p>
        </w:tc>
      </w:tr>
      <w:tr w:rsidR="005F7EF1">
        <w:tc>
          <w:tcPr>
            <w:tcW w:w="1477" w:type="dxa"/>
            <w:vAlign w:val="center"/>
          </w:tcPr>
          <w:p w:rsidR="005F7EF1" w:rsidRDefault="00E6254F">
            <w:pPr>
              <w:jc w:val="left"/>
            </w:pPr>
            <w:r>
              <w:rPr>
                <w:rFonts w:eastAsiaTheme="minorEastAsia"/>
                <w:color w:val="000000"/>
                <w:szCs w:val="21"/>
              </w:rPr>
              <w:t>其他负债</w:t>
            </w:r>
          </w:p>
        </w:tc>
        <w:tc>
          <w:tcPr>
            <w:tcW w:w="1943" w:type="dxa"/>
            <w:vAlign w:val="center"/>
          </w:tcPr>
          <w:p w:rsidR="005F7EF1" w:rsidRDefault="00E6254F">
            <w:pPr>
              <w:jc w:val="right"/>
            </w:pPr>
            <w:r>
              <w:rPr>
                <w:rFonts w:eastAsiaTheme="minorEastAsia"/>
                <w:color w:val="000000"/>
                <w:szCs w:val="21"/>
              </w:rPr>
              <w:t>495.38</w:t>
            </w:r>
          </w:p>
        </w:tc>
        <w:tc>
          <w:tcPr>
            <w:tcW w:w="1400" w:type="dxa"/>
            <w:vAlign w:val="center"/>
          </w:tcPr>
          <w:p w:rsidR="005F7EF1" w:rsidRDefault="00E6254F">
            <w:pPr>
              <w:jc w:val="right"/>
            </w:pPr>
            <w:r>
              <w:rPr>
                <w:rFonts w:eastAsiaTheme="minorEastAsia"/>
                <w:color w:val="000000"/>
                <w:szCs w:val="21"/>
              </w:rPr>
              <w:t>-</w:t>
            </w:r>
          </w:p>
        </w:tc>
        <w:tc>
          <w:tcPr>
            <w:tcW w:w="2020" w:type="dxa"/>
            <w:vAlign w:val="center"/>
          </w:tcPr>
          <w:p w:rsidR="005F7EF1" w:rsidRDefault="00E6254F">
            <w:pPr>
              <w:jc w:val="right"/>
            </w:pPr>
            <w:r>
              <w:rPr>
                <w:rFonts w:eastAsiaTheme="minorEastAsia"/>
                <w:color w:val="000000"/>
                <w:szCs w:val="21"/>
              </w:rPr>
              <w:t>-</w:t>
            </w:r>
          </w:p>
        </w:tc>
        <w:tc>
          <w:tcPr>
            <w:tcW w:w="2160" w:type="dxa"/>
            <w:vAlign w:val="center"/>
          </w:tcPr>
          <w:p w:rsidR="005F7EF1" w:rsidRDefault="00E6254F">
            <w:pPr>
              <w:jc w:val="right"/>
            </w:pPr>
            <w:r>
              <w:rPr>
                <w:rFonts w:eastAsiaTheme="minorEastAsia"/>
                <w:color w:val="000000"/>
                <w:szCs w:val="21"/>
              </w:rPr>
              <w:t>495.38</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1,850,929.92</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1,850,929.92</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186,405,076.46</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35,006,469.75</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221,411,546.21</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6.4.13.4.2.2</w:t>
      </w:r>
      <w:r w:rsidRPr="00C24ACA">
        <w:rPr>
          <w:rFonts w:eastAsiaTheme="minor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5F7EF1">
        <w:tc>
          <w:tcPr>
            <w:tcW w:w="993" w:type="dxa"/>
            <w:vAlign w:val="center"/>
          </w:tcPr>
          <w:p w:rsidR="005F7EF1" w:rsidRDefault="00E6254F">
            <w:pPr>
              <w:jc w:val="left"/>
            </w:pPr>
            <w:r>
              <w:rPr>
                <w:rFonts w:eastAsiaTheme="minorEastAsia"/>
                <w:color w:val="000000"/>
                <w:szCs w:val="21"/>
              </w:rPr>
              <w:t>假设</w:t>
            </w:r>
          </w:p>
        </w:tc>
        <w:tc>
          <w:tcPr>
            <w:tcW w:w="8007" w:type="dxa"/>
            <w:gridSpan w:val="3"/>
            <w:vAlign w:val="center"/>
          </w:tcPr>
          <w:p w:rsidR="005F7EF1" w:rsidRDefault="00E6254F">
            <w:pPr>
              <w:jc w:val="center"/>
            </w:pPr>
            <w:r>
              <w:rPr>
                <w:rFonts w:eastAsiaTheme="minorEastAsia"/>
                <w:color w:val="000000"/>
                <w:szCs w:val="21"/>
              </w:rPr>
              <w:t>除汇率外其他因素保持不变</w:t>
            </w:r>
          </w:p>
        </w:tc>
      </w:tr>
      <w:tr w:rsidR="00022F8F" w:rsidRPr="00C24ACA" w:rsidTr="0087507A">
        <w:tc>
          <w:tcPr>
            <w:tcW w:w="993"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3260"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4747"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022F8F" w:rsidP="0087507A">
            <w:pPr>
              <w:jc w:val="center"/>
              <w:rPr>
                <w:rFonts w:eastAsiaTheme="minorEastAsia"/>
                <w:color w:val="000000"/>
                <w:szCs w:val="21"/>
              </w:rPr>
            </w:pP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993" w:type="dxa"/>
            <w:vMerge/>
            <w:vAlign w:val="center"/>
          </w:tcPr>
          <w:p w:rsidR="00022F8F" w:rsidRPr="00C24ACA" w:rsidRDefault="00022F8F" w:rsidP="0087507A">
            <w:pPr>
              <w:widowControl/>
              <w:jc w:val="left"/>
              <w:rPr>
                <w:rFonts w:eastAsiaTheme="minorEastAsia"/>
                <w:color w:val="000000"/>
                <w:szCs w:val="21"/>
              </w:rPr>
            </w:pPr>
          </w:p>
        </w:tc>
        <w:tc>
          <w:tcPr>
            <w:tcW w:w="3260" w:type="dxa"/>
            <w:vMerge/>
            <w:vAlign w:val="center"/>
          </w:tcPr>
          <w:p w:rsidR="00022F8F" w:rsidRPr="00C24ACA" w:rsidRDefault="00022F8F" w:rsidP="0087507A">
            <w:pPr>
              <w:widowControl/>
              <w:jc w:val="left"/>
              <w:rPr>
                <w:rFonts w:eastAsiaTheme="minorEastAsia"/>
                <w:color w:val="000000"/>
                <w:kern w:val="0"/>
                <w:szCs w:val="21"/>
              </w:rPr>
            </w:pPr>
          </w:p>
        </w:tc>
        <w:tc>
          <w:tcPr>
            <w:tcW w:w="2373"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374"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5F7EF1">
        <w:tc>
          <w:tcPr>
            <w:tcW w:w="993" w:type="dxa"/>
            <w:vMerge/>
          </w:tcPr>
          <w:p w:rsidR="005F7EF1" w:rsidRDefault="005F7EF1"/>
        </w:tc>
        <w:tc>
          <w:tcPr>
            <w:tcW w:w="3260" w:type="dxa"/>
            <w:vAlign w:val="center"/>
          </w:tcPr>
          <w:p w:rsidR="005F7EF1" w:rsidRDefault="00E6254F">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5F7EF1" w:rsidRDefault="00E6254F">
            <w:pPr>
              <w:jc w:val="right"/>
            </w:pPr>
            <w:r>
              <w:rPr>
                <w:rFonts w:eastAsiaTheme="minorEastAsia"/>
                <w:color w:val="000000"/>
                <w:szCs w:val="21"/>
              </w:rPr>
              <w:t>-39,315,545.40</w:t>
            </w:r>
          </w:p>
        </w:tc>
        <w:tc>
          <w:tcPr>
            <w:tcW w:w="2374" w:type="dxa"/>
            <w:vAlign w:val="center"/>
          </w:tcPr>
          <w:p w:rsidR="005F7EF1" w:rsidRDefault="00E6254F">
            <w:pPr>
              <w:jc w:val="right"/>
            </w:pPr>
            <w:r>
              <w:rPr>
                <w:rFonts w:eastAsiaTheme="minorEastAsia"/>
                <w:color w:val="000000"/>
                <w:szCs w:val="21"/>
              </w:rPr>
              <w:t>-11,070,577.31</w:t>
            </w:r>
          </w:p>
        </w:tc>
      </w:tr>
      <w:tr w:rsidR="005F7EF1">
        <w:tc>
          <w:tcPr>
            <w:tcW w:w="993" w:type="dxa"/>
            <w:vMerge/>
          </w:tcPr>
          <w:p w:rsidR="005F7EF1" w:rsidRDefault="005F7EF1"/>
        </w:tc>
        <w:tc>
          <w:tcPr>
            <w:tcW w:w="3260" w:type="dxa"/>
            <w:vAlign w:val="center"/>
          </w:tcPr>
          <w:p w:rsidR="005F7EF1" w:rsidRDefault="00E6254F">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5F7EF1" w:rsidRDefault="00E6254F">
            <w:pPr>
              <w:jc w:val="right"/>
            </w:pPr>
            <w:r>
              <w:rPr>
                <w:rFonts w:eastAsiaTheme="minorEastAsia"/>
                <w:color w:val="000000"/>
                <w:szCs w:val="21"/>
              </w:rPr>
              <w:t>39,315,545.40</w:t>
            </w:r>
          </w:p>
        </w:tc>
        <w:tc>
          <w:tcPr>
            <w:tcW w:w="2374" w:type="dxa"/>
            <w:vAlign w:val="center"/>
          </w:tcPr>
          <w:p w:rsidR="005F7EF1" w:rsidRDefault="00E6254F">
            <w:pPr>
              <w:jc w:val="right"/>
            </w:pPr>
            <w:r>
              <w:rPr>
                <w:rFonts w:eastAsiaTheme="minorEastAsia"/>
                <w:color w:val="000000"/>
                <w:szCs w:val="21"/>
              </w:rPr>
              <w:t>11,070,577.31</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w:t>
      </w:r>
      <w:r w:rsidRPr="00C24ACA">
        <w:rPr>
          <w:rFonts w:eastAsiaTheme="minorEastAsia"/>
          <w:b/>
          <w:bCs/>
          <w:color w:val="000000"/>
          <w:szCs w:val="21"/>
        </w:rPr>
        <w:t>其他价格风险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其他价格风险是指基金所持金融工具的公允价值或未来现金流量因除市场利率和外汇汇率以外的市场价格因素变动而发生波动的风险。因受到经济因素、政治因素、投资者心理和交易制度等多种因素的共同影响，原油价格的变化可能导致基金收益水平的波动，产生系统性风险。本基金的基金管理人采用</w:t>
      </w:r>
      <w:r w:rsidRPr="00C24ACA">
        <w:rPr>
          <w:rFonts w:eastAsiaTheme="minorEastAsia"/>
          <w:kern w:val="0"/>
          <w:szCs w:val="21"/>
        </w:rPr>
        <w:t>Barra</w:t>
      </w:r>
      <w:r w:rsidRPr="00C24ACA">
        <w:rPr>
          <w:rFonts w:eastAsiaTheme="minorEastAsia"/>
          <w:kern w:val="0"/>
          <w:szCs w:val="21"/>
        </w:rPr>
        <w:t>风险管理系统，通过标准差、跟踪误差、</w:t>
      </w:r>
      <w:r w:rsidRPr="00C24ACA">
        <w:rPr>
          <w:rFonts w:eastAsiaTheme="minorEastAsia"/>
          <w:kern w:val="0"/>
          <w:szCs w:val="21"/>
        </w:rPr>
        <w:t>beta</w:t>
      </w:r>
      <w:r w:rsidRPr="00C24ACA">
        <w:rPr>
          <w:rFonts w:eastAsiaTheme="minorEastAsia"/>
          <w:kern w:val="0"/>
          <w:szCs w:val="21"/>
        </w:rPr>
        <w:t>值、</w:t>
      </w:r>
      <w:r w:rsidRPr="00C24ACA">
        <w:rPr>
          <w:rFonts w:eastAsiaTheme="minorEastAsia"/>
          <w:kern w:val="0"/>
          <w:szCs w:val="21"/>
        </w:rPr>
        <w:t>VAR</w:t>
      </w:r>
      <w:r w:rsidRPr="00C24ACA">
        <w:rPr>
          <w:rFonts w:eastAsiaTheme="minorEastAsia"/>
          <w:kern w:val="0"/>
          <w:szCs w:val="21"/>
        </w:rPr>
        <w:t>等指标，监控投资组合面临的市场价格波动风险。</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6.4.13.4.3.1</w:t>
      </w:r>
      <w:r w:rsidRPr="00C24ACA">
        <w:rPr>
          <w:rFonts w:eastAsiaTheme="minorEastAsia"/>
          <w:b/>
          <w:bCs/>
          <w:color w:val="000000"/>
          <w:szCs w:val="21"/>
        </w:rPr>
        <w:t>其他价格风险敞口</w:t>
      </w:r>
    </w:p>
    <w:p w:rsidR="004A2F25" w:rsidRPr="00C24ACA" w:rsidRDefault="004A2F25" w:rsidP="004A2F25">
      <w:pPr>
        <w:spacing w:line="288" w:lineRule="auto"/>
        <w:ind w:firstLine="420"/>
        <w:jc w:val="right"/>
        <w:rPr>
          <w:rFonts w:eastAsiaTheme="minorEastAsia"/>
          <w:bCs/>
          <w:color w:val="000000"/>
          <w:szCs w:val="21"/>
        </w:rPr>
      </w:pPr>
      <w:r w:rsidRPr="00C24ACA">
        <w:rPr>
          <w:rFonts w:eastAsiaTheme="minor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701"/>
        <w:gridCol w:w="1559"/>
        <w:gridCol w:w="1559"/>
        <w:gridCol w:w="1487"/>
      </w:tblGrid>
      <w:tr w:rsidR="008A5A5D" w:rsidRPr="00C24ACA" w:rsidTr="004A4847">
        <w:tc>
          <w:tcPr>
            <w:tcW w:w="2694" w:type="dxa"/>
            <w:vMerge w:val="restart"/>
            <w:vAlign w:val="center"/>
          </w:tcPr>
          <w:p w:rsidR="008A5A5D" w:rsidRPr="00C24ACA" w:rsidRDefault="008A5A5D" w:rsidP="00F5070F">
            <w:pPr>
              <w:jc w:val="center"/>
              <w:rPr>
                <w:rFonts w:eastAsiaTheme="minorEastAsia"/>
                <w:color w:val="000000"/>
                <w:szCs w:val="21"/>
              </w:rPr>
            </w:pPr>
            <w:r w:rsidRPr="00C24ACA">
              <w:rPr>
                <w:rFonts w:eastAsiaTheme="minorEastAsia"/>
                <w:color w:val="000000"/>
                <w:szCs w:val="21"/>
              </w:rPr>
              <w:t>项目</w:t>
            </w:r>
          </w:p>
        </w:tc>
        <w:tc>
          <w:tcPr>
            <w:tcW w:w="326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本期末</w:t>
            </w:r>
          </w:p>
          <w:p w:rsidR="008A5A5D" w:rsidRPr="00C24ACA" w:rsidRDefault="00AC4A34" w:rsidP="004A4847">
            <w:pPr>
              <w:jc w:val="center"/>
              <w:rPr>
                <w:rFonts w:eastAsiaTheme="minorEastAsia"/>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3046"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上年度末</w:t>
            </w:r>
          </w:p>
          <w:p w:rsidR="008A5A5D" w:rsidRPr="00C24ACA" w:rsidRDefault="00520D7F" w:rsidP="00022F8F">
            <w:pPr>
              <w:jc w:val="center"/>
              <w:rPr>
                <w:rFonts w:eastAsiaTheme="minorEastAsia"/>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A5A5D" w:rsidRPr="00C24ACA" w:rsidTr="00022F8F">
        <w:tc>
          <w:tcPr>
            <w:tcW w:w="2694" w:type="dxa"/>
            <w:vMerge/>
            <w:vAlign w:val="center"/>
          </w:tcPr>
          <w:p w:rsidR="008A5A5D" w:rsidRPr="00C24ACA" w:rsidRDefault="008A5A5D" w:rsidP="004A4847">
            <w:pPr>
              <w:widowControl/>
              <w:jc w:val="left"/>
              <w:rPr>
                <w:rFonts w:eastAsiaTheme="minorEastAsia"/>
                <w:color w:val="000000"/>
                <w:szCs w:val="21"/>
              </w:rPr>
            </w:pPr>
          </w:p>
        </w:tc>
        <w:tc>
          <w:tcPr>
            <w:tcW w:w="1701" w:type="dxa"/>
            <w:vAlign w:val="center"/>
          </w:tcPr>
          <w:p w:rsidR="008A5A5D" w:rsidRPr="00C24ACA" w:rsidRDefault="008A5A5D" w:rsidP="004A4847">
            <w:pPr>
              <w:ind w:right="142"/>
              <w:jc w:val="center"/>
              <w:rPr>
                <w:rFonts w:eastAsiaTheme="minorEastAsia"/>
                <w:color w:val="000000"/>
                <w:szCs w:val="21"/>
              </w:rPr>
            </w:pPr>
            <w:r w:rsidRPr="00C24ACA">
              <w:rPr>
                <w:rFonts w:eastAsiaTheme="minorEastAsia"/>
                <w:color w:val="000000"/>
                <w:szCs w:val="21"/>
              </w:rPr>
              <w:t>公允价值</w:t>
            </w:r>
          </w:p>
        </w:tc>
        <w:tc>
          <w:tcPr>
            <w:tcW w:w="1559" w:type="dxa"/>
            <w:vAlign w:val="center"/>
          </w:tcPr>
          <w:p w:rsidR="008A5A5D" w:rsidRPr="00C24ACA" w:rsidRDefault="008A5A5D" w:rsidP="004A4847">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c>
          <w:tcPr>
            <w:tcW w:w="1559" w:type="dxa"/>
            <w:vAlign w:val="center"/>
          </w:tcPr>
          <w:p w:rsidR="008A5A5D" w:rsidRPr="00C24ACA" w:rsidRDefault="008A5A5D" w:rsidP="00022F8F">
            <w:pPr>
              <w:ind w:right="113"/>
              <w:jc w:val="center"/>
              <w:rPr>
                <w:rFonts w:eastAsiaTheme="minorEastAsia"/>
                <w:color w:val="000000"/>
                <w:szCs w:val="21"/>
              </w:rPr>
            </w:pPr>
            <w:r w:rsidRPr="00C24ACA">
              <w:rPr>
                <w:rFonts w:eastAsiaTheme="minorEastAsia"/>
                <w:color w:val="000000"/>
                <w:szCs w:val="21"/>
              </w:rPr>
              <w:t>公允价值</w:t>
            </w:r>
          </w:p>
        </w:tc>
        <w:tc>
          <w:tcPr>
            <w:tcW w:w="1487" w:type="dxa"/>
            <w:vAlign w:val="center"/>
          </w:tcPr>
          <w:p w:rsidR="008A5A5D" w:rsidRPr="00C24ACA" w:rsidRDefault="008A5A5D" w:rsidP="00022F8F">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szCs w:val="21"/>
              </w:rPr>
              <w:t>－</w:t>
            </w:r>
            <w:r w:rsidRPr="00C24ACA">
              <w:rPr>
                <w:rFonts w:eastAsiaTheme="minorEastAsia"/>
                <w:color w:val="000000"/>
                <w:szCs w:val="21"/>
              </w:rPr>
              <w:t>股票投资</w:t>
            </w:r>
          </w:p>
        </w:tc>
        <w:tc>
          <w:tcPr>
            <w:tcW w:w="1701"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487"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color w:val="000000"/>
                <w:szCs w:val="21"/>
              </w:rPr>
              <w:t>—</w:t>
            </w:r>
            <w:r w:rsidRPr="00C24ACA">
              <w:rPr>
                <w:rFonts w:eastAsiaTheme="minorEastAsia"/>
                <w:color w:val="000000"/>
                <w:szCs w:val="21"/>
              </w:rPr>
              <w:t>基金投资</w:t>
            </w:r>
          </w:p>
        </w:tc>
        <w:tc>
          <w:tcPr>
            <w:tcW w:w="1701"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713,072,435.88</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89.41</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206,515,799.56</w:t>
            </w:r>
          </w:p>
        </w:tc>
        <w:tc>
          <w:tcPr>
            <w:tcW w:w="1487"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94.48</w:t>
            </w:r>
          </w:p>
        </w:tc>
      </w:tr>
      <w:tr w:rsidR="001D0D6A" w:rsidRPr="00C24ACA" w:rsidTr="00742218">
        <w:tc>
          <w:tcPr>
            <w:tcW w:w="2694" w:type="dxa"/>
            <w:vAlign w:val="center"/>
          </w:tcPr>
          <w:p w:rsidR="001D0D6A" w:rsidRPr="00224952" w:rsidRDefault="001D0D6A" w:rsidP="001D0D6A">
            <w:pPr>
              <w:spacing w:line="360" w:lineRule="auto"/>
              <w:jc w:val="left"/>
              <w:rPr>
                <w:szCs w:val="21"/>
              </w:rPr>
            </w:pPr>
            <w:r w:rsidRPr="00224952">
              <w:rPr>
                <w:rFonts w:hint="eastAsia"/>
                <w:szCs w:val="21"/>
              </w:rPr>
              <w:t>交易性金融资产－贵金属投资</w:t>
            </w:r>
          </w:p>
        </w:tc>
        <w:tc>
          <w:tcPr>
            <w:tcW w:w="1701"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c>
          <w:tcPr>
            <w:tcW w:w="1487"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衍生金融资产－权证投资</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其他</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rPr>
                <w:rFonts w:eastAsiaTheme="minorEastAsia"/>
                <w:color w:val="000000"/>
                <w:szCs w:val="21"/>
              </w:rPr>
            </w:pPr>
            <w:r w:rsidRPr="00C24ACA">
              <w:rPr>
                <w:rFonts w:eastAsiaTheme="minorEastAsia"/>
                <w:color w:val="000000"/>
                <w:szCs w:val="21"/>
              </w:rPr>
              <w:t>合计</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713,072,435.88</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89.41</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206,515,799.56</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94.48</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6.4.13.4.3.2</w:t>
      </w:r>
      <w:r w:rsidRPr="00C24ACA">
        <w:rPr>
          <w:rFonts w:eastAsiaTheme="minor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5F7EF1">
        <w:tc>
          <w:tcPr>
            <w:tcW w:w="993" w:type="dxa"/>
            <w:vAlign w:val="center"/>
          </w:tcPr>
          <w:p w:rsidR="005F7EF1" w:rsidRDefault="00E6254F">
            <w:pPr>
              <w:jc w:val="left"/>
            </w:pPr>
            <w:r>
              <w:rPr>
                <w:rFonts w:eastAsiaTheme="minorEastAsia"/>
                <w:color w:val="000000"/>
                <w:szCs w:val="21"/>
              </w:rPr>
              <w:t>假设</w:t>
            </w:r>
          </w:p>
        </w:tc>
        <w:tc>
          <w:tcPr>
            <w:tcW w:w="8079" w:type="dxa"/>
            <w:gridSpan w:val="4"/>
            <w:vAlign w:val="center"/>
          </w:tcPr>
          <w:p w:rsidR="005F7EF1" w:rsidRDefault="00E6254F">
            <w:pPr>
              <w:jc w:val="center"/>
            </w:pPr>
            <w:r>
              <w:rPr>
                <w:rFonts w:eastAsiaTheme="minorEastAsia"/>
                <w:color w:val="000000"/>
                <w:szCs w:val="21"/>
              </w:rPr>
              <w:t>除业绩比较基准以外的其他市场变量保持不变</w:t>
            </w:r>
          </w:p>
        </w:tc>
      </w:tr>
      <w:tr w:rsidR="00695204" w:rsidRPr="00C24ACA" w:rsidTr="007C6EA8">
        <w:trPr>
          <w:gridAfter w:val="1"/>
          <w:wAfter w:w="72" w:type="dxa"/>
        </w:trPr>
        <w:tc>
          <w:tcPr>
            <w:tcW w:w="993" w:type="dxa"/>
            <w:vMerge w:val="restart"/>
            <w:vAlign w:val="center"/>
          </w:tcPr>
          <w:p w:rsidR="00695204" w:rsidRPr="00C24ACA" w:rsidRDefault="00695204"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448" w:type="dxa"/>
            <w:vMerge w:val="restart"/>
            <w:vAlign w:val="center"/>
          </w:tcPr>
          <w:p w:rsidR="00695204" w:rsidRPr="00C24ACA" w:rsidRDefault="00695204" w:rsidP="007C6EA8">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59" w:type="dxa"/>
            <w:gridSpan w:val="2"/>
          </w:tcPr>
          <w:p w:rsidR="00695204" w:rsidRPr="00C24ACA" w:rsidRDefault="00695204" w:rsidP="007C6EA8">
            <w:pPr>
              <w:jc w:val="center"/>
              <w:rPr>
                <w:rFonts w:eastAsiaTheme="minorEastAsia"/>
                <w:color w:val="000000"/>
                <w:szCs w:val="21"/>
              </w:rPr>
            </w:pPr>
            <w:r w:rsidRPr="00C24ACA">
              <w:rPr>
                <w:rFonts w:eastAsiaTheme="minorEastAsia"/>
                <w:color w:val="000000"/>
                <w:szCs w:val="21"/>
              </w:rPr>
              <w:t>对资产负债表日基金资产净值的</w:t>
            </w:r>
          </w:p>
          <w:p w:rsidR="00695204"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695204" w:rsidRPr="00C24ACA">
              <w:rPr>
                <w:rFonts w:eastAsiaTheme="minorEastAsia"/>
                <w:color w:val="000000"/>
                <w:szCs w:val="21"/>
              </w:rPr>
              <w:t>元）</w:t>
            </w:r>
          </w:p>
        </w:tc>
      </w:tr>
      <w:tr w:rsidR="00695204" w:rsidRPr="00C24ACA" w:rsidTr="007C6EA8">
        <w:trPr>
          <w:gridAfter w:val="1"/>
          <w:wAfter w:w="72" w:type="dxa"/>
        </w:trPr>
        <w:tc>
          <w:tcPr>
            <w:tcW w:w="993" w:type="dxa"/>
            <w:vMerge/>
            <w:vAlign w:val="center"/>
          </w:tcPr>
          <w:p w:rsidR="00695204" w:rsidRPr="00C24ACA" w:rsidRDefault="00695204" w:rsidP="007C6EA8">
            <w:pPr>
              <w:widowControl/>
              <w:jc w:val="left"/>
              <w:rPr>
                <w:rFonts w:eastAsiaTheme="minorEastAsia"/>
                <w:color w:val="000000"/>
                <w:szCs w:val="21"/>
              </w:rPr>
            </w:pPr>
          </w:p>
        </w:tc>
        <w:tc>
          <w:tcPr>
            <w:tcW w:w="2448" w:type="dxa"/>
            <w:vMerge/>
            <w:vAlign w:val="center"/>
          </w:tcPr>
          <w:p w:rsidR="00695204" w:rsidRPr="00C24ACA" w:rsidRDefault="00695204" w:rsidP="007C6EA8">
            <w:pPr>
              <w:widowControl/>
              <w:jc w:val="left"/>
              <w:rPr>
                <w:rFonts w:eastAsiaTheme="minorEastAsia"/>
                <w:color w:val="000000"/>
                <w:kern w:val="0"/>
                <w:szCs w:val="21"/>
              </w:rPr>
            </w:pPr>
          </w:p>
        </w:tc>
        <w:tc>
          <w:tcPr>
            <w:tcW w:w="2880" w:type="dxa"/>
          </w:tcPr>
          <w:p w:rsidR="00695204" w:rsidRPr="00C24ACA" w:rsidRDefault="00695204" w:rsidP="008134C7">
            <w:pPr>
              <w:spacing w:line="360" w:lineRule="auto"/>
              <w:ind w:firstLineChars="350" w:firstLine="735"/>
              <w:rPr>
                <w:rFonts w:eastAsiaTheme="minorEastAsia"/>
                <w:color w:val="000000"/>
                <w:szCs w:val="21"/>
              </w:rPr>
            </w:pPr>
            <w:r w:rsidRPr="00C24ACA">
              <w:rPr>
                <w:rFonts w:eastAsiaTheme="minorEastAsia"/>
                <w:color w:val="000000"/>
                <w:szCs w:val="21"/>
              </w:rPr>
              <w:t>本期末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679" w:type="dxa"/>
          </w:tcPr>
          <w:p w:rsidR="00695204" w:rsidRPr="00C24ACA" w:rsidRDefault="00695204" w:rsidP="008134C7">
            <w:pPr>
              <w:spacing w:line="360" w:lineRule="auto"/>
              <w:ind w:firstLineChars="300" w:firstLine="630"/>
              <w:rPr>
                <w:rFonts w:eastAsiaTheme="minorEastAsia"/>
                <w:color w:val="000000"/>
                <w:szCs w:val="21"/>
              </w:rPr>
            </w:pPr>
            <w:r w:rsidRPr="00C24ACA">
              <w:rPr>
                <w:rFonts w:eastAsiaTheme="minorEastAsia"/>
                <w:color w:val="000000"/>
                <w:szCs w:val="21"/>
              </w:rPr>
              <w:t>上年度末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5F7EF1">
        <w:trPr>
          <w:gridAfter w:val="1"/>
          <w:wAfter w:w="72" w:type="dxa"/>
        </w:trPr>
        <w:tc>
          <w:tcPr>
            <w:tcW w:w="993" w:type="dxa"/>
            <w:vMerge/>
          </w:tcPr>
          <w:p w:rsidR="005F7EF1" w:rsidRDefault="005F7EF1"/>
        </w:tc>
        <w:tc>
          <w:tcPr>
            <w:tcW w:w="2448" w:type="dxa"/>
            <w:vAlign w:val="center"/>
          </w:tcPr>
          <w:p w:rsidR="005F7EF1" w:rsidRDefault="00E6254F">
            <w:r>
              <w:rPr>
                <w:rFonts w:eastAsiaTheme="minorEastAsia"/>
                <w:color w:val="000000"/>
                <w:szCs w:val="21"/>
              </w:rPr>
              <w:t>1.</w:t>
            </w:r>
            <w:r>
              <w:rPr>
                <w:rFonts w:eastAsiaTheme="minorEastAsia"/>
                <w:color w:val="000000"/>
                <w:szCs w:val="21"/>
              </w:rPr>
              <w:t>业绩比较基准上升</w:t>
            </w:r>
            <w:r>
              <w:rPr>
                <w:rFonts w:eastAsiaTheme="minorEastAsia"/>
                <w:color w:val="000000"/>
                <w:szCs w:val="21"/>
              </w:rPr>
              <w:t>5%</w:t>
            </w:r>
          </w:p>
        </w:tc>
        <w:tc>
          <w:tcPr>
            <w:tcW w:w="2880" w:type="dxa"/>
            <w:vAlign w:val="center"/>
          </w:tcPr>
          <w:p w:rsidR="005F7EF1" w:rsidRDefault="00E6254F">
            <w:pPr>
              <w:jc w:val="right"/>
            </w:pPr>
            <w:r>
              <w:rPr>
                <w:rFonts w:eastAsiaTheme="minorEastAsia"/>
                <w:color w:val="000000"/>
                <w:szCs w:val="21"/>
              </w:rPr>
              <w:t>35,653,621.78</w:t>
            </w:r>
          </w:p>
        </w:tc>
        <w:tc>
          <w:tcPr>
            <w:tcW w:w="2679" w:type="dxa"/>
            <w:vAlign w:val="center"/>
          </w:tcPr>
          <w:p w:rsidR="005F7EF1" w:rsidRDefault="00E6254F">
            <w:pPr>
              <w:jc w:val="right"/>
            </w:pPr>
            <w:r>
              <w:rPr>
                <w:rFonts w:eastAsiaTheme="minorEastAsia"/>
                <w:color w:val="000000"/>
                <w:szCs w:val="21"/>
              </w:rPr>
              <w:t>10,325,789.97</w:t>
            </w:r>
          </w:p>
        </w:tc>
      </w:tr>
      <w:tr w:rsidR="005F7EF1">
        <w:trPr>
          <w:gridAfter w:val="1"/>
          <w:wAfter w:w="72" w:type="dxa"/>
        </w:trPr>
        <w:tc>
          <w:tcPr>
            <w:tcW w:w="993" w:type="dxa"/>
            <w:vMerge/>
          </w:tcPr>
          <w:p w:rsidR="005F7EF1" w:rsidRDefault="005F7EF1"/>
        </w:tc>
        <w:tc>
          <w:tcPr>
            <w:tcW w:w="2448" w:type="dxa"/>
            <w:vAlign w:val="center"/>
          </w:tcPr>
          <w:p w:rsidR="005F7EF1" w:rsidRDefault="00E6254F">
            <w:r>
              <w:rPr>
                <w:rFonts w:eastAsiaTheme="minorEastAsia"/>
                <w:color w:val="000000"/>
                <w:szCs w:val="21"/>
              </w:rPr>
              <w:t>2.</w:t>
            </w:r>
            <w:r>
              <w:rPr>
                <w:rFonts w:eastAsiaTheme="minorEastAsia"/>
                <w:color w:val="000000"/>
                <w:szCs w:val="21"/>
              </w:rPr>
              <w:t>业绩比较基准下降</w:t>
            </w:r>
            <w:r>
              <w:rPr>
                <w:rFonts w:eastAsiaTheme="minorEastAsia"/>
                <w:color w:val="000000"/>
                <w:szCs w:val="21"/>
              </w:rPr>
              <w:t>5%</w:t>
            </w:r>
          </w:p>
        </w:tc>
        <w:tc>
          <w:tcPr>
            <w:tcW w:w="2880" w:type="dxa"/>
            <w:vAlign w:val="center"/>
          </w:tcPr>
          <w:p w:rsidR="005F7EF1" w:rsidRDefault="00E6254F">
            <w:pPr>
              <w:jc w:val="right"/>
            </w:pPr>
            <w:r>
              <w:rPr>
                <w:rFonts w:eastAsiaTheme="minorEastAsia"/>
                <w:color w:val="000000"/>
                <w:szCs w:val="21"/>
              </w:rPr>
              <w:t>-35,653,621.78</w:t>
            </w:r>
          </w:p>
        </w:tc>
        <w:tc>
          <w:tcPr>
            <w:tcW w:w="2679" w:type="dxa"/>
            <w:vAlign w:val="center"/>
          </w:tcPr>
          <w:p w:rsidR="005F7EF1" w:rsidRDefault="00E6254F">
            <w:pPr>
              <w:jc w:val="right"/>
            </w:pPr>
            <w:r>
              <w:rPr>
                <w:rFonts w:eastAsiaTheme="minorEastAsia"/>
                <w:color w:val="000000"/>
                <w:szCs w:val="21"/>
              </w:rPr>
              <w:t>-10,325,789.97</w:t>
            </w:r>
          </w:p>
        </w:tc>
      </w:tr>
    </w:tbl>
    <w:p w:rsidR="008A5A5D" w:rsidRPr="00C24ACA" w:rsidRDefault="008A5A5D" w:rsidP="00732F5C">
      <w:pPr>
        <w:adjustRightInd w:val="0"/>
        <w:snapToGrid w:val="0"/>
        <w:spacing w:beforeLines="100" w:before="312" w:line="360" w:lineRule="auto"/>
        <w:rPr>
          <w:rFonts w:eastAsiaTheme="minorEastAsia"/>
          <w:b/>
          <w:color w:val="000000"/>
          <w:szCs w:val="21"/>
        </w:rPr>
      </w:pPr>
      <w:r w:rsidRPr="00C24ACA">
        <w:rPr>
          <w:rFonts w:eastAsiaTheme="minorEastAsia"/>
          <w:b/>
          <w:bCs/>
          <w:color w:val="000000"/>
          <w:kern w:val="0"/>
          <w:szCs w:val="21"/>
        </w:rPr>
        <w:t>6.4.14</w:t>
      </w:r>
      <w:r w:rsidRPr="00C24ACA">
        <w:rPr>
          <w:rFonts w:eastAsiaTheme="minorEastAsia"/>
          <w:b/>
          <w:color w:val="000000"/>
          <w:szCs w:val="21"/>
        </w:rPr>
        <w:t>有助于理解和分析会计报表需要说明的其他事项</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公允价值</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(a)</w:t>
      </w:r>
      <w:r>
        <w:rPr>
          <w:rFonts w:eastAsiaTheme="minorEastAsia"/>
          <w:kern w:val="0"/>
          <w:szCs w:val="21"/>
        </w:rPr>
        <w:t>金融工具公允价值计量的方法</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公允价值计量结果所属的层次，由对公允价值计量整体而言具有重要意义的输入值所属的最低层次决定：</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第一层次：相同资产或负债在活跃市场上未经调整的报价。</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第二层次：除第一层次输入值外相关资产或负债直接或间接可观察的输入值。</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第三层次：相关资产或负债的不可观察输入值。</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持续的以公允价值计量的金融工具</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(i)</w:t>
      </w:r>
      <w:r>
        <w:rPr>
          <w:rFonts w:eastAsiaTheme="minorEastAsia"/>
          <w:kern w:val="0"/>
          <w:szCs w:val="21"/>
        </w:rPr>
        <w:t>各层次金融工具公允价值</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日，本基金持有的以公允价值计量且其变动计入当期损益的金融资产中属于第一层次的余额为</w:t>
      </w:r>
      <w:r>
        <w:rPr>
          <w:rFonts w:eastAsiaTheme="minorEastAsia"/>
          <w:kern w:val="0"/>
          <w:szCs w:val="21"/>
        </w:rPr>
        <w:t>713,072,435.88</w:t>
      </w:r>
      <w:r>
        <w:rPr>
          <w:rFonts w:eastAsiaTheme="minorEastAsia"/>
          <w:kern w:val="0"/>
          <w:szCs w:val="21"/>
        </w:rPr>
        <w:t>元，无属于第二层次的余额，无属于第三层次的余额</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日：第一层次</w:t>
      </w:r>
      <w:r>
        <w:rPr>
          <w:rFonts w:eastAsiaTheme="minorEastAsia"/>
          <w:kern w:val="0"/>
          <w:szCs w:val="21"/>
        </w:rPr>
        <w:t>206,515,799.56</w:t>
      </w:r>
      <w:r>
        <w:rPr>
          <w:rFonts w:eastAsiaTheme="minorEastAsia"/>
          <w:kern w:val="0"/>
          <w:szCs w:val="21"/>
        </w:rPr>
        <w:t>元，无属于第二层次的余额，无属于第三层次的余额</w:t>
      </w:r>
      <w:r>
        <w:rPr>
          <w:rFonts w:eastAsiaTheme="minorEastAsia"/>
          <w:kern w:val="0"/>
          <w:szCs w:val="21"/>
        </w:rPr>
        <w:t xml:space="preserve">) </w:t>
      </w:r>
      <w:r>
        <w:rPr>
          <w:rFonts w:eastAsiaTheme="minorEastAsia"/>
          <w:kern w:val="0"/>
          <w:szCs w:val="21"/>
        </w:rPr>
        <w:t>。</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(ii)</w:t>
      </w:r>
      <w:r>
        <w:rPr>
          <w:rFonts w:eastAsiaTheme="minorEastAsia"/>
          <w:kern w:val="0"/>
          <w:szCs w:val="21"/>
        </w:rPr>
        <w:t>公允价值所属层次间的重大变动</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对于证券交易所上市的股票，若出现重大事项停牌、交易不活跃</w:t>
      </w:r>
      <w:r>
        <w:rPr>
          <w:rFonts w:eastAsiaTheme="minorEastAsia"/>
          <w:kern w:val="0"/>
          <w:szCs w:val="21"/>
        </w:rPr>
        <w:t>(</w:t>
      </w:r>
      <w:r>
        <w:rPr>
          <w:rFonts w:eastAsiaTheme="minorEastAsia"/>
          <w:kern w:val="0"/>
          <w:szCs w:val="21"/>
        </w:rPr>
        <w:t>包括涨跌停时的交易不活跃</w:t>
      </w:r>
      <w:r>
        <w:rPr>
          <w:rFonts w:eastAsiaTheme="minorEastAsia"/>
          <w:kern w:val="0"/>
          <w:szCs w:val="21"/>
        </w:rPr>
        <w:t>)</w:t>
      </w:r>
      <w:r>
        <w:rPr>
          <w:rFonts w:eastAsiaTheme="minorEastAsia"/>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 (iii)</w:t>
      </w:r>
      <w:r>
        <w:rPr>
          <w:rFonts w:eastAsiaTheme="minorEastAsia"/>
          <w:kern w:val="0"/>
          <w:szCs w:val="21"/>
        </w:rPr>
        <w:t>第三层次公允价值余额和本期变动金额</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无。</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非持续的以公允价值计量的金融工具</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日，本基金未持有非持续的以公允价值计量的金融资产</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日：同</w:t>
      </w:r>
      <w:r>
        <w:rPr>
          <w:rFonts w:eastAsiaTheme="minorEastAsia"/>
          <w:kern w:val="0"/>
          <w:szCs w:val="21"/>
        </w:rPr>
        <w:t xml:space="preserve">)  </w:t>
      </w:r>
      <w:r>
        <w:rPr>
          <w:rFonts w:eastAsiaTheme="minorEastAsia"/>
          <w:kern w:val="0"/>
          <w:szCs w:val="21"/>
        </w:rPr>
        <w:t>。</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(d)</w:t>
      </w:r>
      <w:r>
        <w:rPr>
          <w:rFonts w:eastAsiaTheme="minorEastAsia"/>
          <w:kern w:val="0"/>
          <w:szCs w:val="21"/>
        </w:rPr>
        <w:t>不以公允价值计量的金融工具</w:t>
      </w:r>
      <w:r>
        <w:rPr>
          <w:rFonts w:eastAsiaTheme="minorEastAsia"/>
          <w:kern w:val="0"/>
          <w:szCs w:val="21"/>
        </w:rPr>
        <w:t xml:space="preserve"> </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不以公允价值计量的金融资产和负债主要包括应收款项和其他金融负债，其账面价值与公允价值相差很小。</w:t>
      </w:r>
      <w:r>
        <w:rPr>
          <w:rFonts w:eastAsiaTheme="minorEastAsia"/>
          <w:kern w:val="0"/>
          <w:szCs w:val="21"/>
        </w:rPr>
        <w:t xml:space="preserve"> </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 (2)</w:t>
      </w:r>
      <w:r w:rsidRPr="00C24ACA">
        <w:rPr>
          <w:rFonts w:eastAsiaTheme="minorEastAsia"/>
          <w:kern w:val="0"/>
          <w:szCs w:val="21"/>
        </w:rPr>
        <w:t>除公允价值外，截至资产负债表日本基金无需要说明的其他重要事项。</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96" w:name="_Toc225498272"/>
      <w:bookmarkStart w:id="197" w:name="_Toc352255995"/>
      <w:bookmarkStart w:id="198" w:name="_Toc352256063"/>
      <w:bookmarkStart w:id="199" w:name="_Toc352331241"/>
      <w:bookmarkStart w:id="200" w:name="_Toc390164820"/>
      <w:bookmarkStart w:id="201" w:name="_Toc48664174"/>
      <w:r w:rsidRPr="000C6CCD">
        <w:rPr>
          <w:rFonts w:ascii="宋体" w:hAnsi="宋体"/>
          <w:bCs w:val="0"/>
          <w:color w:val="000000"/>
          <w:sz w:val="21"/>
          <w:szCs w:val="21"/>
        </w:rPr>
        <w:t>7</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投资组合报告</w:t>
      </w:r>
      <w:bookmarkEnd w:id="196"/>
      <w:bookmarkEnd w:id="197"/>
      <w:bookmarkEnd w:id="198"/>
      <w:bookmarkEnd w:id="199"/>
      <w:bookmarkEnd w:id="200"/>
      <w:bookmarkEnd w:id="20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2" w:name="_Toc225498273"/>
      <w:bookmarkStart w:id="203" w:name="_Toc352255996"/>
      <w:bookmarkStart w:id="204" w:name="_Toc352256064"/>
      <w:bookmarkStart w:id="205" w:name="_Toc352331242"/>
      <w:bookmarkStart w:id="206" w:name="_Toc390164821"/>
      <w:bookmarkStart w:id="207" w:name="_Toc48664175"/>
      <w:r w:rsidRPr="0087359D">
        <w:rPr>
          <w:rFonts w:ascii="宋体" w:hAnsi="宋体"/>
          <w:kern w:val="0"/>
          <w:sz w:val="21"/>
          <w:szCs w:val="21"/>
        </w:rPr>
        <w:t>7.1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期末基金资产组合情况</w:t>
      </w:r>
      <w:bookmarkEnd w:id="202"/>
      <w:bookmarkEnd w:id="203"/>
      <w:bookmarkEnd w:id="204"/>
      <w:bookmarkEnd w:id="205"/>
      <w:bookmarkEnd w:id="206"/>
      <w:bookmarkEnd w:id="207"/>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8A5A5D" w:rsidRPr="00C24ACA" w:rsidTr="00B73AA7">
        <w:trPr>
          <w:jc w:val="center"/>
        </w:trPr>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34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项目</w:t>
            </w:r>
          </w:p>
        </w:tc>
        <w:tc>
          <w:tcPr>
            <w:tcW w:w="25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c>
          <w:tcPr>
            <w:tcW w:w="205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占基金总资产的比例（</w:t>
            </w:r>
            <w:r w:rsidRPr="00C24ACA">
              <w:rPr>
                <w:rFonts w:eastAsiaTheme="minorEastAsia"/>
                <w:color w:val="000000"/>
                <w:szCs w:val="21"/>
              </w:rPr>
              <w:t>%</w:t>
            </w:r>
            <w:r w:rsidRPr="00C24ACA">
              <w:rPr>
                <w:rFonts w:eastAsiaTheme="minorEastAsia"/>
                <w:color w:val="000000"/>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r w:rsidRPr="00C24ACA">
              <w:rPr>
                <w:rFonts w:eastAsiaTheme="minorEastAsia"/>
                <w:szCs w:val="21"/>
              </w:rPr>
              <w:t>1</w:t>
            </w: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权益投资</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其中：普通股</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8134C7">
            <w:pPr>
              <w:ind w:firstLineChars="350" w:firstLine="735"/>
              <w:rPr>
                <w:rFonts w:eastAsiaTheme="minorEastAsia"/>
                <w:color w:val="000000"/>
                <w:szCs w:val="21"/>
              </w:rPr>
            </w:pPr>
            <w:r w:rsidRPr="00C24ACA">
              <w:rPr>
                <w:rFonts w:eastAsiaTheme="minorEastAsia"/>
                <w:szCs w:val="21"/>
              </w:rPr>
              <w:t>存托凭证</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优先股</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房地产信托</w:t>
            </w:r>
            <w:r w:rsidR="007969C0" w:rsidRPr="00C24ACA">
              <w:rPr>
                <w:rFonts w:eastAsiaTheme="minorEastAsia"/>
                <w:color w:val="000000"/>
                <w:szCs w:val="21"/>
              </w:rPr>
              <w:t>凭证</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2</w:t>
            </w:r>
          </w:p>
        </w:tc>
        <w:tc>
          <w:tcPr>
            <w:tcW w:w="3420" w:type="dxa"/>
            <w:vAlign w:val="center"/>
          </w:tcPr>
          <w:p w:rsidR="00380273" w:rsidRPr="00C24ACA" w:rsidRDefault="00380273" w:rsidP="00C87473">
            <w:pPr>
              <w:ind w:leftChars="49" w:left="103"/>
              <w:rPr>
                <w:rFonts w:eastAsiaTheme="minorEastAsia"/>
                <w:color w:val="000000"/>
                <w:szCs w:val="21"/>
              </w:rPr>
            </w:pPr>
            <w:r w:rsidRPr="00C24ACA">
              <w:rPr>
                <w:rFonts w:eastAsiaTheme="minorEastAsia"/>
                <w:szCs w:val="21"/>
              </w:rPr>
              <w:t>基金投资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713,072,435.88</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86.24</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3</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固定收益投资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其中：债券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ind w:leftChars="50" w:left="105" w:firstLineChars="300" w:firstLine="630"/>
              <w:rPr>
                <w:rFonts w:eastAsiaTheme="minorEastAsia"/>
                <w:color w:val="000000"/>
                <w:szCs w:val="21"/>
              </w:rPr>
            </w:pPr>
            <w:r w:rsidRPr="00C24ACA">
              <w:rPr>
                <w:rFonts w:eastAsiaTheme="minorEastAsia"/>
                <w:szCs w:val="21"/>
              </w:rPr>
              <w:t>资产支持证券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4</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金融衍生品投资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其中：远期</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期权</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权证</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5</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其中：买断式回购的买入返售金融资产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6</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货币市场工具</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7</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银行存款和结算备付金合计</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113,800,576.81</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13.76</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8</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其他各项资产</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2,364.60</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0.00</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9</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合计</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826,875,377.29</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100.00</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8" w:name="_Toc390164822"/>
      <w:bookmarkStart w:id="209" w:name="_Toc48664176"/>
      <w:r w:rsidRPr="0087359D">
        <w:rPr>
          <w:rFonts w:ascii="宋体" w:hAnsi="宋体"/>
          <w:kern w:val="0"/>
          <w:sz w:val="21"/>
          <w:szCs w:val="21"/>
        </w:rPr>
        <w:t>7.2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期末在各个国家（地区）证券市场的权益投资分布</w:t>
      </w:r>
      <w:bookmarkEnd w:id="208"/>
      <w:bookmarkEnd w:id="209"/>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10" w:name="_Toc224618378"/>
      <w:bookmarkStart w:id="211" w:name="_Toc248233025"/>
      <w:bookmarkStart w:id="212" w:name="_Toc249790557"/>
      <w:bookmarkStart w:id="213" w:name="_Toc286929758"/>
      <w:bookmarkStart w:id="214" w:name="_Toc352255997"/>
      <w:bookmarkStart w:id="215" w:name="_Toc352256065"/>
      <w:bookmarkStart w:id="216" w:name="_Toc352331243"/>
      <w:bookmarkStart w:id="217" w:name="_Toc390164823"/>
      <w:bookmarkStart w:id="218" w:name="_Toc48664177"/>
      <w:r w:rsidRPr="0087359D">
        <w:rPr>
          <w:rFonts w:ascii="宋体" w:hAnsi="宋体"/>
          <w:kern w:val="0"/>
          <w:sz w:val="21"/>
          <w:szCs w:val="21"/>
        </w:rPr>
        <w:t>7.3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期末按行业分类的权益投资组合</w:t>
      </w:r>
      <w:bookmarkEnd w:id="210"/>
      <w:bookmarkEnd w:id="211"/>
      <w:bookmarkEnd w:id="212"/>
      <w:bookmarkEnd w:id="213"/>
      <w:bookmarkEnd w:id="214"/>
      <w:bookmarkEnd w:id="215"/>
      <w:bookmarkEnd w:id="216"/>
      <w:bookmarkEnd w:id="217"/>
      <w:bookmarkEnd w:id="218"/>
    </w:p>
    <w:p w:rsidR="008A5A5D" w:rsidRPr="001412CA" w:rsidRDefault="007863A3"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本基金本报告期末未持有权益投资。</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19" w:name="_Toc352255998"/>
      <w:bookmarkStart w:id="220" w:name="_Toc352256066"/>
      <w:bookmarkStart w:id="221" w:name="_Toc352331244"/>
      <w:bookmarkStart w:id="222" w:name="_Toc390164824"/>
      <w:bookmarkStart w:id="223" w:name="_Toc48664178"/>
      <w:r w:rsidRPr="0087359D">
        <w:rPr>
          <w:rFonts w:ascii="宋体" w:hAnsi="宋体"/>
          <w:kern w:val="0"/>
          <w:sz w:val="21"/>
          <w:szCs w:val="21"/>
        </w:rPr>
        <w:t>7.4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期末按公允价值占基金资产净值比例大小排序的所有权益投资明细</w:t>
      </w:r>
      <w:bookmarkEnd w:id="219"/>
      <w:bookmarkEnd w:id="220"/>
      <w:bookmarkEnd w:id="221"/>
      <w:bookmarkEnd w:id="222"/>
      <w:bookmarkEnd w:id="223"/>
    </w:p>
    <w:p w:rsidR="00FF05DE"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24" w:name="_Toc224618380"/>
      <w:bookmarkStart w:id="225" w:name="_Toc248233027"/>
      <w:bookmarkStart w:id="226" w:name="_Toc249790559"/>
      <w:bookmarkStart w:id="227" w:name="_Toc286929760"/>
      <w:bookmarkStart w:id="228" w:name="_Toc352255999"/>
      <w:bookmarkStart w:id="229" w:name="_Toc352256067"/>
      <w:bookmarkStart w:id="230" w:name="_Toc352331245"/>
      <w:bookmarkStart w:id="231" w:name="_Toc390164827"/>
      <w:bookmarkStart w:id="232" w:name="_Toc48664179"/>
      <w:r w:rsidRPr="0087359D">
        <w:rPr>
          <w:rFonts w:ascii="宋体" w:hAnsi="宋体"/>
          <w:kern w:val="0"/>
          <w:sz w:val="21"/>
          <w:szCs w:val="21"/>
        </w:rPr>
        <w:t>7.5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w:t>
      </w:r>
      <w:r w:rsidR="0057004B" w:rsidRPr="004F2CA9">
        <w:rPr>
          <w:rFonts w:ascii="宋体" w:hAnsi="宋体" w:hint="eastAsia"/>
          <w:kern w:val="0"/>
          <w:sz w:val="21"/>
          <w:szCs w:val="21"/>
        </w:rPr>
        <w:t>权益</w:t>
      </w:r>
      <w:r w:rsidRPr="00C24ACA">
        <w:rPr>
          <w:rFonts w:ascii="Times New Roman" w:eastAsiaTheme="minorEastAsia" w:hAnsi="Times New Roman"/>
          <w:kern w:val="0"/>
          <w:sz w:val="21"/>
          <w:szCs w:val="21"/>
        </w:rPr>
        <w:t>投资组合的重大变动</w:t>
      </w:r>
      <w:bookmarkEnd w:id="224"/>
      <w:bookmarkEnd w:id="225"/>
      <w:bookmarkEnd w:id="226"/>
      <w:bookmarkEnd w:id="227"/>
      <w:bookmarkEnd w:id="228"/>
      <w:bookmarkEnd w:id="229"/>
      <w:bookmarkEnd w:id="230"/>
      <w:bookmarkEnd w:id="231"/>
      <w:bookmarkEnd w:id="232"/>
    </w:p>
    <w:p w:rsidR="008A5A5D" w:rsidRPr="00C24ACA" w:rsidRDefault="008A5A5D" w:rsidP="006313B1">
      <w:pPr>
        <w:autoSpaceDE w:val="0"/>
        <w:autoSpaceDN w:val="0"/>
        <w:adjustRightInd w:val="0"/>
        <w:snapToGrid w:val="0"/>
        <w:spacing w:line="360" w:lineRule="auto"/>
        <w:jc w:val="left"/>
        <w:rPr>
          <w:rFonts w:eastAsiaTheme="minorEastAsia"/>
          <w:b/>
          <w:color w:val="000000"/>
          <w:kern w:val="0"/>
          <w:szCs w:val="21"/>
        </w:rPr>
      </w:pPr>
      <w:r w:rsidRPr="00C24ACA">
        <w:rPr>
          <w:rFonts w:eastAsiaTheme="minorEastAsia"/>
          <w:b/>
          <w:kern w:val="0"/>
          <w:szCs w:val="21"/>
        </w:rPr>
        <w:t>7.5.1</w:t>
      </w:r>
      <w:r w:rsidRPr="00C24ACA">
        <w:rPr>
          <w:rFonts w:eastAsiaTheme="minorEastAsia"/>
          <w:b/>
          <w:color w:val="000000"/>
          <w:kern w:val="0"/>
          <w:szCs w:val="21"/>
        </w:rPr>
        <w:t>累计买入金额超出</w:t>
      </w:r>
      <w:r w:rsidR="00243C23"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7.5.2</w:t>
      </w:r>
      <w:r w:rsidRPr="00C24ACA">
        <w:rPr>
          <w:rFonts w:eastAsiaTheme="minorEastAsia"/>
          <w:b/>
          <w:color w:val="000000"/>
          <w:kern w:val="0"/>
          <w:szCs w:val="21"/>
        </w:rPr>
        <w:t>累计卖出金额超出</w:t>
      </w:r>
      <w:r w:rsidR="00B7546A"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7.5.3</w:t>
      </w:r>
      <w:r w:rsidRPr="00C24ACA">
        <w:rPr>
          <w:rFonts w:eastAsiaTheme="minorEastAsia"/>
          <w:b/>
          <w:color w:val="000000"/>
          <w:kern w:val="0"/>
          <w:szCs w:val="21"/>
        </w:rPr>
        <w:t>权益投资的买入成本总额及卖出收入总额</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33" w:name="_Toc224618381"/>
      <w:bookmarkStart w:id="234" w:name="_Toc248233028"/>
      <w:bookmarkStart w:id="235" w:name="_Toc249790560"/>
      <w:bookmarkStart w:id="236" w:name="_Toc286929761"/>
      <w:bookmarkStart w:id="237" w:name="_Toc352256000"/>
      <w:bookmarkStart w:id="238" w:name="_Toc352256068"/>
      <w:bookmarkStart w:id="239" w:name="_Toc352331246"/>
      <w:bookmarkStart w:id="240" w:name="_Toc390164828"/>
      <w:bookmarkStart w:id="241" w:name="_Toc48664180"/>
      <w:r w:rsidRPr="0087359D">
        <w:rPr>
          <w:rFonts w:ascii="宋体" w:hAnsi="宋体"/>
          <w:kern w:val="0"/>
          <w:sz w:val="21"/>
          <w:szCs w:val="21"/>
        </w:rPr>
        <w:t>7.6</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期末按债券信用等级分类的债券投资组合</w:t>
      </w:r>
      <w:bookmarkEnd w:id="233"/>
      <w:bookmarkEnd w:id="234"/>
      <w:bookmarkEnd w:id="235"/>
      <w:bookmarkEnd w:id="236"/>
      <w:bookmarkEnd w:id="237"/>
      <w:bookmarkEnd w:id="238"/>
      <w:bookmarkEnd w:id="239"/>
      <w:bookmarkEnd w:id="240"/>
      <w:bookmarkEnd w:id="241"/>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42" w:name="_Toc224618382"/>
      <w:bookmarkStart w:id="243" w:name="_Toc248233029"/>
      <w:bookmarkStart w:id="244" w:name="_Toc249790561"/>
      <w:bookmarkStart w:id="245" w:name="_Toc286929762"/>
      <w:bookmarkStart w:id="246" w:name="_Toc352256001"/>
      <w:bookmarkStart w:id="247" w:name="_Toc352256069"/>
      <w:bookmarkStart w:id="248" w:name="_Toc352331247"/>
      <w:bookmarkStart w:id="249" w:name="_Toc390164829"/>
      <w:bookmarkStart w:id="250" w:name="_Toc48664181"/>
      <w:r w:rsidRPr="0087359D">
        <w:rPr>
          <w:rFonts w:ascii="宋体" w:hAnsi="宋体"/>
          <w:kern w:val="0"/>
          <w:sz w:val="21"/>
          <w:szCs w:val="21"/>
        </w:rPr>
        <w:t>7.7</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期末按公允价值占基金资产净值比例大小排名的前五名债券投资明细</w:t>
      </w:r>
      <w:bookmarkEnd w:id="242"/>
      <w:bookmarkEnd w:id="243"/>
      <w:bookmarkEnd w:id="244"/>
      <w:bookmarkEnd w:id="245"/>
      <w:bookmarkEnd w:id="246"/>
      <w:bookmarkEnd w:id="247"/>
      <w:bookmarkEnd w:id="248"/>
      <w:bookmarkEnd w:id="249"/>
      <w:bookmarkEnd w:id="250"/>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51" w:name="_Toc224618383"/>
      <w:bookmarkStart w:id="252" w:name="_Toc248233030"/>
      <w:bookmarkStart w:id="253" w:name="_Toc249790562"/>
      <w:bookmarkStart w:id="254" w:name="_Toc286929763"/>
      <w:bookmarkStart w:id="255" w:name="_Toc352256002"/>
      <w:bookmarkStart w:id="256" w:name="_Toc352256070"/>
      <w:bookmarkStart w:id="257" w:name="_Toc352331248"/>
      <w:bookmarkStart w:id="258" w:name="_Toc390164830"/>
      <w:bookmarkStart w:id="259" w:name="_Toc48664182"/>
      <w:r w:rsidRPr="0087359D">
        <w:rPr>
          <w:rFonts w:ascii="宋体" w:hAnsi="宋体"/>
          <w:kern w:val="0"/>
          <w:sz w:val="21"/>
          <w:szCs w:val="21"/>
        </w:rPr>
        <w:t>7.8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期末按公允价值占基金资产净值比例大小排名的所有资产支持证券投资明细</w:t>
      </w:r>
      <w:bookmarkEnd w:id="251"/>
      <w:bookmarkEnd w:id="252"/>
      <w:bookmarkEnd w:id="253"/>
      <w:bookmarkEnd w:id="254"/>
      <w:bookmarkEnd w:id="255"/>
      <w:bookmarkEnd w:id="256"/>
      <w:bookmarkEnd w:id="257"/>
      <w:bookmarkEnd w:id="258"/>
      <w:bookmarkEnd w:id="259"/>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本基金本报告期末未持有资产支持证券。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60" w:name="_Toc224618384"/>
      <w:bookmarkStart w:id="261" w:name="_Toc248233031"/>
      <w:bookmarkStart w:id="262" w:name="_Toc249790563"/>
      <w:bookmarkStart w:id="263" w:name="_Toc286929764"/>
      <w:bookmarkStart w:id="264" w:name="_Toc352256003"/>
      <w:bookmarkStart w:id="265" w:name="_Toc352256071"/>
      <w:bookmarkStart w:id="266" w:name="_Toc352331249"/>
      <w:bookmarkStart w:id="267" w:name="_Toc390164831"/>
      <w:bookmarkStart w:id="268" w:name="_Toc48664183"/>
      <w:r w:rsidRPr="0087359D">
        <w:rPr>
          <w:rFonts w:ascii="宋体" w:hAnsi="宋体"/>
          <w:kern w:val="0"/>
          <w:sz w:val="21"/>
          <w:szCs w:val="21"/>
        </w:rPr>
        <w:t>7.9</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期末按公允价值占基金资产净值比例大小排名的前五名金融衍生品投资明细</w:t>
      </w:r>
      <w:bookmarkEnd w:id="260"/>
      <w:bookmarkEnd w:id="261"/>
      <w:bookmarkEnd w:id="262"/>
      <w:bookmarkEnd w:id="263"/>
      <w:bookmarkEnd w:id="264"/>
      <w:bookmarkEnd w:id="265"/>
      <w:bookmarkEnd w:id="266"/>
      <w:bookmarkEnd w:id="267"/>
      <w:bookmarkEnd w:id="268"/>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本基金本报告期末未持有金融衍生品。</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69" w:name="_Toc248233032"/>
      <w:bookmarkStart w:id="270" w:name="_Toc249790564"/>
      <w:bookmarkStart w:id="271" w:name="_Toc286929765"/>
      <w:bookmarkStart w:id="272" w:name="_Toc352256004"/>
      <w:bookmarkStart w:id="273" w:name="_Toc352256072"/>
      <w:bookmarkStart w:id="274" w:name="_Toc352331250"/>
      <w:bookmarkStart w:id="275" w:name="_Toc390164832"/>
      <w:bookmarkStart w:id="276" w:name="_Toc48664184"/>
      <w:r w:rsidRPr="0087359D">
        <w:rPr>
          <w:rFonts w:ascii="宋体" w:hAnsi="宋体"/>
          <w:kern w:val="0"/>
          <w:sz w:val="21"/>
          <w:szCs w:val="21"/>
        </w:rPr>
        <w:t>7.10</w:t>
      </w:r>
      <w:bookmarkStart w:id="277" w:name="_Toc224618385"/>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期末按公允价值占基金资产净值比例大小排序的前十名基金投资明细</w:t>
      </w:r>
      <w:bookmarkEnd w:id="269"/>
      <w:bookmarkEnd w:id="270"/>
      <w:bookmarkEnd w:id="271"/>
      <w:bookmarkEnd w:id="272"/>
      <w:bookmarkEnd w:id="273"/>
      <w:bookmarkEnd w:id="274"/>
      <w:bookmarkEnd w:id="275"/>
      <w:bookmarkEnd w:id="277"/>
      <w:bookmarkEnd w:id="276"/>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9"/>
        <w:gridCol w:w="1214"/>
        <w:gridCol w:w="1250"/>
        <w:gridCol w:w="870"/>
        <w:gridCol w:w="1428"/>
        <w:gridCol w:w="1963"/>
        <w:gridCol w:w="1702"/>
      </w:tblGrid>
      <w:tr w:rsidR="008A5A5D" w:rsidRPr="00C24ACA" w:rsidTr="00B73AA7">
        <w:trPr>
          <w:jc w:val="center"/>
        </w:trPr>
        <w:tc>
          <w:tcPr>
            <w:tcW w:w="929"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序号</w:t>
            </w:r>
          </w:p>
        </w:tc>
        <w:tc>
          <w:tcPr>
            <w:tcW w:w="1214"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名称</w:t>
            </w:r>
          </w:p>
        </w:tc>
        <w:tc>
          <w:tcPr>
            <w:tcW w:w="125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类型</w:t>
            </w:r>
          </w:p>
        </w:tc>
        <w:tc>
          <w:tcPr>
            <w:tcW w:w="87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运作</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方式</w:t>
            </w:r>
          </w:p>
        </w:tc>
        <w:tc>
          <w:tcPr>
            <w:tcW w:w="1428"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管理人</w:t>
            </w:r>
          </w:p>
        </w:tc>
        <w:tc>
          <w:tcPr>
            <w:tcW w:w="1963"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公允价值</w:t>
            </w:r>
          </w:p>
        </w:tc>
        <w:tc>
          <w:tcPr>
            <w:tcW w:w="1702"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p>
        </w:tc>
      </w:tr>
      <w:tr w:rsidR="005F7EF1">
        <w:trPr>
          <w:jc w:val="center"/>
        </w:trPr>
        <w:tc>
          <w:tcPr>
            <w:tcW w:w="929" w:type="dxa"/>
            <w:vAlign w:val="center"/>
          </w:tcPr>
          <w:p w:rsidR="005F7EF1" w:rsidRDefault="00E6254F">
            <w:pPr>
              <w:jc w:val="center"/>
            </w:pPr>
            <w:r>
              <w:rPr>
                <w:rFonts w:eastAsiaTheme="minorEastAsia"/>
                <w:color w:val="000000"/>
                <w:szCs w:val="21"/>
              </w:rPr>
              <w:t>1</w:t>
            </w:r>
          </w:p>
        </w:tc>
        <w:tc>
          <w:tcPr>
            <w:tcW w:w="1214" w:type="dxa"/>
            <w:vAlign w:val="center"/>
          </w:tcPr>
          <w:p w:rsidR="005F7EF1" w:rsidRDefault="00E6254F">
            <w:pPr>
              <w:jc w:val="center"/>
            </w:pPr>
            <w:r>
              <w:rPr>
                <w:rFonts w:eastAsiaTheme="minorEastAsia"/>
                <w:color w:val="000000"/>
                <w:szCs w:val="21"/>
              </w:rPr>
              <w:t>ETFS WTI Crude Oil</w:t>
            </w:r>
          </w:p>
        </w:tc>
        <w:tc>
          <w:tcPr>
            <w:tcW w:w="1250" w:type="dxa"/>
            <w:vAlign w:val="center"/>
          </w:tcPr>
          <w:p w:rsidR="005F7EF1" w:rsidRDefault="00E6254F">
            <w:pPr>
              <w:jc w:val="center"/>
            </w:pPr>
            <w:r>
              <w:rPr>
                <w:rFonts w:eastAsiaTheme="minorEastAsia"/>
                <w:color w:val="000000"/>
                <w:szCs w:val="21"/>
              </w:rPr>
              <w:t>ETF</w:t>
            </w:r>
          </w:p>
        </w:tc>
        <w:tc>
          <w:tcPr>
            <w:tcW w:w="870" w:type="dxa"/>
            <w:vAlign w:val="center"/>
          </w:tcPr>
          <w:p w:rsidR="005F7EF1" w:rsidRDefault="00E6254F">
            <w:pPr>
              <w:jc w:val="center"/>
            </w:pPr>
            <w:r>
              <w:rPr>
                <w:rFonts w:eastAsiaTheme="minorEastAsia"/>
                <w:color w:val="000000"/>
                <w:szCs w:val="21"/>
              </w:rPr>
              <w:t>开放式</w:t>
            </w:r>
          </w:p>
        </w:tc>
        <w:tc>
          <w:tcPr>
            <w:tcW w:w="1428" w:type="dxa"/>
            <w:vAlign w:val="center"/>
          </w:tcPr>
          <w:p w:rsidR="005F7EF1" w:rsidRDefault="00E6254F">
            <w:pPr>
              <w:jc w:val="center"/>
            </w:pPr>
            <w:r>
              <w:rPr>
                <w:rFonts w:eastAsiaTheme="minorEastAsia"/>
                <w:color w:val="000000"/>
                <w:szCs w:val="21"/>
              </w:rPr>
              <w:t>WisdomTree Asset Management Inc</w:t>
            </w:r>
          </w:p>
        </w:tc>
        <w:tc>
          <w:tcPr>
            <w:tcW w:w="1963" w:type="dxa"/>
            <w:vAlign w:val="center"/>
          </w:tcPr>
          <w:p w:rsidR="005F7EF1" w:rsidRDefault="00E6254F">
            <w:pPr>
              <w:jc w:val="right"/>
            </w:pPr>
            <w:r>
              <w:rPr>
                <w:rFonts w:eastAsiaTheme="minorEastAsia"/>
                <w:color w:val="000000"/>
                <w:szCs w:val="21"/>
              </w:rPr>
              <w:t>155,902,979.13</w:t>
            </w:r>
          </w:p>
        </w:tc>
        <w:tc>
          <w:tcPr>
            <w:tcW w:w="1702" w:type="dxa"/>
            <w:vAlign w:val="center"/>
          </w:tcPr>
          <w:p w:rsidR="005F7EF1" w:rsidRDefault="00E6254F">
            <w:pPr>
              <w:jc w:val="right"/>
            </w:pPr>
            <w:r>
              <w:rPr>
                <w:rFonts w:eastAsiaTheme="minorEastAsia"/>
                <w:color w:val="000000"/>
                <w:szCs w:val="21"/>
              </w:rPr>
              <w:t>19.55</w:t>
            </w:r>
          </w:p>
        </w:tc>
      </w:tr>
      <w:tr w:rsidR="005F7EF1">
        <w:trPr>
          <w:jc w:val="center"/>
        </w:trPr>
        <w:tc>
          <w:tcPr>
            <w:tcW w:w="929" w:type="dxa"/>
            <w:vAlign w:val="center"/>
          </w:tcPr>
          <w:p w:rsidR="005F7EF1" w:rsidRDefault="00E6254F">
            <w:pPr>
              <w:jc w:val="center"/>
            </w:pPr>
            <w:r>
              <w:rPr>
                <w:rFonts w:eastAsiaTheme="minorEastAsia"/>
                <w:color w:val="000000"/>
                <w:szCs w:val="21"/>
              </w:rPr>
              <w:t>2</w:t>
            </w:r>
          </w:p>
        </w:tc>
        <w:tc>
          <w:tcPr>
            <w:tcW w:w="1214" w:type="dxa"/>
            <w:vAlign w:val="center"/>
          </w:tcPr>
          <w:p w:rsidR="005F7EF1" w:rsidRDefault="00E6254F">
            <w:pPr>
              <w:jc w:val="center"/>
            </w:pPr>
            <w:r>
              <w:rPr>
                <w:rFonts w:eastAsiaTheme="minorEastAsia"/>
                <w:color w:val="000000"/>
                <w:szCs w:val="21"/>
              </w:rPr>
              <w:t>United States Oil Fund LP</w:t>
            </w:r>
          </w:p>
        </w:tc>
        <w:tc>
          <w:tcPr>
            <w:tcW w:w="1250" w:type="dxa"/>
            <w:vAlign w:val="center"/>
          </w:tcPr>
          <w:p w:rsidR="005F7EF1" w:rsidRDefault="00E6254F">
            <w:pPr>
              <w:jc w:val="center"/>
            </w:pPr>
            <w:r>
              <w:rPr>
                <w:rFonts w:eastAsiaTheme="minorEastAsia"/>
                <w:color w:val="000000"/>
                <w:szCs w:val="21"/>
              </w:rPr>
              <w:t>ETF</w:t>
            </w:r>
          </w:p>
        </w:tc>
        <w:tc>
          <w:tcPr>
            <w:tcW w:w="870" w:type="dxa"/>
            <w:vAlign w:val="center"/>
          </w:tcPr>
          <w:p w:rsidR="005F7EF1" w:rsidRDefault="00E6254F">
            <w:pPr>
              <w:jc w:val="center"/>
            </w:pPr>
            <w:r>
              <w:rPr>
                <w:rFonts w:eastAsiaTheme="minorEastAsia"/>
                <w:color w:val="000000"/>
                <w:szCs w:val="21"/>
              </w:rPr>
              <w:t>开放式</w:t>
            </w:r>
          </w:p>
        </w:tc>
        <w:tc>
          <w:tcPr>
            <w:tcW w:w="1428" w:type="dxa"/>
            <w:vAlign w:val="center"/>
          </w:tcPr>
          <w:p w:rsidR="005F7EF1" w:rsidRDefault="00E6254F">
            <w:pPr>
              <w:jc w:val="center"/>
            </w:pPr>
            <w:r>
              <w:rPr>
                <w:rFonts w:eastAsiaTheme="minorEastAsia"/>
                <w:color w:val="000000"/>
                <w:szCs w:val="21"/>
              </w:rPr>
              <w:t>United States Commodities Fund LLC</w:t>
            </w:r>
          </w:p>
        </w:tc>
        <w:tc>
          <w:tcPr>
            <w:tcW w:w="1963" w:type="dxa"/>
            <w:vAlign w:val="center"/>
          </w:tcPr>
          <w:p w:rsidR="005F7EF1" w:rsidRDefault="00E6254F">
            <w:pPr>
              <w:jc w:val="right"/>
            </w:pPr>
            <w:r>
              <w:rPr>
                <w:rFonts w:eastAsiaTheme="minorEastAsia"/>
                <w:color w:val="000000"/>
                <w:szCs w:val="21"/>
              </w:rPr>
              <w:t>136,572,404.38</w:t>
            </w:r>
          </w:p>
        </w:tc>
        <w:tc>
          <w:tcPr>
            <w:tcW w:w="1702" w:type="dxa"/>
            <w:vAlign w:val="center"/>
          </w:tcPr>
          <w:p w:rsidR="005F7EF1" w:rsidRDefault="00E6254F">
            <w:pPr>
              <w:jc w:val="right"/>
            </w:pPr>
            <w:r>
              <w:rPr>
                <w:rFonts w:eastAsiaTheme="minorEastAsia"/>
                <w:color w:val="000000"/>
                <w:szCs w:val="21"/>
              </w:rPr>
              <w:t>17.12</w:t>
            </w:r>
          </w:p>
        </w:tc>
      </w:tr>
      <w:tr w:rsidR="005F7EF1">
        <w:trPr>
          <w:jc w:val="center"/>
        </w:trPr>
        <w:tc>
          <w:tcPr>
            <w:tcW w:w="929" w:type="dxa"/>
            <w:vAlign w:val="center"/>
          </w:tcPr>
          <w:p w:rsidR="005F7EF1" w:rsidRDefault="00E6254F">
            <w:pPr>
              <w:jc w:val="center"/>
            </w:pPr>
            <w:r>
              <w:rPr>
                <w:rFonts w:eastAsiaTheme="minorEastAsia"/>
                <w:color w:val="000000"/>
                <w:szCs w:val="21"/>
              </w:rPr>
              <w:t>3</w:t>
            </w:r>
          </w:p>
        </w:tc>
        <w:tc>
          <w:tcPr>
            <w:tcW w:w="1214" w:type="dxa"/>
            <w:vAlign w:val="center"/>
          </w:tcPr>
          <w:p w:rsidR="005F7EF1" w:rsidRDefault="00E6254F">
            <w:pPr>
              <w:jc w:val="center"/>
            </w:pPr>
            <w:r>
              <w:rPr>
                <w:rFonts w:eastAsiaTheme="minorEastAsia"/>
                <w:color w:val="000000"/>
                <w:szCs w:val="21"/>
              </w:rPr>
              <w:t>United States Brent Oil Fund LP</w:t>
            </w:r>
          </w:p>
        </w:tc>
        <w:tc>
          <w:tcPr>
            <w:tcW w:w="1250" w:type="dxa"/>
            <w:vAlign w:val="center"/>
          </w:tcPr>
          <w:p w:rsidR="005F7EF1" w:rsidRDefault="00E6254F">
            <w:pPr>
              <w:jc w:val="center"/>
            </w:pPr>
            <w:r>
              <w:rPr>
                <w:rFonts w:eastAsiaTheme="minorEastAsia"/>
                <w:color w:val="000000"/>
                <w:szCs w:val="21"/>
              </w:rPr>
              <w:t>ETF</w:t>
            </w:r>
          </w:p>
        </w:tc>
        <w:tc>
          <w:tcPr>
            <w:tcW w:w="870" w:type="dxa"/>
            <w:vAlign w:val="center"/>
          </w:tcPr>
          <w:p w:rsidR="005F7EF1" w:rsidRDefault="00E6254F">
            <w:pPr>
              <w:jc w:val="center"/>
            </w:pPr>
            <w:r>
              <w:rPr>
                <w:rFonts w:eastAsiaTheme="minorEastAsia"/>
                <w:color w:val="000000"/>
                <w:szCs w:val="21"/>
              </w:rPr>
              <w:t>开放式</w:t>
            </w:r>
          </w:p>
        </w:tc>
        <w:tc>
          <w:tcPr>
            <w:tcW w:w="1428" w:type="dxa"/>
            <w:vAlign w:val="center"/>
          </w:tcPr>
          <w:p w:rsidR="005F7EF1" w:rsidRDefault="00E6254F">
            <w:pPr>
              <w:jc w:val="center"/>
            </w:pPr>
            <w:r>
              <w:rPr>
                <w:rFonts w:eastAsiaTheme="minorEastAsia"/>
                <w:color w:val="000000"/>
                <w:szCs w:val="21"/>
              </w:rPr>
              <w:t>United States Commodities Fund LLC</w:t>
            </w:r>
          </w:p>
        </w:tc>
        <w:tc>
          <w:tcPr>
            <w:tcW w:w="1963" w:type="dxa"/>
            <w:vAlign w:val="center"/>
          </w:tcPr>
          <w:p w:rsidR="005F7EF1" w:rsidRDefault="00E6254F">
            <w:pPr>
              <w:jc w:val="right"/>
            </w:pPr>
            <w:r>
              <w:rPr>
                <w:rFonts w:eastAsiaTheme="minorEastAsia"/>
                <w:color w:val="000000"/>
                <w:szCs w:val="21"/>
              </w:rPr>
              <w:t>116,873,341.65</w:t>
            </w:r>
          </w:p>
        </w:tc>
        <w:tc>
          <w:tcPr>
            <w:tcW w:w="1702" w:type="dxa"/>
            <w:vAlign w:val="center"/>
          </w:tcPr>
          <w:p w:rsidR="005F7EF1" w:rsidRDefault="00E6254F">
            <w:pPr>
              <w:jc w:val="right"/>
            </w:pPr>
            <w:r>
              <w:rPr>
                <w:rFonts w:eastAsiaTheme="minorEastAsia"/>
                <w:color w:val="000000"/>
                <w:szCs w:val="21"/>
              </w:rPr>
              <w:t>14.65</w:t>
            </w:r>
          </w:p>
        </w:tc>
      </w:tr>
      <w:tr w:rsidR="005F7EF1">
        <w:trPr>
          <w:jc w:val="center"/>
        </w:trPr>
        <w:tc>
          <w:tcPr>
            <w:tcW w:w="929" w:type="dxa"/>
            <w:vAlign w:val="center"/>
          </w:tcPr>
          <w:p w:rsidR="005F7EF1" w:rsidRDefault="00E6254F">
            <w:pPr>
              <w:jc w:val="center"/>
            </w:pPr>
            <w:r>
              <w:rPr>
                <w:rFonts w:eastAsiaTheme="minorEastAsia"/>
                <w:color w:val="000000"/>
                <w:szCs w:val="21"/>
              </w:rPr>
              <w:t>4</w:t>
            </w:r>
          </w:p>
        </w:tc>
        <w:tc>
          <w:tcPr>
            <w:tcW w:w="1214" w:type="dxa"/>
            <w:vAlign w:val="center"/>
          </w:tcPr>
          <w:p w:rsidR="005F7EF1" w:rsidRDefault="00E6254F">
            <w:pPr>
              <w:jc w:val="center"/>
            </w:pPr>
            <w:r>
              <w:rPr>
                <w:rFonts w:eastAsiaTheme="minorEastAsia"/>
                <w:color w:val="000000"/>
                <w:szCs w:val="21"/>
              </w:rPr>
              <w:t>Invesco DB Oil Fund</w:t>
            </w:r>
          </w:p>
        </w:tc>
        <w:tc>
          <w:tcPr>
            <w:tcW w:w="1250" w:type="dxa"/>
            <w:vAlign w:val="center"/>
          </w:tcPr>
          <w:p w:rsidR="005F7EF1" w:rsidRDefault="00E6254F">
            <w:pPr>
              <w:jc w:val="center"/>
            </w:pPr>
            <w:r>
              <w:rPr>
                <w:rFonts w:eastAsiaTheme="minorEastAsia"/>
                <w:color w:val="000000"/>
                <w:szCs w:val="21"/>
              </w:rPr>
              <w:t>ETF</w:t>
            </w:r>
          </w:p>
        </w:tc>
        <w:tc>
          <w:tcPr>
            <w:tcW w:w="870" w:type="dxa"/>
            <w:vAlign w:val="center"/>
          </w:tcPr>
          <w:p w:rsidR="005F7EF1" w:rsidRDefault="00E6254F">
            <w:pPr>
              <w:jc w:val="center"/>
            </w:pPr>
            <w:r>
              <w:rPr>
                <w:rFonts w:eastAsiaTheme="minorEastAsia"/>
                <w:color w:val="000000"/>
                <w:szCs w:val="21"/>
              </w:rPr>
              <w:t>开放式</w:t>
            </w:r>
          </w:p>
        </w:tc>
        <w:tc>
          <w:tcPr>
            <w:tcW w:w="1428" w:type="dxa"/>
            <w:vAlign w:val="center"/>
          </w:tcPr>
          <w:p w:rsidR="005F7EF1" w:rsidRDefault="00E6254F">
            <w:pPr>
              <w:jc w:val="center"/>
            </w:pPr>
            <w:r>
              <w:rPr>
                <w:rFonts w:eastAsiaTheme="minorEastAsia"/>
                <w:color w:val="000000"/>
                <w:szCs w:val="21"/>
              </w:rPr>
              <w:t>Invesco Capital Management LLC</w:t>
            </w:r>
          </w:p>
        </w:tc>
        <w:tc>
          <w:tcPr>
            <w:tcW w:w="1963" w:type="dxa"/>
            <w:vAlign w:val="center"/>
          </w:tcPr>
          <w:p w:rsidR="005F7EF1" w:rsidRDefault="00E6254F">
            <w:pPr>
              <w:jc w:val="right"/>
            </w:pPr>
            <w:r>
              <w:rPr>
                <w:rFonts w:eastAsiaTheme="minorEastAsia"/>
                <w:color w:val="000000"/>
                <w:szCs w:val="21"/>
              </w:rPr>
              <w:t>112,332,550.35</w:t>
            </w:r>
          </w:p>
        </w:tc>
        <w:tc>
          <w:tcPr>
            <w:tcW w:w="1702" w:type="dxa"/>
            <w:vAlign w:val="center"/>
          </w:tcPr>
          <w:p w:rsidR="005F7EF1" w:rsidRDefault="00E6254F">
            <w:pPr>
              <w:jc w:val="right"/>
            </w:pPr>
            <w:r>
              <w:rPr>
                <w:rFonts w:eastAsiaTheme="minorEastAsia"/>
                <w:color w:val="000000"/>
                <w:szCs w:val="21"/>
              </w:rPr>
              <w:t>14.08</w:t>
            </w:r>
          </w:p>
        </w:tc>
      </w:tr>
      <w:tr w:rsidR="005F7EF1">
        <w:trPr>
          <w:jc w:val="center"/>
        </w:trPr>
        <w:tc>
          <w:tcPr>
            <w:tcW w:w="929" w:type="dxa"/>
            <w:vAlign w:val="center"/>
          </w:tcPr>
          <w:p w:rsidR="005F7EF1" w:rsidRDefault="00E6254F">
            <w:pPr>
              <w:jc w:val="center"/>
            </w:pPr>
            <w:r>
              <w:rPr>
                <w:rFonts w:eastAsiaTheme="minorEastAsia"/>
                <w:color w:val="000000"/>
                <w:szCs w:val="21"/>
              </w:rPr>
              <w:t>5</w:t>
            </w:r>
          </w:p>
        </w:tc>
        <w:tc>
          <w:tcPr>
            <w:tcW w:w="1214" w:type="dxa"/>
            <w:vAlign w:val="center"/>
          </w:tcPr>
          <w:p w:rsidR="005F7EF1" w:rsidRDefault="00E6254F">
            <w:pPr>
              <w:jc w:val="center"/>
            </w:pPr>
            <w:r>
              <w:rPr>
                <w:rFonts w:eastAsiaTheme="minorEastAsia"/>
                <w:color w:val="000000"/>
                <w:szCs w:val="21"/>
              </w:rPr>
              <w:t>Simplex WTI ETF</w:t>
            </w:r>
          </w:p>
        </w:tc>
        <w:tc>
          <w:tcPr>
            <w:tcW w:w="1250" w:type="dxa"/>
            <w:vAlign w:val="center"/>
          </w:tcPr>
          <w:p w:rsidR="005F7EF1" w:rsidRDefault="00E6254F">
            <w:pPr>
              <w:jc w:val="center"/>
            </w:pPr>
            <w:r>
              <w:rPr>
                <w:rFonts w:eastAsiaTheme="minorEastAsia"/>
                <w:color w:val="000000"/>
                <w:szCs w:val="21"/>
              </w:rPr>
              <w:t>ETF</w:t>
            </w:r>
          </w:p>
        </w:tc>
        <w:tc>
          <w:tcPr>
            <w:tcW w:w="870" w:type="dxa"/>
            <w:vAlign w:val="center"/>
          </w:tcPr>
          <w:p w:rsidR="005F7EF1" w:rsidRDefault="00E6254F">
            <w:pPr>
              <w:jc w:val="center"/>
            </w:pPr>
            <w:r>
              <w:rPr>
                <w:rFonts w:eastAsiaTheme="minorEastAsia"/>
                <w:color w:val="000000"/>
                <w:szCs w:val="21"/>
              </w:rPr>
              <w:t>开放式</w:t>
            </w:r>
          </w:p>
        </w:tc>
        <w:tc>
          <w:tcPr>
            <w:tcW w:w="1428" w:type="dxa"/>
            <w:vAlign w:val="center"/>
          </w:tcPr>
          <w:p w:rsidR="005F7EF1" w:rsidRDefault="00E6254F">
            <w:pPr>
              <w:jc w:val="center"/>
            </w:pPr>
            <w:r>
              <w:rPr>
                <w:rFonts w:eastAsiaTheme="minorEastAsia"/>
                <w:color w:val="000000"/>
                <w:szCs w:val="21"/>
              </w:rPr>
              <w:t>Simplex Asset Management Co Ltd/Japan</w:t>
            </w:r>
          </w:p>
        </w:tc>
        <w:tc>
          <w:tcPr>
            <w:tcW w:w="1963" w:type="dxa"/>
            <w:vAlign w:val="center"/>
          </w:tcPr>
          <w:p w:rsidR="005F7EF1" w:rsidRDefault="00E6254F">
            <w:pPr>
              <w:jc w:val="right"/>
            </w:pPr>
            <w:r>
              <w:rPr>
                <w:rFonts w:eastAsiaTheme="minorEastAsia"/>
                <w:color w:val="000000"/>
                <w:szCs w:val="21"/>
              </w:rPr>
              <w:t>71,346,401.28</w:t>
            </w:r>
          </w:p>
        </w:tc>
        <w:tc>
          <w:tcPr>
            <w:tcW w:w="1702" w:type="dxa"/>
            <w:vAlign w:val="center"/>
          </w:tcPr>
          <w:p w:rsidR="005F7EF1" w:rsidRDefault="00E6254F">
            <w:pPr>
              <w:jc w:val="right"/>
            </w:pPr>
            <w:r>
              <w:rPr>
                <w:rFonts w:eastAsiaTheme="minorEastAsia"/>
                <w:color w:val="000000"/>
                <w:szCs w:val="21"/>
              </w:rPr>
              <w:t>8.95</w:t>
            </w:r>
          </w:p>
        </w:tc>
      </w:tr>
      <w:tr w:rsidR="005F7EF1">
        <w:trPr>
          <w:jc w:val="center"/>
        </w:trPr>
        <w:tc>
          <w:tcPr>
            <w:tcW w:w="929" w:type="dxa"/>
            <w:vAlign w:val="center"/>
          </w:tcPr>
          <w:p w:rsidR="005F7EF1" w:rsidRDefault="00E6254F">
            <w:pPr>
              <w:jc w:val="center"/>
            </w:pPr>
            <w:r>
              <w:rPr>
                <w:rFonts w:eastAsiaTheme="minorEastAsia"/>
                <w:color w:val="000000"/>
                <w:szCs w:val="21"/>
              </w:rPr>
              <w:t>6</w:t>
            </w:r>
          </w:p>
        </w:tc>
        <w:tc>
          <w:tcPr>
            <w:tcW w:w="1214" w:type="dxa"/>
            <w:vAlign w:val="center"/>
          </w:tcPr>
          <w:p w:rsidR="005F7EF1" w:rsidRDefault="00E6254F">
            <w:pPr>
              <w:jc w:val="center"/>
            </w:pPr>
            <w:r>
              <w:rPr>
                <w:rFonts w:eastAsiaTheme="minorEastAsia"/>
                <w:color w:val="000000"/>
                <w:szCs w:val="21"/>
              </w:rPr>
              <w:t>United States 12 Month Oil Fund LP</w:t>
            </w:r>
          </w:p>
        </w:tc>
        <w:tc>
          <w:tcPr>
            <w:tcW w:w="1250" w:type="dxa"/>
            <w:vAlign w:val="center"/>
          </w:tcPr>
          <w:p w:rsidR="005F7EF1" w:rsidRDefault="00E6254F">
            <w:pPr>
              <w:jc w:val="center"/>
            </w:pPr>
            <w:r>
              <w:rPr>
                <w:rFonts w:eastAsiaTheme="minorEastAsia"/>
                <w:color w:val="000000"/>
                <w:szCs w:val="21"/>
              </w:rPr>
              <w:t>ETF</w:t>
            </w:r>
          </w:p>
        </w:tc>
        <w:tc>
          <w:tcPr>
            <w:tcW w:w="870" w:type="dxa"/>
            <w:vAlign w:val="center"/>
          </w:tcPr>
          <w:p w:rsidR="005F7EF1" w:rsidRDefault="00E6254F">
            <w:pPr>
              <w:jc w:val="center"/>
            </w:pPr>
            <w:r>
              <w:rPr>
                <w:rFonts w:eastAsiaTheme="minorEastAsia"/>
                <w:color w:val="000000"/>
                <w:szCs w:val="21"/>
              </w:rPr>
              <w:t>开放式</w:t>
            </w:r>
          </w:p>
        </w:tc>
        <w:tc>
          <w:tcPr>
            <w:tcW w:w="1428" w:type="dxa"/>
            <w:vAlign w:val="center"/>
          </w:tcPr>
          <w:p w:rsidR="005F7EF1" w:rsidRDefault="00E6254F">
            <w:pPr>
              <w:jc w:val="center"/>
            </w:pPr>
            <w:r>
              <w:rPr>
                <w:rFonts w:eastAsiaTheme="minorEastAsia"/>
                <w:color w:val="000000"/>
                <w:szCs w:val="21"/>
              </w:rPr>
              <w:t>United States Commodities Fund LLC</w:t>
            </w:r>
          </w:p>
        </w:tc>
        <w:tc>
          <w:tcPr>
            <w:tcW w:w="1963" w:type="dxa"/>
            <w:vAlign w:val="center"/>
          </w:tcPr>
          <w:p w:rsidR="005F7EF1" w:rsidRDefault="00E6254F">
            <w:pPr>
              <w:jc w:val="right"/>
            </w:pPr>
            <w:r>
              <w:rPr>
                <w:rFonts w:eastAsiaTheme="minorEastAsia"/>
                <w:color w:val="000000"/>
                <w:szCs w:val="21"/>
              </w:rPr>
              <w:t>61,254,524.21</w:t>
            </w:r>
          </w:p>
        </w:tc>
        <w:tc>
          <w:tcPr>
            <w:tcW w:w="1702" w:type="dxa"/>
            <w:vAlign w:val="center"/>
          </w:tcPr>
          <w:p w:rsidR="005F7EF1" w:rsidRDefault="00E6254F">
            <w:pPr>
              <w:jc w:val="right"/>
            </w:pPr>
            <w:r>
              <w:rPr>
                <w:rFonts w:eastAsiaTheme="minorEastAsia"/>
                <w:color w:val="000000"/>
                <w:szCs w:val="21"/>
              </w:rPr>
              <w:t>7.68</w:t>
            </w:r>
          </w:p>
        </w:tc>
      </w:tr>
      <w:tr w:rsidR="005F7EF1">
        <w:trPr>
          <w:jc w:val="center"/>
        </w:trPr>
        <w:tc>
          <w:tcPr>
            <w:tcW w:w="929" w:type="dxa"/>
            <w:vAlign w:val="center"/>
          </w:tcPr>
          <w:p w:rsidR="005F7EF1" w:rsidRDefault="00E6254F">
            <w:pPr>
              <w:jc w:val="center"/>
            </w:pPr>
            <w:r>
              <w:rPr>
                <w:rFonts w:eastAsiaTheme="minorEastAsia"/>
                <w:color w:val="000000"/>
                <w:szCs w:val="21"/>
              </w:rPr>
              <w:t>7</w:t>
            </w:r>
          </w:p>
        </w:tc>
        <w:tc>
          <w:tcPr>
            <w:tcW w:w="1214" w:type="dxa"/>
            <w:vAlign w:val="center"/>
          </w:tcPr>
          <w:p w:rsidR="005F7EF1" w:rsidRDefault="00E6254F">
            <w:pPr>
              <w:jc w:val="center"/>
            </w:pPr>
            <w:r>
              <w:rPr>
                <w:rFonts w:eastAsiaTheme="minorEastAsia"/>
                <w:color w:val="000000"/>
                <w:szCs w:val="21"/>
              </w:rPr>
              <w:t>Next Funds Nomura Crude Oil</w:t>
            </w:r>
          </w:p>
        </w:tc>
        <w:tc>
          <w:tcPr>
            <w:tcW w:w="1250" w:type="dxa"/>
            <w:vAlign w:val="center"/>
          </w:tcPr>
          <w:p w:rsidR="005F7EF1" w:rsidRDefault="00E6254F">
            <w:pPr>
              <w:jc w:val="center"/>
            </w:pPr>
            <w:r>
              <w:rPr>
                <w:rFonts w:eastAsiaTheme="minorEastAsia"/>
                <w:color w:val="000000"/>
                <w:szCs w:val="21"/>
              </w:rPr>
              <w:t>ETF</w:t>
            </w:r>
          </w:p>
        </w:tc>
        <w:tc>
          <w:tcPr>
            <w:tcW w:w="870" w:type="dxa"/>
            <w:vAlign w:val="center"/>
          </w:tcPr>
          <w:p w:rsidR="005F7EF1" w:rsidRDefault="00E6254F">
            <w:pPr>
              <w:jc w:val="center"/>
            </w:pPr>
            <w:r>
              <w:rPr>
                <w:rFonts w:eastAsiaTheme="minorEastAsia"/>
                <w:color w:val="000000"/>
                <w:szCs w:val="21"/>
              </w:rPr>
              <w:t>开放式</w:t>
            </w:r>
          </w:p>
        </w:tc>
        <w:tc>
          <w:tcPr>
            <w:tcW w:w="1428" w:type="dxa"/>
            <w:vAlign w:val="center"/>
          </w:tcPr>
          <w:p w:rsidR="005F7EF1" w:rsidRDefault="00E6254F">
            <w:pPr>
              <w:jc w:val="center"/>
            </w:pPr>
            <w:r>
              <w:rPr>
                <w:rFonts w:eastAsiaTheme="minorEastAsia"/>
                <w:color w:val="000000"/>
                <w:szCs w:val="21"/>
              </w:rPr>
              <w:t>Nomura Asset Management Co Ltd</w:t>
            </w:r>
          </w:p>
        </w:tc>
        <w:tc>
          <w:tcPr>
            <w:tcW w:w="1963" w:type="dxa"/>
            <w:vAlign w:val="center"/>
          </w:tcPr>
          <w:p w:rsidR="005F7EF1" w:rsidRDefault="00E6254F">
            <w:pPr>
              <w:jc w:val="right"/>
            </w:pPr>
            <w:r>
              <w:rPr>
                <w:rFonts w:eastAsiaTheme="minorEastAsia"/>
                <w:color w:val="000000"/>
                <w:szCs w:val="21"/>
              </w:rPr>
              <w:t>58,790,234.88</w:t>
            </w:r>
          </w:p>
        </w:tc>
        <w:tc>
          <w:tcPr>
            <w:tcW w:w="1702" w:type="dxa"/>
            <w:vAlign w:val="center"/>
          </w:tcPr>
          <w:p w:rsidR="005F7EF1" w:rsidRDefault="00E6254F">
            <w:pPr>
              <w:jc w:val="right"/>
            </w:pPr>
            <w:r>
              <w:rPr>
                <w:rFonts w:eastAsiaTheme="minorEastAsia"/>
                <w:color w:val="000000"/>
                <w:szCs w:val="21"/>
              </w:rPr>
              <w:t>7.37</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78" w:name="_Toc224618386"/>
      <w:bookmarkStart w:id="279" w:name="_Toc248233033"/>
      <w:bookmarkStart w:id="280" w:name="_Toc249790565"/>
      <w:bookmarkStart w:id="281" w:name="_Toc286929766"/>
      <w:bookmarkStart w:id="282" w:name="_Toc352256005"/>
      <w:bookmarkStart w:id="283" w:name="_Toc352256073"/>
      <w:bookmarkStart w:id="284" w:name="_Toc352331251"/>
      <w:bookmarkStart w:id="285" w:name="_Toc390164833"/>
      <w:bookmarkStart w:id="286" w:name="_Toc48664185"/>
      <w:r w:rsidRPr="0087359D">
        <w:rPr>
          <w:rFonts w:ascii="宋体" w:hAnsi="宋体"/>
          <w:kern w:val="0"/>
          <w:sz w:val="21"/>
          <w:szCs w:val="21"/>
        </w:rPr>
        <w:t>7.11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投资组合报告附注</w:t>
      </w:r>
      <w:bookmarkEnd w:id="278"/>
      <w:bookmarkEnd w:id="279"/>
      <w:bookmarkEnd w:id="280"/>
      <w:bookmarkEnd w:id="281"/>
      <w:bookmarkEnd w:id="282"/>
      <w:bookmarkEnd w:id="283"/>
      <w:bookmarkEnd w:id="284"/>
      <w:bookmarkEnd w:id="285"/>
      <w:bookmarkEnd w:id="286"/>
    </w:p>
    <w:p w:rsidR="008A5A5D" w:rsidRPr="00C24ACA" w:rsidRDefault="008A5A5D" w:rsidP="006313B1">
      <w:pPr>
        <w:spacing w:line="360" w:lineRule="auto"/>
        <w:rPr>
          <w:rFonts w:eastAsiaTheme="minorEastAsia"/>
          <w:kern w:val="0"/>
          <w:szCs w:val="21"/>
        </w:rPr>
      </w:pPr>
      <w:r w:rsidRPr="00C24ACA">
        <w:rPr>
          <w:rFonts w:eastAsiaTheme="minorEastAsia"/>
          <w:b/>
          <w:color w:val="000000"/>
          <w:szCs w:val="21"/>
        </w:rPr>
        <w:t>7.11.1</w:t>
      </w:r>
      <w:r w:rsidR="00ED31E5" w:rsidRPr="00C24ACA">
        <w:rPr>
          <w:rFonts w:eastAsiaTheme="minorEastAsia"/>
          <w:kern w:val="0"/>
          <w:szCs w:val="21"/>
        </w:rPr>
        <w:t xml:space="preserve"> </w:t>
      </w:r>
      <w:r w:rsidRPr="00C24ACA">
        <w:rPr>
          <w:rFonts w:eastAsiaTheme="minorEastAsia"/>
          <w:kern w:val="0"/>
          <w:szCs w:val="21"/>
        </w:rPr>
        <w:t>本基金投资的前十名证券的发行主体本期没有出现被监管部门立案调查，或在报告编制日前一年内受到公开谴责、处罚的情形。</w:t>
      </w:r>
    </w:p>
    <w:p w:rsidR="008A5A5D" w:rsidRPr="00C24ACA" w:rsidRDefault="008A5A5D" w:rsidP="00732F5C">
      <w:pPr>
        <w:spacing w:beforeLines="100" w:before="312" w:line="360" w:lineRule="auto"/>
        <w:rPr>
          <w:rFonts w:eastAsiaTheme="minorEastAsia"/>
          <w:kern w:val="0"/>
          <w:szCs w:val="21"/>
        </w:rPr>
      </w:pPr>
      <w:r w:rsidRPr="00C24ACA">
        <w:rPr>
          <w:rFonts w:eastAsiaTheme="minorEastAsia"/>
          <w:b/>
          <w:color w:val="000000"/>
          <w:szCs w:val="21"/>
        </w:rPr>
        <w:t>7.11.2</w:t>
      </w:r>
      <w:r w:rsidRPr="00C24ACA">
        <w:rPr>
          <w:rFonts w:eastAsiaTheme="minorEastAsia"/>
          <w:kern w:val="0"/>
          <w:szCs w:val="21"/>
        </w:rPr>
        <w:t xml:space="preserve"> </w:t>
      </w:r>
      <w:r w:rsidRPr="00C24ACA">
        <w:rPr>
          <w:rFonts w:eastAsiaTheme="minorEastAsia"/>
          <w:kern w:val="0"/>
          <w:szCs w:val="21"/>
        </w:rPr>
        <w:t>本基金本报告期末未持有股票，不存在投资的前十名股票超出基金合同规定的备选股票库情况。</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color w:val="000000"/>
          <w:szCs w:val="21"/>
        </w:rPr>
        <w:t>7.11.3</w:t>
      </w:r>
      <w:r w:rsidR="004E34BB" w:rsidRPr="00C24ACA">
        <w:rPr>
          <w:rFonts w:eastAsiaTheme="minorEastAsia"/>
          <w:b/>
          <w:szCs w:val="21"/>
        </w:rPr>
        <w:t>期末其他各项资产构成</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8A5A5D" w:rsidRPr="00C24ACA" w:rsidTr="00B73AA7">
        <w:trPr>
          <w:trHeight w:val="285"/>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序号</w:t>
            </w:r>
          </w:p>
        </w:tc>
        <w:tc>
          <w:tcPr>
            <w:tcW w:w="4431"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名称</w:t>
            </w:r>
          </w:p>
        </w:tc>
        <w:tc>
          <w:tcPr>
            <w:tcW w:w="41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1</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存出保证金</w:t>
            </w:r>
          </w:p>
        </w:tc>
        <w:tc>
          <w:tcPr>
            <w:tcW w:w="4105" w:type="dxa"/>
            <w:tcMar>
              <w:top w:w="15" w:type="dxa"/>
              <w:left w:w="15" w:type="dxa"/>
              <w:bottom w:w="0" w:type="dxa"/>
              <w:right w:w="15" w:type="dxa"/>
            </w:tcMar>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2</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应收证券清算款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3</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应收股利</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4</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应收利息</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2,364.60</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5</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应收申购款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6</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其他应收款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7</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待摊费用</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8</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其他</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9</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合计</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2,364.60</w:t>
            </w:r>
          </w:p>
        </w:tc>
      </w:tr>
    </w:tbl>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7.11.4</w:t>
      </w:r>
      <w:r w:rsidRPr="00C24ACA">
        <w:rPr>
          <w:rFonts w:eastAsiaTheme="minorEastAsia"/>
          <w:b/>
          <w:color w:val="000000"/>
          <w:kern w:val="0"/>
          <w:szCs w:val="21"/>
        </w:rPr>
        <w:t>期末持有的处于转股期的可转换债券明细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本基金本报告期末未持有处于转股期的可转换债券。</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7.11.5</w:t>
      </w:r>
      <w:r w:rsidRPr="00C24ACA">
        <w:rPr>
          <w:rFonts w:eastAsiaTheme="minorEastAsia"/>
          <w:b/>
          <w:color w:val="000000"/>
          <w:kern w:val="0"/>
          <w:szCs w:val="21"/>
        </w:rPr>
        <w:t>期末前十名股票中存在流通受限情况的说明</w:t>
      </w:r>
    </w:p>
    <w:p w:rsidR="008A5A5D" w:rsidRPr="001412CA" w:rsidRDefault="00DC59DF"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本基金本报告期末未持有股票。</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87" w:name="_Toc225500050"/>
      <w:bookmarkStart w:id="288" w:name="_Toc352256006"/>
      <w:bookmarkStart w:id="289" w:name="_Toc352256074"/>
      <w:bookmarkStart w:id="290" w:name="_Toc352331252"/>
      <w:bookmarkStart w:id="291" w:name="_Toc390164834"/>
      <w:bookmarkStart w:id="292" w:name="_Toc48664186"/>
      <w:r w:rsidRPr="000C6CCD">
        <w:rPr>
          <w:rFonts w:ascii="宋体" w:hAnsi="宋体"/>
          <w:bCs w:val="0"/>
          <w:color w:val="000000"/>
          <w:sz w:val="21"/>
          <w:szCs w:val="21"/>
        </w:rPr>
        <w:t>8</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基金份额持有人信息</w:t>
      </w:r>
      <w:bookmarkEnd w:id="287"/>
      <w:bookmarkEnd w:id="288"/>
      <w:bookmarkEnd w:id="289"/>
      <w:bookmarkEnd w:id="290"/>
      <w:bookmarkEnd w:id="291"/>
      <w:bookmarkEnd w:id="29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93" w:name="_Toc225500051"/>
      <w:bookmarkStart w:id="294" w:name="_Toc352256007"/>
      <w:bookmarkStart w:id="295" w:name="_Toc352256075"/>
      <w:bookmarkStart w:id="296" w:name="_Toc352331253"/>
      <w:bookmarkStart w:id="297" w:name="_Toc390164835"/>
      <w:bookmarkStart w:id="298" w:name="_Toc48664187"/>
      <w:r w:rsidRPr="0087359D">
        <w:rPr>
          <w:rFonts w:ascii="宋体" w:hAnsi="宋体"/>
          <w:kern w:val="0"/>
          <w:sz w:val="21"/>
          <w:szCs w:val="21"/>
        </w:rPr>
        <w:t>8.1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期末基金份额持有人户数及持有人结构</w:t>
      </w:r>
      <w:bookmarkEnd w:id="293"/>
      <w:bookmarkEnd w:id="294"/>
      <w:bookmarkEnd w:id="295"/>
      <w:bookmarkEnd w:id="296"/>
      <w:bookmarkEnd w:id="297"/>
      <w:bookmarkEnd w:id="298"/>
    </w:p>
    <w:p w:rsidR="002716BD" w:rsidRPr="00C24ACA" w:rsidRDefault="002716BD" w:rsidP="002716BD">
      <w:pPr>
        <w:autoSpaceDE w:val="0"/>
        <w:autoSpaceDN w:val="0"/>
        <w:adjustRightInd w:val="0"/>
        <w:spacing w:before="29" w:line="360" w:lineRule="auto"/>
        <w:ind w:left="15"/>
        <w:jc w:val="right"/>
        <w:rPr>
          <w:rFonts w:eastAsiaTheme="minorEastAsia"/>
          <w:color w:val="000000"/>
          <w:szCs w:val="21"/>
        </w:rPr>
      </w:pPr>
      <w:bookmarkStart w:id="299" w:name="_Toc352256008"/>
      <w:bookmarkStart w:id="300" w:name="_Toc352256076"/>
      <w:bookmarkStart w:id="301" w:name="_Toc352331254"/>
      <w:r w:rsidRPr="00C24ACA">
        <w:rPr>
          <w:rFonts w:eastAsiaTheme="minor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01"/>
        <w:gridCol w:w="1088"/>
        <w:gridCol w:w="1189"/>
        <w:gridCol w:w="1442"/>
        <w:gridCol w:w="901"/>
        <w:gridCol w:w="1686"/>
        <w:gridCol w:w="871"/>
      </w:tblGrid>
      <w:tr w:rsidR="002716BD" w:rsidRPr="00C24ACA" w:rsidTr="004322C7">
        <w:tc>
          <w:tcPr>
            <w:tcW w:w="964"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szCs w:val="21"/>
              </w:rPr>
              <w:t>份额级别</w:t>
            </w:r>
          </w:p>
        </w:tc>
        <w:tc>
          <w:tcPr>
            <w:tcW w:w="633"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持有人户数</w:t>
            </w:r>
            <w:r w:rsidRPr="00C24ACA">
              <w:rPr>
                <w:rFonts w:eastAsiaTheme="minorEastAsia"/>
                <w:bCs/>
                <w:color w:val="000000"/>
                <w:szCs w:val="21"/>
              </w:rPr>
              <w:t>(</w:t>
            </w:r>
            <w:r w:rsidRPr="00C24ACA">
              <w:rPr>
                <w:rFonts w:eastAsiaTheme="minorEastAsia"/>
                <w:bCs/>
                <w:color w:val="000000"/>
                <w:szCs w:val="21"/>
              </w:rPr>
              <w:t>户</w:t>
            </w:r>
            <w:r w:rsidRPr="00C24ACA">
              <w:rPr>
                <w:rFonts w:eastAsiaTheme="minorEastAsia"/>
                <w:bCs/>
                <w:color w:val="000000"/>
                <w:szCs w:val="21"/>
              </w:rPr>
              <w:t>)</w:t>
            </w:r>
          </w:p>
        </w:tc>
        <w:tc>
          <w:tcPr>
            <w:tcW w:w="688"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户均持有的基金份额</w:t>
            </w:r>
          </w:p>
        </w:tc>
        <w:tc>
          <w:tcPr>
            <w:tcW w:w="2715" w:type="pct"/>
            <w:gridSpan w:val="4"/>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持有人结构</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1357"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机构投资者</w:t>
            </w:r>
          </w:p>
        </w:tc>
        <w:tc>
          <w:tcPr>
            <w:tcW w:w="1358"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个人投资者</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826"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31"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c>
          <w:tcPr>
            <w:tcW w:w="84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15"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易方达原油（</w:t>
            </w:r>
            <w:r w:rsidRPr="00C24ACA">
              <w:rPr>
                <w:rFonts w:eastAsiaTheme="minorEastAsia"/>
                <w:bCs/>
                <w:color w:val="000000"/>
                <w:szCs w:val="21"/>
              </w:rPr>
              <w:t>QDII-LOF-FOF</w:t>
            </w:r>
            <w:r w:rsidRPr="00C24ACA">
              <w:rPr>
                <w:rFonts w:eastAsiaTheme="minorEastAsia"/>
                <w:bCs/>
                <w:color w:val="000000"/>
                <w:szCs w:val="21"/>
              </w:rPr>
              <w:t>）</w:t>
            </w:r>
            <w:r w:rsidRPr="00C24ACA">
              <w:rPr>
                <w:rFonts w:eastAsiaTheme="minorEastAsia"/>
                <w:bCs/>
                <w:color w:val="000000"/>
                <w:szCs w:val="21"/>
              </w:rPr>
              <w:t>A</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78,756</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12,592.40</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49,713,988.64</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5.01%</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942,013,021.94</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94.99%</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易方达原油（</w:t>
            </w:r>
            <w:r w:rsidRPr="00C24ACA">
              <w:rPr>
                <w:rFonts w:eastAsiaTheme="minorEastAsia"/>
                <w:bCs/>
                <w:color w:val="000000"/>
                <w:szCs w:val="21"/>
              </w:rPr>
              <w:t>QDII-LOF-FOF</w:t>
            </w:r>
            <w:r w:rsidRPr="00C24ACA">
              <w:rPr>
                <w:rFonts w:eastAsiaTheme="minorEastAsia"/>
                <w:bCs/>
                <w:color w:val="000000"/>
                <w:szCs w:val="21"/>
              </w:rPr>
              <w:t>）</w:t>
            </w:r>
            <w:r w:rsidRPr="00C24ACA">
              <w:rPr>
                <w:rFonts w:eastAsiaTheme="minorEastAsia"/>
                <w:bCs/>
                <w:color w:val="000000"/>
                <w:szCs w:val="21"/>
              </w:rPr>
              <w:t>C</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59,099</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8,694.01</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995,916.74</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0.19%</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512,811,350.21</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99.81%</w:t>
            </w:r>
          </w:p>
        </w:tc>
      </w:tr>
      <w:tr w:rsidR="002716BD" w:rsidRPr="00C24ACA" w:rsidTr="004322C7">
        <w:tc>
          <w:tcPr>
            <w:tcW w:w="964" w:type="pct"/>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合计</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137,855</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10,921.14</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50,709,905.38</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3.37%</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1,454,824,372.15</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96.63%</w:t>
            </w:r>
          </w:p>
        </w:tc>
      </w:tr>
    </w:tbl>
    <w:p w:rsidR="002716BD" w:rsidRPr="001412CA" w:rsidRDefault="002716BD"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注：易方达原油（</w:t>
      </w:r>
      <w:r w:rsidRPr="001412CA">
        <w:rPr>
          <w:rFonts w:eastAsiaTheme="minorEastAsia"/>
          <w:kern w:val="0"/>
          <w:szCs w:val="21"/>
        </w:rPr>
        <w:t>QDII-LOF-FOF</w:t>
      </w:r>
      <w:r w:rsidRPr="001412CA">
        <w:rPr>
          <w:rFonts w:eastAsiaTheme="minorEastAsia"/>
          <w:kern w:val="0"/>
          <w:szCs w:val="21"/>
        </w:rPr>
        <w:t>）</w:t>
      </w:r>
      <w:r w:rsidRPr="001412CA">
        <w:rPr>
          <w:rFonts w:eastAsiaTheme="minorEastAsia"/>
          <w:kern w:val="0"/>
          <w:szCs w:val="21"/>
        </w:rPr>
        <w:t>A</w:t>
      </w:r>
      <w:r w:rsidRPr="001412CA">
        <w:rPr>
          <w:rFonts w:eastAsiaTheme="minorEastAsia"/>
          <w:kern w:val="0"/>
          <w:szCs w:val="21"/>
        </w:rPr>
        <w:t>的持有人户数及结构包含</w:t>
      </w:r>
      <w:r w:rsidRPr="001412CA">
        <w:rPr>
          <w:rFonts w:eastAsiaTheme="minorEastAsia"/>
          <w:kern w:val="0"/>
          <w:szCs w:val="21"/>
        </w:rPr>
        <w:t>A</w:t>
      </w:r>
      <w:r w:rsidRPr="001412CA">
        <w:rPr>
          <w:rFonts w:eastAsiaTheme="minorEastAsia"/>
          <w:kern w:val="0"/>
          <w:szCs w:val="21"/>
        </w:rPr>
        <w:t>类人民币份额及</w:t>
      </w:r>
      <w:r w:rsidRPr="001412CA">
        <w:rPr>
          <w:rFonts w:eastAsiaTheme="minorEastAsia"/>
          <w:kern w:val="0"/>
          <w:szCs w:val="21"/>
        </w:rPr>
        <w:t>A</w:t>
      </w:r>
      <w:r w:rsidRPr="001412CA">
        <w:rPr>
          <w:rFonts w:eastAsiaTheme="minorEastAsia"/>
          <w:kern w:val="0"/>
          <w:szCs w:val="21"/>
        </w:rPr>
        <w:t>类美元份额；易方达原油（</w:t>
      </w:r>
      <w:r w:rsidRPr="001412CA">
        <w:rPr>
          <w:rFonts w:eastAsiaTheme="minorEastAsia"/>
          <w:kern w:val="0"/>
          <w:szCs w:val="21"/>
        </w:rPr>
        <w:t>QDII-LOF-FOF</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的持有人户数及结构包含</w:t>
      </w:r>
      <w:r w:rsidRPr="001412CA">
        <w:rPr>
          <w:rFonts w:eastAsiaTheme="minorEastAsia"/>
          <w:kern w:val="0"/>
          <w:szCs w:val="21"/>
        </w:rPr>
        <w:t>C</w:t>
      </w:r>
      <w:r w:rsidRPr="001412CA">
        <w:rPr>
          <w:rFonts w:eastAsiaTheme="minorEastAsia"/>
          <w:kern w:val="0"/>
          <w:szCs w:val="21"/>
        </w:rPr>
        <w:t>类人民币份额及</w:t>
      </w:r>
      <w:r w:rsidRPr="001412CA">
        <w:rPr>
          <w:rFonts w:eastAsiaTheme="minorEastAsia"/>
          <w:kern w:val="0"/>
          <w:szCs w:val="21"/>
        </w:rPr>
        <w:t>C</w:t>
      </w:r>
      <w:r w:rsidRPr="001412CA">
        <w:rPr>
          <w:rFonts w:eastAsiaTheme="minorEastAsia"/>
          <w:kern w:val="0"/>
          <w:szCs w:val="21"/>
        </w:rPr>
        <w:t>类美元份额。</w:t>
      </w:r>
    </w:p>
    <w:p w:rsidR="00196BCF" w:rsidRPr="00C24ACA" w:rsidRDefault="00196BCF" w:rsidP="00732F5C">
      <w:pPr>
        <w:pStyle w:val="20"/>
        <w:spacing w:beforeLines="100" w:before="312" w:after="0"/>
        <w:rPr>
          <w:rFonts w:ascii="Times New Roman" w:eastAsiaTheme="minorEastAsia" w:hAnsi="Times New Roman"/>
          <w:kern w:val="0"/>
          <w:sz w:val="21"/>
          <w:szCs w:val="21"/>
        </w:rPr>
      </w:pPr>
      <w:bookmarkStart w:id="302" w:name="_Toc362424032"/>
      <w:bookmarkStart w:id="303" w:name="_Toc374459295"/>
      <w:bookmarkStart w:id="304" w:name="_Toc390164836"/>
      <w:bookmarkStart w:id="305" w:name="_Toc48664188"/>
      <w:r w:rsidRPr="0087359D">
        <w:rPr>
          <w:rFonts w:ascii="宋体" w:hAnsi="宋体"/>
          <w:kern w:val="0"/>
          <w:sz w:val="21"/>
          <w:szCs w:val="21"/>
        </w:rPr>
        <w:t>8.2</w:t>
      </w:r>
      <w:r w:rsidR="00982AAE"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期末上市基金前十名持有人</w:t>
      </w:r>
      <w:bookmarkEnd w:id="302"/>
      <w:bookmarkEnd w:id="303"/>
      <w:bookmarkEnd w:id="304"/>
      <w:bookmarkEnd w:id="3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196BCF" w:rsidRPr="00C24ACA" w:rsidTr="00C42949">
        <w:trPr>
          <w:trHeight w:val="2333"/>
        </w:trPr>
        <w:tc>
          <w:tcPr>
            <w:tcW w:w="736"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序号</w:t>
            </w:r>
          </w:p>
        </w:tc>
        <w:tc>
          <w:tcPr>
            <w:tcW w:w="3860"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持有人名称</w:t>
            </w:r>
          </w:p>
        </w:tc>
        <w:tc>
          <w:tcPr>
            <w:tcW w:w="2610"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持有份额（份）</w:t>
            </w:r>
          </w:p>
        </w:tc>
        <w:tc>
          <w:tcPr>
            <w:tcW w:w="2378" w:type="dxa"/>
            <w:vAlign w:val="center"/>
          </w:tcPr>
          <w:p w:rsidR="00196BCF" w:rsidRPr="00C24ACA" w:rsidRDefault="00196BCF" w:rsidP="00BB4E17">
            <w:pPr>
              <w:spacing w:line="360" w:lineRule="auto"/>
              <w:jc w:val="center"/>
              <w:rPr>
                <w:rFonts w:eastAsiaTheme="minorEastAsia"/>
                <w:szCs w:val="21"/>
              </w:rPr>
            </w:pPr>
            <w:r w:rsidRPr="00C24ACA">
              <w:rPr>
                <w:rFonts w:eastAsiaTheme="minorEastAsia"/>
                <w:szCs w:val="21"/>
              </w:rPr>
              <w:t>占上市总份额比例</w:t>
            </w:r>
          </w:p>
        </w:tc>
      </w:tr>
      <w:tr w:rsidR="005F7EF1">
        <w:tc>
          <w:tcPr>
            <w:tcW w:w="736" w:type="dxa"/>
            <w:vAlign w:val="center"/>
          </w:tcPr>
          <w:p w:rsidR="005F7EF1" w:rsidRDefault="00E6254F">
            <w:pPr>
              <w:jc w:val="center"/>
            </w:pPr>
            <w:r>
              <w:rPr>
                <w:rFonts w:eastAsiaTheme="minorEastAsia"/>
                <w:color w:val="000000"/>
                <w:szCs w:val="21"/>
              </w:rPr>
              <w:t>1</w:t>
            </w:r>
          </w:p>
        </w:tc>
        <w:tc>
          <w:tcPr>
            <w:tcW w:w="3860" w:type="dxa"/>
            <w:vAlign w:val="center"/>
          </w:tcPr>
          <w:p w:rsidR="005F7EF1" w:rsidRDefault="00E6254F">
            <w:pPr>
              <w:jc w:val="center"/>
            </w:pPr>
            <w:r>
              <w:rPr>
                <w:rFonts w:eastAsiaTheme="minorEastAsia"/>
                <w:color w:val="000000"/>
                <w:szCs w:val="21"/>
              </w:rPr>
              <w:t>刘利民</w:t>
            </w:r>
          </w:p>
        </w:tc>
        <w:tc>
          <w:tcPr>
            <w:tcW w:w="2610" w:type="dxa"/>
            <w:vAlign w:val="center"/>
          </w:tcPr>
          <w:p w:rsidR="005F7EF1" w:rsidRDefault="00E6254F">
            <w:pPr>
              <w:jc w:val="right"/>
            </w:pPr>
            <w:r>
              <w:rPr>
                <w:rFonts w:eastAsiaTheme="minorEastAsia"/>
                <w:color w:val="000000"/>
                <w:szCs w:val="21"/>
              </w:rPr>
              <w:t>5,300,912.00</w:t>
            </w:r>
          </w:p>
        </w:tc>
        <w:tc>
          <w:tcPr>
            <w:tcW w:w="2378" w:type="dxa"/>
            <w:vAlign w:val="center"/>
          </w:tcPr>
          <w:p w:rsidR="005F7EF1" w:rsidRDefault="00E6254F">
            <w:pPr>
              <w:jc w:val="right"/>
            </w:pPr>
            <w:r>
              <w:rPr>
                <w:rFonts w:eastAsiaTheme="minorEastAsia"/>
                <w:color w:val="000000"/>
                <w:szCs w:val="21"/>
              </w:rPr>
              <w:t>0.82%</w:t>
            </w:r>
          </w:p>
        </w:tc>
      </w:tr>
      <w:tr w:rsidR="005F7EF1">
        <w:tc>
          <w:tcPr>
            <w:tcW w:w="736" w:type="dxa"/>
            <w:vAlign w:val="center"/>
          </w:tcPr>
          <w:p w:rsidR="005F7EF1" w:rsidRDefault="00E6254F">
            <w:pPr>
              <w:jc w:val="center"/>
            </w:pPr>
            <w:r>
              <w:rPr>
                <w:rFonts w:eastAsiaTheme="minorEastAsia"/>
                <w:color w:val="000000"/>
                <w:szCs w:val="21"/>
              </w:rPr>
              <w:t>2</w:t>
            </w:r>
          </w:p>
        </w:tc>
        <w:tc>
          <w:tcPr>
            <w:tcW w:w="3860" w:type="dxa"/>
            <w:vAlign w:val="center"/>
          </w:tcPr>
          <w:p w:rsidR="005F7EF1" w:rsidRDefault="00E6254F">
            <w:pPr>
              <w:jc w:val="center"/>
            </w:pPr>
            <w:r>
              <w:rPr>
                <w:rFonts w:eastAsiaTheme="minorEastAsia"/>
                <w:color w:val="000000"/>
                <w:szCs w:val="21"/>
              </w:rPr>
              <w:t>林雪婷</w:t>
            </w:r>
          </w:p>
        </w:tc>
        <w:tc>
          <w:tcPr>
            <w:tcW w:w="2610" w:type="dxa"/>
            <w:vAlign w:val="center"/>
          </w:tcPr>
          <w:p w:rsidR="005F7EF1" w:rsidRDefault="00E6254F">
            <w:pPr>
              <w:jc w:val="right"/>
            </w:pPr>
            <w:r>
              <w:rPr>
                <w:rFonts w:eastAsiaTheme="minorEastAsia"/>
                <w:color w:val="000000"/>
                <w:szCs w:val="21"/>
              </w:rPr>
              <w:t>5,126,100.00</w:t>
            </w:r>
          </w:p>
        </w:tc>
        <w:tc>
          <w:tcPr>
            <w:tcW w:w="2378" w:type="dxa"/>
            <w:vAlign w:val="center"/>
          </w:tcPr>
          <w:p w:rsidR="005F7EF1" w:rsidRDefault="00E6254F">
            <w:pPr>
              <w:jc w:val="right"/>
            </w:pPr>
            <w:r>
              <w:rPr>
                <w:rFonts w:eastAsiaTheme="minorEastAsia"/>
                <w:color w:val="000000"/>
                <w:szCs w:val="21"/>
              </w:rPr>
              <w:t>0.80%</w:t>
            </w:r>
          </w:p>
        </w:tc>
      </w:tr>
      <w:tr w:rsidR="005F7EF1">
        <w:tc>
          <w:tcPr>
            <w:tcW w:w="736" w:type="dxa"/>
            <w:vAlign w:val="center"/>
          </w:tcPr>
          <w:p w:rsidR="005F7EF1" w:rsidRDefault="00E6254F">
            <w:pPr>
              <w:jc w:val="center"/>
            </w:pPr>
            <w:r>
              <w:rPr>
                <w:rFonts w:eastAsiaTheme="minorEastAsia"/>
                <w:color w:val="000000"/>
                <w:szCs w:val="21"/>
              </w:rPr>
              <w:t>3</w:t>
            </w:r>
          </w:p>
        </w:tc>
        <w:tc>
          <w:tcPr>
            <w:tcW w:w="3860" w:type="dxa"/>
            <w:vAlign w:val="center"/>
          </w:tcPr>
          <w:p w:rsidR="005F7EF1" w:rsidRDefault="00E6254F">
            <w:pPr>
              <w:jc w:val="center"/>
            </w:pPr>
            <w:r>
              <w:rPr>
                <w:rFonts w:eastAsiaTheme="minorEastAsia"/>
                <w:color w:val="000000"/>
                <w:szCs w:val="21"/>
              </w:rPr>
              <w:t>吴迪</w:t>
            </w:r>
          </w:p>
        </w:tc>
        <w:tc>
          <w:tcPr>
            <w:tcW w:w="2610" w:type="dxa"/>
            <w:vAlign w:val="center"/>
          </w:tcPr>
          <w:p w:rsidR="005F7EF1" w:rsidRDefault="00E6254F">
            <w:pPr>
              <w:jc w:val="right"/>
            </w:pPr>
            <w:r>
              <w:rPr>
                <w:rFonts w:eastAsiaTheme="minorEastAsia"/>
                <w:color w:val="000000"/>
                <w:szCs w:val="21"/>
              </w:rPr>
              <w:t>4,171,700.00</w:t>
            </w:r>
          </w:p>
        </w:tc>
        <w:tc>
          <w:tcPr>
            <w:tcW w:w="2378" w:type="dxa"/>
            <w:vAlign w:val="center"/>
          </w:tcPr>
          <w:p w:rsidR="005F7EF1" w:rsidRDefault="00E6254F">
            <w:pPr>
              <w:jc w:val="right"/>
            </w:pPr>
            <w:r>
              <w:rPr>
                <w:rFonts w:eastAsiaTheme="minorEastAsia"/>
                <w:color w:val="000000"/>
                <w:szCs w:val="21"/>
              </w:rPr>
              <w:t>0.65%</w:t>
            </w:r>
          </w:p>
        </w:tc>
      </w:tr>
      <w:tr w:rsidR="005F7EF1">
        <w:tc>
          <w:tcPr>
            <w:tcW w:w="736" w:type="dxa"/>
            <w:vAlign w:val="center"/>
          </w:tcPr>
          <w:p w:rsidR="005F7EF1" w:rsidRDefault="00E6254F">
            <w:pPr>
              <w:jc w:val="center"/>
            </w:pPr>
            <w:r>
              <w:rPr>
                <w:rFonts w:eastAsiaTheme="minorEastAsia"/>
                <w:color w:val="000000"/>
                <w:szCs w:val="21"/>
              </w:rPr>
              <w:t>4</w:t>
            </w:r>
          </w:p>
        </w:tc>
        <w:tc>
          <w:tcPr>
            <w:tcW w:w="3860" w:type="dxa"/>
            <w:vAlign w:val="center"/>
          </w:tcPr>
          <w:p w:rsidR="005F7EF1" w:rsidRDefault="00E6254F">
            <w:pPr>
              <w:jc w:val="center"/>
            </w:pPr>
            <w:r>
              <w:rPr>
                <w:rFonts w:eastAsiaTheme="minorEastAsia"/>
                <w:color w:val="000000"/>
                <w:szCs w:val="21"/>
              </w:rPr>
              <w:t>何玉娣</w:t>
            </w:r>
          </w:p>
        </w:tc>
        <w:tc>
          <w:tcPr>
            <w:tcW w:w="2610" w:type="dxa"/>
            <w:vAlign w:val="center"/>
          </w:tcPr>
          <w:p w:rsidR="005F7EF1" w:rsidRDefault="00E6254F">
            <w:pPr>
              <w:jc w:val="right"/>
            </w:pPr>
            <w:r>
              <w:rPr>
                <w:rFonts w:eastAsiaTheme="minorEastAsia"/>
                <w:color w:val="000000"/>
                <w:szCs w:val="21"/>
              </w:rPr>
              <w:t>3,352,195.00</w:t>
            </w:r>
          </w:p>
        </w:tc>
        <w:tc>
          <w:tcPr>
            <w:tcW w:w="2378" w:type="dxa"/>
            <w:vAlign w:val="center"/>
          </w:tcPr>
          <w:p w:rsidR="005F7EF1" w:rsidRDefault="00E6254F">
            <w:pPr>
              <w:jc w:val="right"/>
            </w:pPr>
            <w:r>
              <w:rPr>
                <w:rFonts w:eastAsiaTheme="minorEastAsia"/>
                <w:color w:val="000000"/>
                <w:szCs w:val="21"/>
              </w:rPr>
              <w:t>0.52%</w:t>
            </w:r>
          </w:p>
        </w:tc>
      </w:tr>
      <w:tr w:rsidR="005F7EF1">
        <w:tc>
          <w:tcPr>
            <w:tcW w:w="736" w:type="dxa"/>
            <w:vAlign w:val="center"/>
          </w:tcPr>
          <w:p w:rsidR="005F7EF1" w:rsidRDefault="00E6254F">
            <w:pPr>
              <w:jc w:val="center"/>
            </w:pPr>
            <w:r>
              <w:rPr>
                <w:rFonts w:eastAsiaTheme="minorEastAsia"/>
                <w:color w:val="000000"/>
                <w:szCs w:val="21"/>
              </w:rPr>
              <w:t>5</w:t>
            </w:r>
          </w:p>
        </w:tc>
        <w:tc>
          <w:tcPr>
            <w:tcW w:w="3860" w:type="dxa"/>
            <w:vAlign w:val="center"/>
          </w:tcPr>
          <w:p w:rsidR="005F7EF1" w:rsidRDefault="00E6254F">
            <w:pPr>
              <w:jc w:val="center"/>
            </w:pPr>
            <w:r>
              <w:rPr>
                <w:rFonts w:eastAsiaTheme="minorEastAsia"/>
                <w:color w:val="000000"/>
                <w:szCs w:val="21"/>
              </w:rPr>
              <w:t>王伟华</w:t>
            </w:r>
          </w:p>
        </w:tc>
        <w:tc>
          <w:tcPr>
            <w:tcW w:w="2610" w:type="dxa"/>
            <w:vAlign w:val="center"/>
          </w:tcPr>
          <w:p w:rsidR="005F7EF1" w:rsidRDefault="00E6254F">
            <w:pPr>
              <w:jc w:val="right"/>
            </w:pPr>
            <w:r>
              <w:rPr>
                <w:rFonts w:eastAsiaTheme="minorEastAsia"/>
                <w:color w:val="000000"/>
                <w:szCs w:val="21"/>
              </w:rPr>
              <w:t>3,271,159.00</w:t>
            </w:r>
          </w:p>
        </w:tc>
        <w:tc>
          <w:tcPr>
            <w:tcW w:w="2378" w:type="dxa"/>
            <w:vAlign w:val="center"/>
          </w:tcPr>
          <w:p w:rsidR="005F7EF1" w:rsidRDefault="00E6254F">
            <w:pPr>
              <w:jc w:val="right"/>
            </w:pPr>
            <w:r>
              <w:rPr>
                <w:rFonts w:eastAsiaTheme="minorEastAsia"/>
                <w:color w:val="000000"/>
                <w:szCs w:val="21"/>
              </w:rPr>
              <w:t>0.51%</w:t>
            </w:r>
          </w:p>
        </w:tc>
      </w:tr>
      <w:tr w:rsidR="005F7EF1">
        <w:tc>
          <w:tcPr>
            <w:tcW w:w="736" w:type="dxa"/>
            <w:vAlign w:val="center"/>
          </w:tcPr>
          <w:p w:rsidR="005F7EF1" w:rsidRDefault="00E6254F">
            <w:pPr>
              <w:jc w:val="center"/>
            </w:pPr>
            <w:r>
              <w:rPr>
                <w:rFonts w:eastAsiaTheme="minorEastAsia"/>
                <w:color w:val="000000"/>
                <w:szCs w:val="21"/>
              </w:rPr>
              <w:t>6</w:t>
            </w:r>
          </w:p>
        </w:tc>
        <w:tc>
          <w:tcPr>
            <w:tcW w:w="3860" w:type="dxa"/>
            <w:vAlign w:val="center"/>
          </w:tcPr>
          <w:p w:rsidR="005F7EF1" w:rsidRDefault="00E6254F">
            <w:pPr>
              <w:jc w:val="center"/>
            </w:pPr>
            <w:r>
              <w:rPr>
                <w:rFonts w:eastAsiaTheme="minorEastAsia"/>
                <w:color w:val="000000"/>
                <w:szCs w:val="21"/>
              </w:rPr>
              <w:t>叶秀文</w:t>
            </w:r>
          </w:p>
        </w:tc>
        <w:tc>
          <w:tcPr>
            <w:tcW w:w="2610" w:type="dxa"/>
            <w:vAlign w:val="center"/>
          </w:tcPr>
          <w:p w:rsidR="005F7EF1" w:rsidRDefault="00E6254F">
            <w:pPr>
              <w:jc w:val="right"/>
            </w:pPr>
            <w:r>
              <w:rPr>
                <w:rFonts w:eastAsiaTheme="minorEastAsia"/>
                <w:color w:val="000000"/>
                <w:szCs w:val="21"/>
              </w:rPr>
              <w:t>3,247,176.00</w:t>
            </w:r>
          </w:p>
        </w:tc>
        <w:tc>
          <w:tcPr>
            <w:tcW w:w="2378" w:type="dxa"/>
            <w:vAlign w:val="center"/>
          </w:tcPr>
          <w:p w:rsidR="005F7EF1" w:rsidRDefault="00E6254F">
            <w:pPr>
              <w:jc w:val="right"/>
            </w:pPr>
            <w:r>
              <w:rPr>
                <w:rFonts w:eastAsiaTheme="minorEastAsia"/>
                <w:color w:val="000000"/>
                <w:szCs w:val="21"/>
              </w:rPr>
              <w:t>0.50%</w:t>
            </w:r>
          </w:p>
        </w:tc>
      </w:tr>
      <w:tr w:rsidR="005F7EF1">
        <w:tc>
          <w:tcPr>
            <w:tcW w:w="736" w:type="dxa"/>
            <w:vAlign w:val="center"/>
          </w:tcPr>
          <w:p w:rsidR="005F7EF1" w:rsidRDefault="00E6254F">
            <w:pPr>
              <w:jc w:val="center"/>
            </w:pPr>
            <w:r>
              <w:rPr>
                <w:rFonts w:eastAsiaTheme="minorEastAsia"/>
                <w:color w:val="000000"/>
                <w:szCs w:val="21"/>
              </w:rPr>
              <w:t>7</w:t>
            </w:r>
          </w:p>
        </w:tc>
        <w:tc>
          <w:tcPr>
            <w:tcW w:w="3860" w:type="dxa"/>
            <w:vAlign w:val="center"/>
          </w:tcPr>
          <w:p w:rsidR="005F7EF1" w:rsidRDefault="00E6254F">
            <w:pPr>
              <w:jc w:val="center"/>
            </w:pPr>
            <w:r>
              <w:rPr>
                <w:rFonts w:eastAsiaTheme="minorEastAsia"/>
                <w:color w:val="000000"/>
                <w:szCs w:val="21"/>
              </w:rPr>
              <w:t>巴彦淖尔市振耀商贸有限公司</w:t>
            </w:r>
          </w:p>
        </w:tc>
        <w:tc>
          <w:tcPr>
            <w:tcW w:w="2610" w:type="dxa"/>
            <w:vAlign w:val="center"/>
          </w:tcPr>
          <w:p w:rsidR="005F7EF1" w:rsidRDefault="00E6254F">
            <w:pPr>
              <w:jc w:val="right"/>
            </w:pPr>
            <w:r>
              <w:rPr>
                <w:rFonts w:eastAsiaTheme="minorEastAsia"/>
                <w:color w:val="000000"/>
                <w:szCs w:val="21"/>
              </w:rPr>
              <w:t>2,786,400.00</w:t>
            </w:r>
          </w:p>
        </w:tc>
        <w:tc>
          <w:tcPr>
            <w:tcW w:w="2378" w:type="dxa"/>
            <w:vAlign w:val="center"/>
          </w:tcPr>
          <w:p w:rsidR="005F7EF1" w:rsidRDefault="00E6254F">
            <w:pPr>
              <w:jc w:val="right"/>
            </w:pPr>
            <w:r>
              <w:rPr>
                <w:rFonts w:eastAsiaTheme="minorEastAsia"/>
                <w:color w:val="000000"/>
                <w:szCs w:val="21"/>
              </w:rPr>
              <w:t>0.43%</w:t>
            </w:r>
          </w:p>
        </w:tc>
      </w:tr>
      <w:tr w:rsidR="005F7EF1">
        <w:tc>
          <w:tcPr>
            <w:tcW w:w="736" w:type="dxa"/>
            <w:vAlign w:val="center"/>
          </w:tcPr>
          <w:p w:rsidR="005F7EF1" w:rsidRDefault="00E6254F">
            <w:pPr>
              <w:jc w:val="center"/>
            </w:pPr>
            <w:r>
              <w:rPr>
                <w:rFonts w:eastAsiaTheme="minorEastAsia"/>
                <w:color w:val="000000"/>
                <w:szCs w:val="21"/>
              </w:rPr>
              <w:t>8</w:t>
            </w:r>
          </w:p>
        </w:tc>
        <w:tc>
          <w:tcPr>
            <w:tcW w:w="3860" w:type="dxa"/>
            <w:vAlign w:val="center"/>
          </w:tcPr>
          <w:p w:rsidR="005F7EF1" w:rsidRDefault="00E6254F">
            <w:pPr>
              <w:jc w:val="center"/>
            </w:pPr>
            <w:r>
              <w:rPr>
                <w:rFonts w:eastAsiaTheme="minorEastAsia"/>
                <w:color w:val="000000"/>
                <w:szCs w:val="21"/>
              </w:rPr>
              <w:t>亓月钢</w:t>
            </w:r>
          </w:p>
        </w:tc>
        <w:tc>
          <w:tcPr>
            <w:tcW w:w="2610" w:type="dxa"/>
            <w:vAlign w:val="center"/>
          </w:tcPr>
          <w:p w:rsidR="005F7EF1" w:rsidRDefault="00E6254F">
            <w:pPr>
              <w:jc w:val="right"/>
            </w:pPr>
            <w:r>
              <w:rPr>
                <w:rFonts w:eastAsiaTheme="minorEastAsia"/>
                <w:color w:val="000000"/>
                <w:szCs w:val="21"/>
              </w:rPr>
              <w:t>2,601,000.00</w:t>
            </w:r>
          </w:p>
        </w:tc>
        <w:tc>
          <w:tcPr>
            <w:tcW w:w="2378" w:type="dxa"/>
            <w:vAlign w:val="center"/>
          </w:tcPr>
          <w:p w:rsidR="005F7EF1" w:rsidRDefault="00E6254F">
            <w:pPr>
              <w:jc w:val="right"/>
            </w:pPr>
            <w:r>
              <w:rPr>
                <w:rFonts w:eastAsiaTheme="minorEastAsia"/>
                <w:color w:val="000000"/>
                <w:szCs w:val="21"/>
              </w:rPr>
              <w:t>0.40%</w:t>
            </w:r>
          </w:p>
        </w:tc>
      </w:tr>
      <w:tr w:rsidR="005F7EF1">
        <w:tc>
          <w:tcPr>
            <w:tcW w:w="736" w:type="dxa"/>
            <w:vAlign w:val="center"/>
          </w:tcPr>
          <w:p w:rsidR="005F7EF1" w:rsidRDefault="00E6254F">
            <w:pPr>
              <w:jc w:val="center"/>
            </w:pPr>
            <w:r>
              <w:rPr>
                <w:rFonts w:eastAsiaTheme="minorEastAsia"/>
                <w:color w:val="000000"/>
                <w:szCs w:val="21"/>
              </w:rPr>
              <w:t>9</w:t>
            </w:r>
          </w:p>
        </w:tc>
        <w:tc>
          <w:tcPr>
            <w:tcW w:w="3860" w:type="dxa"/>
            <w:vAlign w:val="center"/>
          </w:tcPr>
          <w:p w:rsidR="005F7EF1" w:rsidRDefault="00E6254F">
            <w:pPr>
              <w:jc w:val="center"/>
            </w:pPr>
            <w:r>
              <w:rPr>
                <w:rFonts w:eastAsiaTheme="minorEastAsia"/>
                <w:color w:val="000000"/>
                <w:szCs w:val="21"/>
              </w:rPr>
              <w:t>林强</w:t>
            </w:r>
          </w:p>
        </w:tc>
        <w:tc>
          <w:tcPr>
            <w:tcW w:w="2610" w:type="dxa"/>
            <w:vAlign w:val="center"/>
          </w:tcPr>
          <w:p w:rsidR="005F7EF1" w:rsidRDefault="00E6254F">
            <w:pPr>
              <w:jc w:val="right"/>
            </w:pPr>
            <w:r>
              <w:rPr>
                <w:rFonts w:eastAsiaTheme="minorEastAsia"/>
                <w:color w:val="000000"/>
                <w:szCs w:val="21"/>
              </w:rPr>
              <w:t>2,450,498.00</w:t>
            </w:r>
          </w:p>
        </w:tc>
        <w:tc>
          <w:tcPr>
            <w:tcW w:w="2378" w:type="dxa"/>
            <w:vAlign w:val="center"/>
          </w:tcPr>
          <w:p w:rsidR="005F7EF1" w:rsidRDefault="00E6254F">
            <w:pPr>
              <w:jc w:val="right"/>
            </w:pPr>
            <w:r>
              <w:rPr>
                <w:rFonts w:eastAsiaTheme="minorEastAsia"/>
                <w:color w:val="000000"/>
                <w:szCs w:val="21"/>
              </w:rPr>
              <w:t>0.38%</w:t>
            </w:r>
          </w:p>
        </w:tc>
      </w:tr>
      <w:tr w:rsidR="005F7EF1">
        <w:tc>
          <w:tcPr>
            <w:tcW w:w="736" w:type="dxa"/>
            <w:vAlign w:val="center"/>
          </w:tcPr>
          <w:p w:rsidR="005F7EF1" w:rsidRDefault="00E6254F">
            <w:pPr>
              <w:jc w:val="center"/>
            </w:pPr>
            <w:r>
              <w:rPr>
                <w:rFonts w:eastAsiaTheme="minorEastAsia"/>
                <w:color w:val="000000"/>
                <w:szCs w:val="21"/>
              </w:rPr>
              <w:t>10</w:t>
            </w:r>
          </w:p>
        </w:tc>
        <w:tc>
          <w:tcPr>
            <w:tcW w:w="3860" w:type="dxa"/>
            <w:vAlign w:val="center"/>
          </w:tcPr>
          <w:p w:rsidR="005F7EF1" w:rsidRDefault="00E6254F">
            <w:pPr>
              <w:jc w:val="center"/>
            </w:pPr>
            <w:r>
              <w:rPr>
                <w:rFonts w:eastAsiaTheme="minorEastAsia"/>
                <w:color w:val="000000"/>
                <w:szCs w:val="21"/>
              </w:rPr>
              <w:t>耿成</w:t>
            </w:r>
          </w:p>
        </w:tc>
        <w:tc>
          <w:tcPr>
            <w:tcW w:w="2610" w:type="dxa"/>
            <w:vAlign w:val="center"/>
          </w:tcPr>
          <w:p w:rsidR="005F7EF1" w:rsidRDefault="00E6254F">
            <w:pPr>
              <w:jc w:val="right"/>
            </w:pPr>
            <w:r>
              <w:rPr>
                <w:rFonts w:eastAsiaTheme="minorEastAsia"/>
                <w:color w:val="000000"/>
                <w:szCs w:val="21"/>
              </w:rPr>
              <w:t>2,439,800.00</w:t>
            </w:r>
          </w:p>
        </w:tc>
        <w:tc>
          <w:tcPr>
            <w:tcW w:w="2378" w:type="dxa"/>
            <w:vAlign w:val="center"/>
          </w:tcPr>
          <w:p w:rsidR="005F7EF1" w:rsidRDefault="00E6254F">
            <w:pPr>
              <w:jc w:val="right"/>
            </w:pPr>
            <w:r>
              <w:rPr>
                <w:rFonts w:eastAsiaTheme="minorEastAsia"/>
                <w:color w:val="000000"/>
                <w:szCs w:val="21"/>
              </w:rPr>
              <w:t>0.38%</w:t>
            </w:r>
          </w:p>
        </w:tc>
      </w:tr>
    </w:tbl>
    <w:p w:rsidR="002716BD" w:rsidRPr="001412CA" w:rsidRDefault="00196BCF"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注：本表统计的上市基金前十名持有人均为场内持有人。</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06" w:name="_Toc390164837"/>
      <w:bookmarkStart w:id="307" w:name="_Toc48664189"/>
      <w:r w:rsidRPr="0087359D">
        <w:rPr>
          <w:rFonts w:ascii="宋体" w:hAnsi="宋体"/>
          <w:kern w:val="0"/>
          <w:sz w:val="21"/>
          <w:szCs w:val="21"/>
        </w:rPr>
        <w:t>8.3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期末基金管理人的从业人员持有本基金的情况</w:t>
      </w:r>
      <w:bookmarkEnd w:id="299"/>
      <w:bookmarkEnd w:id="300"/>
      <w:bookmarkEnd w:id="301"/>
      <w:bookmarkEnd w:id="306"/>
      <w:bookmarkEnd w:id="307"/>
    </w:p>
    <w:tbl>
      <w:tblPr>
        <w:tblStyle w:val="af7"/>
        <w:tblW w:w="0" w:type="auto"/>
        <w:tblInd w:w="108" w:type="dxa"/>
        <w:tblLayout w:type="fixed"/>
        <w:tblLook w:val="04A0" w:firstRow="1" w:lastRow="0" w:firstColumn="1" w:lastColumn="0" w:noHBand="0" w:noVBand="1"/>
      </w:tblPr>
      <w:tblGrid>
        <w:gridCol w:w="2321"/>
        <w:gridCol w:w="2321"/>
        <w:gridCol w:w="2322"/>
        <w:gridCol w:w="2322"/>
      </w:tblGrid>
      <w:tr w:rsidR="00232443" w:rsidRPr="00C24ACA" w:rsidTr="005C3575">
        <w:tc>
          <w:tcPr>
            <w:tcW w:w="2321" w:type="dxa"/>
            <w:vAlign w:val="center"/>
          </w:tcPr>
          <w:p w:rsidR="00232443" w:rsidRPr="00C24ACA" w:rsidRDefault="00232443" w:rsidP="005C3575">
            <w:pPr>
              <w:pStyle w:val="a0"/>
              <w:ind w:firstLineChars="0" w:firstLine="0"/>
              <w:jc w:val="center"/>
              <w:rPr>
                <w:rFonts w:eastAsiaTheme="minorEastAsia"/>
                <w:szCs w:val="21"/>
              </w:rPr>
            </w:pPr>
            <w:bookmarkStart w:id="308" w:name="_Toc286911325"/>
            <w:bookmarkStart w:id="309" w:name="_Toc247957892"/>
            <w:r w:rsidRPr="00C24ACA">
              <w:rPr>
                <w:rFonts w:eastAsiaTheme="minorEastAsia"/>
                <w:szCs w:val="21"/>
              </w:rPr>
              <w:t>项目</w:t>
            </w:r>
          </w:p>
        </w:tc>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份额级别</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持有份额总数（份）</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占基金总份额比例</w:t>
            </w:r>
          </w:p>
        </w:tc>
      </w:tr>
      <w:tr w:rsidR="00232443" w:rsidRPr="00C24ACA" w:rsidTr="005C3575">
        <w:tc>
          <w:tcPr>
            <w:tcW w:w="2321" w:type="dxa"/>
            <w:vMerge w:val="restart"/>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color w:val="000000"/>
                <w:szCs w:val="21"/>
              </w:rPr>
              <w:t>基金管理人所有从业人员持有本基金</w:t>
            </w: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186,361.08</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0.0188%</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26,571.64</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0.0052%</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widowControl/>
              <w:jc w:val="center"/>
              <w:rPr>
                <w:rFonts w:eastAsiaTheme="minorEastAsia"/>
                <w:color w:val="000000"/>
                <w:kern w:val="0"/>
                <w:szCs w:val="21"/>
              </w:rPr>
            </w:pPr>
            <w:r w:rsidRPr="00C24ACA">
              <w:rPr>
                <w:rFonts w:eastAsiaTheme="minorEastAsia"/>
                <w:color w:val="000000"/>
                <w:kern w:val="0"/>
                <w:szCs w:val="21"/>
              </w:rPr>
              <w:t>合计</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212,932.72</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0.0141%</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注：基金管理人的从业人员持有易方达原油（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类份额含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类美元份额；易方达原油（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类份额含</w:t>
      </w:r>
      <w:r w:rsidRPr="00C24ACA">
        <w:rPr>
          <w:rFonts w:eastAsiaTheme="minorEastAsia"/>
          <w:kern w:val="0"/>
          <w:szCs w:val="21"/>
        </w:rPr>
        <w:t>C</w:t>
      </w:r>
      <w:r w:rsidRPr="00C24ACA">
        <w:rPr>
          <w:rFonts w:eastAsiaTheme="minorEastAsia"/>
          <w:kern w:val="0"/>
          <w:szCs w:val="21"/>
        </w:rPr>
        <w:t>类人民币份额及</w:t>
      </w:r>
      <w:r w:rsidRPr="00C24ACA">
        <w:rPr>
          <w:rFonts w:eastAsiaTheme="minorEastAsia"/>
          <w:kern w:val="0"/>
          <w:szCs w:val="21"/>
        </w:rPr>
        <w:t>C</w:t>
      </w:r>
      <w:r w:rsidRPr="00C24ACA">
        <w:rPr>
          <w:rFonts w:eastAsiaTheme="minorEastAsia"/>
          <w:kern w:val="0"/>
          <w:szCs w:val="21"/>
        </w:rPr>
        <w:t>类美元份额。</w:t>
      </w:r>
      <w:bookmarkEnd w:id="308"/>
      <w:bookmarkEnd w:id="309"/>
    </w:p>
    <w:p w:rsidR="000B6328" w:rsidRPr="00A317EA" w:rsidRDefault="00251D61" w:rsidP="00732F5C">
      <w:pPr>
        <w:pStyle w:val="20"/>
        <w:spacing w:beforeLines="100" w:before="312" w:after="0"/>
        <w:rPr>
          <w:rFonts w:ascii="Times New Roman" w:eastAsiaTheme="minorEastAsia" w:hAnsi="Times New Roman"/>
          <w:kern w:val="0"/>
          <w:sz w:val="21"/>
          <w:szCs w:val="21"/>
        </w:rPr>
      </w:pPr>
      <w:bookmarkStart w:id="310" w:name="_Toc48664190"/>
      <w:r w:rsidRPr="0087359D">
        <w:rPr>
          <w:rFonts w:ascii="宋体" w:hAnsi="宋体"/>
          <w:kern w:val="0"/>
          <w:sz w:val="21"/>
          <w:szCs w:val="21"/>
        </w:rPr>
        <w:t>8.4</w:t>
      </w:r>
      <w:r w:rsidR="00982AAE" w:rsidRPr="009A2157">
        <w:rPr>
          <w:rFonts w:ascii="Times New Roman" w:eastAsiaTheme="minorEastAsia" w:hAnsi="Times New Roman"/>
          <w:kern w:val="0"/>
          <w:sz w:val="21"/>
          <w:szCs w:val="21"/>
        </w:rPr>
        <w:t xml:space="preserve">   </w:t>
      </w:r>
      <w:r w:rsidR="000B6328" w:rsidRPr="00A317EA">
        <w:rPr>
          <w:rFonts w:ascii="Times New Roman" w:eastAsiaTheme="minorEastAsia" w:hAnsi="Times New Roman"/>
          <w:kern w:val="0"/>
          <w:sz w:val="21"/>
          <w:szCs w:val="21"/>
        </w:rPr>
        <w:t>期末基金管理人的从业人员持有本开放式基金份额总量区间的情况</w:t>
      </w:r>
      <w:bookmarkEnd w:id="3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232443" w:rsidRPr="00C24ACA" w:rsidTr="004322C7">
        <w:trPr>
          <w:trHeight w:val="285"/>
        </w:trPr>
        <w:tc>
          <w:tcPr>
            <w:tcW w:w="2548"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项目</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份额级别</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持有基金份额总量的数量区间（万份）</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本公司高级管理人员、基金投资和研究部门负责人</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本基金基金经理</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52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653"/>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1" w:name="_Toc225500053"/>
      <w:bookmarkStart w:id="312" w:name="_Toc352256009"/>
      <w:bookmarkStart w:id="313" w:name="_Toc352256077"/>
      <w:bookmarkStart w:id="314" w:name="_Toc352331255"/>
      <w:bookmarkStart w:id="315" w:name="_Toc390164839"/>
      <w:bookmarkStart w:id="316" w:name="_Toc48664191"/>
      <w:r w:rsidRPr="00A432E9">
        <w:rPr>
          <w:rFonts w:ascii="Times New Roman" w:hAnsi="Times New Roman"/>
          <w:bCs w:val="0"/>
          <w:color w:val="000000"/>
          <w:sz w:val="21"/>
          <w:szCs w:val="21"/>
        </w:rPr>
        <w:t>9</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开放式基金份额变动</w:t>
      </w:r>
      <w:bookmarkEnd w:id="311"/>
      <w:bookmarkEnd w:id="312"/>
      <w:bookmarkEnd w:id="313"/>
      <w:bookmarkEnd w:id="314"/>
      <w:bookmarkEnd w:id="315"/>
      <w:bookmarkEnd w:id="316"/>
    </w:p>
    <w:p w:rsidR="008A5A5D" w:rsidRPr="00C24ACA" w:rsidRDefault="008A5A5D" w:rsidP="002116B9">
      <w:pPr>
        <w:jc w:val="right"/>
        <w:rPr>
          <w:rFonts w:eastAsiaTheme="minorEastAsia"/>
          <w:szCs w:val="21"/>
        </w:rPr>
      </w:pPr>
      <w:r w:rsidRPr="00C24ACA">
        <w:rPr>
          <w:rFonts w:eastAsiaTheme="minorEastAsia"/>
          <w:szCs w:val="21"/>
        </w:rPr>
        <w:t>单位：份</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DE1120" w:rsidRPr="00C24ACA" w:rsidTr="005C3575">
        <w:tc>
          <w:tcPr>
            <w:tcW w:w="1771" w:type="pct"/>
            <w:vAlign w:val="center"/>
          </w:tcPr>
          <w:p w:rsidR="00DE1120" w:rsidRPr="00C24ACA" w:rsidRDefault="00DE1120" w:rsidP="005C3575">
            <w:pPr>
              <w:jc w:val="center"/>
              <w:rPr>
                <w:rFonts w:eastAsiaTheme="minorEastAsia"/>
                <w:szCs w:val="21"/>
              </w:rPr>
            </w:pPr>
            <w:r w:rsidRPr="00C24ACA">
              <w:rPr>
                <w:rFonts w:eastAsiaTheme="minorEastAsia"/>
                <w:szCs w:val="21"/>
              </w:rPr>
              <w:t>项目</w:t>
            </w:r>
          </w:p>
        </w:tc>
        <w:tc>
          <w:tcPr>
            <w:tcW w:w="1614"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A</w:t>
            </w:r>
          </w:p>
        </w:tc>
        <w:tc>
          <w:tcPr>
            <w:tcW w:w="1615"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易方达原油（</w:t>
            </w:r>
            <w:r w:rsidRPr="00C24ACA">
              <w:rPr>
                <w:rFonts w:eastAsiaTheme="minorEastAsia"/>
                <w:szCs w:val="21"/>
              </w:rPr>
              <w:t>QDII-LOF-FOF</w:t>
            </w:r>
            <w:r w:rsidRPr="00C24ACA">
              <w:rPr>
                <w:rFonts w:eastAsiaTheme="minorEastAsia"/>
                <w:szCs w:val="21"/>
              </w:rPr>
              <w:t>）</w:t>
            </w:r>
            <w:r w:rsidRPr="00C24ACA">
              <w:rPr>
                <w:rFonts w:eastAsiaTheme="minorEastAsia"/>
                <w:szCs w:val="21"/>
              </w:rPr>
              <w:t>C</w:t>
            </w:r>
          </w:p>
        </w:tc>
      </w:tr>
      <w:tr w:rsidR="00DE1120" w:rsidRPr="00C24ACA" w:rsidTr="005C3575">
        <w:tc>
          <w:tcPr>
            <w:tcW w:w="1771" w:type="pct"/>
          </w:tcPr>
          <w:p w:rsidR="00DE1120" w:rsidRPr="00C24ACA" w:rsidRDefault="00DE1120" w:rsidP="005C3575">
            <w:pPr>
              <w:rPr>
                <w:rFonts w:eastAsiaTheme="minorEastAsia"/>
                <w:szCs w:val="21"/>
              </w:rPr>
            </w:pPr>
            <w:r w:rsidRPr="00C24ACA">
              <w:rPr>
                <w:rFonts w:eastAsiaTheme="minorEastAsia"/>
                <w:szCs w:val="21"/>
              </w:rPr>
              <w:t>基金合同生效日（</w:t>
            </w:r>
            <w:r w:rsidRPr="00C24ACA">
              <w:rPr>
                <w:rFonts w:eastAsiaTheme="minorEastAsia"/>
                <w:szCs w:val="21"/>
              </w:rPr>
              <w:t>2016</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19</w:t>
            </w:r>
            <w:r w:rsidRPr="00C24ACA">
              <w:rPr>
                <w:rFonts w:eastAsiaTheme="minorEastAsia"/>
                <w:szCs w:val="21"/>
              </w:rPr>
              <w:t>日）基金份额总额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69,886,309.30</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233,226,037.30</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本报告期期初基金份额总额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79,295,556.28</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107,296,441.56</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本报告期基金总申购份额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969,852,072.84</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577,387,313.52</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减：本报告期基金总赎回份额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57,420,618.54</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170,876,488.13</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本报告期基金拆分变动份额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本报告期期末基金份额总额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991,727,010.58</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513,807,266.95</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份额变动含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类美元份额；易方达原油（</w:t>
      </w:r>
      <w:r w:rsidRPr="00C24ACA">
        <w:rPr>
          <w:rFonts w:eastAsiaTheme="minorEastAsia"/>
          <w:kern w:val="0"/>
          <w:szCs w:val="21"/>
        </w:rPr>
        <w:t>QDII-LOF-FOF</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份额变动含</w:t>
      </w:r>
      <w:r w:rsidRPr="00C24ACA">
        <w:rPr>
          <w:rFonts w:eastAsiaTheme="minorEastAsia"/>
          <w:kern w:val="0"/>
          <w:szCs w:val="21"/>
        </w:rPr>
        <w:t>C</w:t>
      </w:r>
      <w:r w:rsidRPr="00C24ACA">
        <w:rPr>
          <w:rFonts w:eastAsiaTheme="minorEastAsia"/>
          <w:kern w:val="0"/>
          <w:szCs w:val="21"/>
        </w:rPr>
        <w:t>类人民币份额及</w:t>
      </w:r>
      <w:r w:rsidRPr="00C24ACA">
        <w:rPr>
          <w:rFonts w:eastAsiaTheme="minorEastAsia"/>
          <w:kern w:val="0"/>
          <w:szCs w:val="21"/>
        </w:rPr>
        <w:t>C</w:t>
      </w:r>
      <w:r w:rsidRPr="00C24ACA">
        <w:rPr>
          <w:rFonts w:eastAsiaTheme="minorEastAsia"/>
          <w:kern w:val="0"/>
          <w:szCs w:val="21"/>
        </w:rPr>
        <w:t>类美元份额。</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7" w:name="_Toc225500054"/>
      <w:bookmarkStart w:id="318" w:name="_Toc352256010"/>
      <w:bookmarkStart w:id="319" w:name="_Toc352256078"/>
      <w:bookmarkStart w:id="320" w:name="_Toc352331256"/>
      <w:bookmarkStart w:id="321" w:name="_Toc390164840"/>
      <w:bookmarkStart w:id="322" w:name="_Toc48664192"/>
      <w:r w:rsidRPr="000C6CCD">
        <w:rPr>
          <w:rFonts w:ascii="宋体" w:hAnsi="宋体"/>
          <w:bCs w:val="0"/>
          <w:color w:val="000000"/>
          <w:sz w:val="21"/>
          <w:szCs w:val="21"/>
        </w:rPr>
        <w:t>10</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重大事件揭示</w:t>
      </w:r>
      <w:bookmarkEnd w:id="317"/>
      <w:bookmarkEnd w:id="318"/>
      <w:bookmarkEnd w:id="319"/>
      <w:bookmarkEnd w:id="320"/>
      <w:bookmarkEnd w:id="321"/>
      <w:bookmarkEnd w:id="32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23" w:name="_Toc352256011"/>
      <w:bookmarkStart w:id="324" w:name="_Toc352256079"/>
      <w:bookmarkStart w:id="325" w:name="_Toc352331257"/>
      <w:bookmarkStart w:id="326" w:name="_Toc390164841"/>
      <w:bookmarkStart w:id="327" w:name="_Toc48664193"/>
      <w:r w:rsidRPr="0087359D">
        <w:rPr>
          <w:rFonts w:ascii="宋体" w:hAnsi="宋体"/>
          <w:kern w:val="0"/>
          <w:sz w:val="21"/>
          <w:szCs w:val="21"/>
        </w:rPr>
        <w:t>10.</w:t>
      </w:r>
      <w:r w:rsidR="00F0322F">
        <w:rPr>
          <w:rFonts w:ascii="宋体" w:hAnsi="宋体" w:hint="eastAsia"/>
          <w:kern w:val="0"/>
          <w:sz w:val="21"/>
          <w:szCs w:val="21"/>
        </w:rPr>
        <w:t>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基金份额持有人大会决议</w:t>
      </w:r>
      <w:bookmarkEnd w:id="323"/>
      <w:bookmarkEnd w:id="324"/>
      <w:bookmarkEnd w:id="325"/>
      <w:bookmarkEnd w:id="326"/>
      <w:bookmarkEnd w:id="327"/>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本报告期内未召开基金份额持有人大会。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28" w:name="_Toc352256012"/>
      <w:bookmarkStart w:id="329" w:name="_Toc352256080"/>
      <w:bookmarkStart w:id="330" w:name="_Toc352331258"/>
      <w:bookmarkStart w:id="331" w:name="_Toc390164842"/>
      <w:bookmarkStart w:id="332" w:name="_Toc48664194"/>
      <w:r w:rsidRPr="0087359D">
        <w:rPr>
          <w:rFonts w:ascii="宋体" w:hAnsi="宋体"/>
          <w:kern w:val="0"/>
          <w:sz w:val="21"/>
          <w:szCs w:val="21"/>
        </w:rPr>
        <w:t>10.</w:t>
      </w:r>
      <w:r>
        <w:rPr>
          <w:rFonts w:ascii="宋体" w:hAnsi="宋体" w:hint="eastAsia"/>
          <w:kern w:val="0"/>
          <w:sz w:val="21"/>
          <w:szCs w:val="21"/>
        </w:rPr>
        <w:t>2</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基金管理人、基金托管人的专门基金托管部门的重大人事变动</w:t>
      </w:r>
      <w:bookmarkEnd w:id="328"/>
      <w:bookmarkEnd w:id="329"/>
      <w:bookmarkEnd w:id="330"/>
      <w:bookmarkEnd w:id="331"/>
      <w:bookmarkEnd w:id="332"/>
    </w:p>
    <w:p w:rsidR="005F7EF1" w:rsidRDefault="00E6254F">
      <w:pPr>
        <w:widowControl/>
        <w:spacing w:line="360" w:lineRule="auto"/>
        <w:ind w:firstLineChars="200" w:firstLine="420"/>
        <w:rPr>
          <w:rFonts w:eastAsiaTheme="minorEastAsia"/>
          <w:kern w:val="0"/>
          <w:szCs w:val="21"/>
        </w:rPr>
      </w:pPr>
      <w:r>
        <w:rPr>
          <w:rFonts w:eastAsiaTheme="minorEastAsia"/>
          <w:kern w:val="0"/>
          <w:szCs w:val="21"/>
        </w:rPr>
        <w:t>本基金管理人于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日发布公告，自</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日起聘任张坤先生、陈丽园女士担任公司副总经理级高级管理人员。</w:t>
      </w:r>
    </w:p>
    <w:p w:rsidR="008A5A5D" w:rsidRPr="00C24ACA" w:rsidRDefault="008A5A5D" w:rsidP="008134C7">
      <w:pPr>
        <w:widowControl/>
        <w:spacing w:line="360" w:lineRule="auto"/>
        <w:ind w:firstLineChars="200" w:firstLine="420"/>
        <w:rPr>
          <w:rFonts w:eastAsiaTheme="minorEastAsia"/>
          <w:kern w:val="0"/>
          <w:szCs w:val="21"/>
        </w:rPr>
      </w:pPr>
      <w:r w:rsidRPr="00C24ACA">
        <w:rPr>
          <w:rFonts w:eastAsiaTheme="minorEastAsia"/>
          <w:kern w:val="0"/>
          <w:szCs w:val="21"/>
        </w:rPr>
        <w:t>本报告期内本基金托管人的专门基金托管部门未发生重大人事变动。</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3" w:name="_Toc352256013"/>
      <w:bookmarkStart w:id="334" w:name="_Toc352256081"/>
      <w:bookmarkStart w:id="335" w:name="_Toc352331259"/>
      <w:bookmarkStart w:id="336" w:name="_Toc390164843"/>
      <w:bookmarkStart w:id="337" w:name="_Toc48664195"/>
      <w:r w:rsidRPr="0087359D">
        <w:rPr>
          <w:rFonts w:ascii="宋体" w:hAnsi="宋体"/>
          <w:kern w:val="0"/>
          <w:sz w:val="21"/>
          <w:szCs w:val="21"/>
        </w:rPr>
        <w:t>10.</w:t>
      </w:r>
      <w:r>
        <w:rPr>
          <w:rFonts w:ascii="宋体" w:hAnsi="宋体" w:hint="eastAsia"/>
          <w:kern w:val="0"/>
          <w:sz w:val="21"/>
          <w:szCs w:val="21"/>
        </w:rPr>
        <w:t>3</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涉及基金管理人、基金财产、基金托管业务的诉讼</w:t>
      </w:r>
      <w:bookmarkEnd w:id="333"/>
      <w:bookmarkEnd w:id="334"/>
      <w:bookmarkEnd w:id="335"/>
      <w:bookmarkEnd w:id="336"/>
      <w:bookmarkEnd w:id="337"/>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本报告期内无涉及本基金管理人、基金财产、基金托管业务的诉讼事项。</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8" w:name="_Toc352256014"/>
      <w:bookmarkStart w:id="339" w:name="_Toc352256082"/>
      <w:bookmarkStart w:id="340" w:name="_Toc352331260"/>
      <w:bookmarkStart w:id="341" w:name="_Toc390164844"/>
      <w:bookmarkStart w:id="342" w:name="_Toc48664196"/>
      <w:r w:rsidRPr="0087359D">
        <w:rPr>
          <w:rFonts w:ascii="宋体" w:hAnsi="宋体"/>
          <w:kern w:val="0"/>
          <w:sz w:val="21"/>
          <w:szCs w:val="21"/>
        </w:rPr>
        <w:t>10.</w:t>
      </w:r>
      <w:r>
        <w:rPr>
          <w:rFonts w:ascii="宋体" w:hAnsi="宋体" w:hint="eastAsia"/>
          <w:kern w:val="0"/>
          <w:sz w:val="21"/>
          <w:szCs w:val="21"/>
        </w:rPr>
        <w:t>4</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基金投资策略的改变</w:t>
      </w:r>
      <w:bookmarkEnd w:id="338"/>
      <w:bookmarkEnd w:id="339"/>
      <w:bookmarkEnd w:id="340"/>
      <w:bookmarkEnd w:id="341"/>
      <w:bookmarkEnd w:id="342"/>
    </w:p>
    <w:p w:rsidR="00F0322F" w:rsidRPr="00F13227" w:rsidRDefault="008A5A5D" w:rsidP="00F0322F">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本报告期内本基金的投资策略未有重大变化。</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3" w:name="_Toc352256015"/>
      <w:bookmarkStart w:id="344" w:name="_Toc352256083"/>
      <w:bookmarkStart w:id="345" w:name="_Toc352331261"/>
      <w:bookmarkStart w:id="346" w:name="_Toc390164845"/>
      <w:bookmarkStart w:id="347" w:name="_Toc48664197"/>
      <w:r w:rsidRPr="0087359D">
        <w:rPr>
          <w:rFonts w:ascii="宋体" w:hAnsi="宋体"/>
          <w:kern w:val="0"/>
          <w:sz w:val="21"/>
          <w:szCs w:val="21"/>
        </w:rPr>
        <w:t>10.</w:t>
      </w:r>
      <w:r>
        <w:rPr>
          <w:rFonts w:ascii="宋体" w:hAnsi="宋体" w:hint="eastAsia"/>
          <w:kern w:val="0"/>
          <w:sz w:val="21"/>
          <w:szCs w:val="21"/>
        </w:rPr>
        <w:t>5</w:t>
      </w:r>
      <w:r w:rsidR="00982AAE" w:rsidRPr="009A2157">
        <w:rPr>
          <w:rFonts w:ascii="Times New Roman" w:eastAsiaTheme="minorEastAsia" w:hAnsi="Times New Roman"/>
          <w:kern w:val="0"/>
          <w:sz w:val="21"/>
          <w:szCs w:val="21"/>
        </w:rPr>
        <w:t xml:space="preserve">  </w:t>
      </w:r>
      <w:bookmarkEnd w:id="343"/>
      <w:bookmarkEnd w:id="344"/>
      <w:bookmarkEnd w:id="345"/>
      <w:bookmarkEnd w:id="346"/>
      <w:r w:rsidR="00973DE4" w:rsidRPr="0087410D">
        <w:rPr>
          <w:rFonts w:ascii="宋体" w:hAnsi="宋体" w:hint="eastAsia"/>
          <w:kern w:val="0"/>
          <w:sz w:val="21"/>
          <w:szCs w:val="21"/>
        </w:rPr>
        <w:t>为基金进行审计的会计师事务所情况</w:t>
      </w:r>
      <w:bookmarkEnd w:id="347"/>
    </w:p>
    <w:p w:rsidR="008A5A5D" w:rsidRPr="00C24ACA" w:rsidRDefault="008A5A5D" w:rsidP="001412CA">
      <w:pPr>
        <w:tabs>
          <w:tab w:val="left" w:pos="426"/>
        </w:tabs>
        <w:spacing w:line="360" w:lineRule="auto"/>
        <w:ind w:firstLineChars="200" w:firstLine="420"/>
        <w:jc w:val="left"/>
        <w:rPr>
          <w:rFonts w:eastAsiaTheme="minorEastAsia"/>
          <w:kern w:val="0"/>
          <w:szCs w:val="21"/>
        </w:rPr>
      </w:pPr>
      <w:bookmarkStart w:id="348" w:name="OLE_LINK3"/>
      <w:r w:rsidRPr="00C24ACA">
        <w:rPr>
          <w:rFonts w:eastAsiaTheme="minorEastAsia"/>
          <w:kern w:val="0"/>
          <w:szCs w:val="21"/>
        </w:rPr>
        <w:t>本报告期内本基金未改聘会计师事务所。</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9" w:name="_Toc352256016"/>
      <w:bookmarkStart w:id="350" w:name="_Toc352256084"/>
      <w:bookmarkStart w:id="351" w:name="_Toc352331262"/>
      <w:bookmarkStart w:id="352" w:name="_Toc390164846"/>
      <w:bookmarkStart w:id="353" w:name="_Toc48664198"/>
      <w:bookmarkEnd w:id="348"/>
      <w:r w:rsidRPr="0087359D">
        <w:rPr>
          <w:rFonts w:ascii="宋体" w:hAnsi="宋体"/>
          <w:kern w:val="0"/>
          <w:sz w:val="21"/>
          <w:szCs w:val="21"/>
        </w:rPr>
        <w:t>10.</w:t>
      </w:r>
      <w:r>
        <w:rPr>
          <w:rFonts w:ascii="宋体" w:hAnsi="宋体" w:hint="eastAsia"/>
          <w:kern w:val="0"/>
          <w:sz w:val="21"/>
          <w:szCs w:val="21"/>
        </w:rPr>
        <w:t>6</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管理人、托管人及其高级管理人员受稽查或处罚等情况</w:t>
      </w:r>
      <w:bookmarkEnd w:id="349"/>
      <w:bookmarkEnd w:id="350"/>
      <w:bookmarkEnd w:id="351"/>
      <w:bookmarkEnd w:id="352"/>
      <w:bookmarkEnd w:id="353"/>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本报告期内，本基金管理人和托管人托管业务部门及其相关高级管理人员未受到稽查或处罚。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54" w:name="_Toc352256017"/>
      <w:bookmarkStart w:id="355" w:name="_Toc352256085"/>
      <w:bookmarkStart w:id="356" w:name="_Toc352331263"/>
      <w:bookmarkStart w:id="357" w:name="_Toc390164847"/>
      <w:bookmarkStart w:id="358" w:name="_Toc48664199"/>
      <w:r w:rsidRPr="0087359D">
        <w:rPr>
          <w:rFonts w:ascii="宋体" w:hAnsi="宋体"/>
          <w:kern w:val="0"/>
          <w:sz w:val="21"/>
          <w:szCs w:val="21"/>
        </w:rPr>
        <w:t>10.</w:t>
      </w:r>
      <w:r>
        <w:rPr>
          <w:rFonts w:ascii="宋体" w:hAnsi="宋体" w:hint="eastAsia"/>
          <w:kern w:val="0"/>
          <w:sz w:val="21"/>
          <w:szCs w:val="21"/>
        </w:rPr>
        <w:t>7</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基金租用证券公司交易单元的有关情况</w:t>
      </w:r>
      <w:bookmarkEnd w:id="354"/>
      <w:bookmarkEnd w:id="355"/>
      <w:bookmarkEnd w:id="356"/>
      <w:bookmarkEnd w:id="357"/>
      <w:bookmarkEnd w:id="358"/>
    </w:p>
    <w:p w:rsidR="008A5A5D" w:rsidRPr="00C24ACA" w:rsidRDefault="000D1F25" w:rsidP="00E92B70">
      <w:pPr>
        <w:spacing w:line="360" w:lineRule="auto"/>
        <w:rPr>
          <w:rFonts w:eastAsiaTheme="minorEastAsia"/>
          <w:b/>
          <w:szCs w:val="21"/>
        </w:rPr>
      </w:pPr>
      <w:bookmarkStart w:id="359" w:name="_Toc249760070"/>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1</w:t>
      </w:r>
      <w:r w:rsidR="008A5A5D" w:rsidRPr="00C24ACA">
        <w:rPr>
          <w:rFonts w:eastAsiaTheme="minorEastAsia"/>
          <w:b/>
          <w:szCs w:val="21"/>
        </w:rPr>
        <w:t>基金租用证券公司交易单元进行股票投资及佣金支付情况</w:t>
      </w:r>
      <w:bookmarkEnd w:id="359"/>
    </w:p>
    <w:p w:rsidR="008A5A5D" w:rsidRPr="00C24ACA" w:rsidRDefault="008A5A5D" w:rsidP="008134C7">
      <w:pPr>
        <w:pStyle w:val="a0"/>
        <w:ind w:firstLineChars="2600" w:firstLine="5460"/>
        <w:jc w:val="right"/>
        <w:rPr>
          <w:rFonts w:eastAsiaTheme="minorEastAsia"/>
          <w:color w:val="000000"/>
          <w:szCs w:val="21"/>
        </w:rPr>
      </w:pPr>
      <w:r w:rsidRPr="00C24ACA">
        <w:rPr>
          <w:rFonts w:eastAsiaTheme="minor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8A5A5D" w:rsidRPr="00C24ACA" w:rsidTr="004A4847">
        <w:tc>
          <w:tcPr>
            <w:tcW w:w="1560" w:type="dxa"/>
            <w:vMerge w:val="restart"/>
            <w:vAlign w:val="center"/>
          </w:tcPr>
          <w:p w:rsidR="008A5A5D" w:rsidRPr="00C24ACA" w:rsidRDefault="008A5A5D" w:rsidP="004A4847">
            <w:pPr>
              <w:jc w:val="center"/>
              <w:rPr>
                <w:rFonts w:eastAsiaTheme="minorEastAsia"/>
                <w:color w:val="000000"/>
                <w:szCs w:val="21"/>
              </w:rPr>
            </w:pPr>
            <w:bookmarkStart w:id="360" w:name="_Toc249760071"/>
            <w:r w:rsidRPr="00C24ACA">
              <w:rPr>
                <w:rFonts w:eastAsiaTheme="minorEastAsia"/>
                <w:color w:val="000000"/>
                <w:szCs w:val="21"/>
              </w:rPr>
              <w:t>券商名称</w:t>
            </w:r>
          </w:p>
        </w:tc>
        <w:tc>
          <w:tcPr>
            <w:tcW w:w="780" w:type="dxa"/>
            <w:vMerge w:val="restart"/>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交易单元数量</w:t>
            </w:r>
          </w:p>
        </w:tc>
        <w:tc>
          <w:tcPr>
            <w:tcW w:w="288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股票交易</w:t>
            </w:r>
          </w:p>
        </w:tc>
        <w:tc>
          <w:tcPr>
            <w:tcW w:w="270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应支付该券商的佣金</w:t>
            </w:r>
          </w:p>
        </w:tc>
        <w:tc>
          <w:tcPr>
            <w:tcW w:w="1080" w:type="dxa"/>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备注</w:t>
            </w:r>
          </w:p>
        </w:tc>
      </w:tr>
      <w:tr w:rsidR="008A5A5D" w:rsidRPr="00C24ACA" w:rsidTr="004A4847">
        <w:tc>
          <w:tcPr>
            <w:tcW w:w="9000" w:type="dxa"/>
            <w:vMerge/>
            <w:vAlign w:val="center"/>
          </w:tcPr>
          <w:p w:rsidR="008A5A5D" w:rsidRPr="00C24ACA" w:rsidRDefault="008A5A5D" w:rsidP="004A4847">
            <w:pPr>
              <w:widowControl/>
              <w:jc w:val="left"/>
              <w:rPr>
                <w:rFonts w:eastAsiaTheme="minorEastAsia"/>
                <w:color w:val="000000"/>
                <w:szCs w:val="21"/>
              </w:rPr>
            </w:pPr>
          </w:p>
        </w:tc>
        <w:tc>
          <w:tcPr>
            <w:tcW w:w="780" w:type="dxa"/>
            <w:vMerge/>
            <w:vAlign w:val="center"/>
          </w:tcPr>
          <w:p w:rsidR="008A5A5D" w:rsidRPr="00C24ACA" w:rsidRDefault="008A5A5D" w:rsidP="004A4847">
            <w:pPr>
              <w:widowControl/>
              <w:jc w:val="left"/>
              <w:rPr>
                <w:rFonts w:eastAsiaTheme="minorEastAsia"/>
                <w:color w:val="000000"/>
                <w:szCs w:val="21"/>
              </w:rPr>
            </w:pPr>
          </w:p>
        </w:tc>
        <w:tc>
          <w:tcPr>
            <w:tcW w:w="180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成交金额</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占当期股票成交总额的比例</w:t>
            </w:r>
          </w:p>
        </w:tc>
        <w:tc>
          <w:tcPr>
            <w:tcW w:w="162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佣金</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占当期佣金总量的比例</w:t>
            </w:r>
          </w:p>
        </w:tc>
        <w:tc>
          <w:tcPr>
            <w:tcW w:w="1080" w:type="dxa"/>
            <w:vMerge/>
            <w:vAlign w:val="center"/>
          </w:tcPr>
          <w:p w:rsidR="008A5A5D" w:rsidRPr="00C24ACA" w:rsidRDefault="008A5A5D" w:rsidP="004A4847">
            <w:pPr>
              <w:widowControl/>
              <w:jc w:val="left"/>
              <w:rPr>
                <w:rFonts w:eastAsiaTheme="minorEastAsia"/>
                <w:color w:val="000000"/>
                <w:kern w:val="0"/>
                <w:szCs w:val="21"/>
              </w:rPr>
            </w:pPr>
          </w:p>
        </w:tc>
      </w:tr>
      <w:tr w:rsidR="005F7EF1">
        <w:tc>
          <w:tcPr>
            <w:tcW w:w="1560" w:type="dxa"/>
            <w:vAlign w:val="center"/>
          </w:tcPr>
          <w:p w:rsidR="005F7EF1" w:rsidRDefault="00E6254F">
            <w:pPr>
              <w:jc w:val="center"/>
            </w:pPr>
            <w:r>
              <w:rPr>
                <w:rFonts w:eastAsiaTheme="minorEastAsia"/>
                <w:color w:val="000000"/>
                <w:szCs w:val="21"/>
              </w:rPr>
              <w:t>State Street Securities Hong Kong Limited</w:t>
            </w:r>
          </w:p>
        </w:tc>
        <w:tc>
          <w:tcPr>
            <w:tcW w:w="780" w:type="dxa"/>
            <w:vAlign w:val="center"/>
          </w:tcPr>
          <w:p w:rsidR="005F7EF1" w:rsidRDefault="00E6254F">
            <w:pPr>
              <w:jc w:val="right"/>
            </w:pPr>
            <w:r>
              <w:rPr>
                <w:rFonts w:eastAsiaTheme="minorEastAsia"/>
                <w:color w:val="000000"/>
                <w:szCs w:val="21"/>
              </w:rPr>
              <w:t>1</w:t>
            </w:r>
          </w:p>
        </w:tc>
        <w:tc>
          <w:tcPr>
            <w:tcW w:w="1800" w:type="dxa"/>
            <w:vAlign w:val="center"/>
          </w:tcPr>
          <w:p w:rsidR="005F7EF1" w:rsidRDefault="00E6254F">
            <w:pPr>
              <w:jc w:val="right"/>
            </w:pPr>
            <w:r>
              <w:rPr>
                <w:rFonts w:eastAsiaTheme="minorEastAsia"/>
                <w:color w:val="000000"/>
                <w:szCs w:val="21"/>
              </w:rPr>
              <w:t>-</w:t>
            </w:r>
          </w:p>
        </w:tc>
        <w:tc>
          <w:tcPr>
            <w:tcW w:w="1080" w:type="dxa"/>
            <w:vAlign w:val="center"/>
          </w:tcPr>
          <w:p w:rsidR="005F7EF1" w:rsidRDefault="00E6254F">
            <w:pPr>
              <w:jc w:val="right"/>
            </w:pPr>
            <w:r>
              <w:rPr>
                <w:rFonts w:eastAsiaTheme="minorEastAsia"/>
                <w:color w:val="000000"/>
                <w:szCs w:val="21"/>
              </w:rPr>
              <w:t>-</w:t>
            </w:r>
          </w:p>
        </w:tc>
        <w:tc>
          <w:tcPr>
            <w:tcW w:w="1620" w:type="dxa"/>
            <w:vAlign w:val="center"/>
          </w:tcPr>
          <w:p w:rsidR="005F7EF1" w:rsidRDefault="00E6254F">
            <w:pPr>
              <w:jc w:val="right"/>
            </w:pPr>
            <w:r>
              <w:rPr>
                <w:rFonts w:eastAsiaTheme="minorEastAsia"/>
                <w:color w:val="000000"/>
                <w:szCs w:val="21"/>
              </w:rPr>
              <w:t>121,663.56</w:t>
            </w:r>
          </w:p>
        </w:tc>
        <w:tc>
          <w:tcPr>
            <w:tcW w:w="1080" w:type="dxa"/>
            <w:vAlign w:val="center"/>
          </w:tcPr>
          <w:p w:rsidR="005F7EF1" w:rsidRDefault="00E6254F">
            <w:pPr>
              <w:jc w:val="right"/>
            </w:pPr>
            <w:r>
              <w:rPr>
                <w:rFonts w:eastAsiaTheme="minorEastAsia"/>
                <w:color w:val="000000"/>
                <w:szCs w:val="21"/>
              </w:rPr>
              <w:t>18.76%</w:t>
            </w:r>
          </w:p>
        </w:tc>
        <w:tc>
          <w:tcPr>
            <w:tcW w:w="1080" w:type="dxa"/>
            <w:vAlign w:val="center"/>
          </w:tcPr>
          <w:p w:rsidR="005F7EF1" w:rsidRDefault="00E6254F">
            <w:pPr>
              <w:jc w:val="left"/>
            </w:pPr>
            <w:r>
              <w:rPr>
                <w:rFonts w:eastAsiaTheme="minorEastAsia"/>
                <w:color w:val="000000"/>
                <w:szCs w:val="21"/>
              </w:rPr>
              <w:t>-</w:t>
            </w:r>
          </w:p>
        </w:tc>
      </w:tr>
      <w:tr w:rsidR="005F7EF1">
        <w:tc>
          <w:tcPr>
            <w:tcW w:w="1560" w:type="dxa"/>
            <w:vAlign w:val="center"/>
          </w:tcPr>
          <w:p w:rsidR="005F7EF1" w:rsidRDefault="00E6254F">
            <w:pPr>
              <w:jc w:val="center"/>
            </w:pPr>
            <w:r>
              <w:rPr>
                <w:rFonts w:eastAsiaTheme="minorEastAsia"/>
                <w:color w:val="000000"/>
                <w:szCs w:val="21"/>
              </w:rPr>
              <w:t>Citigroup Global Markets Asia Limited</w:t>
            </w:r>
          </w:p>
        </w:tc>
        <w:tc>
          <w:tcPr>
            <w:tcW w:w="780" w:type="dxa"/>
            <w:vAlign w:val="center"/>
          </w:tcPr>
          <w:p w:rsidR="005F7EF1" w:rsidRDefault="00E6254F">
            <w:pPr>
              <w:jc w:val="right"/>
            </w:pPr>
            <w:r>
              <w:rPr>
                <w:rFonts w:eastAsiaTheme="minorEastAsia"/>
                <w:color w:val="000000"/>
                <w:szCs w:val="21"/>
              </w:rPr>
              <w:t>1</w:t>
            </w:r>
          </w:p>
        </w:tc>
        <w:tc>
          <w:tcPr>
            <w:tcW w:w="1800" w:type="dxa"/>
            <w:vAlign w:val="center"/>
          </w:tcPr>
          <w:p w:rsidR="005F7EF1" w:rsidRDefault="00E6254F">
            <w:pPr>
              <w:jc w:val="right"/>
            </w:pPr>
            <w:r>
              <w:rPr>
                <w:rFonts w:eastAsiaTheme="minorEastAsia"/>
                <w:color w:val="000000"/>
                <w:szCs w:val="21"/>
              </w:rPr>
              <w:t>-</w:t>
            </w:r>
          </w:p>
        </w:tc>
        <w:tc>
          <w:tcPr>
            <w:tcW w:w="1080" w:type="dxa"/>
            <w:vAlign w:val="center"/>
          </w:tcPr>
          <w:p w:rsidR="005F7EF1" w:rsidRDefault="00E6254F">
            <w:pPr>
              <w:jc w:val="right"/>
            </w:pPr>
            <w:r>
              <w:rPr>
                <w:rFonts w:eastAsiaTheme="minorEastAsia"/>
                <w:color w:val="000000"/>
                <w:szCs w:val="21"/>
              </w:rPr>
              <w:t>-</w:t>
            </w:r>
          </w:p>
        </w:tc>
        <w:tc>
          <w:tcPr>
            <w:tcW w:w="1620" w:type="dxa"/>
            <w:vAlign w:val="center"/>
          </w:tcPr>
          <w:p w:rsidR="005F7EF1" w:rsidRDefault="00E6254F">
            <w:pPr>
              <w:jc w:val="right"/>
            </w:pPr>
            <w:r>
              <w:rPr>
                <w:rFonts w:eastAsiaTheme="minorEastAsia"/>
                <w:color w:val="000000"/>
                <w:szCs w:val="21"/>
              </w:rPr>
              <w:t>185,040.96</w:t>
            </w:r>
          </w:p>
        </w:tc>
        <w:tc>
          <w:tcPr>
            <w:tcW w:w="1080" w:type="dxa"/>
            <w:vAlign w:val="center"/>
          </w:tcPr>
          <w:p w:rsidR="005F7EF1" w:rsidRDefault="00E6254F">
            <w:pPr>
              <w:jc w:val="right"/>
            </w:pPr>
            <w:r>
              <w:rPr>
                <w:rFonts w:eastAsiaTheme="minorEastAsia"/>
                <w:color w:val="000000"/>
                <w:szCs w:val="21"/>
              </w:rPr>
              <w:t>28.54%</w:t>
            </w:r>
          </w:p>
        </w:tc>
        <w:tc>
          <w:tcPr>
            <w:tcW w:w="1080" w:type="dxa"/>
            <w:vAlign w:val="center"/>
          </w:tcPr>
          <w:p w:rsidR="005F7EF1" w:rsidRDefault="00E6254F">
            <w:pPr>
              <w:jc w:val="left"/>
            </w:pPr>
            <w:r>
              <w:rPr>
                <w:rFonts w:eastAsiaTheme="minorEastAsia"/>
                <w:color w:val="000000"/>
                <w:szCs w:val="21"/>
              </w:rPr>
              <w:t>-</w:t>
            </w:r>
          </w:p>
        </w:tc>
      </w:tr>
      <w:tr w:rsidR="005F7EF1">
        <w:tc>
          <w:tcPr>
            <w:tcW w:w="1560" w:type="dxa"/>
            <w:vAlign w:val="center"/>
          </w:tcPr>
          <w:p w:rsidR="005F7EF1" w:rsidRDefault="00E6254F">
            <w:pPr>
              <w:jc w:val="center"/>
            </w:pPr>
            <w:r>
              <w:rPr>
                <w:rFonts w:eastAsiaTheme="minorEastAsia"/>
                <w:color w:val="000000"/>
                <w:szCs w:val="21"/>
              </w:rPr>
              <w:t>Goldman Sachs</w:t>
            </w:r>
          </w:p>
        </w:tc>
        <w:tc>
          <w:tcPr>
            <w:tcW w:w="780" w:type="dxa"/>
            <w:vAlign w:val="center"/>
          </w:tcPr>
          <w:p w:rsidR="005F7EF1" w:rsidRDefault="00E6254F">
            <w:pPr>
              <w:jc w:val="right"/>
            </w:pPr>
            <w:r>
              <w:rPr>
                <w:rFonts w:eastAsiaTheme="minorEastAsia"/>
                <w:color w:val="000000"/>
                <w:szCs w:val="21"/>
              </w:rPr>
              <w:t>1</w:t>
            </w:r>
          </w:p>
        </w:tc>
        <w:tc>
          <w:tcPr>
            <w:tcW w:w="1800" w:type="dxa"/>
            <w:vAlign w:val="center"/>
          </w:tcPr>
          <w:p w:rsidR="005F7EF1" w:rsidRDefault="00E6254F">
            <w:pPr>
              <w:jc w:val="right"/>
            </w:pPr>
            <w:r>
              <w:rPr>
                <w:rFonts w:eastAsiaTheme="minorEastAsia"/>
                <w:color w:val="000000"/>
                <w:szCs w:val="21"/>
              </w:rPr>
              <w:t>-</w:t>
            </w:r>
          </w:p>
        </w:tc>
        <w:tc>
          <w:tcPr>
            <w:tcW w:w="1080" w:type="dxa"/>
            <w:vAlign w:val="center"/>
          </w:tcPr>
          <w:p w:rsidR="005F7EF1" w:rsidRDefault="00E6254F">
            <w:pPr>
              <w:jc w:val="right"/>
            </w:pPr>
            <w:r>
              <w:rPr>
                <w:rFonts w:eastAsiaTheme="minorEastAsia"/>
                <w:color w:val="000000"/>
                <w:szCs w:val="21"/>
              </w:rPr>
              <w:t>-</w:t>
            </w:r>
          </w:p>
        </w:tc>
        <w:tc>
          <w:tcPr>
            <w:tcW w:w="1620" w:type="dxa"/>
            <w:vAlign w:val="center"/>
          </w:tcPr>
          <w:p w:rsidR="005F7EF1" w:rsidRDefault="00E6254F">
            <w:pPr>
              <w:jc w:val="right"/>
            </w:pPr>
            <w:r>
              <w:rPr>
                <w:rFonts w:eastAsiaTheme="minorEastAsia"/>
                <w:color w:val="000000"/>
                <w:szCs w:val="21"/>
              </w:rPr>
              <w:t>341,693.52</w:t>
            </w:r>
          </w:p>
        </w:tc>
        <w:tc>
          <w:tcPr>
            <w:tcW w:w="1080" w:type="dxa"/>
            <w:vAlign w:val="center"/>
          </w:tcPr>
          <w:p w:rsidR="005F7EF1" w:rsidRDefault="00E6254F">
            <w:pPr>
              <w:jc w:val="right"/>
            </w:pPr>
            <w:r>
              <w:rPr>
                <w:rFonts w:eastAsiaTheme="minorEastAsia"/>
                <w:color w:val="000000"/>
                <w:szCs w:val="21"/>
              </w:rPr>
              <w:t>52.70%</w:t>
            </w:r>
          </w:p>
        </w:tc>
        <w:tc>
          <w:tcPr>
            <w:tcW w:w="1080" w:type="dxa"/>
            <w:vAlign w:val="center"/>
          </w:tcPr>
          <w:p w:rsidR="005F7EF1" w:rsidRDefault="00E6254F">
            <w:pPr>
              <w:jc w:val="left"/>
            </w:pPr>
            <w:r>
              <w:rPr>
                <w:rFonts w:eastAsiaTheme="minorEastAsia"/>
                <w:color w:val="000000"/>
                <w:szCs w:val="21"/>
              </w:rPr>
              <w:t>-</w:t>
            </w:r>
          </w:p>
        </w:tc>
      </w:tr>
    </w:tbl>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a</w:t>
      </w:r>
      <w:r>
        <w:rPr>
          <w:rFonts w:eastAsiaTheme="minorEastAsia"/>
          <w:kern w:val="0"/>
          <w:szCs w:val="21"/>
        </w:rPr>
        <w:t>）本报告期内本基金无减少交易账户，无新增交易账户。</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）本基金管理人负责选择证券经营机构，并在该机构开立交易账户。基金交易账户的开立标准如下：</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）交易执行能力。主要指证券经营机构能否对投资指令进行有效地执行，以及能否取得较高质量的成交结果；</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）研究报告质量。主要指证券经营机构能否提供高质量的宏观经济研究、行业研究及市场走向、个股分析报告和专题研究报告等；</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）提供研究服务的质量。主要包括协助安排上市公司调研、研究资料共享、路演服务、日常沟通交流、接受委托研究的服务质量等方面；</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4</w:t>
      </w:r>
      <w:r>
        <w:rPr>
          <w:rFonts w:eastAsiaTheme="minorEastAsia"/>
          <w:kern w:val="0"/>
          <w:szCs w:val="21"/>
        </w:rPr>
        <w:t>）法规监管资讯服务。主要包括境外投资法律规定、交易监管规则、信息披露、个人利益冲突、税收等资讯的提供与培训；</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5</w:t>
      </w:r>
      <w:r>
        <w:rPr>
          <w:rFonts w:eastAsiaTheme="minorEastAsia"/>
          <w:kern w:val="0"/>
          <w:szCs w:val="21"/>
        </w:rPr>
        <w:t>）价值贡献。主要是指证券经营机构对公司研究团队、投资团队在业务能力提升上所做的培训服务、对公司投资提升所作出的贡献；</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6</w:t>
      </w:r>
      <w:r>
        <w:rPr>
          <w:rFonts w:eastAsiaTheme="minorEastAsia"/>
          <w:kern w:val="0"/>
          <w:szCs w:val="21"/>
        </w:rPr>
        <w:t>）其他因素。主要是证券经营机构的财务状况、经营行为规范、风险管理机制、近年内有无重大违规行为等。</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）基金交易账户的选择程序如下：</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）本基金管理人根据上述标准考察后确定选用交易账户的证券经营机构。</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）基金管理人与所选定的证券经营机构办理开立交易账户事宜。</w:t>
      </w:r>
    </w:p>
    <w:p w:rsidR="008A5A5D" w:rsidRPr="00C24ACA" w:rsidRDefault="000D1F25" w:rsidP="00732F5C">
      <w:pPr>
        <w:spacing w:beforeLines="100" w:before="312" w:line="360" w:lineRule="auto"/>
        <w:rPr>
          <w:rFonts w:eastAsiaTheme="minorEastAsia"/>
          <w:b/>
          <w:szCs w:val="21"/>
        </w:rPr>
      </w:pPr>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2</w:t>
      </w:r>
      <w:r w:rsidR="008A5A5D" w:rsidRPr="00C24ACA">
        <w:rPr>
          <w:rFonts w:eastAsiaTheme="minorEastAsia"/>
          <w:b/>
          <w:szCs w:val="21"/>
        </w:rPr>
        <w:t>基金租用证券公司交易单元进行其他证券投资的情况</w:t>
      </w:r>
      <w:bookmarkEnd w:id="360"/>
    </w:p>
    <w:p w:rsidR="008A5A5D" w:rsidRPr="00C24ACA" w:rsidRDefault="008A5A5D" w:rsidP="002116B9">
      <w:pPr>
        <w:wordWrap w:val="0"/>
        <w:ind w:firstLine="420"/>
        <w:jc w:val="right"/>
        <w:rPr>
          <w:rFonts w:eastAsiaTheme="minorEastAsia"/>
          <w:color w:val="000000"/>
          <w:szCs w:val="21"/>
        </w:rPr>
      </w:pPr>
      <w:r w:rsidRPr="00C24ACA">
        <w:rPr>
          <w:rFonts w:eastAsiaTheme="minor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62C75" w:rsidRPr="00C24ACA" w:rsidTr="00762C75">
        <w:tc>
          <w:tcPr>
            <w:tcW w:w="709" w:type="dxa"/>
            <w:vMerge w:val="restart"/>
            <w:vAlign w:val="center"/>
          </w:tcPr>
          <w:p w:rsidR="00762C75" w:rsidRPr="00C24ACA" w:rsidRDefault="00762C75" w:rsidP="004A4847">
            <w:pPr>
              <w:jc w:val="center"/>
              <w:rPr>
                <w:rFonts w:eastAsiaTheme="minorEastAsia"/>
                <w:color w:val="000000"/>
                <w:kern w:val="0"/>
                <w:szCs w:val="21"/>
              </w:rPr>
            </w:pPr>
            <w:r w:rsidRPr="00C24ACA">
              <w:rPr>
                <w:rFonts w:eastAsiaTheme="minorEastAsia"/>
                <w:color w:val="000000"/>
                <w:szCs w:val="21"/>
              </w:rPr>
              <w:t>券商名称</w:t>
            </w:r>
          </w:p>
        </w:tc>
        <w:tc>
          <w:tcPr>
            <w:tcW w:w="1985"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债券交易</w:t>
            </w:r>
          </w:p>
        </w:tc>
        <w:tc>
          <w:tcPr>
            <w:tcW w:w="2023" w:type="dxa"/>
            <w:gridSpan w:val="2"/>
            <w:vAlign w:val="center"/>
          </w:tcPr>
          <w:p w:rsidR="00762C75" w:rsidRPr="00C24ACA" w:rsidRDefault="005A7B0E" w:rsidP="004A4847">
            <w:pPr>
              <w:jc w:val="center"/>
              <w:rPr>
                <w:rFonts w:eastAsiaTheme="minorEastAsia"/>
                <w:color w:val="000000"/>
                <w:szCs w:val="21"/>
              </w:rPr>
            </w:pPr>
            <w:r>
              <w:rPr>
                <w:rFonts w:eastAsiaTheme="minorEastAsia" w:hint="eastAsia"/>
                <w:color w:val="000000"/>
                <w:szCs w:val="21"/>
              </w:rPr>
              <w:t>债券</w:t>
            </w:r>
            <w:r w:rsidR="00762C75" w:rsidRPr="00C24ACA">
              <w:rPr>
                <w:rFonts w:eastAsiaTheme="minorEastAsia"/>
                <w:color w:val="000000"/>
                <w:szCs w:val="21"/>
              </w:rPr>
              <w:t>回购交易</w:t>
            </w:r>
          </w:p>
        </w:tc>
        <w:tc>
          <w:tcPr>
            <w:tcW w:w="2164"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权证交易</w:t>
            </w:r>
          </w:p>
        </w:tc>
        <w:tc>
          <w:tcPr>
            <w:tcW w:w="1962" w:type="dxa"/>
            <w:gridSpan w:val="2"/>
          </w:tcPr>
          <w:p w:rsidR="00762C75" w:rsidRPr="00C24ACA" w:rsidRDefault="00AF0AFC" w:rsidP="004A4847">
            <w:pPr>
              <w:jc w:val="center"/>
              <w:rPr>
                <w:rFonts w:eastAsiaTheme="minorEastAsia"/>
                <w:color w:val="000000"/>
                <w:szCs w:val="21"/>
              </w:rPr>
            </w:pPr>
            <w:r w:rsidRPr="00C24ACA">
              <w:rPr>
                <w:rFonts w:eastAsiaTheme="minorEastAsia"/>
                <w:color w:val="000000"/>
                <w:szCs w:val="21"/>
              </w:rPr>
              <w:t>基金交易</w:t>
            </w:r>
          </w:p>
        </w:tc>
      </w:tr>
      <w:tr w:rsidR="00762C75" w:rsidRPr="00C24ACA" w:rsidTr="00762C75">
        <w:tc>
          <w:tcPr>
            <w:tcW w:w="709" w:type="dxa"/>
            <w:vMerge/>
            <w:vAlign w:val="center"/>
          </w:tcPr>
          <w:p w:rsidR="00762C75" w:rsidRPr="00C24ACA" w:rsidRDefault="00762C75" w:rsidP="004A4847">
            <w:pPr>
              <w:widowControl/>
              <w:jc w:val="left"/>
              <w:rPr>
                <w:rFonts w:eastAsiaTheme="minorEastAsia"/>
                <w:color w:val="000000"/>
                <w:kern w:val="0"/>
                <w:szCs w:val="21"/>
              </w:rPr>
            </w:pPr>
          </w:p>
        </w:tc>
        <w:tc>
          <w:tcPr>
            <w:tcW w:w="709"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76"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占当期债券成交总额的比例</w:t>
            </w:r>
          </w:p>
        </w:tc>
        <w:tc>
          <w:tcPr>
            <w:tcW w:w="763"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6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w:t>
            </w:r>
            <w:r w:rsidR="005A7B0E">
              <w:rPr>
                <w:rFonts w:eastAsiaTheme="minorEastAsia" w:hint="eastAsia"/>
                <w:color w:val="000000"/>
                <w:szCs w:val="21"/>
              </w:rPr>
              <w:t>债券</w:t>
            </w:r>
            <w:r w:rsidRPr="00C24ACA">
              <w:rPr>
                <w:rFonts w:eastAsiaTheme="minorEastAsia"/>
                <w:color w:val="000000"/>
                <w:szCs w:val="21"/>
              </w:rPr>
              <w:t>回购成交总额的比例</w:t>
            </w:r>
          </w:p>
        </w:tc>
        <w:tc>
          <w:tcPr>
            <w:tcW w:w="724"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44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占当期权证成交总额的比例</w:t>
            </w:r>
          </w:p>
        </w:tc>
        <w:tc>
          <w:tcPr>
            <w:tcW w:w="781" w:type="dxa"/>
            <w:vAlign w:val="center"/>
          </w:tcPr>
          <w:p w:rsidR="00762C75" w:rsidRPr="00C24ACA" w:rsidRDefault="00762C75" w:rsidP="00B03EF5">
            <w:pPr>
              <w:jc w:val="center"/>
              <w:rPr>
                <w:rFonts w:eastAsiaTheme="minorEastAsia"/>
                <w:color w:val="000000"/>
                <w:szCs w:val="21"/>
              </w:rPr>
            </w:pPr>
            <w:r w:rsidRPr="00C24ACA">
              <w:rPr>
                <w:rFonts w:eastAsiaTheme="minorEastAsia"/>
                <w:color w:val="000000"/>
                <w:szCs w:val="21"/>
              </w:rPr>
              <w:t>成交金额</w:t>
            </w:r>
          </w:p>
        </w:tc>
        <w:tc>
          <w:tcPr>
            <w:tcW w:w="1181" w:type="dxa"/>
            <w:vAlign w:val="center"/>
          </w:tcPr>
          <w:p w:rsidR="00762C75" w:rsidRPr="00C24ACA" w:rsidRDefault="00762C75" w:rsidP="00511FD1">
            <w:pPr>
              <w:jc w:val="center"/>
              <w:rPr>
                <w:rFonts w:eastAsiaTheme="minorEastAsia"/>
                <w:color w:val="000000"/>
                <w:szCs w:val="21"/>
              </w:rPr>
            </w:pPr>
            <w:r w:rsidRPr="00C24ACA">
              <w:rPr>
                <w:rFonts w:eastAsiaTheme="minorEastAsia"/>
                <w:color w:val="000000"/>
                <w:szCs w:val="21"/>
              </w:rPr>
              <w:t>占当期</w:t>
            </w:r>
            <w:r w:rsidR="00511FD1" w:rsidRPr="00C24ACA">
              <w:rPr>
                <w:rFonts w:eastAsiaTheme="minorEastAsia"/>
                <w:color w:val="000000"/>
                <w:szCs w:val="21"/>
              </w:rPr>
              <w:t>基金</w:t>
            </w:r>
            <w:r w:rsidRPr="00C24ACA">
              <w:rPr>
                <w:rFonts w:eastAsiaTheme="minorEastAsia"/>
                <w:color w:val="000000"/>
                <w:szCs w:val="21"/>
              </w:rPr>
              <w:t>成交总额的比例</w:t>
            </w:r>
          </w:p>
        </w:tc>
      </w:tr>
      <w:tr w:rsidR="005F7EF1">
        <w:tc>
          <w:tcPr>
            <w:tcW w:w="709" w:type="dxa"/>
            <w:vAlign w:val="center"/>
          </w:tcPr>
          <w:p w:rsidR="005F7EF1" w:rsidRDefault="00E6254F">
            <w:pPr>
              <w:jc w:val="left"/>
            </w:pPr>
            <w:r>
              <w:rPr>
                <w:rFonts w:eastAsiaTheme="minorEastAsia"/>
                <w:color w:val="000000"/>
                <w:szCs w:val="21"/>
              </w:rPr>
              <w:t>State Street Securities Hong Kong Limited</w:t>
            </w:r>
          </w:p>
        </w:tc>
        <w:tc>
          <w:tcPr>
            <w:tcW w:w="709" w:type="dxa"/>
            <w:vAlign w:val="center"/>
          </w:tcPr>
          <w:p w:rsidR="005F7EF1" w:rsidRDefault="00E6254F">
            <w:pPr>
              <w:jc w:val="right"/>
            </w:pPr>
            <w:r>
              <w:rPr>
                <w:rFonts w:eastAsiaTheme="minorEastAsia"/>
                <w:color w:val="000000"/>
                <w:szCs w:val="21"/>
              </w:rPr>
              <w:t>-</w:t>
            </w:r>
          </w:p>
        </w:tc>
        <w:tc>
          <w:tcPr>
            <w:tcW w:w="1276" w:type="dxa"/>
            <w:vAlign w:val="center"/>
          </w:tcPr>
          <w:p w:rsidR="005F7EF1" w:rsidRDefault="00E6254F">
            <w:pPr>
              <w:jc w:val="right"/>
            </w:pPr>
            <w:r>
              <w:rPr>
                <w:rFonts w:eastAsiaTheme="minorEastAsia"/>
                <w:color w:val="000000"/>
                <w:szCs w:val="21"/>
              </w:rPr>
              <w:t>-</w:t>
            </w:r>
          </w:p>
        </w:tc>
        <w:tc>
          <w:tcPr>
            <w:tcW w:w="763" w:type="dxa"/>
            <w:vAlign w:val="center"/>
          </w:tcPr>
          <w:p w:rsidR="005F7EF1" w:rsidRDefault="00E6254F">
            <w:pPr>
              <w:jc w:val="right"/>
            </w:pPr>
            <w:r>
              <w:rPr>
                <w:rFonts w:eastAsiaTheme="minorEastAsia"/>
                <w:color w:val="000000"/>
                <w:szCs w:val="21"/>
              </w:rPr>
              <w:t>-</w:t>
            </w:r>
          </w:p>
        </w:tc>
        <w:tc>
          <w:tcPr>
            <w:tcW w:w="1260" w:type="dxa"/>
            <w:vAlign w:val="center"/>
          </w:tcPr>
          <w:p w:rsidR="005F7EF1" w:rsidRDefault="00E6254F">
            <w:pPr>
              <w:jc w:val="right"/>
            </w:pPr>
            <w:r>
              <w:rPr>
                <w:rFonts w:eastAsiaTheme="minorEastAsia"/>
                <w:color w:val="000000"/>
                <w:szCs w:val="21"/>
              </w:rPr>
              <w:t>-</w:t>
            </w:r>
          </w:p>
        </w:tc>
        <w:tc>
          <w:tcPr>
            <w:tcW w:w="724" w:type="dxa"/>
            <w:vAlign w:val="center"/>
          </w:tcPr>
          <w:p w:rsidR="005F7EF1" w:rsidRDefault="00E6254F">
            <w:pPr>
              <w:jc w:val="right"/>
            </w:pPr>
            <w:r>
              <w:rPr>
                <w:rFonts w:eastAsiaTheme="minorEastAsia"/>
                <w:color w:val="000000"/>
                <w:szCs w:val="21"/>
              </w:rPr>
              <w:t>-</w:t>
            </w:r>
          </w:p>
        </w:tc>
        <w:tc>
          <w:tcPr>
            <w:tcW w:w="1440" w:type="dxa"/>
            <w:vAlign w:val="center"/>
          </w:tcPr>
          <w:p w:rsidR="005F7EF1" w:rsidRDefault="00E6254F">
            <w:pPr>
              <w:jc w:val="right"/>
            </w:pPr>
            <w:r>
              <w:rPr>
                <w:rFonts w:eastAsiaTheme="minorEastAsia"/>
                <w:color w:val="000000"/>
                <w:szCs w:val="21"/>
              </w:rPr>
              <w:t>-</w:t>
            </w:r>
          </w:p>
        </w:tc>
        <w:tc>
          <w:tcPr>
            <w:tcW w:w="781" w:type="dxa"/>
            <w:vAlign w:val="center"/>
          </w:tcPr>
          <w:p w:rsidR="005F7EF1" w:rsidRDefault="00E6254F">
            <w:pPr>
              <w:jc w:val="right"/>
            </w:pPr>
            <w:r>
              <w:rPr>
                <w:rFonts w:eastAsiaTheme="minorEastAsia"/>
                <w:color w:val="000000"/>
                <w:szCs w:val="21"/>
              </w:rPr>
              <w:t>361,599,700.05</w:t>
            </w:r>
          </w:p>
        </w:tc>
        <w:tc>
          <w:tcPr>
            <w:tcW w:w="1181" w:type="dxa"/>
            <w:vAlign w:val="center"/>
          </w:tcPr>
          <w:p w:rsidR="005F7EF1" w:rsidRDefault="00E6254F">
            <w:pPr>
              <w:jc w:val="right"/>
            </w:pPr>
            <w:r>
              <w:rPr>
                <w:rFonts w:eastAsiaTheme="minorEastAsia"/>
                <w:color w:val="000000"/>
                <w:szCs w:val="21"/>
              </w:rPr>
              <w:t>32.91%</w:t>
            </w:r>
          </w:p>
        </w:tc>
      </w:tr>
      <w:tr w:rsidR="005F7EF1">
        <w:tc>
          <w:tcPr>
            <w:tcW w:w="709" w:type="dxa"/>
            <w:vAlign w:val="center"/>
          </w:tcPr>
          <w:p w:rsidR="005F7EF1" w:rsidRDefault="00E6254F">
            <w:pPr>
              <w:jc w:val="left"/>
            </w:pPr>
            <w:r>
              <w:rPr>
                <w:rFonts w:eastAsiaTheme="minorEastAsia"/>
                <w:color w:val="000000"/>
                <w:szCs w:val="21"/>
              </w:rPr>
              <w:t>Citigroup Global Markets Asia Limited</w:t>
            </w:r>
          </w:p>
        </w:tc>
        <w:tc>
          <w:tcPr>
            <w:tcW w:w="709" w:type="dxa"/>
            <w:vAlign w:val="center"/>
          </w:tcPr>
          <w:p w:rsidR="005F7EF1" w:rsidRDefault="00E6254F">
            <w:pPr>
              <w:jc w:val="right"/>
            </w:pPr>
            <w:r>
              <w:rPr>
                <w:rFonts w:eastAsiaTheme="minorEastAsia"/>
                <w:color w:val="000000"/>
                <w:szCs w:val="21"/>
              </w:rPr>
              <w:t>-</w:t>
            </w:r>
          </w:p>
        </w:tc>
        <w:tc>
          <w:tcPr>
            <w:tcW w:w="1276" w:type="dxa"/>
            <w:vAlign w:val="center"/>
          </w:tcPr>
          <w:p w:rsidR="005F7EF1" w:rsidRDefault="00E6254F">
            <w:pPr>
              <w:jc w:val="right"/>
            </w:pPr>
            <w:r>
              <w:rPr>
                <w:rFonts w:eastAsiaTheme="minorEastAsia"/>
                <w:color w:val="000000"/>
                <w:szCs w:val="21"/>
              </w:rPr>
              <w:t>-</w:t>
            </w:r>
          </w:p>
        </w:tc>
        <w:tc>
          <w:tcPr>
            <w:tcW w:w="763" w:type="dxa"/>
            <w:vAlign w:val="center"/>
          </w:tcPr>
          <w:p w:rsidR="005F7EF1" w:rsidRDefault="00E6254F">
            <w:pPr>
              <w:jc w:val="right"/>
            </w:pPr>
            <w:r>
              <w:rPr>
                <w:rFonts w:eastAsiaTheme="minorEastAsia"/>
                <w:color w:val="000000"/>
                <w:szCs w:val="21"/>
              </w:rPr>
              <w:t>-</w:t>
            </w:r>
          </w:p>
        </w:tc>
        <w:tc>
          <w:tcPr>
            <w:tcW w:w="1260" w:type="dxa"/>
            <w:vAlign w:val="center"/>
          </w:tcPr>
          <w:p w:rsidR="005F7EF1" w:rsidRDefault="00E6254F">
            <w:pPr>
              <w:jc w:val="right"/>
            </w:pPr>
            <w:r>
              <w:rPr>
                <w:rFonts w:eastAsiaTheme="minorEastAsia"/>
                <w:color w:val="000000"/>
                <w:szCs w:val="21"/>
              </w:rPr>
              <w:t>-</w:t>
            </w:r>
          </w:p>
        </w:tc>
        <w:tc>
          <w:tcPr>
            <w:tcW w:w="724" w:type="dxa"/>
            <w:vAlign w:val="center"/>
          </w:tcPr>
          <w:p w:rsidR="005F7EF1" w:rsidRDefault="00E6254F">
            <w:pPr>
              <w:jc w:val="right"/>
            </w:pPr>
            <w:r>
              <w:rPr>
                <w:rFonts w:eastAsiaTheme="minorEastAsia"/>
                <w:color w:val="000000"/>
                <w:szCs w:val="21"/>
              </w:rPr>
              <w:t>-</w:t>
            </w:r>
          </w:p>
        </w:tc>
        <w:tc>
          <w:tcPr>
            <w:tcW w:w="1440" w:type="dxa"/>
            <w:vAlign w:val="center"/>
          </w:tcPr>
          <w:p w:rsidR="005F7EF1" w:rsidRDefault="00E6254F">
            <w:pPr>
              <w:jc w:val="right"/>
            </w:pPr>
            <w:r>
              <w:rPr>
                <w:rFonts w:eastAsiaTheme="minorEastAsia"/>
                <w:color w:val="000000"/>
                <w:szCs w:val="21"/>
              </w:rPr>
              <w:t>-</w:t>
            </w:r>
          </w:p>
        </w:tc>
        <w:tc>
          <w:tcPr>
            <w:tcW w:w="781" w:type="dxa"/>
            <w:vAlign w:val="center"/>
          </w:tcPr>
          <w:p w:rsidR="005F7EF1" w:rsidRDefault="00E6254F">
            <w:pPr>
              <w:jc w:val="right"/>
            </w:pPr>
            <w:r>
              <w:rPr>
                <w:rFonts w:eastAsiaTheme="minorEastAsia"/>
                <w:color w:val="000000"/>
                <w:szCs w:val="21"/>
              </w:rPr>
              <w:t>310,156,580.66</w:t>
            </w:r>
          </w:p>
        </w:tc>
        <w:tc>
          <w:tcPr>
            <w:tcW w:w="1181" w:type="dxa"/>
            <w:vAlign w:val="center"/>
          </w:tcPr>
          <w:p w:rsidR="005F7EF1" w:rsidRDefault="00E6254F">
            <w:pPr>
              <w:jc w:val="right"/>
            </w:pPr>
            <w:r>
              <w:rPr>
                <w:rFonts w:eastAsiaTheme="minorEastAsia"/>
                <w:color w:val="000000"/>
                <w:szCs w:val="21"/>
              </w:rPr>
              <w:t>28.22%</w:t>
            </w:r>
          </w:p>
        </w:tc>
      </w:tr>
      <w:tr w:rsidR="005F7EF1">
        <w:tc>
          <w:tcPr>
            <w:tcW w:w="709" w:type="dxa"/>
            <w:vAlign w:val="center"/>
          </w:tcPr>
          <w:p w:rsidR="005F7EF1" w:rsidRDefault="00E6254F">
            <w:pPr>
              <w:jc w:val="left"/>
            </w:pPr>
            <w:r>
              <w:rPr>
                <w:rFonts w:eastAsiaTheme="minorEastAsia"/>
                <w:color w:val="000000"/>
                <w:szCs w:val="21"/>
              </w:rPr>
              <w:t>Goldman Sachs</w:t>
            </w:r>
          </w:p>
        </w:tc>
        <w:tc>
          <w:tcPr>
            <w:tcW w:w="709" w:type="dxa"/>
            <w:vAlign w:val="center"/>
          </w:tcPr>
          <w:p w:rsidR="005F7EF1" w:rsidRDefault="00E6254F">
            <w:pPr>
              <w:jc w:val="right"/>
            </w:pPr>
            <w:r>
              <w:rPr>
                <w:rFonts w:eastAsiaTheme="minorEastAsia"/>
                <w:color w:val="000000"/>
                <w:szCs w:val="21"/>
              </w:rPr>
              <w:t>-</w:t>
            </w:r>
          </w:p>
        </w:tc>
        <w:tc>
          <w:tcPr>
            <w:tcW w:w="1276" w:type="dxa"/>
            <w:vAlign w:val="center"/>
          </w:tcPr>
          <w:p w:rsidR="005F7EF1" w:rsidRDefault="00E6254F">
            <w:pPr>
              <w:jc w:val="right"/>
            </w:pPr>
            <w:r>
              <w:rPr>
                <w:rFonts w:eastAsiaTheme="minorEastAsia"/>
                <w:color w:val="000000"/>
                <w:szCs w:val="21"/>
              </w:rPr>
              <w:t>-</w:t>
            </w:r>
          </w:p>
        </w:tc>
        <w:tc>
          <w:tcPr>
            <w:tcW w:w="763" w:type="dxa"/>
            <w:vAlign w:val="center"/>
          </w:tcPr>
          <w:p w:rsidR="005F7EF1" w:rsidRDefault="00E6254F">
            <w:pPr>
              <w:jc w:val="right"/>
            </w:pPr>
            <w:r>
              <w:rPr>
                <w:rFonts w:eastAsiaTheme="minorEastAsia"/>
                <w:color w:val="000000"/>
                <w:szCs w:val="21"/>
              </w:rPr>
              <w:t>-</w:t>
            </w:r>
          </w:p>
        </w:tc>
        <w:tc>
          <w:tcPr>
            <w:tcW w:w="1260" w:type="dxa"/>
            <w:vAlign w:val="center"/>
          </w:tcPr>
          <w:p w:rsidR="005F7EF1" w:rsidRDefault="00E6254F">
            <w:pPr>
              <w:jc w:val="right"/>
            </w:pPr>
            <w:r>
              <w:rPr>
                <w:rFonts w:eastAsiaTheme="minorEastAsia"/>
                <w:color w:val="000000"/>
                <w:szCs w:val="21"/>
              </w:rPr>
              <w:t>-</w:t>
            </w:r>
          </w:p>
        </w:tc>
        <w:tc>
          <w:tcPr>
            <w:tcW w:w="724" w:type="dxa"/>
            <w:vAlign w:val="center"/>
          </w:tcPr>
          <w:p w:rsidR="005F7EF1" w:rsidRDefault="00E6254F">
            <w:pPr>
              <w:jc w:val="right"/>
            </w:pPr>
            <w:r>
              <w:rPr>
                <w:rFonts w:eastAsiaTheme="minorEastAsia"/>
                <w:color w:val="000000"/>
                <w:szCs w:val="21"/>
              </w:rPr>
              <w:t>-</w:t>
            </w:r>
          </w:p>
        </w:tc>
        <w:tc>
          <w:tcPr>
            <w:tcW w:w="1440" w:type="dxa"/>
            <w:vAlign w:val="center"/>
          </w:tcPr>
          <w:p w:rsidR="005F7EF1" w:rsidRDefault="00E6254F">
            <w:pPr>
              <w:jc w:val="right"/>
            </w:pPr>
            <w:r>
              <w:rPr>
                <w:rFonts w:eastAsiaTheme="minorEastAsia"/>
                <w:color w:val="000000"/>
                <w:szCs w:val="21"/>
              </w:rPr>
              <w:t>-</w:t>
            </w:r>
          </w:p>
        </w:tc>
        <w:tc>
          <w:tcPr>
            <w:tcW w:w="781" w:type="dxa"/>
            <w:vAlign w:val="center"/>
          </w:tcPr>
          <w:p w:rsidR="005F7EF1" w:rsidRDefault="00E6254F">
            <w:pPr>
              <w:jc w:val="right"/>
            </w:pPr>
            <w:r>
              <w:rPr>
                <w:rFonts w:eastAsiaTheme="minorEastAsia"/>
                <w:color w:val="000000"/>
                <w:szCs w:val="21"/>
              </w:rPr>
              <w:t>427,116,772.46</w:t>
            </w:r>
          </w:p>
        </w:tc>
        <w:tc>
          <w:tcPr>
            <w:tcW w:w="1181" w:type="dxa"/>
            <w:vAlign w:val="center"/>
          </w:tcPr>
          <w:p w:rsidR="005F7EF1" w:rsidRDefault="00E6254F">
            <w:pPr>
              <w:jc w:val="right"/>
            </w:pPr>
            <w:r>
              <w:rPr>
                <w:rFonts w:eastAsiaTheme="minorEastAsia"/>
                <w:color w:val="000000"/>
                <w:szCs w:val="21"/>
              </w:rPr>
              <w:t>38.87%</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61" w:name="_Toc352256018"/>
      <w:bookmarkStart w:id="362" w:name="_Toc352256086"/>
      <w:bookmarkStart w:id="363" w:name="_Toc352331264"/>
      <w:bookmarkStart w:id="364" w:name="_Toc390164848"/>
      <w:bookmarkStart w:id="365" w:name="_Toc48664200"/>
      <w:r w:rsidRPr="0087359D">
        <w:rPr>
          <w:rFonts w:ascii="宋体" w:hAnsi="宋体"/>
          <w:kern w:val="0"/>
          <w:sz w:val="21"/>
          <w:szCs w:val="21"/>
        </w:rPr>
        <w:t>10.8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其他重大事件</w:t>
      </w:r>
      <w:bookmarkEnd w:id="361"/>
      <w:bookmarkEnd w:id="362"/>
      <w:bookmarkEnd w:id="363"/>
      <w:bookmarkEnd w:id="364"/>
      <w:bookmarkEnd w:id="36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8A5A5D" w:rsidRPr="00C24ACA" w:rsidTr="004A4847">
        <w:tc>
          <w:tcPr>
            <w:tcW w:w="7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序号</w:t>
            </w:r>
          </w:p>
        </w:tc>
        <w:tc>
          <w:tcPr>
            <w:tcW w:w="43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公告事项</w:t>
            </w:r>
          </w:p>
        </w:tc>
        <w:tc>
          <w:tcPr>
            <w:tcW w:w="25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法定披露方式</w:t>
            </w:r>
          </w:p>
        </w:tc>
        <w:tc>
          <w:tcPr>
            <w:tcW w:w="144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法定披露日期</w:t>
            </w:r>
          </w:p>
        </w:tc>
      </w:tr>
      <w:tr w:rsidR="005F7EF1">
        <w:tc>
          <w:tcPr>
            <w:tcW w:w="720" w:type="dxa"/>
            <w:vAlign w:val="center"/>
          </w:tcPr>
          <w:p w:rsidR="005F7EF1" w:rsidRDefault="00E6254F">
            <w:pPr>
              <w:jc w:val="center"/>
            </w:pPr>
            <w:r>
              <w:rPr>
                <w:rFonts w:eastAsiaTheme="minorEastAsia"/>
                <w:color w:val="000000"/>
                <w:szCs w:val="21"/>
              </w:rPr>
              <w:t>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13</w:t>
            </w:r>
            <w:r>
              <w:rPr>
                <w:rFonts w:eastAsiaTheme="minorEastAsia"/>
                <w:color w:val="000000"/>
                <w:szCs w:val="21"/>
              </w:rPr>
              <w:t>日暂停申购、赎回、定期定额投资业务的公告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2020-01-08</w:t>
            </w:r>
          </w:p>
        </w:tc>
      </w:tr>
      <w:tr w:rsidR="005F7EF1">
        <w:tc>
          <w:tcPr>
            <w:tcW w:w="720" w:type="dxa"/>
            <w:vAlign w:val="center"/>
          </w:tcPr>
          <w:p w:rsidR="005F7EF1" w:rsidRDefault="00E6254F">
            <w:pPr>
              <w:jc w:val="center"/>
            </w:pPr>
            <w:r>
              <w:rPr>
                <w:rFonts w:eastAsiaTheme="minorEastAsia"/>
                <w:color w:val="000000"/>
                <w:szCs w:val="21"/>
              </w:rPr>
              <w:t>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20</w:t>
            </w:r>
            <w:r>
              <w:rPr>
                <w:rFonts w:eastAsiaTheme="minorEastAsia"/>
                <w:color w:val="000000"/>
                <w:szCs w:val="21"/>
              </w:rPr>
              <w:t>日暂停申购、赎回、定期定额投资业务的公告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2020-01-15</w:t>
            </w:r>
          </w:p>
        </w:tc>
      </w:tr>
      <w:tr w:rsidR="005F7EF1">
        <w:tc>
          <w:tcPr>
            <w:tcW w:w="720" w:type="dxa"/>
            <w:vAlign w:val="center"/>
          </w:tcPr>
          <w:p w:rsidR="005F7EF1" w:rsidRDefault="00E6254F">
            <w:pPr>
              <w:jc w:val="center"/>
            </w:pPr>
            <w:r>
              <w:rPr>
                <w:rFonts w:eastAsiaTheme="minorEastAsia"/>
                <w:color w:val="000000"/>
                <w:szCs w:val="21"/>
              </w:rPr>
              <w:t>3</w:t>
            </w:r>
          </w:p>
        </w:tc>
        <w:tc>
          <w:tcPr>
            <w:tcW w:w="4320" w:type="dxa"/>
            <w:vAlign w:val="center"/>
          </w:tcPr>
          <w:p w:rsidR="005F7EF1" w:rsidRDefault="00E6254F">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年第</w:t>
            </w:r>
            <w:r>
              <w:rPr>
                <w:rFonts w:eastAsiaTheme="minorEastAsia"/>
                <w:color w:val="000000"/>
                <w:szCs w:val="21"/>
              </w:rPr>
              <w:t>4</w:t>
            </w:r>
            <w:r>
              <w:rPr>
                <w:rFonts w:eastAsiaTheme="minorEastAsia"/>
                <w:color w:val="000000"/>
                <w:szCs w:val="21"/>
              </w:rPr>
              <w:t>季度报告提示性公告</w:t>
            </w:r>
          </w:p>
        </w:tc>
        <w:tc>
          <w:tcPr>
            <w:tcW w:w="2520" w:type="dxa"/>
            <w:vAlign w:val="center"/>
          </w:tcPr>
          <w:p w:rsidR="005F7EF1" w:rsidRDefault="00E6254F">
            <w:pPr>
              <w:jc w:val="left"/>
            </w:pPr>
            <w:r>
              <w:rPr>
                <w:rFonts w:eastAsiaTheme="minorEastAsia"/>
                <w:color w:val="000000"/>
                <w:szCs w:val="21"/>
              </w:rPr>
              <w:t>中国证券报</w:t>
            </w:r>
          </w:p>
        </w:tc>
        <w:tc>
          <w:tcPr>
            <w:tcW w:w="1440" w:type="dxa"/>
            <w:vAlign w:val="center"/>
          </w:tcPr>
          <w:p w:rsidR="005F7EF1" w:rsidRDefault="00E6254F">
            <w:pPr>
              <w:jc w:val="center"/>
            </w:pPr>
            <w:r>
              <w:rPr>
                <w:rFonts w:eastAsiaTheme="minorEastAsia"/>
                <w:color w:val="000000"/>
                <w:szCs w:val="21"/>
              </w:rPr>
              <w:t>2020-01-18</w:t>
            </w:r>
          </w:p>
        </w:tc>
      </w:tr>
      <w:tr w:rsidR="005F7EF1">
        <w:tc>
          <w:tcPr>
            <w:tcW w:w="720" w:type="dxa"/>
            <w:vAlign w:val="center"/>
          </w:tcPr>
          <w:p w:rsidR="005F7EF1" w:rsidRDefault="00E6254F">
            <w:pPr>
              <w:jc w:val="center"/>
            </w:pPr>
            <w:r>
              <w:rPr>
                <w:rFonts w:eastAsiaTheme="minorEastAsia"/>
                <w:color w:val="000000"/>
                <w:szCs w:val="21"/>
              </w:rPr>
              <w:t>4</w:t>
            </w:r>
          </w:p>
        </w:tc>
        <w:tc>
          <w:tcPr>
            <w:tcW w:w="4320" w:type="dxa"/>
            <w:vAlign w:val="center"/>
          </w:tcPr>
          <w:p w:rsidR="005F7EF1" w:rsidRDefault="00E6254F">
            <w:pPr>
              <w:jc w:val="left"/>
            </w:pPr>
            <w:r>
              <w:rPr>
                <w:rFonts w:eastAsiaTheme="minorEastAsia"/>
                <w:color w:val="000000"/>
                <w:szCs w:val="21"/>
              </w:rPr>
              <w:t>易方达基金管理有限公司旗下部分开放式基金参加泉州银行费率优惠活动的公告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2020-01-23</w:t>
            </w:r>
          </w:p>
        </w:tc>
      </w:tr>
      <w:tr w:rsidR="005F7EF1">
        <w:tc>
          <w:tcPr>
            <w:tcW w:w="720" w:type="dxa"/>
            <w:vAlign w:val="center"/>
          </w:tcPr>
          <w:p w:rsidR="005F7EF1" w:rsidRDefault="00E6254F">
            <w:pPr>
              <w:jc w:val="center"/>
            </w:pPr>
            <w:r>
              <w:rPr>
                <w:rFonts w:eastAsiaTheme="minorEastAsia"/>
                <w:color w:val="000000"/>
                <w:szCs w:val="21"/>
              </w:rPr>
              <w:t>5</w:t>
            </w:r>
          </w:p>
        </w:tc>
        <w:tc>
          <w:tcPr>
            <w:tcW w:w="4320" w:type="dxa"/>
            <w:vAlign w:val="center"/>
          </w:tcPr>
          <w:p w:rsidR="005F7EF1" w:rsidRDefault="00E6254F">
            <w:pPr>
              <w:jc w:val="left"/>
            </w:pPr>
            <w:r>
              <w:rPr>
                <w:rFonts w:eastAsiaTheme="minorEastAsia"/>
                <w:color w:val="000000"/>
                <w:szCs w:val="21"/>
              </w:rPr>
              <w:t>易方达基金管理有限公司关于旗下基金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31</w:t>
            </w:r>
            <w:r>
              <w:rPr>
                <w:rFonts w:eastAsiaTheme="minorEastAsia"/>
                <w:color w:val="000000"/>
                <w:szCs w:val="21"/>
              </w:rPr>
              <w:t>日不开放申购、赎回、转换、定期定额投资等业务的提示性公告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2020-01-30</w:t>
            </w:r>
          </w:p>
        </w:tc>
      </w:tr>
      <w:tr w:rsidR="005F7EF1">
        <w:tc>
          <w:tcPr>
            <w:tcW w:w="720" w:type="dxa"/>
            <w:vAlign w:val="center"/>
          </w:tcPr>
          <w:p w:rsidR="005F7EF1" w:rsidRDefault="00E6254F">
            <w:pPr>
              <w:jc w:val="center"/>
            </w:pPr>
            <w:r>
              <w:rPr>
                <w:rFonts w:eastAsiaTheme="minorEastAsia"/>
                <w:color w:val="000000"/>
                <w:szCs w:val="21"/>
              </w:rPr>
              <w:t>6</w:t>
            </w:r>
          </w:p>
        </w:tc>
        <w:tc>
          <w:tcPr>
            <w:tcW w:w="4320" w:type="dxa"/>
            <w:vAlign w:val="center"/>
          </w:tcPr>
          <w:p w:rsidR="005F7EF1" w:rsidRDefault="00E6254F">
            <w:pPr>
              <w:jc w:val="left"/>
            </w:pPr>
            <w:r>
              <w:rPr>
                <w:rFonts w:eastAsiaTheme="minorEastAsia"/>
                <w:color w:val="000000"/>
                <w:szCs w:val="21"/>
              </w:rPr>
              <w:t>易方达基金管理有限公司及全资子公司投资旗下基金相关事宜的公告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2020-02-04</w:t>
            </w:r>
          </w:p>
        </w:tc>
      </w:tr>
      <w:tr w:rsidR="005F7EF1">
        <w:tc>
          <w:tcPr>
            <w:tcW w:w="720" w:type="dxa"/>
            <w:vAlign w:val="center"/>
          </w:tcPr>
          <w:p w:rsidR="005F7EF1" w:rsidRDefault="00E6254F">
            <w:pPr>
              <w:jc w:val="center"/>
            </w:pPr>
            <w:r>
              <w:rPr>
                <w:rFonts w:eastAsiaTheme="minorEastAsia"/>
                <w:color w:val="000000"/>
                <w:szCs w:val="21"/>
              </w:rPr>
              <w:t>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2</w:t>
            </w:r>
            <w:r>
              <w:rPr>
                <w:rFonts w:eastAsiaTheme="minorEastAsia"/>
                <w:color w:val="000000"/>
                <w:szCs w:val="21"/>
              </w:rPr>
              <w:t>月</w:t>
            </w:r>
            <w:r>
              <w:rPr>
                <w:rFonts w:eastAsiaTheme="minorEastAsia"/>
                <w:color w:val="000000"/>
                <w:szCs w:val="21"/>
              </w:rPr>
              <w:t>11</w:t>
            </w:r>
            <w:r>
              <w:rPr>
                <w:rFonts w:eastAsiaTheme="minorEastAsia"/>
                <w:color w:val="000000"/>
                <w:szCs w:val="21"/>
              </w:rPr>
              <w:t>日暂停申购、赎回、定期定额投资业务的公告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2020-02-06</w:t>
            </w:r>
          </w:p>
        </w:tc>
      </w:tr>
      <w:tr w:rsidR="005F7EF1">
        <w:tc>
          <w:tcPr>
            <w:tcW w:w="720" w:type="dxa"/>
            <w:vAlign w:val="center"/>
          </w:tcPr>
          <w:p w:rsidR="005F7EF1" w:rsidRDefault="00E6254F">
            <w:pPr>
              <w:jc w:val="center"/>
            </w:pPr>
            <w:r>
              <w:rPr>
                <w:rFonts w:eastAsiaTheme="minorEastAsia"/>
                <w:color w:val="000000"/>
                <w:szCs w:val="21"/>
              </w:rPr>
              <w:t>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2</w:t>
            </w:r>
            <w:r>
              <w:rPr>
                <w:rFonts w:eastAsiaTheme="minorEastAsia"/>
                <w:color w:val="000000"/>
                <w:szCs w:val="21"/>
              </w:rPr>
              <w:t>月</w:t>
            </w:r>
            <w:r>
              <w:rPr>
                <w:rFonts w:eastAsiaTheme="minorEastAsia"/>
                <w:color w:val="000000"/>
                <w:szCs w:val="21"/>
              </w:rPr>
              <w:t>17</w:t>
            </w:r>
            <w:r>
              <w:rPr>
                <w:rFonts w:eastAsiaTheme="minorEastAsia"/>
                <w:color w:val="000000"/>
                <w:szCs w:val="21"/>
              </w:rPr>
              <w:t>日暂停申购、赎回、定期定额投资业务的公告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2020-02-12</w:t>
            </w:r>
          </w:p>
        </w:tc>
      </w:tr>
      <w:tr w:rsidR="005F7EF1">
        <w:tc>
          <w:tcPr>
            <w:tcW w:w="720" w:type="dxa"/>
            <w:vAlign w:val="center"/>
          </w:tcPr>
          <w:p w:rsidR="005F7EF1" w:rsidRDefault="00E6254F">
            <w:pPr>
              <w:jc w:val="center"/>
            </w:pPr>
            <w:r>
              <w:rPr>
                <w:rFonts w:eastAsiaTheme="minorEastAsia"/>
                <w:color w:val="000000"/>
                <w:szCs w:val="21"/>
              </w:rPr>
              <w:t>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2</w:t>
            </w:r>
            <w:r>
              <w:rPr>
                <w:rFonts w:eastAsiaTheme="minorEastAsia"/>
                <w:color w:val="000000"/>
                <w:szCs w:val="21"/>
              </w:rPr>
              <w:t>月</w:t>
            </w:r>
            <w:r>
              <w:rPr>
                <w:rFonts w:eastAsiaTheme="minorEastAsia"/>
                <w:color w:val="000000"/>
                <w:szCs w:val="21"/>
              </w:rPr>
              <w:t>24</w:t>
            </w:r>
            <w:r>
              <w:rPr>
                <w:rFonts w:eastAsiaTheme="minorEastAsia"/>
                <w:color w:val="000000"/>
                <w:szCs w:val="21"/>
              </w:rPr>
              <w:t>日暂停申购、赎回、定期定额投资业务的公告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2020-02-19</w:t>
            </w:r>
          </w:p>
        </w:tc>
      </w:tr>
      <w:tr w:rsidR="005F7EF1">
        <w:tc>
          <w:tcPr>
            <w:tcW w:w="720" w:type="dxa"/>
            <w:vAlign w:val="center"/>
          </w:tcPr>
          <w:p w:rsidR="005F7EF1" w:rsidRDefault="00E6254F">
            <w:pPr>
              <w:jc w:val="center"/>
            </w:pPr>
            <w:r>
              <w:rPr>
                <w:rFonts w:eastAsiaTheme="minorEastAsia"/>
                <w:color w:val="000000"/>
                <w:szCs w:val="21"/>
              </w:rPr>
              <w:t>10</w:t>
            </w:r>
          </w:p>
        </w:tc>
        <w:tc>
          <w:tcPr>
            <w:tcW w:w="4320" w:type="dxa"/>
            <w:vAlign w:val="center"/>
          </w:tcPr>
          <w:p w:rsidR="005F7EF1" w:rsidRDefault="00E6254F">
            <w:pPr>
              <w:jc w:val="left"/>
            </w:pPr>
            <w:r>
              <w:rPr>
                <w:rFonts w:eastAsiaTheme="minorEastAsia"/>
                <w:color w:val="000000"/>
                <w:szCs w:val="21"/>
              </w:rPr>
              <w:t>易方达基金管理有限公司旗下部分开放式基金参加中金公司费率优惠活动的公告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2020-03-05</w:t>
            </w:r>
          </w:p>
        </w:tc>
      </w:tr>
      <w:tr w:rsidR="005F7EF1">
        <w:tc>
          <w:tcPr>
            <w:tcW w:w="720" w:type="dxa"/>
            <w:vAlign w:val="center"/>
          </w:tcPr>
          <w:p w:rsidR="005F7EF1" w:rsidRDefault="00E6254F">
            <w:pPr>
              <w:jc w:val="center"/>
            </w:pPr>
            <w:r>
              <w:rPr>
                <w:rFonts w:eastAsiaTheme="minorEastAsia"/>
                <w:color w:val="000000"/>
                <w:szCs w:val="21"/>
              </w:rPr>
              <w:t>11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）人民币份额增加河北银行为销售机构、参加河北银行费率优惠活动的公告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2020-03-09</w:t>
            </w:r>
          </w:p>
        </w:tc>
      </w:tr>
      <w:tr w:rsidR="005F7EF1">
        <w:tc>
          <w:tcPr>
            <w:tcW w:w="720" w:type="dxa"/>
            <w:vAlign w:val="center"/>
          </w:tcPr>
          <w:p w:rsidR="005F7EF1" w:rsidRDefault="00E6254F">
            <w:pPr>
              <w:jc w:val="center"/>
            </w:pPr>
            <w:r>
              <w:rPr>
                <w:rFonts w:eastAsiaTheme="minorEastAsia"/>
                <w:color w:val="000000"/>
                <w:szCs w:val="21"/>
              </w:rPr>
              <w:t>12</w:t>
            </w:r>
          </w:p>
        </w:tc>
        <w:tc>
          <w:tcPr>
            <w:tcW w:w="4320" w:type="dxa"/>
            <w:vAlign w:val="center"/>
          </w:tcPr>
          <w:p w:rsidR="005F7EF1" w:rsidRDefault="00E6254F">
            <w:pPr>
              <w:jc w:val="left"/>
            </w:pPr>
            <w:r>
              <w:rPr>
                <w:rFonts w:eastAsiaTheme="minorEastAsia"/>
                <w:color w:val="000000"/>
                <w:szCs w:val="21"/>
              </w:rPr>
              <w:t>易方达基金管理有限公司旗下部分开放式基金参加百度百盈费率优惠活动的公告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2020-03-10</w:t>
            </w:r>
          </w:p>
        </w:tc>
      </w:tr>
      <w:tr w:rsidR="005F7EF1">
        <w:tc>
          <w:tcPr>
            <w:tcW w:w="720" w:type="dxa"/>
            <w:vAlign w:val="center"/>
          </w:tcPr>
          <w:p w:rsidR="005F7EF1" w:rsidRDefault="00E6254F">
            <w:pPr>
              <w:jc w:val="center"/>
            </w:pPr>
            <w:r>
              <w:rPr>
                <w:rFonts w:eastAsiaTheme="minorEastAsia"/>
                <w:color w:val="000000"/>
                <w:szCs w:val="21"/>
              </w:rPr>
              <w:t>13</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2020-03-10</w:t>
            </w:r>
          </w:p>
        </w:tc>
      </w:tr>
      <w:tr w:rsidR="005F7EF1">
        <w:tc>
          <w:tcPr>
            <w:tcW w:w="720" w:type="dxa"/>
            <w:vAlign w:val="center"/>
          </w:tcPr>
          <w:p w:rsidR="005F7EF1" w:rsidRDefault="00E6254F">
            <w:pPr>
              <w:jc w:val="center"/>
            </w:pPr>
            <w:r>
              <w:rPr>
                <w:rFonts w:eastAsiaTheme="minorEastAsia"/>
                <w:color w:val="000000"/>
                <w:szCs w:val="21"/>
              </w:rPr>
              <w:t>14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）暂停大额申购业务的公告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2020-03-10</w:t>
            </w:r>
          </w:p>
        </w:tc>
      </w:tr>
      <w:tr w:rsidR="005F7EF1">
        <w:tc>
          <w:tcPr>
            <w:tcW w:w="720" w:type="dxa"/>
            <w:vAlign w:val="center"/>
          </w:tcPr>
          <w:p w:rsidR="005F7EF1" w:rsidRDefault="00E6254F">
            <w:pPr>
              <w:jc w:val="center"/>
            </w:pPr>
            <w:r>
              <w:rPr>
                <w:rFonts w:eastAsiaTheme="minorEastAsia"/>
                <w:color w:val="000000"/>
                <w:szCs w:val="21"/>
              </w:rPr>
              <w:t>15</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）暂停申购及定期定额投资业务的公告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2020-03-11</w:t>
            </w:r>
          </w:p>
        </w:tc>
      </w:tr>
      <w:tr w:rsidR="005F7EF1">
        <w:tc>
          <w:tcPr>
            <w:tcW w:w="720" w:type="dxa"/>
            <w:vAlign w:val="center"/>
          </w:tcPr>
          <w:p w:rsidR="005F7EF1" w:rsidRDefault="00E6254F">
            <w:pPr>
              <w:jc w:val="center"/>
            </w:pPr>
            <w:r>
              <w:rPr>
                <w:rFonts w:eastAsiaTheme="minorEastAsia"/>
                <w:color w:val="000000"/>
                <w:szCs w:val="21"/>
              </w:rPr>
              <w:t>16</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2020-03-13</w:t>
            </w:r>
          </w:p>
        </w:tc>
      </w:tr>
      <w:tr w:rsidR="005F7EF1">
        <w:tc>
          <w:tcPr>
            <w:tcW w:w="720" w:type="dxa"/>
            <w:vAlign w:val="center"/>
          </w:tcPr>
          <w:p w:rsidR="005F7EF1" w:rsidRDefault="00E6254F">
            <w:pPr>
              <w:jc w:val="center"/>
            </w:pPr>
            <w:r>
              <w:rPr>
                <w:rFonts w:eastAsiaTheme="minorEastAsia"/>
                <w:color w:val="000000"/>
                <w:szCs w:val="21"/>
              </w:rPr>
              <w:t>17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3</w:t>
            </w:r>
            <w:r>
              <w:rPr>
                <w:rFonts w:eastAsiaTheme="minorEastAsia"/>
                <w:color w:val="000000"/>
                <w:szCs w:val="21"/>
              </w:rPr>
              <w:t>月</w:t>
            </w:r>
            <w:r>
              <w:rPr>
                <w:rFonts w:eastAsiaTheme="minorEastAsia"/>
                <w:color w:val="000000"/>
                <w:szCs w:val="21"/>
              </w:rPr>
              <w:t>20</w:t>
            </w:r>
            <w:r>
              <w:rPr>
                <w:rFonts w:eastAsiaTheme="minorEastAsia"/>
                <w:color w:val="000000"/>
                <w:szCs w:val="21"/>
              </w:rPr>
              <w:t>日暂停赎回业务的公告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2020-03-17</w:t>
            </w:r>
          </w:p>
        </w:tc>
      </w:tr>
      <w:tr w:rsidR="005F7EF1">
        <w:tc>
          <w:tcPr>
            <w:tcW w:w="720" w:type="dxa"/>
            <w:vAlign w:val="center"/>
          </w:tcPr>
          <w:p w:rsidR="005F7EF1" w:rsidRDefault="00E6254F">
            <w:pPr>
              <w:jc w:val="center"/>
            </w:pPr>
            <w:r>
              <w:rPr>
                <w:rFonts w:eastAsiaTheme="minorEastAsia"/>
                <w:color w:val="000000"/>
                <w:szCs w:val="21"/>
              </w:rPr>
              <w:t>18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2020-03-18</w:t>
            </w:r>
          </w:p>
        </w:tc>
      </w:tr>
      <w:tr w:rsidR="005F7EF1">
        <w:tc>
          <w:tcPr>
            <w:tcW w:w="720" w:type="dxa"/>
            <w:vAlign w:val="center"/>
          </w:tcPr>
          <w:p w:rsidR="005F7EF1" w:rsidRDefault="00E6254F">
            <w:pPr>
              <w:jc w:val="center"/>
            </w:pPr>
            <w:r>
              <w:rPr>
                <w:rFonts w:eastAsiaTheme="minorEastAsia"/>
                <w:color w:val="000000"/>
                <w:szCs w:val="21"/>
              </w:rPr>
              <w:t>19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）基金经理变更公告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2020-03-18</w:t>
            </w:r>
          </w:p>
        </w:tc>
      </w:tr>
      <w:tr w:rsidR="005F7EF1">
        <w:tc>
          <w:tcPr>
            <w:tcW w:w="720" w:type="dxa"/>
            <w:vAlign w:val="center"/>
          </w:tcPr>
          <w:p w:rsidR="005F7EF1" w:rsidRDefault="00E6254F">
            <w:pPr>
              <w:jc w:val="center"/>
            </w:pPr>
            <w:r>
              <w:rPr>
                <w:rFonts w:eastAsiaTheme="minorEastAsia"/>
                <w:color w:val="000000"/>
                <w:szCs w:val="21"/>
              </w:rPr>
              <w:t>20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2020-03-19</w:t>
            </w:r>
          </w:p>
        </w:tc>
      </w:tr>
      <w:tr w:rsidR="005F7EF1">
        <w:tc>
          <w:tcPr>
            <w:tcW w:w="720" w:type="dxa"/>
            <w:vAlign w:val="center"/>
          </w:tcPr>
          <w:p w:rsidR="005F7EF1" w:rsidRDefault="00E6254F">
            <w:pPr>
              <w:jc w:val="center"/>
            </w:pPr>
            <w:r>
              <w:rPr>
                <w:rFonts w:eastAsiaTheme="minorEastAsia"/>
                <w:color w:val="000000"/>
                <w:szCs w:val="21"/>
              </w:rPr>
              <w:t>21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）恢复申购、定期定额投资业务并暂停大额申购业务的公告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2020-03-19</w:t>
            </w:r>
          </w:p>
        </w:tc>
      </w:tr>
      <w:tr w:rsidR="005F7EF1">
        <w:tc>
          <w:tcPr>
            <w:tcW w:w="720" w:type="dxa"/>
            <w:vAlign w:val="center"/>
          </w:tcPr>
          <w:p w:rsidR="005F7EF1" w:rsidRDefault="00E6254F">
            <w:pPr>
              <w:jc w:val="center"/>
            </w:pPr>
            <w:r>
              <w:rPr>
                <w:rFonts w:eastAsiaTheme="minorEastAsia"/>
                <w:color w:val="000000"/>
                <w:szCs w:val="21"/>
              </w:rPr>
              <w:t>22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2020-03-20</w:t>
            </w:r>
          </w:p>
        </w:tc>
      </w:tr>
      <w:tr w:rsidR="005F7EF1">
        <w:tc>
          <w:tcPr>
            <w:tcW w:w="720" w:type="dxa"/>
            <w:vAlign w:val="center"/>
          </w:tcPr>
          <w:p w:rsidR="005F7EF1" w:rsidRDefault="00E6254F">
            <w:pPr>
              <w:jc w:val="center"/>
            </w:pPr>
            <w:r>
              <w:rPr>
                <w:rFonts w:eastAsiaTheme="minorEastAsia"/>
                <w:color w:val="000000"/>
                <w:szCs w:val="21"/>
              </w:rPr>
              <w:t>23</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2020-03-21</w:t>
            </w:r>
          </w:p>
        </w:tc>
      </w:tr>
      <w:tr w:rsidR="005F7EF1">
        <w:tc>
          <w:tcPr>
            <w:tcW w:w="720" w:type="dxa"/>
            <w:vAlign w:val="center"/>
          </w:tcPr>
          <w:p w:rsidR="005F7EF1" w:rsidRDefault="00E6254F">
            <w:pPr>
              <w:jc w:val="center"/>
            </w:pPr>
            <w:r>
              <w:rPr>
                <w:rFonts w:eastAsiaTheme="minorEastAsia"/>
                <w:color w:val="000000"/>
                <w:szCs w:val="21"/>
              </w:rPr>
              <w:t>24</w:t>
            </w:r>
          </w:p>
        </w:tc>
        <w:tc>
          <w:tcPr>
            <w:tcW w:w="4320" w:type="dxa"/>
            <w:vAlign w:val="center"/>
          </w:tcPr>
          <w:p w:rsidR="005F7EF1" w:rsidRDefault="00E6254F">
            <w:pPr>
              <w:jc w:val="left"/>
            </w:pPr>
            <w:r>
              <w:rPr>
                <w:rFonts w:eastAsiaTheme="minorEastAsia"/>
                <w:color w:val="000000"/>
                <w:szCs w:val="21"/>
              </w:rPr>
              <w:t>易方达基金管理有限公司旗下部分开放式基金增加华瑞保险销售为销售机构、参加华瑞保险销售费率优惠活动的公告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2020-03-23</w:t>
            </w:r>
          </w:p>
        </w:tc>
      </w:tr>
      <w:tr w:rsidR="005F7EF1">
        <w:tc>
          <w:tcPr>
            <w:tcW w:w="720" w:type="dxa"/>
            <w:vAlign w:val="center"/>
          </w:tcPr>
          <w:p w:rsidR="005F7EF1" w:rsidRDefault="00E6254F">
            <w:pPr>
              <w:jc w:val="center"/>
            </w:pPr>
            <w:r>
              <w:rPr>
                <w:rFonts w:eastAsiaTheme="minorEastAsia"/>
                <w:color w:val="000000"/>
                <w:szCs w:val="21"/>
              </w:rPr>
              <w:t>25</w:t>
            </w:r>
          </w:p>
        </w:tc>
        <w:tc>
          <w:tcPr>
            <w:tcW w:w="4320" w:type="dxa"/>
            <w:vAlign w:val="center"/>
          </w:tcPr>
          <w:p w:rsidR="005F7EF1" w:rsidRDefault="00E6254F">
            <w:pPr>
              <w:jc w:val="left"/>
            </w:pPr>
            <w:r>
              <w:rPr>
                <w:rFonts w:eastAsiaTheme="minorEastAsia"/>
                <w:color w:val="000000"/>
                <w:szCs w:val="21"/>
              </w:rPr>
              <w:t>易方达基金管理有限公司旗下部分开放式基金增加弘业期货为销售机构的公告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2020-03-24</w:t>
            </w:r>
          </w:p>
        </w:tc>
      </w:tr>
      <w:tr w:rsidR="005F7EF1">
        <w:tc>
          <w:tcPr>
            <w:tcW w:w="720" w:type="dxa"/>
            <w:vAlign w:val="center"/>
          </w:tcPr>
          <w:p w:rsidR="005F7EF1" w:rsidRDefault="00E6254F">
            <w:pPr>
              <w:jc w:val="center"/>
            </w:pPr>
            <w:r>
              <w:rPr>
                <w:rFonts w:eastAsiaTheme="minorEastAsia"/>
                <w:color w:val="000000"/>
                <w:szCs w:val="21"/>
              </w:rPr>
              <w:t>26</w:t>
            </w:r>
          </w:p>
        </w:tc>
        <w:tc>
          <w:tcPr>
            <w:tcW w:w="4320" w:type="dxa"/>
            <w:vAlign w:val="center"/>
          </w:tcPr>
          <w:p w:rsidR="005F7EF1" w:rsidRDefault="00E6254F">
            <w:pPr>
              <w:jc w:val="left"/>
            </w:pPr>
            <w:r>
              <w:rPr>
                <w:rFonts w:eastAsiaTheme="minorEastAsia"/>
                <w:color w:val="000000"/>
                <w:szCs w:val="21"/>
              </w:rPr>
              <w:t>易方达基金管理有限公司旗下部分开放式基金增加浙商证券为销售机构、参加浙商证券费率优惠活动的公告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2020-03-24</w:t>
            </w:r>
          </w:p>
        </w:tc>
      </w:tr>
      <w:tr w:rsidR="005F7EF1">
        <w:tc>
          <w:tcPr>
            <w:tcW w:w="720" w:type="dxa"/>
            <w:vAlign w:val="center"/>
          </w:tcPr>
          <w:p w:rsidR="005F7EF1" w:rsidRDefault="00E6254F">
            <w:pPr>
              <w:jc w:val="center"/>
            </w:pPr>
            <w:r>
              <w:rPr>
                <w:rFonts w:eastAsiaTheme="minorEastAsia"/>
                <w:color w:val="000000"/>
                <w:szCs w:val="21"/>
              </w:rPr>
              <w:t>27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2020-03-24</w:t>
            </w:r>
          </w:p>
        </w:tc>
      </w:tr>
      <w:tr w:rsidR="005F7EF1">
        <w:tc>
          <w:tcPr>
            <w:tcW w:w="720" w:type="dxa"/>
            <w:vAlign w:val="center"/>
          </w:tcPr>
          <w:p w:rsidR="005F7EF1" w:rsidRDefault="00E6254F">
            <w:pPr>
              <w:jc w:val="center"/>
            </w:pPr>
            <w:r>
              <w:rPr>
                <w:rFonts w:eastAsiaTheme="minorEastAsia"/>
                <w:color w:val="000000"/>
                <w:szCs w:val="21"/>
              </w:rPr>
              <w:t>28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2020-03-25</w:t>
            </w:r>
          </w:p>
        </w:tc>
      </w:tr>
      <w:tr w:rsidR="005F7EF1">
        <w:tc>
          <w:tcPr>
            <w:tcW w:w="720" w:type="dxa"/>
            <w:vAlign w:val="center"/>
          </w:tcPr>
          <w:p w:rsidR="005F7EF1" w:rsidRDefault="00E6254F">
            <w:pPr>
              <w:jc w:val="center"/>
            </w:pPr>
            <w:r>
              <w:rPr>
                <w:rFonts w:eastAsiaTheme="minorEastAsia"/>
                <w:color w:val="000000"/>
                <w:szCs w:val="21"/>
              </w:rPr>
              <w:t>29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）暂停申购及定期定额投资业务的公告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2020-03-25</w:t>
            </w:r>
          </w:p>
        </w:tc>
      </w:tr>
      <w:tr w:rsidR="005F7EF1">
        <w:tc>
          <w:tcPr>
            <w:tcW w:w="720" w:type="dxa"/>
            <w:vAlign w:val="center"/>
          </w:tcPr>
          <w:p w:rsidR="005F7EF1" w:rsidRDefault="00E6254F">
            <w:pPr>
              <w:jc w:val="center"/>
            </w:pPr>
            <w:r>
              <w:rPr>
                <w:rFonts w:eastAsiaTheme="minorEastAsia"/>
                <w:color w:val="000000"/>
                <w:szCs w:val="21"/>
              </w:rPr>
              <w:t>30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2020-03-26</w:t>
            </w:r>
          </w:p>
        </w:tc>
      </w:tr>
      <w:tr w:rsidR="005F7EF1">
        <w:tc>
          <w:tcPr>
            <w:tcW w:w="720" w:type="dxa"/>
            <w:vAlign w:val="center"/>
          </w:tcPr>
          <w:p w:rsidR="005F7EF1" w:rsidRDefault="00E6254F">
            <w:pPr>
              <w:jc w:val="center"/>
            </w:pPr>
            <w:r>
              <w:rPr>
                <w:rFonts w:eastAsiaTheme="minorEastAsia"/>
                <w:color w:val="000000"/>
                <w:szCs w:val="21"/>
              </w:rPr>
              <w:t>31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2020-03-27</w:t>
            </w:r>
          </w:p>
        </w:tc>
      </w:tr>
      <w:tr w:rsidR="005F7EF1">
        <w:tc>
          <w:tcPr>
            <w:tcW w:w="720" w:type="dxa"/>
            <w:vAlign w:val="center"/>
          </w:tcPr>
          <w:p w:rsidR="005F7EF1" w:rsidRDefault="00E6254F">
            <w:pPr>
              <w:jc w:val="center"/>
            </w:pPr>
            <w:r>
              <w:rPr>
                <w:rFonts w:eastAsiaTheme="minorEastAsia"/>
                <w:color w:val="000000"/>
                <w:szCs w:val="21"/>
              </w:rPr>
              <w:t>32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2020-03-28</w:t>
            </w:r>
          </w:p>
        </w:tc>
      </w:tr>
      <w:tr w:rsidR="005F7EF1">
        <w:tc>
          <w:tcPr>
            <w:tcW w:w="720" w:type="dxa"/>
            <w:vAlign w:val="center"/>
          </w:tcPr>
          <w:p w:rsidR="005F7EF1" w:rsidRDefault="00E6254F">
            <w:pPr>
              <w:jc w:val="center"/>
            </w:pPr>
            <w:r>
              <w:rPr>
                <w:rFonts w:eastAsiaTheme="minorEastAsia"/>
                <w:color w:val="000000"/>
                <w:szCs w:val="21"/>
              </w:rPr>
              <w:t>33</w:t>
            </w:r>
          </w:p>
        </w:tc>
        <w:tc>
          <w:tcPr>
            <w:tcW w:w="4320" w:type="dxa"/>
            <w:vAlign w:val="center"/>
          </w:tcPr>
          <w:p w:rsidR="005F7EF1" w:rsidRDefault="00E6254F">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年年度报告提示性公告</w:t>
            </w:r>
          </w:p>
        </w:tc>
        <w:tc>
          <w:tcPr>
            <w:tcW w:w="2520" w:type="dxa"/>
            <w:vAlign w:val="center"/>
          </w:tcPr>
          <w:p w:rsidR="005F7EF1" w:rsidRDefault="00E6254F">
            <w:pPr>
              <w:jc w:val="left"/>
            </w:pPr>
            <w:r>
              <w:rPr>
                <w:rFonts w:eastAsiaTheme="minorEastAsia"/>
                <w:color w:val="000000"/>
                <w:szCs w:val="21"/>
              </w:rPr>
              <w:t>中国证券报</w:t>
            </w:r>
          </w:p>
        </w:tc>
        <w:tc>
          <w:tcPr>
            <w:tcW w:w="1440" w:type="dxa"/>
            <w:vAlign w:val="center"/>
          </w:tcPr>
          <w:p w:rsidR="005F7EF1" w:rsidRDefault="00E6254F">
            <w:pPr>
              <w:jc w:val="center"/>
            </w:pPr>
            <w:r>
              <w:rPr>
                <w:rFonts w:eastAsiaTheme="minorEastAsia"/>
                <w:color w:val="000000"/>
                <w:szCs w:val="21"/>
              </w:rPr>
              <w:t>2020-03-31</w:t>
            </w:r>
          </w:p>
        </w:tc>
      </w:tr>
      <w:tr w:rsidR="005F7EF1">
        <w:tc>
          <w:tcPr>
            <w:tcW w:w="720" w:type="dxa"/>
            <w:vAlign w:val="center"/>
          </w:tcPr>
          <w:p w:rsidR="005F7EF1" w:rsidRDefault="00E6254F">
            <w:pPr>
              <w:jc w:val="center"/>
            </w:pPr>
            <w:r>
              <w:rPr>
                <w:rFonts w:eastAsiaTheme="minorEastAsia"/>
                <w:color w:val="000000"/>
                <w:szCs w:val="21"/>
              </w:rPr>
              <w:t>34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2020-03-31</w:t>
            </w:r>
          </w:p>
        </w:tc>
      </w:tr>
      <w:tr w:rsidR="005F7EF1">
        <w:tc>
          <w:tcPr>
            <w:tcW w:w="720" w:type="dxa"/>
            <w:vAlign w:val="center"/>
          </w:tcPr>
          <w:p w:rsidR="005F7EF1" w:rsidRDefault="00E6254F">
            <w:pPr>
              <w:jc w:val="center"/>
            </w:pPr>
            <w:r>
              <w:rPr>
                <w:rFonts w:eastAsiaTheme="minorEastAsia"/>
                <w:color w:val="000000"/>
                <w:szCs w:val="21"/>
              </w:rPr>
              <w:t>35</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2020-04-01</w:t>
            </w:r>
          </w:p>
        </w:tc>
      </w:tr>
      <w:tr w:rsidR="005F7EF1">
        <w:tc>
          <w:tcPr>
            <w:tcW w:w="720" w:type="dxa"/>
            <w:vAlign w:val="center"/>
          </w:tcPr>
          <w:p w:rsidR="005F7EF1" w:rsidRDefault="00E6254F">
            <w:pPr>
              <w:jc w:val="center"/>
            </w:pPr>
            <w:r>
              <w:rPr>
                <w:rFonts w:eastAsiaTheme="minorEastAsia"/>
                <w:color w:val="000000"/>
                <w:szCs w:val="21"/>
              </w:rPr>
              <w:t>36</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2020-04-02</w:t>
            </w:r>
          </w:p>
        </w:tc>
      </w:tr>
      <w:tr w:rsidR="005F7EF1">
        <w:tc>
          <w:tcPr>
            <w:tcW w:w="720" w:type="dxa"/>
            <w:vAlign w:val="center"/>
          </w:tcPr>
          <w:p w:rsidR="005F7EF1" w:rsidRDefault="00E6254F">
            <w:pPr>
              <w:jc w:val="center"/>
            </w:pPr>
            <w:r>
              <w:rPr>
                <w:rFonts w:eastAsiaTheme="minorEastAsia"/>
                <w:color w:val="000000"/>
                <w:szCs w:val="21"/>
              </w:rPr>
              <w:t>37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2020-04-03</w:t>
            </w:r>
          </w:p>
        </w:tc>
      </w:tr>
      <w:tr w:rsidR="005F7EF1">
        <w:tc>
          <w:tcPr>
            <w:tcW w:w="720" w:type="dxa"/>
            <w:vAlign w:val="center"/>
          </w:tcPr>
          <w:p w:rsidR="005F7EF1" w:rsidRDefault="00E6254F">
            <w:pPr>
              <w:jc w:val="center"/>
            </w:pPr>
            <w:r>
              <w:rPr>
                <w:rFonts w:eastAsiaTheme="minorEastAsia"/>
                <w:color w:val="000000"/>
                <w:szCs w:val="21"/>
              </w:rPr>
              <w:t>38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10</w:t>
            </w:r>
            <w:r>
              <w:rPr>
                <w:rFonts w:eastAsiaTheme="minorEastAsia"/>
                <w:color w:val="000000"/>
                <w:szCs w:val="21"/>
              </w:rPr>
              <w:t>日、</w:t>
            </w:r>
            <w:r>
              <w:rPr>
                <w:rFonts w:eastAsiaTheme="minorEastAsia"/>
                <w:color w:val="000000"/>
                <w:szCs w:val="21"/>
              </w:rPr>
              <w:t>4</w:t>
            </w:r>
            <w:r>
              <w:rPr>
                <w:rFonts w:eastAsiaTheme="minorEastAsia"/>
                <w:color w:val="000000"/>
                <w:szCs w:val="21"/>
              </w:rPr>
              <w:t>月</w:t>
            </w:r>
            <w:r>
              <w:rPr>
                <w:rFonts w:eastAsiaTheme="minorEastAsia"/>
                <w:color w:val="000000"/>
                <w:szCs w:val="21"/>
              </w:rPr>
              <w:t>13</w:t>
            </w:r>
            <w:r>
              <w:rPr>
                <w:rFonts w:eastAsiaTheme="minorEastAsia"/>
                <w:color w:val="000000"/>
                <w:szCs w:val="21"/>
              </w:rPr>
              <w:t>日暂停赎回业务的公告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2020-04-07</w:t>
            </w:r>
          </w:p>
        </w:tc>
      </w:tr>
      <w:tr w:rsidR="005F7EF1">
        <w:tc>
          <w:tcPr>
            <w:tcW w:w="720" w:type="dxa"/>
            <w:vAlign w:val="center"/>
          </w:tcPr>
          <w:p w:rsidR="005F7EF1" w:rsidRDefault="00E6254F">
            <w:pPr>
              <w:jc w:val="center"/>
            </w:pPr>
            <w:r>
              <w:rPr>
                <w:rFonts w:eastAsiaTheme="minorEastAsia"/>
                <w:color w:val="000000"/>
                <w:szCs w:val="21"/>
              </w:rPr>
              <w:t>39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2020-04-07</w:t>
            </w:r>
          </w:p>
        </w:tc>
      </w:tr>
      <w:tr w:rsidR="005F7EF1">
        <w:tc>
          <w:tcPr>
            <w:tcW w:w="720" w:type="dxa"/>
            <w:vAlign w:val="center"/>
          </w:tcPr>
          <w:p w:rsidR="005F7EF1" w:rsidRDefault="00E6254F">
            <w:pPr>
              <w:jc w:val="center"/>
            </w:pPr>
            <w:r>
              <w:rPr>
                <w:rFonts w:eastAsiaTheme="minorEastAsia"/>
                <w:color w:val="000000"/>
                <w:szCs w:val="21"/>
              </w:rPr>
              <w:t>40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2020-04-08</w:t>
            </w:r>
          </w:p>
        </w:tc>
      </w:tr>
      <w:tr w:rsidR="005F7EF1">
        <w:tc>
          <w:tcPr>
            <w:tcW w:w="720" w:type="dxa"/>
            <w:vAlign w:val="center"/>
          </w:tcPr>
          <w:p w:rsidR="005F7EF1" w:rsidRDefault="00E6254F">
            <w:pPr>
              <w:jc w:val="center"/>
            </w:pPr>
            <w:r>
              <w:rPr>
                <w:rFonts w:eastAsiaTheme="minorEastAsia"/>
                <w:color w:val="000000"/>
                <w:szCs w:val="21"/>
              </w:rPr>
              <w:t>41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2020-04-09</w:t>
            </w:r>
          </w:p>
        </w:tc>
      </w:tr>
      <w:tr w:rsidR="005F7EF1">
        <w:tc>
          <w:tcPr>
            <w:tcW w:w="720" w:type="dxa"/>
            <w:vAlign w:val="center"/>
          </w:tcPr>
          <w:p w:rsidR="005F7EF1" w:rsidRDefault="00E6254F">
            <w:pPr>
              <w:jc w:val="center"/>
            </w:pPr>
            <w:r>
              <w:rPr>
                <w:rFonts w:eastAsiaTheme="minorEastAsia"/>
                <w:color w:val="000000"/>
                <w:szCs w:val="21"/>
              </w:rPr>
              <w:t>42</w:t>
            </w:r>
          </w:p>
        </w:tc>
        <w:tc>
          <w:tcPr>
            <w:tcW w:w="4320" w:type="dxa"/>
            <w:vAlign w:val="center"/>
          </w:tcPr>
          <w:p w:rsidR="005F7EF1" w:rsidRDefault="00E6254F">
            <w:pPr>
              <w:jc w:val="left"/>
            </w:pPr>
            <w:r>
              <w:rPr>
                <w:rFonts w:eastAsiaTheme="minorEastAsia"/>
                <w:color w:val="000000"/>
                <w:szCs w:val="21"/>
              </w:rPr>
              <w:t>易方达基金管理有限公司关于提醒投资者及时提供或更新身份信息资料的公告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2020-04-10</w:t>
            </w:r>
          </w:p>
        </w:tc>
      </w:tr>
      <w:tr w:rsidR="005F7EF1">
        <w:tc>
          <w:tcPr>
            <w:tcW w:w="720" w:type="dxa"/>
            <w:vAlign w:val="center"/>
          </w:tcPr>
          <w:p w:rsidR="005F7EF1" w:rsidRDefault="00E6254F">
            <w:pPr>
              <w:jc w:val="center"/>
            </w:pPr>
            <w:r>
              <w:rPr>
                <w:rFonts w:eastAsiaTheme="minorEastAsia"/>
                <w:color w:val="000000"/>
                <w:szCs w:val="21"/>
              </w:rPr>
              <w:t>43</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2020-04-10</w:t>
            </w:r>
          </w:p>
        </w:tc>
      </w:tr>
      <w:tr w:rsidR="005F7EF1">
        <w:tc>
          <w:tcPr>
            <w:tcW w:w="720" w:type="dxa"/>
            <w:vAlign w:val="center"/>
          </w:tcPr>
          <w:p w:rsidR="005F7EF1" w:rsidRDefault="00E6254F">
            <w:pPr>
              <w:jc w:val="center"/>
            </w:pPr>
            <w:r>
              <w:rPr>
                <w:rFonts w:eastAsiaTheme="minorEastAsia"/>
                <w:color w:val="000000"/>
                <w:szCs w:val="21"/>
              </w:rPr>
              <w:t>44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2020-04-11</w:t>
            </w:r>
          </w:p>
        </w:tc>
      </w:tr>
      <w:tr w:rsidR="005F7EF1">
        <w:tc>
          <w:tcPr>
            <w:tcW w:w="720" w:type="dxa"/>
            <w:vAlign w:val="center"/>
          </w:tcPr>
          <w:p w:rsidR="005F7EF1" w:rsidRDefault="00E6254F">
            <w:pPr>
              <w:jc w:val="center"/>
            </w:pPr>
            <w:r>
              <w:rPr>
                <w:rFonts w:eastAsiaTheme="minorEastAsia"/>
                <w:color w:val="000000"/>
                <w:szCs w:val="21"/>
              </w:rPr>
              <w:t>45</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2020-04-14</w:t>
            </w:r>
          </w:p>
        </w:tc>
      </w:tr>
      <w:tr w:rsidR="005F7EF1">
        <w:tc>
          <w:tcPr>
            <w:tcW w:w="720" w:type="dxa"/>
            <w:vAlign w:val="center"/>
          </w:tcPr>
          <w:p w:rsidR="005F7EF1" w:rsidRDefault="00E6254F">
            <w:pPr>
              <w:jc w:val="center"/>
            </w:pPr>
            <w:r>
              <w:rPr>
                <w:rFonts w:eastAsiaTheme="minorEastAsia"/>
                <w:color w:val="000000"/>
                <w:szCs w:val="21"/>
              </w:rPr>
              <w:t>46</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）人民币份额增加兴业银行为销售机构、参加兴业银行费率优惠活动的公告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2020-04-14</w:t>
            </w:r>
          </w:p>
        </w:tc>
      </w:tr>
      <w:tr w:rsidR="005F7EF1">
        <w:tc>
          <w:tcPr>
            <w:tcW w:w="720" w:type="dxa"/>
            <w:vAlign w:val="center"/>
          </w:tcPr>
          <w:p w:rsidR="005F7EF1" w:rsidRDefault="00E6254F">
            <w:pPr>
              <w:jc w:val="center"/>
            </w:pPr>
            <w:r>
              <w:rPr>
                <w:rFonts w:eastAsiaTheme="minorEastAsia"/>
                <w:color w:val="000000"/>
                <w:szCs w:val="21"/>
              </w:rPr>
              <w:t>47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2020-04-15</w:t>
            </w:r>
          </w:p>
        </w:tc>
      </w:tr>
      <w:tr w:rsidR="005F7EF1">
        <w:tc>
          <w:tcPr>
            <w:tcW w:w="720" w:type="dxa"/>
            <w:vAlign w:val="center"/>
          </w:tcPr>
          <w:p w:rsidR="005F7EF1" w:rsidRDefault="00E6254F">
            <w:pPr>
              <w:jc w:val="center"/>
            </w:pPr>
            <w:r>
              <w:rPr>
                <w:rFonts w:eastAsiaTheme="minorEastAsia"/>
                <w:color w:val="000000"/>
                <w:szCs w:val="21"/>
              </w:rPr>
              <w:t>48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2020-04-16</w:t>
            </w:r>
          </w:p>
        </w:tc>
      </w:tr>
      <w:tr w:rsidR="005F7EF1">
        <w:tc>
          <w:tcPr>
            <w:tcW w:w="720" w:type="dxa"/>
            <w:vAlign w:val="center"/>
          </w:tcPr>
          <w:p w:rsidR="005F7EF1" w:rsidRDefault="00E6254F">
            <w:pPr>
              <w:jc w:val="center"/>
            </w:pPr>
            <w:r>
              <w:rPr>
                <w:rFonts w:eastAsiaTheme="minorEastAsia"/>
                <w:color w:val="000000"/>
                <w:szCs w:val="21"/>
              </w:rPr>
              <w:t>49</w:t>
            </w:r>
          </w:p>
        </w:tc>
        <w:tc>
          <w:tcPr>
            <w:tcW w:w="4320" w:type="dxa"/>
            <w:vAlign w:val="center"/>
          </w:tcPr>
          <w:p w:rsidR="005F7EF1" w:rsidRDefault="00E6254F">
            <w:pPr>
              <w:jc w:val="left"/>
            </w:pPr>
            <w:r>
              <w:rPr>
                <w:rFonts w:eastAsiaTheme="minorEastAsia"/>
                <w:color w:val="000000"/>
                <w:szCs w:val="21"/>
              </w:rPr>
              <w:t>易方达基金管理有限公司旗下部分开放式基金参加诺亚正行费率优惠活动的公告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2020-04-17</w:t>
            </w:r>
          </w:p>
        </w:tc>
      </w:tr>
      <w:tr w:rsidR="005F7EF1">
        <w:tc>
          <w:tcPr>
            <w:tcW w:w="720" w:type="dxa"/>
            <w:vAlign w:val="center"/>
          </w:tcPr>
          <w:p w:rsidR="005F7EF1" w:rsidRDefault="00E6254F">
            <w:pPr>
              <w:jc w:val="center"/>
            </w:pPr>
            <w:r>
              <w:rPr>
                <w:rFonts w:eastAsiaTheme="minorEastAsia"/>
                <w:color w:val="000000"/>
                <w:szCs w:val="21"/>
              </w:rPr>
              <w:t>50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2020-04-17</w:t>
            </w:r>
          </w:p>
        </w:tc>
      </w:tr>
      <w:tr w:rsidR="005F7EF1">
        <w:tc>
          <w:tcPr>
            <w:tcW w:w="720" w:type="dxa"/>
            <w:vAlign w:val="center"/>
          </w:tcPr>
          <w:p w:rsidR="005F7EF1" w:rsidRDefault="00E6254F">
            <w:pPr>
              <w:jc w:val="center"/>
            </w:pPr>
            <w:r>
              <w:rPr>
                <w:rFonts w:eastAsiaTheme="minorEastAsia"/>
                <w:color w:val="000000"/>
                <w:szCs w:val="21"/>
              </w:rPr>
              <w:t>51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2020-04-18</w:t>
            </w:r>
          </w:p>
        </w:tc>
      </w:tr>
      <w:tr w:rsidR="005F7EF1">
        <w:tc>
          <w:tcPr>
            <w:tcW w:w="720" w:type="dxa"/>
            <w:vAlign w:val="center"/>
          </w:tcPr>
          <w:p w:rsidR="005F7EF1" w:rsidRDefault="00E6254F">
            <w:pPr>
              <w:jc w:val="center"/>
            </w:pPr>
            <w:r>
              <w:rPr>
                <w:rFonts w:eastAsiaTheme="minorEastAsia"/>
                <w:color w:val="000000"/>
                <w:szCs w:val="21"/>
              </w:rPr>
              <w:t>52</w:t>
            </w:r>
          </w:p>
        </w:tc>
        <w:tc>
          <w:tcPr>
            <w:tcW w:w="4320" w:type="dxa"/>
            <w:vAlign w:val="center"/>
          </w:tcPr>
          <w:p w:rsidR="005F7EF1" w:rsidRDefault="00E6254F">
            <w:pPr>
              <w:jc w:val="left"/>
            </w:pPr>
            <w:r>
              <w:rPr>
                <w:rFonts w:eastAsiaTheme="minorEastAsia"/>
                <w:color w:val="000000"/>
                <w:szCs w:val="21"/>
              </w:rPr>
              <w:t>关于易方达原油证券投资基金（</w:t>
            </w:r>
            <w:r>
              <w:rPr>
                <w:rFonts w:eastAsiaTheme="minorEastAsia"/>
                <w:color w:val="000000"/>
                <w:szCs w:val="21"/>
              </w:rPr>
              <w:t>QDII</w:t>
            </w:r>
            <w:r>
              <w:rPr>
                <w:rFonts w:eastAsiaTheme="minorEastAsia"/>
                <w:color w:val="000000"/>
                <w:szCs w:val="21"/>
              </w:rPr>
              <w:t>）的风险提示性公告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2020-04-21</w:t>
            </w:r>
          </w:p>
        </w:tc>
      </w:tr>
      <w:tr w:rsidR="005F7EF1">
        <w:tc>
          <w:tcPr>
            <w:tcW w:w="720" w:type="dxa"/>
            <w:vAlign w:val="center"/>
          </w:tcPr>
          <w:p w:rsidR="005F7EF1" w:rsidRDefault="00E6254F">
            <w:pPr>
              <w:jc w:val="center"/>
            </w:pPr>
            <w:r>
              <w:rPr>
                <w:rFonts w:eastAsiaTheme="minorEastAsia"/>
                <w:color w:val="000000"/>
                <w:szCs w:val="21"/>
              </w:rPr>
              <w:t>53</w:t>
            </w:r>
          </w:p>
        </w:tc>
        <w:tc>
          <w:tcPr>
            <w:tcW w:w="4320" w:type="dxa"/>
            <w:vAlign w:val="center"/>
          </w:tcPr>
          <w:p w:rsidR="005F7EF1" w:rsidRDefault="00E6254F">
            <w:pPr>
              <w:jc w:val="left"/>
            </w:pPr>
            <w:r>
              <w:rPr>
                <w:rFonts w:eastAsiaTheme="minorEastAsia"/>
                <w:color w:val="000000"/>
                <w:szCs w:val="21"/>
              </w:rPr>
              <w:t>易方达基金管理有限公司旗下基金</w:t>
            </w:r>
            <w:r>
              <w:rPr>
                <w:rFonts w:eastAsiaTheme="minorEastAsia"/>
                <w:color w:val="000000"/>
                <w:szCs w:val="21"/>
              </w:rPr>
              <w:t>2020</w:t>
            </w:r>
            <w:r>
              <w:rPr>
                <w:rFonts w:eastAsiaTheme="minorEastAsia"/>
                <w:color w:val="000000"/>
                <w:szCs w:val="21"/>
              </w:rPr>
              <w:t>年第</w:t>
            </w:r>
            <w:r>
              <w:rPr>
                <w:rFonts w:eastAsiaTheme="minorEastAsia"/>
                <w:color w:val="000000"/>
                <w:szCs w:val="21"/>
              </w:rPr>
              <w:t>1</w:t>
            </w:r>
            <w:r>
              <w:rPr>
                <w:rFonts w:eastAsiaTheme="minorEastAsia"/>
                <w:color w:val="000000"/>
                <w:szCs w:val="21"/>
              </w:rPr>
              <w:t>季度报告提示性公告</w:t>
            </w:r>
          </w:p>
        </w:tc>
        <w:tc>
          <w:tcPr>
            <w:tcW w:w="2520" w:type="dxa"/>
            <w:vAlign w:val="center"/>
          </w:tcPr>
          <w:p w:rsidR="005F7EF1" w:rsidRDefault="00E6254F">
            <w:pPr>
              <w:jc w:val="left"/>
            </w:pPr>
            <w:r>
              <w:rPr>
                <w:rFonts w:eastAsiaTheme="minorEastAsia"/>
                <w:color w:val="000000"/>
                <w:szCs w:val="21"/>
              </w:rPr>
              <w:t>中国证券报</w:t>
            </w:r>
          </w:p>
        </w:tc>
        <w:tc>
          <w:tcPr>
            <w:tcW w:w="1440" w:type="dxa"/>
            <w:vAlign w:val="center"/>
          </w:tcPr>
          <w:p w:rsidR="005F7EF1" w:rsidRDefault="00E6254F">
            <w:pPr>
              <w:jc w:val="center"/>
            </w:pPr>
            <w:r>
              <w:rPr>
                <w:rFonts w:eastAsiaTheme="minorEastAsia"/>
                <w:color w:val="000000"/>
                <w:szCs w:val="21"/>
              </w:rPr>
              <w:t>2020-04-21</w:t>
            </w:r>
          </w:p>
        </w:tc>
      </w:tr>
      <w:tr w:rsidR="005F7EF1">
        <w:tc>
          <w:tcPr>
            <w:tcW w:w="720" w:type="dxa"/>
            <w:vAlign w:val="center"/>
          </w:tcPr>
          <w:p w:rsidR="005F7EF1" w:rsidRDefault="00E6254F">
            <w:pPr>
              <w:jc w:val="center"/>
            </w:pPr>
            <w:r>
              <w:rPr>
                <w:rFonts w:eastAsiaTheme="minorEastAsia"/>
                <w:color w:val="000000"/>
                <w:szCs w:val="21"/>
              </w:rPr>
              <w:t>54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2020-04-21</w:t>
            </w:r>
          </w:p>
        </w:tc>
      </w:tr>
      <w:tr w:rsidR="005F7EF1">
        <w:tc>
          <w:tcPr>
            <w:tcW w:w="720" w:type="dxa"/>
            <w:vAlign w:val="center"/>
          </w:tcPr>
          <w:p w:rsidR="005F7EF1" w:rsidRDefault="00E6254F">
            <w:pPr>
              <w:jc w:val="center"/>
            </w:pPr>
            <w:r>
              <w:rPr>
                <w:rFonts w:eastAsiaTheme="minorEastAsia"/>
                <w:color w:val="000000"/>
                <w:szCs w:val="21"/>
              </w:rPr>
              <w:t>55</w:t>
            </w:r>
          </w:p>
        </w:tc>
        <w:tc>
          <w:tcPr>
            <w:tcW w:w="4320" w:type="dxa"/>
            <w:vAlign w:val="center"/>
          </w:tcPr>
          <w:p w:rsidR="005F7EF1" w:rsidRDefault="00E6254F">
            <w:pPr>
              <w:jc w:val="left"/>
            </w:pPr>
            <w:r>
              <w:rPr>
                <w:rFonts w:eastAsiaTheme="minorEastAsia"/>
                <w:color w:val="000000"/>
                <w:szCs w:val="21"/>
              </w:rPr>
              <w:t>易方达基金管理有限公司旗下部分开放式基金参加国联证券费率优惠活动的公告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2020-04-22</w:t>
            </w:r>
          </w:p>
        </w:tc>
      </w:tr>
      <w:tr w:rsidR="005F7EF1">
        <w:tc>
          <w:tcPr>
            <w:tcW w:w="720" w:type="dxa"/>
            <w:vAlign w:val="center"/>
          </w:tcPr>
          <w:p w:rsidR="005F7EF1" w:rsidRDefault="00E6254F">
            <w:pPr>
              <w:jc w:val="center"/>
            </w:pPr>
            <w:r>
              <w:rPr>
                <w:rFonts w:eastAsiaTheme="minorEastAsia"/>
                <w:color w:val="000000"/>
                <w:szCs w:val="21"/>
              </w:rPr>
              <w:t>56</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2020-04-22</w:t>
            </w:r>
          </w:p>
        </w:tc>
      </w:tr>
      <w:tr w:rsidR="005F7EF1">
        <w:tc>
          <w:tcPr>
            <w:tcW w:w="720" w:type="dxa"/>
            <w:vAlign w:val="center"/>
          </w:tcPr>
          <w:p w:rsidR="005F7EF1" w:rsidRDefault="00E6254F">
            <w:pPr>
              <w:jc w:val="center"/>
            </w:pPr>
            <w:r>
              <w:rPr>
                <w:rFonts w:eastAsiaTheme="minorEastAsia"/>
                <w:color w:val="000000"/>
                <w:szCs w:val="21"/>
              </w:rPr>
              <w:t>57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2020-04-23</w:t>
            </w:r>
          </w:p>
        </w:tc>
      </w:tr>
      <w:tr w:rsidR="005F7EF1">
        <w:tc>
          <w:tcPr>
            <w:tcW w:w="720" w:type="dxa"/>
            <w:vAlign w:val="center"/>
          </w:tcPr>
          <w:p w:rsidR="005F7EF1" w:rsidRDefault="00E6254F">
            <w:pPr>
              <w:jc w:val="center"/>
            </w:pPr>
            <w:r>
              <w:rPr>
                <w:rFonts w:eastAsiaTheme="minorEastAsia"/>
                <w:color w:val="000000"/>
                <w:szCs w:val="21"/>
              </w:rPr>
              <w:t>58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29</w:t>
            </w:r>
            <w:r>
              <w:rPr>
                <w:rFonts w:eastAsiaTheme="minorEastAsia"/>
                <w:color w:val="000000"/>
                <w:szCs w:val="21"/>
              </w:rPr>
              <w:t>日暂停赎回业务的公告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2020-04-24</w:t>
            </w:r>
          </w:p>
        </w:tc>
      </w:tr>
      <w:tr w:rsidR="005F7EF1">
        <w:tc>
          <w:tcPr>
            <w:tcW w:w="720" w:type="dxa"/>
            <w:vAlign w:val="center"/>
          </w:tcPr>
          <w:p w:rsidR="005F7EF1" w:rsidRDefault="00E6254F">
            <w:pPr>
              <w:jc w:val="center"/>
            </w:pPr>
            <w:r>
              <w:rPr>
                <w:rFonts w:eastAsiaTheme="minorEastAsia"/>
                <w:color w:val="000000"/>
                <w:szCs w:val="21"/>
              </w:rPr>
              <w:t>59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2020-04-24</w:t>
            </w:r>
          </w:p>
        </w:tc>
      </w:tr>
      <w:tr w:rsidR="005F7EF1">
        <w:tc>
          <w:tcPr>
            <w:tcW w:w="720" w:type="dxa"/>
            <w:vAlign w:val="center"/>
          </w:tcPr>
          <w:p w:rsidR="005F7EF1" w:rsidRDefault="00E6254F">
            <w:pPr>
              <w:jc w:val="center"/>
            </w:pPr>
            <w:r>
              <w:rPr>
                <w:rFonts w:eastAsiaTheme="minorEastAsia"/>
                <w:color w:val="000000"/>
                <w:szCs w:val="21"/>
              </w:rPr>
              <w:t>60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）场内交易价格波动提示公告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2020-04-25</w:t>
            </w:r>
          </w:p>
        </w:tc>
      </w:tr>
      <w:tr w:rsidR="005F7EF1">
        <w:tc>
          <w:tcPr>
            <w:tcW w:w="720" w:type="dxa"/>
            <w:vAlign w:val="center"/>
          </w:tcPr>
          <w:p w:rsidR="005F7EF1" w:rsidRDefault="00E6254F">
            <w:pPr>
              <w:jc w:val="center"/>
            </w:pPr>
            <w:r>
              <w:rPr>
                <w:rFonts w:eastAsiaTheme="minorEastAsia"/>
                <w:color w:val="000000"/>
                <w:szCs w:val="21"/>
              </w:rPr>
              <w:t>61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2020-04-28</w:t>
            </w:r>
          </w:p>
        </w:tc>
      </w:tr>
      <w:tr w:rsidR="005F7EF1">
        <w:tc>
          <w:tcPr>
            <w:tcW w:w="720" w:type="dxa"/>
            <w:vAlign w:val="center"/>
          </w:tcPr>
          <w:p w:rsidR="005F7EF1" w:rsidRDefault="00E6254F">
            <w:pPr>
              <w:jc w:val="center"/>
            </w:pPr>
            <w:r>
              <w:rPr>
                <w:rFonts w:eastAsiaTheme="minorEastAsia"/>
                <w:color w:val="000000"/>
                <w:szCs w:val="21"/>
              </w:rPr>
              <w:t>62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2020-04-29</w:t>
            </w:r>
          </w:p>
        </w:tc>
      </w:tr>
      <w:tr w:rsidR="005F7EF1">
        <w:tc>
          <w:tcPr>
            <w:tcW w:w="720" w:type="dxa"/>
            <w:vAlign w:val="center"/>
          </w:tcPr>
          <w:p w:rsidR="005F7EF1" w:rsidRDefault="00E6254F">
            <w:pPr>
              <w:jc w:val="center"/>
            </w:pPr>
            <w:r>
              <w:rPr>
                <w:rFonts w:eastAsiaTheme="minorEastAsia"/>
                <w:color w:val="000000"/>
                <w:szCs w:val="21"/>
              </w:rPr>
              <w:t>63</w:t>
            </w:r>
          </w:p>
        </w:tc>
        <w:tc>
          <w:tcPr>
            <w:tcW w:w="4320" w:type="dxa"/>
            <w:vAlign w:val="center"/>
          </w:tcPr>
          <w:p w:rsidR="005F7EF1" w:rsidRDefault="00E6254F">
            <w:pPr>
              <w:jc w:val="left"/>
            </w:pPr>
            <w:r>
              <w:rPr>
                <w:rFonts w:eastAsiaTheme="minorEastAsia"/>
                <w:color w:val="000000"/>
                <w:szCs w:val="21"/>
              </w:rPr>
              <w:t>关于易方达原油证券投资基金（</w:t>
            </w:r>
            <w:r>
              <w:rPr>
                <w:rFonts w:eastAsiaTheme="minorEastAsia"/>
                <w:color w:val="000000"/>
                <w:szCs w:val="21"/>
              </w:rPr>
              <w:t>QDII</w:t>
            </w:r>
            <w:r>
              <w:rPr>
                <w:rFonts w:eastAsiaTheme="minorEastAsia"/>
                <w:color w:val="000000"/>
                <w:szCs w:val="21"/>
              </w:rPr>
              <w:t>）的风险提示性公告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2020-04-30</w:t>
            </w:r>
          </w:p>
        </w:tc>
      </w:tr>
      <w:tr w:rsidR="005F7EF1">
        <w:tc>
          <w:tcPr>
            <w:tcW w:w="720" w:type="dxa"/>
            <w:vAlign w:val="center"/>
          </w:tcPr>
          <w:p w:rsidR="005F7EF1" w:rsidRDefault="00E6254F">
            <w:pPr>
              <w:jc w:val="center"/>
            </w:pPr>
            <w:r>
              <w:rPr>
                <w:rFonts w:eastAsiaTheme="minorEastAsia"/>
                <w:color w:val="000000"/>
                <w:szCs w:val="21"/>
              </w:rPr>
              <w:t>64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6</w:t>
            </w:r>
            <w:r>
              <w:rPr>
                <w:rFonts w:eastAsiaTheme="minorEastAsia"/>
                <w:color w:val="000000"/>
                <w:szCs w:val="21"/>
              </w:rPr>
              <w:t>日暂停赎回业务的公告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2020-04-30</w:t>
            </w:r>
          </w:p>
        </w:tc>
      </w:tr>
      <w:tr w:rsidR="005F7EF1">
        <w:tc>
          <w:tcPr>
            <w:tcW w:w="720" w:type="dxa"/>
            <w:vAlign w:val="center"/>
          </w:tcPr>
          <w:p w:rsidR="005F7EF1" w:rsidRDefault="00E6254F">
            <w:pPr>
              <w:jc w:val="center"/>
            </w:pPr>
            <w:r>
              <w:rPr>
                <w:rFonts w:eastAsiaTheme="minorEastAsia"/>
                <w:color w:val="000000"/>
                <w:szCs w:val="21"/>
              </w:rPr>
              <w:t>65</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2020-04-30</w:t>
            </w:r>
          </w:p>
        </w:tc>
      </w:tr>
      <w:tr w:rsidR="005F7EF1">
        <w:tc>
          <w:tcPr>
            <w:tcW w:w="720" w:type="dxa"/>
            <w:vAlign w:val="center"/>
          </w:tcPr>
          <w:p w:rsidR="005F7EF1" w:rsidRDefault="00E6254F">
            <w:pPr>
              <w:jc w:val="center"/>
            </w:pPr>
            <w:r>
              <w:rPr>
                <w:rFonts w:eastAsiaTheme="minorEastAsia"/>
                <w:color w:val="000000"/>
                <w:szCs w:val="21"/>
              </w:rPr>
              <w:t>66</w:t>
            </w:r>
          </w:p>
        </w:tc>
        <w:tc>
          <w:tcPr>
            <w:tcW w:w="4320" w:type="dxa"/>
            <w:vAlign w:val="center"/>
          </w:tcPr>
          <w:p w:rsidR="005F7EF1" w:rsidRDefault="00E6254F">
            <w:pPr>
              <w:jc w:val="left"/>
            </w:pPr>
            <w:r>
              <w:rPr>
                <w:rFonts w:eastAsiaTheme="minorEastAsia"/>
                <w:color w:val="000000"/>
                <w:szCs w:val="21"/>
              </w:rPr>
              <w:t>易方达基金管理有限公司关于弘业期货终止销售易方达原油证券投资基金（</w:t>
            </w:r>
            <w:r>
              <w:rPr>
                <w:rFonts w:eastAsiaTheme="minorEastAsia"/>
                <w:color w:val="000000"/>
                <w:szCs w:val="21"/>
              </w:rPr>
              <w:t>QDII</w:t>
            </w:r>
            <w:r>
              <w:rPr>
                <w:rFonts w:eastAsiaTheme="minorEastAsia"/>
                <w:color w:val="000000"/>
                <w:szCs w:val="21"/>
              </w:rPr>
              <w:t>）人民币份额的公告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2020-05-06</w:t>
            </w:r>
          </w:p>
        </w:tc>
      </w:tr>
      <w:tr w:rsidR="005F7EF1">
        <w:tc>
          <w:tcPr>
            <w:tcW w:w="720" w:type="dxa"/>
            <w:vAlign w:val="center"/>
          </w:tcPr>
          <w:p w:rsidR="005F7EF1" w:rsidRDefault="00E6254F">
            <w:pPr>
              <w:jc w:val="center"/>
            </w:pPr>
            <w:r>
              <w:rPr>
                <w:rFonts w:eastAsiaTheme="minorEastAsia"/>
                <w:color w:val="000000"/>
                <w:szCs w:val="21"/>
              </w:rPr>
              <w:t>67</w:t>
            </w:r>
          </w:p>
        </w:tc>
        <w:tc>
          <w:tcPr>
            <w:tcW w:w="4320" w:type="dxa"/>
            <w:vAlign w:val="center"/>
          </w:tcPr>
          <w:p w:rsidR="005F7EF1" w:rsidRDefault="00E6254F">
            <w:pPr>
              <w:jc w:val="left"/>
            </w:pPr>
            <w:r>
              <w:rPr>
                <w:rFonts w:eastAsiaTheme="minorEastAsia"/>
                <w:color w:val="000000"/>
                <w:szCs w:val="21"/>
              </w:rPr>
              <w:t>易方达基金管理有限公司关于华瑞保险销售终止销售易方达原油证券投资基金（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C</w:t>
            </w:r>
            <w:r>
              <w:rPr>
                <w:rFonts w:eastAsiaTheme="minorEastAsia"/>
                <w:color w:val="000000"/>
                <w:szCs w:val="21"/>
              </w:rPr>
              <w:t>类人民币份额的公告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2020-05-06</w:t>
            </w:r>
          </w:p>
        </w:tc>
      </w:tr>
      <w:tr w:rsidR="005F7EF1">
        <w:tc>
          <w:tcPr>
            <w:tcW w:w="720" w:type="dxa"/>
            <w:vAlign w:val="center"/>
          </w:tcPr>
          <w:p w:rsidR="005F7EF1" w:rsidRDefault="00E6254F">
            <w:pPr>
              <w:jc w:val="center"/>
            </w:pPr>
            <w:r>
              <w:rPr>
                <w:rFonts w:eastAsiaTheme="minorEastAsia"/>
                <w:color w:val="000000"/>
                <w:szCs w:val="21"/>
              </w:rPr>
              <w:t>68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2020-05-06</w:t>
            </w:r>
          </w:p>
        </w:tc>
      </w:tr>
      <w:tr w:rsidR="005F7EF1">
        <w:tc>
          <w:tcPr>
            <w:tcW w:w="720" w:type="dxa"/>
            <w:vAlign w:val="center"/>
          </w:tcPr>
          <w:p w:rsidR="005F7EF1" w:rsidRDefault="00E6254F">
            <w:pPr>
              <w:jc w:val="center"/>
            </w:pPr>
            <w:r>
              <w:rPr>
                <w:rFonts w:eastAsiaTheme="minorEastAsia"/>
                <w:color w:val="000000"/>
                <w:szCs w:val="21"/>
              </w:rPr>
              <w:t>69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8</w:t>
            </w:r>
            <w:r>
              <w:rPr>
                <w:rFonts w:eastAsiaTheme="minorEastAsia"/>
                <w:color w:val="000000"/>
                <w:szCs w:val="21"/>
              </w:rPr>
              <w:t>日暂停赎回业务的公告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2020-05-07</w:t>
            </w:r>
          </w:p>
        </w:tc>
      </w:tr>
      <w:tr w:rsidR="005F7EF1">
        <w:tc>
          <w:tcPr>
            <w:tcW w:w="720" w:type="dxa"/>
            <w:vAlign w:val="center"/>
          </w:tcPr>
          <w:p w:rsidR="005F7EF1" w:rsidRDefault="00E6254F">
            <w:pPr>
              <w:jc w:val="center"/>
            </w:pPr>
            <w:r>
              <w:rPr>
                <w:rFonts w:eastAsiaTheme="minorEastAsia"/>
                <w:color w:val="000000"/>
                <w:szCs w:val="21"/>
              </w:rPr>
              <w:t>70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2020-05-07</w:t>
            </w:r>
          </w:p>
        </w:tc>
      </w:tr>
      <w:tr w:rsidR="005F7EF1">
        <w:tc>
          <w:tcPr>
            <w:tcW w:w="720" w:type="dxa"/>
            <w:vAlign w:val="center"/>
          </w:tcPr>
          <w:p w:rsidR="005F7EF1" w:rsidRDefault="00E6254F">
            <w:pPr>
              <w:jc w:val="center"/>
            </w:pPr>
            <w:r>
              <w:rPr>
                <w:rFonts w:eastAsiaTheme="minorEastAsia"/>
                <w:color w:val="000000"/>
                <w:szCs w:val="21"/>
              </w:rPr>
              <w:t>71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2020-05-08</w:t>
            </w:r>
          </w:p>
        </w:tc>
      </w:tr>
      <w:tr w:rsidR="005F7EF1">
        <w:tc>
          <w:tcPr>
            <w:tcW w:w="720" w:type="dxa"/>
            <w:vAlign w:val="center"/>
          </w:tcPr>
          <w:p w:rsidR="005F7EF1" w:rsidRDefault="00E6254F">
            <w:pPr>
              <w:jc w:val="center"/>
            </w:pPr>
            <w:r>
              <w:rPr>
                <w:rFonts w:eastAsiaTheme="minorEastAsia"/>
                <w:color w:val="000000"/>
                <w:szCs w:val="21"/>
              </w:rPr>
              <w:t>72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2020-05-11</w:t>
            </w:r>
          </w:p>
        </w:tc>
      </w:tr>
      <w:tr w:rsidR="005F7EF1">
        <w:tc>
          <w:tcPr>
            <w:tcW w:w="720" w:type="dxa"/>
            <w:vAlign w:val="center"/>
          </w:tcPr>
          <w:p w:rsidR="005F7EF1" w:rsidRDefault="00E6254F">
            <w:pPr>
              <w:jc w:val="center"/>
            </w:pPr>
            <w:r>
              <w:rPr>
                <w:rFonts w:eastAsiaTheme="minorEastAsia"/>
                <w:color w:val="000000"/>
                <w:szCs w:val="21"/>
              </w:rPr>
              <w:t>73</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2020-05-12</w:t>
            </w:r>
          </w:p>
        </w:tc>
      </w:tr>
      <w:tr w:rsidR="005F7EF1">
        <w:tc>
          <w:tcPr>
            <w:tcW w:w="720" w:type="dxa"/>
            <w:vAlign w:val="center"/>
          </w:tcPr>
          <w:p w:rsidR="005F7EF1" w:rsidRDefault="00E6254F">
            <w:pPr>
              <w:jc w:val="center"/>
            </w:pPr>
            <w:r>
              <w:rPr>
                <w:rFonts w:eastAsiaTheme="minorEastAsia"/>
                <w:color w:val="000000"/>
                <w:szCs w:val="21"/>
              </w:rPr>
              <w:t>74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2020-05-13</w:t>
            </w:r>
          </w:p>
        </w:tc>
      </w:tr>
      <w:tr w:rsidR="005F7EF1">
        <w:tc>
          <w:tcPr>
            <w:tcW w:w="720" w:type="dxa"/>
            <w:vAlign w:val="center"/>
          </w:tcPr>
          <w:p w:rsidR="005F7EF1" w:rsidRDefault="00E6254F">
            <w:pPr>
              <w:jc w:val="center"/>
            </w:pPr>
            <w:r>
              <w:rPr>
                <w:rFonts w:eastAsiaTheme="minorEastAsia"/>
                <w:color w:val="000000"/>
                <w:szCs w:val="21"/>
              </w:rPr>
              <w:t>75</w:t>
            </w:r>
          </w:p>
        </w:tc>
        <w:tc>
          <w:tcPr>
            <w:tcW w:w="4320" w:type="dxa"/>
            <w:vAlign w:val="center"/>
          </w:tcPr>
          <w:p w:rsidR="005F7EF1" w:rsidRDefault="00E6254F">
            <w:pPr>
              <w:jc w:val="left"/>
            </w:pPr>
            <w:r>
              <w:rPr>
                <w:rFonts w:eastAsiaTheme="minorEastAsia"/>
                <w:color w:val="000000"/>
                <w:szCs w:val="21"/>
              </w:rPr>
              <w:t>易方达基金管理有限公司旗下部分开放式基金参加中金公司申购费率优惠活动的公告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2020-05-14</w:t>
            </w:r>
          </w:p>
        </w:tc>
      </w:tr>
      <w:tr w:rsidR="005F7EF1">
        <w:tc>
          <w:tcPr>
            <w:tcW w:w="720" w:type="dxa"/>
            <w:vAlign w:val="center"/>
          </w:tcPr>
          <w:p w:rsidR="005F7EF1" w:rsidRDefault="00E6254F">
            <w:pPr>
              <w:jc w:val="center"/>
            </w:pPr>
            <w:r>
              <w:rPr>
                <w:rFonts w:eastAsiaTheme="minorEastAsia"/>
                <w:color w:val="000000"/>
                <w:szCs w:val="21"/>
              </w:rPr>
              <w:t>76</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2020-05-14</w:t>
            </w:r>
          </w:p>
        </w:tc>
      </w:tr>
      <w:tr w:rsidR="005F7EF1">
        <w:tc>
          <w:tcPr>
            <w:tcW w:w="720" w:type="dxa"/>
            <w:vAlign w:val="center"/>
          </w:tcPr>
          <w:p w:rsidR="005F7EF1" w:rsidRDefault="00E6254F">
            <w:pPr>
              <w:jc w:val="center"/>
            </w:pPr>
            <w:r>
              <w:rPr>
                <w:rFonts w:eastAsiaTheme="minorEastAsia"/>
                <w:color w:val="000000"/>
                <w:szCs w:val="21"/>
              </w:rPr>
              <w:t>77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2020-05-15</w:t>
            </w:r>
          </w:p>
        </w:tc>
      </w:tr>
      <w:tr w:rsidR="005F7EF1">
        <w:tc>
          <w:tcPr>
            <w:tcW w:w="720" w:type="dxa"/>
            <w:vAlign w:val="center"/>
          </w:tcPr>
          <w:p w:rsidR="005F7EF1" w:rsidRDefault="00E6254F">
            <w:pPr>
              <w:jc w:val="center"/>
            </w:pPr>
            <w:r>
              <w:rPr>
                <w:rFonts w:eastAsiaTheme="minorEastAsia"/>
                <w:color w:val="000000"/>
                <w:szCs w:val="21"/>
              </w:rPr>
              <w:t>78</w:t>
            </w:r>
          </w:p>
        </w:tc>
        <w:tc>
          <w:tcPr>
            <w:tcW w:w="4320" w:type="dxa"/>
            <w:vAlign w:val="center"/>
          </w:tcPr>
          <w:p w:rsidR="005F7EF1" w:rsidRDefault="00E6254F">
            <w:pPr>
              <w:jc w:val="left"/>
            </w:pPr>
            <w:r>
              <w:rPr>
                <w:rFonts w:eastAsiaTheme="minorEastAsia"/>
                <w:color w:val="000000"/>
                <w:szCs w:val="21"/>
              </w:rPr>
              <w:t>易方达基金管理有限公司旗下部分开放式基金参加万联证券费率优惠活动的公告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2020-05-18</w:t>
            </w:r>
          </w:p>
        </w:tc>
      </w:tr>
      <w:tr w:rsidR="005F7EF1">
        <w:tc>
          <w:tcPr>
            <w:tcW w:w="720" w:type="dxa"/>
            <w:vAlign w:val="center"/>
          </w:tcPr>
          <w:p w:rsidR="005F7EF1" w:rsidRDefault="00E6254F">
            <w:pPr>
              <w:jc w:val="center"/>
            </w:pPr>
            <w:r>
              <w:rPr>
                <w:rFonts w:eastAsiaTheme="minorEastAsia"/>
                <w:color w:val="000000"/>
                <w:szCs w:val="21"/>
              </w:rPr>
              <w:t>79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2020-05-18</w:t>
            </w:r>
          </w:p>
        </w:tc>
      </w:tr>
      <w:tr w:rsidR="005F7EF1">
        <w:tc>
          <w:tcPr>
            <w:tcW w:w="720" w:type="dxa"/>
            <w:vAlign w:val="center"/>
          </w:tcPr>
          <w:p w:rsidR="005F7EF1" w:rsidRDefault="00E6254F">
            <w:pPr>
              <w:jc w:val="center"/>
            </w:pPr>
            <w:r>
              <w:rPr>
                <w:rFonts w:eastAsiaTheme="minorEastAsia"/>
                <w:color w:val="000000"/>
                <w:szCs w:val="21"/>
              </w:rPr>
              <w:t>80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2020-05-19</w:t>
            </w:r>
          </w:p>
        </w:tc>
      </w:tr>
      <w:tr w:rsidR="005F7EF1">
        <w:tc>
          <w:tcPr>
            <w:tcW w:w="720" w:type="dxa"/>
            <w:vAlign w:val="center"/>
          </w:tcPr>
          <w:p w:rsidR="005F7EF1" w:rsidRDefault="00E6254F">
            <w:pPr>
              <w:jc w:val="center"/>
            </w:pPr>
            <w:r>
              <w:rPr>
                <w:rFonts w:eastAsiaTheme="minorEastAsia"/>
                <w:color w:val="000000"/>
                <w:szCs w:val="21"/>
              </w:rPr>
              <w:t>81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25</w:t>
            </w:r>
            <w:r>
              <w:rPr>
                <w:rFonts w:eastAsiaTheme="minorEastAsia"/>
                <w:color w:val="000000"/>
                <w:szCs w:val="21"/>
              </w:rPr>
              <w:t>日暂停赎回业务的公告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2020-05-20</w:t>
            </w:r>
          </w:p>
        </w:tc>
      </w:tr>
      <w:tr w:rsidR="005F7EF1">
        <w:tc>
          <w:tcPr>
            <w:tcW w:w="720" w:type="dxa"/>
            <w:vAlign w:val="center"/>
          </w:tcPr>
          <w:p w:rsidR="005F7EF1" w:rsidRDefault="00E6254F">
            <w:pPr>
              <w:jc w:val="center"/>
            </w:pPr>
            <w:r>
              <w:rPr>
                <w:rFonts w:eastAsiaTheme="minorEastAsia"/>
                <w:color w:val="000000"/>
                <w:szCs w:val="21"/>
              </w:rPr>
              <w:t>82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2020-05-20</w:t>
            </w:r>
          </w:p>
        </w:tc>
      </w:tr>
      <w:tr w:rsidR="005F7EF1">
        <w:tc>
          <w:tcPr>
            <w:tcW w:w="720" w:type="dxa"/>
            <w:vAlign w:val="center"/>
          </w:tcPr>
          <w:p w:rsidR="005F7EF1" w:rsidRDefault="00E6254F">
            <w:pPr>
              <w:jc w:val="center"/>
            </w:pPr>
            <w:r>
              <w:rPr>
                <w:rFonts w:eastAsiaTheme="minorEastAsia"/>
                <w:color w:val="000000"/>
                <w:szCs w:val="21"/>
              </w:rPr>
              <w:t>83</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2020-05-21</w:t>
            </w:r>
          </w:p>
        </w:tc>
      </w:tr>
      <w:tr w:rsidR="005F7EF1">
        <w:tc>
          <w:tcPr>
            <w:tcW w:w="720" w:type="dxa"/>
            <w:vAlign w:val="center"/>
          </w:tcPr>
          <w:p w:rsidR="005F7EF1" w:rsidRDefault="00E6254F">
            <w:pPr>
              <w:jc w:val="center"/>
            </w:pPr>
            <w:r>
              <w:rPr>
                <w:rFonts w:eastAsiaTheme="minorEastAsia"/>
                <w:color w:val="000000"/>
                <w:szCs w:val="21"/>
              </w:rPr>
              <w:t>84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2020-05-22</w:t>
            </w:r>
          </w:p>
        </w:tc>
      </w:tr>
      <w:tr w:rsidR="005F7EF1">
        <w:tc>
          <w:tcPr>
            <w:tcW w:w="720" w:type="dxa"/>
            <w:vAlign w:val="center"/>
          </w:tcPr>
          <w:p w:rsidR="005F7EF1" w:rsidRDefault="00E6254F">
            <w:pPr>
              <w:jc w:val="center"/>
            </w:pPr>
            <w:r>
              <w:rPr>
                <w:rFonts w:eastAsiaTheme="minorEastAsia"/>
                <w:color w:val="000000"/>
                <w:szCs w:val="21"/>
              </w:rPr>
              <w:t>85</w:t>
            </w:r>
          </w:p>
        </w:tc>
        <w:tc>
          <w:tcPr>
            <w:tcW w:w="4320" w:type="dxa"/>
            <w:vAlign w:val="center"/>
          </w:tcPr>
          <w:p w:rsidR="005F7EF1" w:rsidRDefault="00E6254F">
            <w:pPr>
              <w:jc w:val="left"/>
            </w:pPr>
            <w:r>
              <w:rPr>
                <w:rFonts w:eastAsiaTheme="minorEastAsia"/>
                <w:color w:val="000000"/>
                <w:szCs w:val="21"/>
              </w:rPr>
              <w:t>易方达基金管理有限公司旗下部分开放式基金参加华夏财富费率优惠活动的公告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2020-05-23</w:t>
            </w:r>
          </w:p>
        </w:tc>
      </w:tr>
      <w:tr w:rsidR="005F7EF1">
        <w:tc>
          <w:tcPr>
            <w:tcW w:w="720" w:type="dxa"/>
            <w:vAlign w:val="center"/>
          </w:tcPr>
          <w:p w:rsidR="005F7EF1" w:rsidRDefault="00E6254F">
            <w:pPr>
              <w:jc w:val="center"/>
            </w:pPr>
            <w:r>
              <w:rPr>
                <w:rFonts w:eastAsiaTheme="minorEastAsia"/>
                <w:color w:val="000000"/>
                <w:szCs w:val="21"/>
              </w:rPr>
              <w:t>86</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2020-05-25</w:t>
            </w:r>
          </w:p>
        </w:tc>
      </w:tr>
      <w:tr w:rsidR="005F7EF1">
        <w:tc>
          <w:tcPr>
            <w:tcW w:w="720" w:type="dxa"/>
            <w:vAlign w:val="center"/>
          </w:tcPr>
          <w:p w:rsidR="005F7EF1" w:rsidRDefault="00E6254F">
            <w:pPr>
              <w:jc w:val="center"/>
            </w:pPr>
            <w:r>
              <w:rPr>
                <w:rFonts w:eastAsiaTheme="minorEastAsia"/>
                <w:color w:val="000000"/>
                <w:szCs w:val="21"/>
              </w:rPr>
              <w:t>87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2020-05-26</w:t>
            </w:r>
          </w:p>
        </w:tc>
      </w:tr>
      <w:tr w:rsidR="005F7EF1">
        <w:tc>
          <w:tcPr>
            <w:tcW w:w="720" w:type="dxa"/>
            <w:vAlign w:val="center"/>
          </w:tcPr>
          <w:p w:rsidR="005F7EF1" w:rsidRDefault="00E6254F">
            <w:pPr>
              <w:jc w:val="center"/>
            </w:pPr>
            <w:r>
              <w:rPr>
                <w:rFonts w:eastAsiaTheme="minorEastAsia"/>
                <w:color w:val="000000"/>
                <w:szCs w:val="21"/>
              </w:rPr>
              <w:t>88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2020-05-27</w:t>
            </w:r>
          </w:p>
        </w:tc>
      </w:tr>
      <w:tr w:rsidR="005F7EF1">
        <w:tc>
          <w:tcPr>
            <w:tcW w:w="720" w:type="dxa"/>
            <w:vAlign w:val="center"/>
          </w:tcPr>
          <w:p w:rsidR="005F7EF1" w:rsidRDefault="00E6254F">
            <w:pPr>
              <w:jc w:val="center"/>
            </w:pPr>
            <w:r>
              <w:rPr>
                <w:rFonts w:eastAsiaTheme="minorEastAsia"/>
                <w:color w:val="000000"/>
                <w:szCs w:val="21"/>
              </w:rPr>
              <w:t>89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2020-05-28</w:t>
            </w:r>
          </w:p>
        </w:tc>
      </w:tr>
      <w:tr w:rsidR="005F7EF1">
        <w:tc>
          <w:tcPr>
            <w:tcW w:w="720" w:type="dxa"/>
            <w:vAlign w:val="center"/>
          </w:tcPr>
          <w:p w:rsidR="005F7EF1" w:rsidRDefault="00E6254F">
            <w:pPr>
              <w:jc w:val="center"/>
            </w:pPr>
            <w:r>
              <w:rPr>
                <w:rFonts w:eastAsiaTheme="minorEastAsia"/>
                <w:color w:val="000000"/>
                <w:szCs w:val="21"/>
              </w:rPr>
              <w:t>90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2020-05-29</w:t>
            </w:r>
          </w:p>
        </w:tc>
      </w:tr>
      <w:tr w:rsidR="005F7EF1">
        <w:tc>
          <w:tcPr>
            <w:tcW w:w="720" w:type="dxa"/>
            <w:vAlign w:val="center"/>
          </w:tcPr>
          <w:p w:rsidR="005F7EF1" w:rsidRDefault="00E6254F">
            <w:pPr>
              <w:jc w:val="center"/>
            </w:pPr>
            <w:r>
              <w:rPr>
                <w:rFonts w:eastAsiaTheme="minorEastAsia"/>
                <w:color w:val="000000"/>
                <w:szCs w:val="21"/>
              </w:rPr>
              <w:t>91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2020-06-01</w:t>
            </w:r>
          </w:p>
        </w:tc>
      </w:tr>
      <w:tr w:rsidR="005F7EF1">
        <w:tc>
          <w:tcPr>
            <w:tcW w:w="720" w:type="dxa"/>
            <w:vAlign w:val="center"/>
          </w:tcPr>
          <w:p w:rsidR="005F7EF1" w:rsidRDefault="00E6254F">
            <w:pPr>
              <w:jc w:val="center"/>
            </w:pPr>
            <w:r>
              <w:rPr>
                <w:rFonts w:eastAsiaTheme="minorEastAsia"/>
                <w:color w:val="000000"/>
                <w:szCs w:val="21"/>
              </w:rPr>
              <w:t>92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2020-06-02</w:t>
            </w:r>
          </w:p>
        </w:tc>
      </w:tr>
      <w:tr w:rsidR="005F7EF1">
        <w:tc>
          <w:tcPr>
            <w:tcW w:w="720" w:type="dxa"/>
            <w:vAlign w:val="center"/>
          </w:tcPr>
          <w:p w:rsidR="005F7EF1" w:rsidRDefault="00E6254F">
            <w:pPr>
              <w:jc w:val="center"/>
            </w:pPr>
            <w:r>
              <w:rPr>
                <w:rFonts w:eastAsiaTheme="minorEastAsia"/>
                <w:color w:val="000000"/>
                <w:szCs w:val="21"/>
              </w:rPr>
              <w:t>93</w:t>
            </w:r>
          </w:p>
        </w:tc>
        <w:tc>
          <w:tcPr>
            <w:tcW w:w="4320" w:type="dxa"/>
            <w:vAlign w:val="center"/>
          </w:tcPr>
          <w:p w:rsidR="005F7EF1" w:rsidRDefault="00E6254F">
            <w:pPr>
              <w:jc w:val="left"/>
            </w:pPr>
            <w:r>
              <w:rPr>
                <w:rFonts w:eastAsiaTheme="minorEastAsia"/>
                <w:color w:val="000000"/>
                <w:szCs w:val="21"/>
              </w:rPr>
              <w:t>易方达基金管理有限公司关于暂停上海朝阳永续基金销售有限公司办理旗下基金相关销售业务的公告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2020-06-03</w:t>
            </w:r>
          </w:p>
        </w:tc>
      </w:tr>
      <w:tr w:rsidR="005F7EF1">
        <w:tc>
          <w:tcPr>
            <w:tcW w:w="720" w:type="dxa"/>
            <w:vAlign w:val="center"/>
          </w:tcPr>
          <w:p w:rsidR="005F7EF1" w:rsidRDefault="00E6254F">
            <w:pPr>
              <w:jc w:val="center"/>
            </w:pPr>
            <w:r>
              <w:rPr>
                <w:rFonts w:eastAsiaTheme="minorEastAsia"/>
                <w:color w:val="000000"/>
                <w:szCs w:val="21"/>
              </w:rPr>
              <w:t>94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2020-06-03</w:t>
            </w:r>
          </w:p>
        </w:tc>
      </w:tr>
      <w:tr w:rsidR="005F7EF1">
        <w:tc>
          <w:tcPr>
            <w:tcW w:w="720" w:type="dxa"/>
            <w:vAlign w:val="center"/>
          </w:tcPr>
          <w:p w:rsidR="005F7EF1" w:rsidRDefault="00E6254F">
            <w:pPr>
              <w:jc w:val="center"/>
            </w:pPr>
            <w:r>
              <w:rPr>
                <w:rFonts w:eastAsiaTheme="minorEastAsia"/>
                <w:color w:val="000000"/>
                <w:szCs w:val="21"/>
              </w:rPr>
              <w:t>95</w:t>
            </w:r>
          </w:p>
        </w:tc>
        <w:tc>
          <w:tcPr>
            <w:tcW w:w="4320" w:type="dxa"/>
            <w:vAlign w:val="center"/>
          </w:tcPr>
          <w:p w:rsidR="005F7EF1" w:rsidRDefault="00E6254F">
            <w:pPr>
              <w:jc w:val="left"/>
            </w:pPr>
            <w:r>
              <w:rPr>
                <w:rFonts w:eastAsiaTheme="minorEastAsia"/>
                <w:color w:val="000000"/>
                <w:szCs w:val="21"/>
              </w:rPr>
              <w:t>易方达基金管理有限公司关于调整旗下部分开放式基金在招商银行最低定期定额投资金额限制的公告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2020-06-04</w:t>
            </w:r>
          </w:p>
        </w:tc>
      </w:tr>
      <w:tr w:rsidR="005F7EF1">
        <w:tc>
          <w:tcPr>
            <w:tcW w:w="720" w:type="dxa"/>
            <w:vAlign w:val="center"/>
          </w:tcPr>
          <w:p w:rsidR="005F7EF1" w:rsidRDefault="00E6254F">
            <w:pPr>
              <w:jc w:val="center"/>
            </w:pPr>
            <w:r>
              <w:rPr>
                <w:rFonts w:eastAsiaTheme="minorEastAsia"/>
                <w:color w:val="000000"/>
                <w:szCs w:val="21"/>
              </w:rPr>
              <w:t>96</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2020-06-04</w:t>
            </w:r>
          </w:p>
        </w:tc>
      </w:tr>
      <w:tr w:rsidR="005F7EF1">
        <w:tc>
          <w:tcPr>
            <w:tcW w:w="720" w:type="dxa"/>
            <w:vAlign w:val="center"/>
          </w:tcPr>
          <w:p w:rsidR="005F7EF1" w:rsidRDefault="00E6254F">
            <w:pPr>
              <w:jc w:val="center"/>
            </w:pPr>
            <w:r>
              <w:rPr>
                <w:rFonts w:eastAsiaTheme="minorEastAsia"/>
                <w:color w:val="000000"/>
                <w:szCs w:val="21"/>
              </w:rPr>
              <w:t>97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2020-06-05</w:t>
            </w:r>
          </w:p>
        </w:tc>
      </w:tr>
      <w:tr w:rsidR="005F7EF1">
        <w:tc>
          <w:tcPr>
            <w:tcW w:w="720" w:type="dxa"/>
            <w:vAlign w:val="center"/>
          </w:tcPr>
          <w:p w:rsidR="005F7EF1" w:rsidRDefault="00E6254F">
            <w:pPr>
              <w:jc w:val="center"/>
            </w:pPr>
            <w:r>
              <w:rPr>
                <w:rFonts w:eastAsiaTheme="minorEastAsia"/>
                <w:color w:val="000000"/>
                <w:szCs w:val="21"/>
              </w:rPr>
              <w:t>98</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2020-06-08</w:t>
            </w:r>
          </w:p>
        </w:tc>
      </w:tr>
      <w:tr w:rsidR="005F7EF1">
        <w:tc>
          <w:tcPr>
            <w:tcW w:w="720" w:type="dxa"/>
            <w:vAlign w:val="center"/>
          </w:tcPr>
          <w:p w:rsidR="005F7EF1" w:rsidRDefault="00E6254F">
            <w:pPr>
              <w:jc w:val="center"/>
            </w:pPr>
            <w:r>
              <w:rPr>
                <w:rFonts w:eastAsiaTheme="minorEastAsia"/>
                <w:color w:val="000000"/>
                <w:szCs w:val="21"/>
              </w:rPr>
              <w:t>99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2020-06-09</w:t>
            </w:r>
          </w:p>
        </w:tc>
      </w:tr>
      <w:tr w:rsidR="005F7EF1">
        <w:tc>
          <w:tcPr>
            <w:tcW w:w="720" w:type="dxa"/>
            <w:vAlign w:val="center"/>
          </w:tcPr>
          <w:p w:rsidR="005F7EF1" w:rsidRDefault="00E6254F">
            <w:pPr>
              <w:jc w:val="center"/>
            </w:pPr>
            <w:r>
              <w:rPr>
                <w:rFonts w:eastAsiaTheme="minorEastAsia"/>
                <w:color w:val="000000"/>
                <w:szCs w:val="21"/>
              </w:rPr>
              <w:t>100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2020-06-10</w:t>
            </w:r>
          </w:p>
        </w:tc>
      </w:tr>
      <w:tr w:rsidR="005F7EF1">
        <w:tc>
          <w:tcPr>
            <w:tcW w:w="720" w:type="dxa"/>
            <w:vAlign w:val="center"/>
          </w:tcPr>
          <w:p w:rsidR="005F7EF1" w:rsidRDefault="00E6254F">
            <w:pPr>
              <w:jc w:val="center"/>
            </w:pPr>
            <w:r>
              <w:rPr>
                <w:rFonts w:eastAsiaTheme="minorEastAsia"/>
                <w:color w:val="000000"/>
                <w:szCs w:val="21"/>
              </w:rPr>
              <w:t>101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2020-06-11</w:t>
            </w:r>
          </w:p>
        </w:tc>
      </w:tr>
      <w:tr w:rsidR="005F7EF1">
        <w:tc>
          <w:tcPr>
            <w:tcW w:w="720" w:type="dxa"/>
            <w:vAlign w:val="center"/>
          </w:tcPr>
          <w:p w:rsidR="005F7EF1" w:rsidRDefault="00E6254F">
            <w:pPr>
              <w:jc w:val="center"/>
            </w:pPr>
            <w:r>
              <w:rPr>
                <w:rFonts w:eastAsiaTheme="minorEastAsia"/>
                <w:color w:val="000000"/>
                <w:szCs w:val="21"/>
              </w:rPr>
              <w:t>102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2020-06-12</w:t>
            </w:r>
          </w:p>
        </w:tc>
      </w:tr>
      <w:tr w:rsidR="005F7EF1">
        <w:tc>
          <w:tcPr>
            <w:tcW w:w="720" w:type="dxa"/>
            <w:vAlign w:val="center"/>
          </w:tcPr>
          <w:p w:rsidR="005F7EF1" w:rsidRDefault="00E6254F">
            <w:pPr>
              <w:jc w:val="center"/>
            </w:pPr>
            <w:r>
              <w:rPr>
                <w:rFonts w:eastAsiaTheme="minorEastAsia"/>
                <w:color w:val="000000"/>
                <w:szCs w:val="21"/>
              </w:rPr>
              <w:t>103</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2020-06-15</w:t>
            </w:r>
          </w:p>
        </w:tc>
      </w:tr>
      <w:tr w:rsidR="005F7EF1">
        <w:tc>
          <w:tcPr>
            <w:tcW w:w="720" w:type="dxa"/>
            <w:vAlign w:val="center"/>
          </w:tcPr>
          <w:p w:rsidR="005F7EF1" w:rsidRDefault="00E6254F">
            <w:pPr>
              <w:jc w:val="center"/>
            </w:pPr>
            <w:r>
              <w:rPr>
                <w:rFonts w:eastAsiaTheme="minorEastAsia"/>
                <w:color w:val="000000"/>
                <w:szCs w:val="21"/>
              </w:rPr>
              <w:t>104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2020-06-16</w:t>
            </w:r>
          </w:p>
        </w:tc>
      </w:tr>
      <w:tr w:rsidR="005F7EF1">
        <w:tc>
          <w:tcPr>
            <w:tcW w:w="720" w:type="dxa"/>
            <w:vAlign w:val="center"/>
          </w:tcPr>
          <w:p w:rsidR="005F7EF1" w:rsidRDefault="00E6254F">
            <w:pPr>
              <w:jc w:val="center"/>
            </w:pPr>
            <w:r>
              <w:rPr>
                <w:rFonts w:eastAsiaTheme="minorEastAsia"/>
                <w:color w:val="000000"/>
                <w:szCs w:val="21"/>
              </w:rPr>
              <w:t>105</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2020-06-17</w:t>
            </w:r>
          </w:p>
        </w:tc>
      </w:tr>
      <w:tr w:rsidR="005F7EF1">
        <w:tc>
          <w:tcPr>
            <w:tcW w:w="720" w:type="dxa"/>
            <w:vAlign w:val="center"/>
          </w:tcPr>
          <w:p w:rsidR="005F7EF1" w:rsidRDefault="00E6254F">
            <w:pPr>
              <w:jc w:val="center"/>
            </w:pPr>
            <w:r>
              <w:rPr>
                <w:rFonts w:eastAsiaTheme="minorEastAsia"/>
                <w:color w:val="000000"/>
                <w:szCs w:val="21"/>
              </w:rPr>
              <w:t>106</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2020-06-18</w:t>
            </w:r>
          </w:p>
        </w:tc>
      </w:tr>
      <w:tr w:rsidR="005F7EF1">
        <w:tc>
          <w:tcPr>
            <w:tcW w:w="720" w:type="dxa"/>
            <w:vAlign w:val="center"/>
          </w:tcPr>
          <w:p w:rsidR="005F7EF1" w:rsidRDefault="00E6254F">
            <w:pPr>
              <w:jc w:val="center"/>
            </w:pPr>
            <w:r>
              <w:rPr>
                <w:rFonts w:eastAsiaTheme="minorEastAsia"/>
                <w:color w:val="000000"/>
                <w:szCs w:val="21"/>
              </w:rPr>
              <w:t>107</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2020-06-19</w:t>
            </w:r>
          </w:p>
        </w:tc>
      </w:tr>
      <w:tr w:rsidR="005F7EF1">
        <w:tc>
          <w:tcPr>
            <w:tcW w:w="720" w:type="dxa"/>
            <w:vAlign w:val="center"/>
          </w:tcPr>
          <w:p w:rsidR="005F7EF1" w:rsidRDefault="00E6254F">
            <w:pPr>
              <w:jc w:val="center"/>
            </w:pPr>
            <w:r>
              <w:rPr>
                <w:rFonts w:eastAsiaTheme="minorEastAsia"/>
                <w:color w:val="000000"/>
                <w:szCs w:val="21"/>
              </w:rPr>
              <w:t>108</w:t>
            </w:r>
          </w:p>
        </w:tc>
        <w:tc>
          <w:tcPr>
            <w:tcW w:w="4320" w:type="dxa"/>
            <w:vAlign w:val="center"/>
          </w:tcPr>
          <w:p w:rsidR="005F7EF1" w:rsidRDefault="00E6254F">
            <w:pPr>
              <w:jc w:val="left"/>
            </w:pPr>
            <w:r>
              <w:rPr>
                <w:rFonts w:eastAsiaTheme="minorEastAsia"/>
                <w:color w:val="000000"/>
                <w:szCs w:val="21"/>
              </w:rPr>
              <w:t>易方达基金管理有限公司高级管理人员变更公告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2020-06-22</w:t>
            </w:r>
          </w:p>
        </w:tc>
      </w:tr>
      <w:tr w:rsidR="005F7EF1">
        <w:tc>
          <w:tcPr>
            <w:tcW w:w="720" w:type="dxa"/>
            <w:vAlign w:val="center"/>
          </w:tcPr>
          <w:p w:rsidR="005F7EF1" w:rsidRDefault="00E6254F">
            <w:pPr>
              <w:jc w:val="center"/>
            </w:pPr>
            <w:r>
              <w:rPr>
                <w:rFonts w:eastAsiaTheme="minorEastAsia"/>
                <w:color w:val="000000"/>
                <w:szCs w:val="21"/>
              </w:rPr>
              <w:t>109</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）溢价风险提示及停复牌公告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2020-06-22</w:t>
            </w:r>
          </w:p>
        </w:tc>
      </w:tr>
      <w:tr w:rsidR="005F7EF1">
        <w:tc>
          <w:tcPr>
            <w:tcW w:w="720" w:type="dxa"/>
            <w:vAlign w:val="center"/>
          </w:tcPr>
          <w:p w:rsidR="005F7EF1" w:rsidRDefault="00E6254F">
            <w:pPr>
              <w:jc w:val="center"/>
            </w:pPr>
            <w:r>
              <w:rPr>
                <w:rFonts w:eastAsiaTheme="minorEastAsia"/>
                <w:color w:val="000000"/>
                <w:szCs w:val="21"/>
              </w:rPr>
              <w:t>110</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2020-06-23</w:t>
            </w:r>
          </w:p>
        </w:tc>
      </w:tr>
      <w:tr w:rsidR="005F7EF1">
        <w:tc>
          <w:tcPr>
            <w:tcW w:w="720" w:type="dxa"/>
            <w:vAlign w:val="center"/>
          </w:tcPr>
          <w:p w:rsidR="005F7EF1" w:rsidRDefault="00E6254F">
            <w:pPr>
              <w:jc w:val="center"/>
            </w:pPr>
            <w:r>
              <w:rPr>
                <w:rFonts w:eastAsiaTheme="minorEastAsia"/>
                <w:color w:val="000000"/>
                <w:szCs w:val="21"/>
              </w:rPr>
              <w:t>111</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2020-06-24</w:t>
            </w:r>
          </w:p>
        </w:tc>
      </w:tr>
      <w:tr w:rsidR="005F7EF1">
        <w:tc>
          <w:tcPr>
            <w:tcW w:w="720" w:type="dxa"/>
            <w:vAlign w:val="center"/>
          </w:tcPr>
          <w:p w:rsidR="005F7EF1" w:rsidRDefault="00E6254F">
            <w:pPr>
              <w:jc w:val="center"/>
            </w:pPr>
            <w:r>
              <w:rPr>
                <w:rFonts w:eastAsiaTheme="minorEastAsia"/>
                <w:color w:val="000000"/>
                <w:szCs w:val="21"/>
              </w:rPr>
              <w:t>112</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2020-06-29</w:t>
            </w:r>
          </w:p>
        </w:tc>
      </w:tr>
      <w:tr w:rsidR="005F7EF1">
        <w:tc>
          <w:tcPr>
            <w:tcW w:w="720" w:type="dxa"/>
            <w:vAlign w:val="center"/>
          </w:tcPr>
          <w:p w:rsidR="005F7EF1" w:rsidRDefault="00E6254F">
            <w:pPr>
              <w:jc w:val="center"/>
            </w:pPr>
            <w:r>
              <w:rPr>
                <w:rFonts w:eastAsiaTheme="minorEastAsia"/>
                <w:color w:val="000000"/>
                <w:szCs w:val="21"/>
              </w:rPr>
              <w:t>113</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3</w:t>
            </w:r>
            <w:r>
              <w:rPr>
                <w:rFonts w:eastAsiaTheme="minorEastAsia"/>
                <w:color w:val="000000"/>
                <w:szCs w:val="21"/>
              </w:rPr>
              <w:t>日暂停赎回业务的公告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2020-06-30</w:t>
            </w:r>
          </w:p>
        </w:tc>
      </w:tr>
      <w:tr w:rsidR="005F7EF1">
        <w:tc>
          <w:tcPr>
            <w:tcW w:w="720" w:type="dxa"/>
            <w:vAlign w:val="center"/>
          </w:tcPr>
          <w:p w:rsidR="005F7EF1" w:rsidRDefault="00E6254F">
            <w:pPr>
              <w:jc w:val="center"/>
            </w:pPr>
            <w:r>
              <w:rPr>
                <w:rFonts w:eastAsiaTheme="minorEastAsia"/>
                <w:color w:val="000000"/>
                <w:szCs w:val="21"/>
              </w:rPr>
              <w:t>114</w:t>
            </w:r>
          </w:p>
        </w:tc>
        <w:tc>
          <w:tcPr>
            <w:tcW w:w="4320" w:type="dxa"/>
            <w:vAlign w:val="center"/>
          </w:tcPr>
          <w:p w:rsidR="005F7EF1" w:rsidRDefault="00E6254F">
            <w:pPr>
              <w:jc w:val="left"/>
            </w:pPr>
            <w:r>
              <w:rPr>
                <w:rFonts w:eastAsiaTheme="minorEastAsia"/>
                <w:color w:val="000000"/>
                <w:szCs w:val="21"/>
              </w:rPr>
              <w:t>易方达原油证券投资基金（</w:t>
            </w:r>
            <w:r>
              <w:rPr>
                <w:rFonts w:eastAsiaTheme="minorEastAsia"/>
                <w:color w:val="000000"/>
                <w:szCs w:val="21"/>
              </w:rPr>
              <w:t>QDII</w:t>
            </w:r>
            <w:r>
              <w:rPr>
                <w:rFonts w:eastAsiaTheme="minorEastAsia"/>
                <w:color w:val="000000"/>
                <w:szCs w:val="21"/>
              </w:rPr>
              <w:t>）溢价风险提示公告</w:t>
            </w:r>
          </w:p>
        </w:tc>
        <w:tc>
          <w:tcPr>
            <w:tcW w:w="2520" w:type="dxa"/>
            <w:vAlign w:val="center"/>
          </w:tcPr>
          <w:p w:rsidR="005F7EF1" w:rsidRDefault="00E6254F">
            <w:pPr>
              <w:jc w:val="left"/>
            </w:pPr>
            <w:r>
              <w:rPr>
                <w:rFonts w:eastAsiaTheme="minorEastAsia"/>
                <w:color w:val="000000"/>
                <w:szCs w:val="21"/>
              </w:rPr>
              <w:t>中国证券报、基金管理人网站及中国证监会基金电子披露网站</w:t>
            </w:r>
          </w:p>
        </w:tc>
        <w:tc>
          <w:tcPr>
            <w:tcW w:w="1440" w:type="dxa"/>
            <w:vAlign w:val="center"/>
          </w:tcPr>
          <w:p w:rsidR="005F7EF1" w:rsidRDefault="00E6254F">
            <w:pPr>
              <w:jc w:val="center"/>
            </w:pPr>
            <w:r>
              <w:rPr>
                <w:rFonts w:eastAsiaTheme="minorEastAsia"/>
                <w:color w:val="000000"/>
                <w:szCs w:val="21"/>
              </w:rPr>
              <w:t>2020-06-30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66" w:name="_Toc225500055"/>
      <w:bookmarkStart w:id="367" w:name="_Toc352256020"/>
      <w:bookmarkStart w:id="368" w:name="_Toc352256088"/>
      <w:bookmarkStart w:id="369" w:name="_Toc352331266"/>
      <w:bookmarkStart w:id="370" w:name="_Toc390164850"/>
      <w:bookmarkStart w:id="371" w:name="_Toc48664201"/>
      <w:r w:rsidRPr="000C6CCD">
        <w:rPr>
          <w:rFonts w:ascii="宋体" w:hAnsi="宋体"/>
          <w:bCs w:val="0"/>
          <w:color w:val="000000"/>
          <w:sz w:val="21"/>
          <w:szCs w:val="21"/>
        </w:rPr>
        <w:t>11</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备查文件目录</w:t>
      </w:r>
      <w:bookmarkEnd w:id="366"/>
      <w:bookmarkEnd w:id="367"/>
      <w:bookmarkEnd w:id="368"/>
      <w:bookmarkEnd w:id="369"/>
      <w:bookmarkEnd w:id="370"/>
      <w:bookmarkEnd w:id="37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2" w:name="_Toc352256021"/>
      <w:bookmarkStart w:id="373" w:name="_Toc352256089"/>
      <w:bookmarkStart w:id="374" w:name="_Toc352331267"/>
      <w:bookmarkStart w:id="375" w:name="_Toc390164851"/>
      <w:bookmarkStart w:id="376" w:name="_Toc48664202"/>
      <w:r w:rsidRPr="0087359D">
        <w:rPr>
          <w:rFonts w:ascii="宋体" w:hAnsi="宋体"/>
          <w:kern w:val="0"/>
          <w:sz w:val="21"/>
          <w:szCs w:val="21"/>
        </w:rPr>
        <w:t>11.1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备查文件目录</w:t>
      </w:r>
      <w:bookmarkEnd w:id="372"/>
      <w:bookmarkEnd w:id="373"/>
      <w:bookmarkEnd w:id="374"/>
      <w:bookmarkEnd w:id="375"/>
      <w:bookmarkEnd w:id="376"/>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中国证监会准予易方达原油证券投资基金（</w:t>
      </w:r>
      <w:r>
        <w:rPr>
          <w:rFonts w:eastAsiaTheme="minorEastAsia"/>
          <w:kern w:val="0"/>
          <w:szCs w:val="21"/>
        </w:rPr>
        <w:t>QDII</w:t>
      </w:r>
      <w:r>
        <w:rPr>
          <w:rFonts w:eastAsiaTheme="minorEastAsia"/>
          <w:kern w:val="0"/>
          <w:szCs w:val="21"/>
        </w:rPr>
        <w:t>）注册的文件；</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《易方达原油证券投资基金（</w:t>
      </w:r>
      <w:r>
        <w:rPr>
          <w:rFonts w:eastAsiaTheme="minorEastAsia"/>
          <w:kern w:val="0"/>
          <w:szCs w:val="21"/>
        </w:rPr>
        <w:t>QDII</w:t>
      </w:r>
      <w:r>
        <w:rPr>
          <w:rFonts w:eastAsiaTheme="minorEastAsia"/>
          <w:kern w:val="0"/>
          <w:szCs w:val="21"/>
        </w:rPr>
        <w:t>）基金合同》；</w:t>
      </w:r>
    </w:p>
    <w:p w:rsidR="005F7EF1" w:rsidRDefault="00E6254F">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《易方达原油证券投资基金（</w:t>
      </w:r>
      <w:r>
        <w:rPr>
          <w:rFonts w:eastAsiaTheme="minorEastAsia"/>
          <w:kern w:val="0"/>
          <w:szCs w:val="21"/>
        </w:rPr>
        <w:t>QDII</w:t>
      </w:r>
      <w:r>
        <w:rPr>
          <w:rFonts w:eastAsiaTheme="minorEastAsia"/>
          <w:kern w:val="0"/>
          <w:szCs w:val="21"/>
        </w:rPr>
        <w:t>）托管协议》；</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4.</w:t>
      </w:r>
      <w:r w:rsidRPr="00C24ACA">
        <w:rPr>
          <w:rFonts w:eastAsiaTheme="minorEastAsia"/>
          <w:kern w:val="0"/>
          <w:szCs w:val="21"/>
        </w:rPr>
        <w:t>基金管理人业务资格批件和营业执照。</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7" w:name="_Toc352256022"/>
      <w:bookmarkStart w:id="378" w:name="_Toc352256090"/>
      <w:bookmarkStart w:id="379" w:name="_Toc352331268"/>
      <w:bookmarkStart w:id="380" w:name="_Toc390164852"/>
      <w:bookmarkStart w:id="381" w:name="_Toc48664203"/>
      <w:r w:rsidRPr="0087359D">
        <w:rPr>
          <w:rFonts w:ascii="宋体" w:hAnsi="宋体"/>
          <w:kern w:val="0"/>
          <w:sz w:val="21"/>
          <w:szCs w:val="21"/>
        </w:rPr>
        <w:t>11.2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存放地点</w:t>
      </w:r>
      <w:bookmarkEnd w:id="377"/>
      <w:bookmarkEnd w:id="378"/>
      <w:bookmarkEnd w:id="379"/>
      <w:bookmarkEnd w:id="380"/>
      <w:bookmarkEnd w:id="381"/>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广州市天河区珠江新城珠江东路</w:t>
      </w:r>
      <w:r w:rsidRPr="00C24ACA">
        <w:rPr>
          <w:rFonts w:eastAsiaTheme="minorEastAsia"/>
          <w:kern w:val="0"/>
          <w:szCs w:val="21"/>
        </w:rPr>
        <w:t>30</w:t>
      </w:r>
      <w:r w:rsidRPr="00C24ACA">
        <w:rPr>
          <w:rFonts w:eastAsiaTheme="minorEastAsia"/>
          <w:kern w:val="0"/>
          <w:szCs w:val="21"/>
        </w:rPr>
        <w:t>号广州银行大厦</w:t>
      </w:r>
      <w:r w:rsidRPr="00C24ACA">
        <w:rPr>
          <w:rFonts w:eastAsiaTheme="minorEastAsia"/>
          <w:kern w:val="0"/>
          <w:szCs w:val="21"/>
        </w:rPr>
        <w:t>40-43</w:t>
      </w:r>
      <w:r w:rsidRPr="00C24ACA">
        <w:rPr>
          <w:rFonts w:eastAsiaTheme="minorEastAsia"/>
          <w:kern w:val="0"/>
          <w:szCs w:val="21"/>
        </w:rPr>
        <w:t>楼。</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82" w:name="_Toc352256023"/>
      <w:bookmarkStart w:id="383" w:name="_Toc352256091"/>
      <w:bookmarkStart w:id="384" w:name="_Toc352331269"/>
      <w:bookmarkStart w:id="385" w:name="_Toc390164853"/>
      <w:bookmarkStart w:id="386" w:name="_Toc48664204"/>
      <w:r w:rsidRPr="0087359D">
        <w:rPr>
          <w:rFonts w:ascii="宋体" w:hAnsi="宋体"/>
          <w:kern w:val="0"/>
          <w:sz w:val="21"/>
          <w:szCs w:val="21"/>
        </w:rPr>
        <w:t>11.3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查阅方式</w:t>
      </w:r>
      <w:bookmarkEnd w:id="382"/>
      <w:bookmarkEnd w:id="383"/>
      <w:bookmarkEnd w:id="384"/>
      <w:bookmarkEnd w:id="385"/>
      <w:bookmarkEnd w:id="386"/>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投资者可在营业时间免费查阅，也可按工本费购买复印件。</w:t>
      </w: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2116B9">
      <w:pPr>
        <w:spacing w:line="360" w:lineRule="auto"/>
        <w:ind w:left="840"/>
        <w:jc w:val="right"/>
        <w:rPr>
          <w:rFonts w:eastAsiaTheme="minorEastAsia"/>
          <w:b/>
          <w:bCs/>
          <w:szCs w:val="21"/>
        </w:rPr>
      </w:pPr>
      <w:r w:rsidRPr="00C24ACA">
        <w:rPr>
          <w:rFonts w:eastAsiaTheme="minorEastAsia"/>
          <w:b/>
          <w:bCs/>
          <w:szCs w:val="21"/>
        </w:rPr>
        <w:t>易方达基金管理有限公司</w:t>
      </w:r>
    </w:p>
    <w:p w:rsidR="008A5A5D" w:rsidRPr="00C24ACA" w:rsidRDefault="00025106" w:rsidP="002116B9">
      <w:pPr>
        <w:spacing w:line="360" w:lineRule="auto"/>
        <w:ind w:left="840"/>
        <w:jc w:val="right"/>
        <w:rPr>
          <w:rFonts w:eastAsiaTheme="minorEastAsia"/>
          <w:b/>
          <w:bCs/>
          <w:szCs w:val="21"/>
        </w:rPr>
      </w:pPr>
      <w:r w:rsidRPr="00C24ACA">
        <w:rPr>
          <w:rFonts w:eastAsiaTheme="minorEastAsia"/>
          <w:b/>
          <w:bCs/>
          <w:szCs w:val="21"/>
        </w:rPr>
        <w:t>二〇二〇年八月二十八日</w:t>
      </w:r>
      <w:bookmarkEnd w:id="0"/>
    </w:p>
    <w:sectPr w:rsidR="008A5A5D" w:rsidRPr="00C24ACA" w:rsidSect="00937AC9">
      <w:footerReference w:type="even"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D43" w:rsidRDefault="00166D43">
      <w:r>
        <w:separator/>
      </w:r>
    </w:p>
  </w:endnote>
  <w:endnote w:type="continuationSeparator" w:id="0">
    <w:p w:rsidR="00166D43" w:rsidRDefault="0016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FF5BA7" w:rsidRDefault="00D93CEC" w:rsidP="008134C7">
    <w:pPr>
      <w:pStyle w:val="a7"/>
      <w:ind w:right="360"/>
      <w:jc w:val="center"/>
      <w:rPr>
        <w:sz w:val="21"/>
        <w:szCs w:val="21"/>
      </w:rPr>
    </w:pPr>
    <w:r w:rsidRPr="00FF5BA7">
      <w:rPr>
        <w:rFonts w:hint="eastAsia"/>
        <w:kern w:val="0"/>
        <w:sz w:val="21"/>
        <w:szCs w:val="21"/>
      </w:rPr>
      <w:t>第</w:t>
    </w:r>
    <w:r w:rsidRPr="00FF5BA7">
      <w:rPr>
        <w:kern w:val="0"/>
        <w:sz w:val="21"/>
        <w:szCs w:val="21"/>
      </w:rPr>
      <w:fldChar w:fldCharType="begin"/>
    </w:r>
    <w:r w:rsidRPr="00FF5BA7">
      <w:rPr>
        <w:kern w:val="0"/>
        <w:sz w:val="21"/>
        <w:szCs w:val="21"/>
      </w:rPr>
      <w:instrText xml:space="preserve"> PAGE </w:instrText>
    </w:r>
    <w:r w:rsidRPr="00FF5BA7">
      <w:rPr>
        <w:kern w:val="0"/>
        <w:sz w:val="21"/>
        <w:szCs w:val="21"/>
      </w:rPr>
      <w:fldChar w:fldCharType="separate"/>
    </w:r>
    <w:r w:rsidR="0049416C">
      <w:rPr>
        <w:noProof/>
        <w:kern w:val="0"/>
        <w:sz w:val="21"/>
        <w:szCs w:val="21"/>
      </w:rPr>
      <w:t>58</w:t>
    </w:r>
    <w:r w:rsidRPr="00FF5BA7">
      <w:rPr>
        <w:kern w:val="0"/>
        <w:sz w:val="21"/>
        <w:szCs w:val="21"/>
      </w:rPr>
      <w:fldChar w:fldCharType="end"/>
    </w:r>
    <w:r w:rsidRPr="00FF5BA7">
      <w:rPr>
        <w:rFonts w:hint="eastAsia"/>
        <w:kern w:val="0"/>
        <w:sz w:val="21"/>
        <w:szCs w:val="21"/>
      </w:rPr>
      <w:t>页，共</w:t>
    </w:r>
    <w:r w:rsidRPr="00FF5BA7">
      <w:rPr>
        <w:kern w:val="0"/>
        <w:sz w:val="21"/>
        <w:szCs w:val="21"/>
      </w:rPr>
      <w:fldChar w:fldCharType="begin"/>
    </w:r>
    <w:r w:rsidRPr="00FF5BA7">
      <w:rPr>
        <w:kern w:val="0"/>
        <w:sz w:val="21"/>
        <w:szCs w:val="21"/>
      </w:rPr>
      <w:instrText xml:space="preserve"> NUMPAGES </w:instrText>
    </w:r>
    <w:r w:rsidRPr="00FF5BA7">
      <w:rPr>
        <w:kern w:val="0"/>
        <w:sz w:val="21"/>
        <w:szCs w:val="21"/>
      </w:rPr>
      <w:fldChar w:fldCharType="separate"/>
    </w:r>
    <w:r w:rsidR="0049416C">
      <w:rPr>
        <w:noProof/>
        <w:kern w:val="0"/>
        <w:sz w:val="21"/>
        <w:szCs w:val="21"/>
      </w:rPr>
      <w:t>58</w:t>
    </w:r>
    <w:r w:rsidRPr="00FF5BA7">
      <w:rPr>
        <w:kern w:val="0"/>
        <w:sz w:val="21"/>
        <w:szCs w:val="21"/>
      </w:rPr>
      <w:fldChar w:fldCharType="end"/>
    </w:r>
    <w:r w:rsidRPr="00FF5BA7">
      <w:rPr>
        <w:rFonts w:hint="eastAsia"/>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Default="00D93CEC"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93CEC" w:rsidRDefault="00D93CEC" w:rsidP="00C03B3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D43" w:rsidRDefault="00166D43">
      <w:r>
        <w:separator/>
      </w:r>
    </w:p>
  </w:footnote>
  <w:footnote w:type="continuationSeparator" w:id="0">
    <w:p w:rsidR="00166D43" w:rsidRDefault="00166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7018D6" w:rsidRDefault="00D93CEC" w:rsidP="009D66C1">
    <w:pPr>
      <w:pStyle w:val="aa"/>
      <w:pBdr>
        <w:bottom w:val="single" w:sz="6" w:space="0" w:color="auto"/>
      </w:pBdr>
      <w:jc w:val="right"/>
    </w:pPr>
    <w:r w:rsidRPr="007018D6">
      <w:t>易方达原油证券投资基金（</w:t>
    </w:r>
    <w:r w:rsidRPr="007018D6">
      <w:t>QDII</w:t>
    </w:r>
    <w:r w:rsidRPr="007018D6">
      <w:t>）</w:t>
    </w:r>
    <w:r w:rsidRPr="007018D6">
      <w:t>2020</w:t>
    </w:r>
    <w:r w:rsidRPr="007018D6">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213"/>
    <w:rsid w:val="000019B6"/>
    <w:rsid w:val="00001B33"/>
    <w:rsid w:val="00001B39"/>
    <w:rsid w:val="00002644"/>
    <w:rsid w:val="00002FDA"/>
    <w:rsid w:val="00003577"/>
    <w:rsid w:val="0000403B"/>
    <w:rsid w:val="00004337"/>
    <w:rsid w:val="00005172"/>
    <w:rsid w:val="0000551D"/>
    <w:rsid w:val="00005911"/>
    <w:rsid w:val="00005C09"/>
    <w:rsid w:val="00005D29"/>
    <w:rsid w:val="000061CF"/>
    <w:rsid w:val="000102A7"/>
    <w:rsid w:val="00010918"/>
    <w:rsid w:val="00010A83"/>
    <w:rsid w:val="00010A8E"/>
    <w:rsid w:val="00010AC3"/>
    <w:rsid w:val="00010C1F"/>
    <w:rsid w:val="00010F11"/>
    <w:rsid w:val="00011081"/>
    <w:rsid w:val="00011EB5"/>
    <w:rsid w:val="0001280C"/>
    <w:rsid w:val="00013749"/>
    <w:rsid w:val="00013CAE"/>
    <w:rsid w:val="00015C4F"/>
    <w:rsid w:val="00015E54"/>
    <w:rsid w:val="000162AF"/>
    <w:rsid w:val="00016604"/>
    <w:rsid w:val="00016CEB"/>
    <w:rsid w:val="00016F07"/>
    <w:rsid w:val="00017581"/>
    <w:rsid w:val="0001767C"/>
    <w:rsid w:val="00020583"/>
    <w:rsid w:val="00020644"/>
    <w:rsid w:val="00021813"/>
    <w:rsid w:val="00021DD4"/>
    <w:rsid w:val="000221FE"/>
    <w:rsid w:val="00022F8F"/>
    <w:rsid w:val="00023BE7"/>
    <w:rsid w:val="00024491"/>
    <w:rsid w:val="0002453B"/>
    <w:rsid w:val="000246E6"/>
    <w:rsid w:val="00024C15"/>
    <w:rsid w:val="00024C62"/>
    <w:rsid w:val="00024CA0"/>
    <w:rsid w:val="00025106"/>
    <w:rsid w:val="00025805"/>
    <w:rsid w:val="000262B0"/>
    <w:rsid w:val="000274FE"/>
    <w:rsid w:val="000276C9"/>
    <w:rsid w:val="00027CFC"/>
    <w:rsid w:val="00027F5F"/>
    <w:rsid w:val="0003228A"/>
    <w:rsid w:val="000322D5"/>
    <w:rsid w:val="0003271C"/>
    <w:rsid w:val="000327EA"/>
    <w:rsid w:val="00032ADD"/>
    <w:rsid w:val="00032FE1"/>
    <w:rsid w:val="000331EA"/>
    <w:rsid w:val="00033E6C"/>
    <w:rsid w:val="00033EC1"/>
    <w:rsid w:val="00034BA5"/>
    <w:rsid w:val="000358FE"/>
    <w:rsid w:val="00036C37"/>
    <w:rsid w:val="00036CFB"/>
    <w:rsid w:val="00037267"/>
    <w:rsid w:val="000378BC"/>
    <w:rsid w:val="00037CF2"/>
    <w:rsid w:val="00037FCF"/>
    <w:rsid w:val="000400FF"/>
    <w:rsid w:val="0004087B"/>
    <w:rsid w:val="00040DAC"/>
    <w:rsid w:val="000415E6"/>
    <w:rsid w:val="00041BC8"/>
    <w:rsid w:val="000421B8"/>
    <w:rsid w:val="000429DF"/>
    <w:rsid w:val="00042AAD"/>
    <w:rsid w:val="000430CA"/>
    <w:rsid w:val="0004381B"/>
    <w:rsid w:val="00043ABF"/>
    <w:rsid w:val="00044158"/>
    <w:rsid w:val="000445E4"/>
    <w:rsid w:val="000471B4"/>
    <w:rsid w:val="00050260"/>
    <w:rsid w:val="0005049D"/>
    <w:rsid w:val="000510AB"/>
    <w:rsid w:val="000514E0"/>
    <w:rsid w:val="00052E9B"/>
    <w:rsid w:val="00053091"/>
    <w:rsid w:val="0005346A"/>
    <w:rsid w:val="000534CD"/>
    <w:rsid w:val="00053758"/>
    <w:rsid w:val="00053EED"/>
    <w:rsid w:val="00053F17"/>
    <w:rsid w:val="0005448A"/>
    <w:rsid w:val="00055AF1"/>
    <w:rsid w:val="00056F23"/>
    <w:rsid w:val="000573B5"/>
    <w:rsid w:val="00060423"/>
    <w:rsid w:val="00060597"/>
    <w:rsid w:val="00060A2C"/>
    <w:rsid w:val="00060CB4"/>
    <w:rsid w:val="00061167"/>
    <w:rsid w:val="00062997"/>
    <w:rsid w:val="00062D12"/>
    <w:rsid w:val="00063D34"/>
    <w:rsid w:val="00063FEA"/>
    <w:rsid w:val="000642EA"/>
    <w:rsid w:val="000643C3"/>
    <w:rsid w:val="0006475F"/>
    <w:rsid w:val="00064AE3"/>
    <w:rsid w:val="00064FC8"/>
    <w:rsid w:val="00066524"/>
    <w:rsid w:val="000671A3"/>
    <w:rsid w:val="00067CC5"/>
    <w:rsid w:val="00070CD1"/>
    <w:rsid w:val="00071022"/>
    <w:rsid w:val="000710CD"/>
    <w:rsid w:val="0007171B"/>
    <w:rsid w:val="000717A1"/>
    <w:rsid w:val="000726C0"/>
    <w:rsid w:val="00072DE0"/>
    <w:rsid w:val="00073DB1"/>
    <w:rsid w:val="00073F87"/>
    <w:rsid w:val="00076397"/>
    <w:rsid w:val="000764CB"/>
    <w:rsid w:val="00076CC5"/>
    <w:rsid w:val="000801F4"/>
    <w:rsid w:val="00080423"/>
    <w:rsid w:val="0008141B"/>
    <w:rsid w:val="00081A3D"/>
    <w:rsid w:val="00081D05"/>
    <w:rsid w:val="00082038"/>
    <w:rsid w:val="0008226A"/>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2FA"/>
    <w:rsid w:val="000908ED"/>
    <w:rsid w:val="0009091B"/>
    <w:rsid w:val="00090D5E"/>
    <w:rsid w:val="000917D5"/>
    <w:rsid w:val="000919B7"/>
    <w:rsid w:val="00093E08"/>
    <w:rsid w:val="00094876"/>
    <w:rsid w:val="000951F7"/>
    <w:rsid w:val="00095912"/>
    <w:rsid w:val="00095CE0"/>
    <w:rsid w:val="00096933"/>
    <w:rsid w:val="00096995"/>
    <w:rsid w:val="00096B18"/>
    <w:rsid w:val="00097013"/>
    <w:rsid w:val="00097230"/>
    <w:rsid w:val="000A010B"/>
    <w:rsid w:val="000A1448"/>
    <w:rsid w:val="000A1B79"/>
    <w:rsid w:val="000A1BFB"/>
    <w:rsid w:val="000A2779"/>
    <w:rsid w:val="000A3022"/>
    <w:rsid w:val="000A38DE"/>
    <w:rsid w:val="000A457E"/>
    <w:rsid w:val="000A4672"/>
    <w:rsid w:val="000A4FEF"/>
    <w:rsid w:val="000A53FD"/>
    <w:rsid w:val="000A549A"/>
    <w:rsid w:val="000A578A"/>
    <w:rsid w:val="000A6557"/>
    <w:rsid w:val="000A72F2"/>
    <w:rsid w:val="000B0C56"/>
    <w:rsid w:val="000B1EA7"/>
    <w:rsid w:val="000B2714"/>
    <w:rsid w:val="000B2B57"/>
    <w:rsid w:val="000B2C8D"/>
    <w:rsid w:val="000B36CC"/>
    <w:rsid w:val="000B3E43"/>
    <w:rsid w:val="000B417C"/>
    <w:rsid w:val="000B4365"/>
    <w:rsid w:val="000B5CC0"/>
    <w:rsid w:val="000B6328"/>
    <w:rsid w:val="000B682A"/>
    <w:rsid w:val="000B6D23"/>
    <w:rsid w:val="000C01F9"/>
    <w:rsid w:val="000C05AB"/>
    <w:rsid w:val="000C0871"/>
    <w:rsid w:val="000C0CA5"/>
    <w:rsid w:val="000C0F55"/>
    <w:rsid w:val="000C127D"/>
    <w:rsid w:val="000C15BE"/>
    <w:rsid w:val="000C1723"/>
    <w:rsid w:val="000C1B20"/>
    <w:rsid w:val="000C224F"/>
    <w:rsid w:val="000C2BDC"/>
    <w:rsid w:val="000C3FD9"/>
    <w:rsid w:val="000C4107"/>
    <w:rsid w:val="000C45E7"/>
    <w:rsid w:val="000C45F5"/>
    <w:rsid w:val="000C5E98"/>
    <w:rsid w:val="000C5F67"/>
    <w:rsid w:val="000C698D"/>
    <w:rsid w:val="000C6CCD"/>
    <w:rsid w:val="000C705C"/>
    <w:rsid w:val="000C7AE4"/>
    <w:rsid w:val="000D01F4"/>
    <w:rsid w:val="000D0B89"/>
    <w:rsid w:val="000D1497"/>
    <w:rsid w:val="000D1519"/>
    <w:rsid w:val="000D1F25"/>
    <w:rsid w:val="000D3145"/>
    <w:rsid w:val="000D36D1"/>
    <w:rsid w:val="000D4AAD"/>
    <w:rsid w:val="000D52DC"/>
    <w:rsid w:val="000D6054"/>
    <w:rsid w:val="000D619B"/>
    <w:rsid w:val="000D788B"/>
    <w:rsid w:val="000E1057"/>
    <w:rsid w:val="000E148A"/>
    <w:rsid w:val="000E28C9"/>
    <w:rsid w:val="000E34ED"/>
    <w:rsid w:val="000E4456"/>
    <w:rsid w:val="000E458D"/>
    <w:rsid w:val="000E56C3"/>
    <w:rsid w:val="000E6184"/>
    <w:rsid w:val="000E67FE"/>
    <w:rsid w:val="000E6DA9"/>
    <w:rsid w:val="000E7C24"/>
    <w:rsid w:val="000E7E16"/>
    <w:rsid w:val="000F0C0A"/>
    <w:rsid w:val="000F175F"/>
    <w:rsid w:val="000F17D1"/>
    <w:rsid w:val="000F1913"/>
    <w:rsid w:val="000F1B87"/>
    <w:rsid w:val="000F1EE4"/>
    <w:rsid w:val="000F2C75"/>
    <w:rsid w:val="000F3506"/>
    <w:rsid w:val="000F350C"/>
    <w:rsid w:val="000F3D90"/>
    <w:rsid w:val="000F4232"/>
    <w:rsid w:val="000F4DB9"/>
    <w:rsid w:val="000F593E"/>
    <w:rsid w:val="000F60F3"/>
    <w:rsid w:val="000F60FF"/>
    <w:rsid w:val="000F6198"/>
    <w:rsid w:val="000F635F"/>
    <w:rsid w:val="000F6C61"/>
    <w:rsid w:val="00100C12"/>
    <w:rsid w:val="001013A8"/>
    <w:rsid w:val="00102CC8"/>
    <w:rsid w:val="001030B5"/>
    <w:rsid w:val="0010352B"/>
    <w:rsid w:val="001049B6"/>
    <w:rsid w:val="00104A39"/>
    <w:rsid w:val="00104DE3"/>
    <w:rsid w:val="001051C6"/>
    <w:rsid w:val="00105211"/>
    <w:rsid w:val="0010577B"/>
    <w:rsid w:val="00105C9C"/>
    <w:rsid w:val="001069ED"/>
    <w:rsid w:val="00106A87"/>
    <w:rsid w:val="00106C1F"/>
    <w:rsid w:val="00107C33"/>
    <w:rsid w:val="001116BA"/>
    <w:rsid w:val="0011177A"/>
    <w:rsid w:val="0011179E"/>
    <w:rsid w:val="00111C71"/>
    <w:rsid w:val="00113B73"/>
    <w:rsid w:val="001141C0"/>
    <w:rsid w:val="001150A3"/>
    <w:rsid w:val="00115AD8"/>
    <w:rsid w:val="00116B10"/>
    <w:rsid w:val="00116E31"/>
    <w:rsid w:val="00120169"/>
    <w:rsid w:val="00120E31"/>
    <w:rsid w:val="00120EED"/>
    <w:rsid w:val="001212B4"/>
    <w:rsid w:val="00121A03"/>
    <w:rsid w:val="0012304E"/>
    <w:rsid w:val="0012380F"/>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0C28"/>
    <w:rsid w:val="00131EC2"/>
    <w:rsid w:val="0013226C"/>
    <w:rsid w:val="00132E82"/>
    <w:rsid w:val="0013374F"/>
    <w:rsid w:val="00135467"/>
    <w:rsid w:val="00136211"/>
    <w:rsid w:val="001364D3"/>
    <w:rsid w:val="001366C4"/>
    <w:rsid w:val="0013686A"/>
    <w:rsid w:val="00136BE0"/>
    <w:rsid w:val="0013718B"/>
    <w:rsid w:val="00137BB5"/>
    <w:rsid w:val="00137BB9"/>
    <w:rsid w:val="00137D50"/>
    <w:rsid w:val="00140038"/>
    <w:rsid w:val="001412CA"/>
    <w:rsid w:val="00142280"/>
    <w:rsid w:val="0014241E"/>
    <w:rsid w:val="001424C6"/>
    <w:rsid w:val="00142A56"/>
    <w:rsid w:val="001432A7"/>
    <w:rsid w:val="00143BE5"/>
    <w:rsid w:val="00144280"/>
    <w:rsid w:val="00144AAD"/>
    <w:rsid w:val="00144DF5"/>
    <w:rsid w:val="001455C7"/>
    <w:rsid w:val="00145A97"/>
    <w:rsid w:val="00145B50"/>
    <w:rsid w:val="00145CAE"/>
    <w:rsid w:val="00146485"/>
    <w:rsid w:val="0014666D"/>
    <w:rsid w:val="00146835"/>
    <w:rsid w:val="00146A28"/>
    <w:rsid w:val="00146FBA"/>
    <w:rsid w:val="00147492"/>
    <w:rsid w:val="0015080E"/>
    <w:rsid w:val="00150AD6"/>
    <w:rsid w:val="0015173F"/>
    <w:rsid w:val="00151B23"/>
    <w:rsid w:val="001529AD"/>
    <w:rsid w:val="00152B88"/>
    <w:rsid w:val="0015328C"/>
    <w:rsid w:val="001535AE"/>
    <w:rsid w:val="00153B40"/>
    <w:rsid w:val="00153B9D"/>
    <w:rsid w:val="00153BCF"/>
    <w:rsid w:val="00154ADA"/>
    <w:rsid w:val="00154B08"/>
    <w:rsid w:val="00154C44"/>
    <w:rsid w:val="0015531A"/>
    <w:rsid w:val="00155875"/>
    <w:rsid w:val="001558FD"/>
    <w:rsid w:val="00155A35"/>
    <w:rsid w:val="00157418"/>
    <w:rsid w:val="00157B5A"/>
    <w:rsid w:val="0016050B"/>
    <w:rsid w:val="00161476"/>
    <w:rsid w:val="0016380C"/>
    <w:rsid w:val="00163816"/>
    <w:rsid w:val="00163B27"/>
    <w:rsid w:val="0016425E"/>
    <w:rsid w:val="00164BF7"/>
    <w:rsid w:val="00165317"/>
    <w:rsid w:val="001657AB"/>
    <w:rsid w:val="00166D43"/>
    <w:rsid w:val="0016725E"/>
    <w:rsid w:val="0017073D"/>
    <w:rsid w:val="001707EF"/>
    <w:rsid w:val="00170D38"/>
    <w:rsid w:val="00171484"/>
    <w:rsid w:val="0017173B"/>
    <w:rsid w:val="00171BAD"/>
    <w:rsid w:val="00171F2C"/>
    <w:rsid w:val="001731C7"/>
    <w:rsid w:val="00173AF1"/>
    <w:rsid w:val="001744B4"/>
    <w:rsid w:val="001751EF"/>
    <w:rsid w:val="001756A1"/>
    <w:rsid w:val="001761EE"/>
    <w:rsid w:val="00176D47"/>
    <w:rsid w:val="00176EAA"/>
    <w:rsid w:val="00177030"/>
    <w:rsid w:val="0017725A"/>
    <w:rsid w:val="0017747A"/>
    <w:rsid w:val="00177C4B"/>
    <w:rsid w:val="00177F6A"/>
    <w:rsid w:val="00182708"/>
    <w:rsid w:val="00182A38"/>
    <w:rsid w:val="00182BB8"/>
    <w:rsid w:val="0018325A"/>
    <w:rsid w:val="00183BA8"/>
    <w:rsid w:val="00183D7A"/>
    <w:rsid w:val="00183F2D"/>
    <w:rsid w:val="00184CAE"/>
    <w:rsid w:val="00186199"/>
    <w:rsid w:val="00186F7A"/>
    <w:rsid w:val="00187CB2"/>
    <w:rsid w:val="00190AE2"/>
    <w:rsid w:val="00190E27"/>
    <w:rsid w:val="001928F7"/>
    <w:rsid w:val="00192AD3"/>
    <w:rsid w:val="00193182"/>
    <w:rsid w:val="00193575"/>
    <w:rsid w:val="0019389D"/>
    <w:rsid w:val="00193B62"/>
    <w:rsid w:val="00194537"/>
    <w:rsid w:val="00194F79"/>
    <w:rsid w:val="0019563C"/>
    <w:rsid w:val="001956CA"/>
    <w:rsid w:val="00195B79"/>
    <w:rsid w:val="00196BCF"/>
    <w:rsid w:val="00197CE2"/>
    <w:rsid w:val="001A02F4"/>
    <w:rsid w:val="001A088E"/>
    <w:rsid w:val="001A0AD5"/>
    <w:rsid w:val="001A0F4A"/>
    <w:rsid w:val="001A19C2"/>
    <w:rsid w:val="001A1B13"/>
    <w:rsid w:val="001A1D38"/>
    <w:rsid w:val="001A21A9"/>
    <w:rsid w:val="001A2A97"/>
    <w:rsid w:val="001A364F"/>
    <w:rsid w:val="001A39B7"/>
    <w:rsid w:val="001A3EE4"/>
    <w:rsid w:val="001A42FA"/>
    <w:rsid w:val="001A4AEC"/>
    <w:rsid w:val="001A5051"/>
    <w:rsid w:val="001A58FE"/>
    <w:rsid w:val="001A59D8"/>
    <w:rsid w:val="001A5FA6"/>
    <w:rsid w:val="001A644F"/>
    <w:rsid w:val="001A668F"/>
    <w:rsid w:val="001A71CC"/>
    <w:rsid w:val="001A7F30"/>
    <w:rsid w:val="001B017D"/>
    <w:rsid w:val="001B2F0C"/>
    <w:rsid w:val="001B30CA"/>
    <w:rsid w:val="001B3513"/>
    <w:rsid w:val="001B353A"/>
    <w:rsid w:val="001B3D3E"/>
    <w:rsid w:val="001B3F69"/>
    <w:rsid w:val="001B4CEC"/>
    <w:rsid w:val="001B50CD"/>
    <w:rsid w:val="001B52FE"/>
    <w:rsid w:val="001B7890"/>
    <w:rsid w:val="001C005A"/>
    <w:rsid w:val="001C00CF"/>
    <w:rsid w:val="001C0806"/>
    <w:rsid w:val="001C1110"/>
    <w:rsid w:val="001C156D"/>
    <w:rsid w:val="001C1C77"/>
    <w:rsid w:val="001C2F9C"/>
    <w:rsid w:val="001C3399"/>
    <w:rsid w:val="001C37F6"/>
    <w:rsid w:val="001C4928"/>
    <w:rsid w:val="001C4D9F"/>
    <w:rsid w:val="001C4EB6"/>
    <w:rsid w:val="001C5289"/>
    <w:rsid w:val="001C6288"/>
    <w:rsid w:val="001C67A1"/>
    <w:rsid w:val="001C7C6D"/>
    <w:rsid w:val="001C7E6F"/>
    <w:rsid w:val="001D0538"/>
    <w:rsid w:val="001D0634"/>
    <w:rsid w:val="001D0D6A"/>
    <w:rsid w:val="001D0F6A"/>
    <w:rsid w:val="001D21BC"/>
    <w:rsid w:val="001D2230"/>
    <w:rsid w:val="001D2D34"/>
    <w:rsid w:val="001D2E47"/>
    <w:rsid w:val="001D2FA5"/>
    <w:rsid w:val="001D35E0"/>
    <w:rsid w:val="001D5016"/>
    <w:rsid w:val="001D5045"/>
    <w:rsid w:val="001D5281"/>
    <w:rsid w:val="001D5494"/>
    <w:rsid w:val="001D5A44"/>
    <w:rsid w:val="001D6213"/>
    <w:rsid w:val="001D6BEF"/>
    <w:rsid w:val="001D724B"/>
    <w:rsid w:val="001D730C"/>
    <w:rsid w:val="001E03BE"/>
    <w:rsid w:val="001E07AE"/>
    <w:rsid w:val="001E09F9"/>
    <w:rsid w:val="001E0AAA"/>
    <w:rsid w:val="001E0F28"/>
    <w:rsid w:val="001E0F82"/>
    <w:rsid w:val="001E11D3"/>
    <w:rsid w:val="001E15F1"/>
    <w:rsid w:val="001E1C4F"/>
    <w:rsid w:val="001E1C7C"/>
    <w:rsid w:val="001E2332"/>
    <w:rsid w:val="001E287E"/>
    <w:rsid w:val="001E2A6A"/>
    <w:rsid w:val="001E3BB1"/>
    <w:rsid w:val="001E3DC2"/>
    <w:rsid w:val="001E49F3"/>
    <w:rsid w:val="001E56FF"/>
    <w:rsid w:val="001E5C6B"/>
    <w:rsid w:val="001E6862"/>
    <w:rsid w:val="001E6EBF"/>
    <w:rsid w:val="001F0307"/>
    <w:rsid w:val="001F03E1"/>
    <w:rsid w:val="001F0DE9"/>
    <w:rsid w:val="001F147B"/>
    <w:rsid w:val="001F221F"/>
    <w:rsid w:val="001F2246"/>
    <w:rsid w:val="001F3CC6"/>
    <w:rsid w:val="001F3F50"/>
    <w:rsid w:val="001F4530"/>
    <w:rsid w:val="001F489E"/>
    <w:rsid w:val="001F5CE2"/>
    <w:rsid w:val="001F5DBA"/>
    <w:rsid w:val="001F5DE3"/>
    <w:rsid w:val="001F5F74"/>
    <w:rsid w:val="002000DE"/>
    <w:rsid w:val="002010DE"/>
    <w:rsid w:val="00201962"/>
    <w:rsid w:val="00201B58"/>
    <w:rsid w:val="00201DDA"/>
    <w:rsid w:val="00202968"/>
    <w:rsid w:val="00202C32"/>
    <w:rsid w:val="00203940"/>
    <w:rsid w:val="00203973"/>
    <w:rsid w:val="00203AEF"/>
    <w:rsid w:val="00206D74"/>
    <w:rsid w:val="002075E2"/>
    <w:rsid w:val="00207E26"/>
    <w:rsid w:val="002116B9"/>
    <w:rsid w:val="00211A26"/>
    <w:rsid w:val="00212249"/>
    <w:rsid w:val="002125F7"/>
    <w:rsid w:val="00212901"/>
    <w:rsid w:val="00213709"/>
    <w:rsid w:val="0021397C"/>
    <w:rsid w:val="00214463"/>
    <w:rsid w:val="00214756"/>
    <w:rsid w:val="00215CF2"/>
    <w:rsid w:val="00215D9F"/>
    <w:rsid w:val="00216310"/>
    <w:rsid w:val="00216BCE"/>
    <w:rsid w:val="00216D8F"/>
    <w:rsid w:val="00217867"/>
    <w:rsid w:val="00220542"/>
    <w:rsid w:val="00220D7F"/>
    <w:rsid w:val="002210EB"/>
    <w:rsid w:val="00221174"/>
    <w:rsid w:val="00222DE3"/>
    <w:rsid w:val="002233F0"/>
    <w:rsid w:val="0022498A"/>
    <w:rsid w:val="00225756"/>
    <w:rsid w:val="00225ADC"/>
    <w:rsid w:val="00225CEB"/>
    <w:rsid w:val="0022692D"/>
    <w:rsid w:val="00227ABF"/>
    <w:rsid w:val="002318F3"/>
    <w:rsid w:val="00232443"/>
    <w:rsid w:val="00232763"/>
    <w:rsid w:val="00232F17"/>
    <w:rsid w:val="0023323F"/>
    <w:rsid w:val="00233A86"/>
    <w:rsid w:val="00234202"/>
    <w:rsid w:val="00235842"/>
    <w:rsid w:val="002359EB"/>
    <w:rsid w:val="002363AB"/>
    <w:rsid w:val="00236412"/>
    <w:rsid w:val="00236933"/>
    <w:rsid w:val="0023727B"/>
    <w:rsid w:val="00237579"/>
    <w:rsid w:val="00237675"/>
    <w:rsid w:val="00237C6D"/>
    <w:rsid w:val="0024096B"/>
    <w:rsid w:val="00241582"/>
    <w:rsid w:val="00241B45"/>
    <w:rsid w:val="00241D0E"/>
    <w:rsid w:val="002424D7"/>
    <w:rsid w:val="0024260D"/>
    <w:rsid w:val="00242657"/>
    <w:rsid w:val="002428F6"/>
    <w:rsid w:val="00242FA2"/>
    <w:rsid w:val="00243C23"/>
    <w:rsid w:val="0024402C"/>
    <w:rsid w:val="00244D4F"/>
    <w:rsid w:val="00245012"/>
    <w:rsid w:val="0024504E"/>
    <w:rsid w:val="00245761"/>
    <w:rsid w:val="00245F01"/>
    <w:rsid w:val="0024651F"/>
    <w:rsid w:val="00247729"/>
    <w:rsid w:val="0025158D"/>
    <w:rsid w:val="00251C7E"/>
    <w:rsid w:val="00251D61"/>
    <w:rsid w:val="00252697"/>
    <w:rsid w:val="0025281A"/>
    <w:rsid w:val="00253D3C"/>
    <w:rsid w:val="00254022"/>
    <w:rsid w:val="002544D7"/>
    <w:rsid w:val="00254C82"/>
    <w:rsid w:val="00255292"/>
    <w:rsid w:val="002561CC"/>
    <w:rsid w:val="002571F0"/>
    <w:rsid w:val="00257578"/>
    <w:rsid w:val="00257CCE"/>
    <w:rsid w:val="00260200"/>
    <w:rsid w:val="00260B06"/>
    <w:rsid w:val="00260BFB"/>
    <w:rsid w:val="00260DA3"/>
    <w:rsid w:val="00261D93"/>
    <w:rsid w:val="00261E92"/>
    <w:rsid w:val="00262029"/>
    <w:rsid w:val="00262553"/>
    <w:rsid w:val="002631B5"/>
    <w:rsid w:val="00263BBD"/>
    <w:rsid w:val="002648D8"/>
    <w:rsid w:val="00265AFB"/>
    <w:rsid w:val="00267EE3"/>
    <w:rsid w:val="00267F59"/>
    <w:rsid w:val="002700E9"/>
    <w:rsid w:val="00270CE9"/>
    <w:rsid w:val="002716BD"/>
    <w:rsid w:val="0027235A"/>
    <w:rsid w:val="00273CDB"/>
    <w:rsid w:val="00273F86"/>
    <w:rsid w:val="002741BE"/>
    <w:rsid w:val="002752EA"/>
    <w:rsid w:val="00275882"/>
    <w:rsid w:val="00275D56"/>
    <w:rsid w:val="00275EAD"/>
    <w:rsid w:val="00276B03"/>
    <w:rsid w:val="00276C3A"/>
    <w:rsid w:val="002773FB"/>
    <w:rsid w:val="002774F0"/>
    <w:rsid w:val="00277722"/>
    <w:rsid w:val="00280A4F"/>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5FE"/>
    <w:rsid w:val="002916E3"/>
    <w:rsid w:val="002916F1"/>
    <w:rsid w:val="00291A70"/>
    <w:rsid w:val="00291A85"/>
    <w:rsid w:val="00291F6F"/>
    <w:rsid w:val="0029379A"/>
    <w:rsid w:val="00293C97"/>
    <w:rsid w:val="002942CB"/>
    <w:rsid w:val="00294C7F"/>
    <w:rsid w:val="00294D8F"/>
    <w:rsid w:val="00295D5A"/>
    <w:rsid w:val="002964F9"/>
    <w:rsid w:val="0029690F"/>
    <w:rsid w:val="002969CC"/>
    <w:rsid w:val="00297D85"/>
    <w:rsid w:val="002A07F4"/>
    <w:rsid w:val="002A090A"/>
    <w:rsid w:val="002A0B47"/>
    <w:rsid w:val="002A1381"/>
    <w:rsid w:val="002A1C58"/>
    <w:rsid w:val="002A1F14"/>
    <w:rsid w:val="002A2678"/>
    <w:rsid w:val="002A2E01"/>
    <w:rsid w:val="002A32E5"/>
    <w:rsid w:val="002A34B9"/>
    <w:rsid w:val="002A398F"/>
    <w:rsid w:val="002A3DFD"/>
    <w:rsid w:val="002A46A7"/>
    <w:rsid w:val="002A4F2C"/>
    <w:rsid w:val="002A525F"/>
    <w:rsid w:val="002A5C6B"/>
    <w:rsid w:val="002A5D31"/>
    <w:rsid w:val="002A5E63"/>
    <w:rsid w:val="002A714F"/>
    <w:rsid w:val="002A75D7"/>
    <w:rsid w:val="002B09C0"/>
    <w:rsid w:val="002B1851"/>
    <w:rsid w:val="002B1EC9"/>
    <w:rsid w:val="002B27FF"/>
    <w:rsid w:val="002B2B42"/>
    <w:rsid w:val="002B2F4E"/>
    <w:rsid w:val="002B5C8E"/>
    <w:rsid w:val="002B6688"/>
    <w:rsid w:val="002B6793"/>
    <w:rsid w:val="002B7562"/>
    <w:rsid w:val="002B780B"/>
    <w:rsid w:val="002B7D25"/>
    <w:rsid w:val="002C03E0"/>
    <w:rsid w:val="002C1260"/>
    <w:rsid w:val="002C1726"/>
    <w:rsid w:val="002C21A6"/>
    <w:rsid w:val="002C26D5"/>
    <w:rsid w:val="002C5777"/>
    <w:rsid w:val="002C5889"/>
    <w:rsid w:val="002C5909"/>
    <w:rsid w:val="002C5B7A"/>
    <w:rsid w:val="002C65FA"/>
    <w:rsid w:val="002C661D"/>
    <w:rsid w:val="002C7C89"/>
    <w:rsid w:val="002D1A0F"/>
    <w:rsid w:val="002D1A88"/>
    <w:rsid w:val="002D22BF"/>
    <w:rsid w:val="002D237C"/>
    <w:rsid w:val="002D32E3"/>
    <w:rsid w:val="002D33F1"/>
    <w:rsid w:val="002D353D"/>
    <w:rsid w:val="002D4733"/>
    <w:rsid w:val="002D528B"/>
    <w:rsid w:val="002D52AD"/>
    <w:rsid w:val="002D58D8"/>
    <w:rsid w:val="002D5EB1"/>
    <w:rsid w:val="002D7777"/>
    <w:rsid w:val="002D77FF"/>
    <w:rsid w:val="002D7BFF"/>
    <w:rsid w:val="002E0394"/>
    <w:rsid w:val="002E0644"/>
    <w:rsid w:val="002E0FEB"/>
    <w:rsid w:val="002E171B"/>
    <w:rsid w:val="002E1BCA"/>
    <w:rsid w:val="002E204F"/>
    <w:rsid w:val="002E2625"/>
    <w:rsid w:val="002E319D"/>
    <w:rsid w:val="002E372D"/>
    <w:rsid w:val="002E3CD4"/>
    <w:rsid w:val="002E4AD5"/>
    <w:rsid w:val="002E4C2D"/>
    <w:rsid w:val="002E72C5"/>
    <w:rsid w:val="002F0F79"/>
    <w:rsid w:val="002F100F"/>
    <w:rsid w:val="002F19F9"/>
    <w:rsid w:val="002F1C9E"/>
    <w:rsid w:val="002F1EB2"/>
    <w:rsid w:val="002F2450"/>
    <w:rsid w:val="002F280E"/>
    <w:rsid w:val="002F2CBB"/>
    <w:rsid w:val="002F324A"/>
    <w:rsid w:val="002F3470"/>
    <w:rsid w:val="002F3709"/>
    <w:rsid w:val="002F3A6C"/>
    <w:rsid w:val="002F4296"/>
    <w:rsid w:val="002F5777"/>
    <w:rsid w:val="002F60EA"/>
    <w:rsid w:val="002F62F1"/>
    <w:rsid w:val="002F680E"/>
    <w:rsid w:val="002F7330"/>
    <w:rsid w:val="00300816"/>
    <w:rsid w:val="00300951"/>
    <w:rsid w:val="00300E8A"/>
    <w:rsid w:val="00301185"/>
    <w:rsid w:val="0030216B"/>
    <w:rsid w:val="003023C9"/>
    <w:rsid w:val="003029E6"/>
    <w:rsid w:val="00302CA8"/>
    <w:rsid w:val="00302DE9"/>
    <w:rsid w:val="00303EA9"/>
    <w:rsid w:val="00304860"/>
    <w:rsid w:val="00304E23"/>
    <w:rsid w:val="00305084"/>
    <w:rsid w:val="00305871"/>
    <w:rsid w:val="00305BCF"/>
    <w:rsid w:val="00306026"/>
    <w:rsid w:val="00306408"/>
    <w:rsid w:val="0030682A"/>
    <w:rsid w:val="00306B13"/>
    <w:rsid w:val="00307249"/>
    <w:rsid w:val="00307E35"/>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0DAB"/>
    <w:rsid w:val="0032160D"/>
    <w:rsid w:val="00321618"/>
    <w:rsid w:val="00321E8C"/>
    <w:rsid w:val="00321FDA"/>
    <w:rsid w:val="00322318"/>
    <w:rsid w:val="00322A86"/>
    <w:rsid w:val="00323041"/>
    <w:rsid w:val="00323AE8"/>
    <w:rsid w:val="00323B32"/>
    <w:rsid w:val="00324548"/>
    <w:rsid w:val="0032494A"/>
    <w:rsid w:val="003251F4"/>
    <w:rsid w:val="00325408"/>
    <w:rsid w:val="0032555D"/>
    <w:rsid w:val="00326927"/>
    <w:rsid w:val="003273A3"/>
    <w:rsid w:val="003277CD"/>
    <w:rsid w:val="003303E3"/>
    <w:rsid w:val="00330651"/>
    <w:rsid w:val="00331A88"/>
    <w:rsid w:val="003329EA"/>
    <w:rsid w:val="00332C6E"/>
    <w:rsid w:val="00332D73"/>
    <w:rsid w:val="0033368C"/>
    <w:rsid w:val="003338BE"/>
    <w:rsid w:val="00336AA2"/>
    <w:rsid w:val="00337271"/>
    <w:rsid w:val="00337B1B"/>
    <w:rsid w:val="00337ED3"/>
    <w:rsid w:val="003405DA"/>
    <w:rsid w:val="003407A5"/>
    <w:rsid w:val="00340CBC"/>
    <w:rsid w:val="003410A1"/>
    <w:rsid w:val="00341188"/>
    <w:rsid w:val="0034147B"/>
    <w:rsid w:val="003424CB"/>
    <w:rsid w:val="003439DB"/>
    <w:rsid w:val="00344FBE"/>
    <w:rsid w:val="00346759"/>
    <w:rsid w:val="00350238"/>
    <w:rsid w:val="00350315"/>
    <w:rsid w:val="0035109C"/>
    <w:rsid w:val="00351752"/>
    <w:rsid w:val="00351F0A"/>
    <w:rsid w:val="00352648"/>
    <w:rsid w:val="003532D4"/>
    <w:rsid w:val="00353AC6"/>
    <w:rsid w:val="00353E6B"/>
    <w:rsid w:val="003542B7"/>
    <w:rsid w:val="0035432B"/>
    <w:rsid w:val="00354765"/>
    <w:rsid w:val="00354E10"/>
    <w:rsid w:val="003574C8"/>
    <w:rsid w:val="0035753E"/>
    <w:rsid w:val="00357B15"/>
    <w:rsid w:val="00357BB3"/>
    <w:rsid w:val="003602EA"/>
    <w:rsid w:val="00360F81"/>
    <w:rsid w:val="00361E7E"/>
    <w:rsid w:val="00363564"/>
    <w:rsid w:val="003648F2"/>
    <w:rsid w:val="00364FA1"/>
    <w:rsid w:val="00366B02"/>
    <w:rsid w:val="003671F5"/>
    <w:rsid w:val="003700E2"/>
    <w:rsid w:val="00370348"/>
    <w:rsid w:val="00370AA4"/>
    <w:rsid w:val="003711F2"/>
    <w:rsid w:val="003717FC"/>
    <w:rsid w:val="00371FF4"/>
    <w:rsid w:val="003723C2"/>
    <w:rsid w:val="0037275D"/>
    <w:rsid w:val="00372797"/>
    <w:rsid w:val="003736DD"/>
    <w:rsid w:val="003745EC"/>
    <w:rsid w:val="003746F1"/>
    <w:rsid w:val="0037470E"/>
    <w:rsid w:val="00374D1B"/>
    <w:rsid w:val="00375CC4"/>
    <w:rsid w:val="00376103"/>
    <w:rsid w:val="003767B3"/>
    <w:rsid w:val="00376B49"/>
    <w:rsid w:val="00376FC5"/>
    <w:rsid w:val="003771E2"/>
    <w:rsid w:val="00377520"/>
    <w:rsid w:val="00380273"/>
    <w:rsid w:val="00380404"/>
    <w:rsid w:val="00380D36"/>
    <w:rsid w:val="00380F49"/>
    <w:rsid w:val="003819F9"/>
    <w:rsid w:val="00381AE2"/>
    <w:rsid w:val="003822D3"/>
    <w:rsid w:val="0038480C"/>
    <w:rsid w:val="00384DC9"/>
    <w:rsid w:val="0038566E"/>
    <w:rsid w:val="00385C66"/>
    <w:rsid w:val="00385EDA"/>
    <w:rsid w:val="00386630"/>
    <w:rsid w:val="00386A6C"/>
    <w:rsid w:val="00390379"/>
    <w:rsid w:val="00390741"/>
    <w:rsid w:val="003909FB"/>
    <w:rsid w:val="00390B25"/>
    <w:rsid w:val="00390DD9"/>
    <w:rsid w:val="00390DDD"/>
    <w:rsid w:val="003921B9"/>
    <w:rsid w:val="00392AE5"/>
    <w:rsid w:val="003933F1"/>
    <w:rsid w:val="003936AD"/>
    <w:rsid w:val="003937F7"/>
    <w:rsid w:val="00393A83"/>
    <w:rsid w:val="003955D3"/>
    <w:rsid w:val="00395809"/>
    <w:rsid w:val="00395CAA"/>
    <w:rsid w:val="00395F75"/>
    <w:rsid w:val="00395F76"/>
    <w:rsid w:val="00396588"/>
    <w:rsid w:val="00396863"/>
    <w:rsid w:val="00396F0A"/>
    <w:rsid w:val="00397156"/>
    <w:rsid w:val="00397960"/>
    <w:rsid w:val="00397D91"/>
    <w:rsid w:val="003A0663"/>
    <w:rsid w:val="003A10D5"/>
    <w:rsid w:val="003A1660"/>
    <w:rsid w:val="003A1FE0"/>
    <w:rsid w:val="003A2C23"/>
    <w:rsid w:val="003A3BC4"/>
    <w:rsid w:val="003A458A"/>
    <w:rsid w:val="003A551D"/>
    <w:rsid w:val="003A647F"/>
    <w:rsid w:val="003A6B26"/>
    <w:rsid w:val="003A7E6F"/>
    <w:rsid w:val="003B05F2"/>
    <w:rsid w:val="003B0F3D"/>
    <w:rsid w:val="003B2040"/>
    <w:rsid w:val="003B23CB"/>
    <w:rsid w:val="003B2F13"/>
    <w:rsid w:val="003B3353"/>
    <w:rsid w:val="003B405E"/>
    <w:rsid w:val="003B446F"/>
    <w:rsid w:val="003B4712"/>
    <w:rsid w:val="003B47EB"/>
    <w:rsid w:val="003B48BA"/>
    <w:rsid w:val="003B4F62"/>
    <w:rsid w:val="003B57D3"/>
    <w:rsid w:val="003B59CA"/>
    <w:rsid w:val="003B6067"/>
    <w:rsid w:val="003B632D"/>
    <w:rsid w:val="003B6AA4"/>
    <w:rsid w:val="003C0135"/>
    <w:rsid w:val="003C018A"/>
    <w:rsid w:val="003C05AF"/>
    <w:rsid w:val="003C08E3"/>
    <w:rsid w:val="003C09B5"/>
    <w:rsid w:val="003C0B69"/>
    <w:rsid w:val="003C0F62"/>
    <w:rsid w:val="003C1176"/>
    <w:rsid w:val="003C1D9A"/>
    <w:rsid w:val="003C1F58"/>
    <w:rsid w:val="003C3232"/>
    <w:rsid w:val="003C36E1"/>
    <w:rsid w:val="003C48B1"/>
    <w:rsid w:val="003C57A7"/>
    <w:rsid w:val="003C5C2B"/>
    <w:rsid w:val="003C6943"/>
    <w:rsid w:val="003C6BD2"/>
    <w:rsid w:val="003C7294"/>
    <w:rsid w:val="003C792F"/>
    <w:rsid w:val="003C7ABD"/>
    <w:rsid w:val="003C7B20"/>
    <w:rsid w:val="003C7C3D"/>
    <w:rsid w:val="003D08F8"/>
    <w:rsid w:val="003D124B"/>
    <w:rsid w:val="003D18F3"/>
    <w:rsid w:val="003D21FB"/>
    <w:rsid w:val="003D2CC1"/>
    <w:rsid w:val="003D33F2"/>
    <w:rsid w:val="003D3725"/>
    <w:rsid w:val="003D4FFC"/>
    <w:rsid w:val="003D51ED"/>
    <w:rsid w:val="003D535A"/>
    <w:rsid w:val="003D569B"/>
    <w:rsid w:val="003D73EF"/>
    <w:rsid w:val="003D78B5"/>
    <w:rsid w:val="003E0204"/>
    <w:rsid w:val="003E0918"/>
    <w:rsid w:val="003E099F"/>
    <w:rsid w:val="003E244F"/>
    <w:rsid w:val="003E37AE"/>
    <w:rsid w:val="003E5165"/>
    <w:rsid w:val="003E62A6"/>
    <w:rsid w:val="003E648D"/>
    <w:rsid w:val="003E6731"/>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C45"/>
    <w:rsid w:val="00400241"/>
    <w:rsid w:val="0040132C"/>
    <w:rsid w:val="0040145D"/>
    <w:rsid w:val="004016C4"/>
    <w:rsid w:val="00401D95"/>
    <w:rsid w:val="0040231A"/>
    <w:rsid w:val="00403562"/>
    <w:rsid w:val="004049BD"/>
    <w:rsid w:val="00404EB5"/>
    <w:rsid w:val="00405085"/>
    <w:rsid w:val="00405D28"/>
    <w:rsid w:val="0040629D"/>
    <w:rsid w:val="004066FC"/>
    <w:rsid w:val="00407481"/>
    <w:rsid w:val="00407753"/>
    <w:rsid w:val="00407C10"/>
    <w:rsid w:val="00407E90"/>
    <w:rsid w:val="004113B4"/>
    <w:rsid w:val="00413323"/>
    <w:rsid w:val="00413B17"/>
    <w:rsid w:val="004141C0"/>
    <w:rsid w:val="00414503"/>
    <w:rsid w:val="00414827"/>
    <w:rsid w:val="004153B3"/>
    <w:rsid w:val="00415772"/>
    <w:rsid w:val="004161F8"/>
    <w:rsid w:val="004163FD"/>
    <w:rsid w:val="0041683D"/>
    <w:rsid w:val="00416C10"/>
    <w:rsid w:val="00417976"/>
    <w:rsid w:val="00417A0E"/>
    <w:rsid w:val="0042053A"/>
    <w:rsid w:val="004213D6"/>
    <w:rsid w:val="00421425"/>
    <w:rsid w:val="00421B37"/>
    <w:rsid w:val="004222D0"/>
    <w:rsid w:val="00422440"/>
    <w:rsid w:val="00422916"/>
    <w:rsid w:val="00423BA3"/>
    <w:rsid w:val="00424213"/>
    <w:rsid w:val="00424EF3"/>
    <w:rsid w:val="0042551C"/>
    <w:rsid w:val="004267DB"/>
    <w:rsid w:val="004268BB"/>
    <w:rsid w:val="00426A4B"/>
    <w:rsid w:val="00427130"/>
    <w:rsid w:val="00427704"/>
    <w:rsid w:val="00427AA3"/>
    <w:rsid w:val="00427BFF"/>
    <w:rsid w:val="00430724"/>
    <w:rsid w:val="0043097C"/>
    <w:rsid w:val="00431047"/>
    <w:rsid w:val="00431B86"/>
    <w:rsid w:val="004322C7"/>
    <w:rsid w:val="00432E06"/>
    <w:rsid w:val="00433065"/>
    <w:rsid w:val="004332B5"/>
    <w:rsid w:val="00433EED"/>
    <w:rsid w:val="00436196"/>
    <w:rsid w:val="004375A2"/>
    <w:rsid w:val="00437C96"/>
    <w:rsid w:val="004408EC"/>
    <w:rsid w:val="004416A4"/>
    <w:rsid w:val="00441ABA"/>
    <w:rsid w:val="00441E6A"/>
    <w:rsid w:val="00442AEE"/>
    <w:rsid w:val="00443C8F"/>
    <w:rsid w:val="00444C60"/>
    <w:rsid w:val="00444E35"/>
    <w:rsid w:val="0044502D"/>
    <w:rsid w:val="00445F6B"/>
    <w:rsid w:val="0044755D"/>
    <w:rsid w:val="00447CEF"/>
    <w:rsid w:val="00447E28"/>
    <w:rsid w:val="00450BA9"/>
    <w:rsid w:val="00450F23"/>
    <w:rsid w:val="004515EB"/>
    <w:rsid w:val="0045169A"/>
    <w:rsid w:val="00452481"/>
    <w:rsid w:val="004528FA"/>
    <w:rsid w:val="00453DC8"/>
    <w:rsid w:val="00455165"/>
    <w:rsid w:val="004576F7"/>
    <w:rsid w:val="00457804"/>
    <w:rsid w:val="00460AEF"/>
    <w:rsid w:val="00460C52"/>
    <w:rsid w:val="00461108"/>
    <w:rsid w:val="0046209A"/>
    <w:rsid w:val="00462279"/>
    <w:rsid w:val="004626CD"/>
    <w:rsid w:val="00463182"/>
    <w:rsid w:val="004646BF"/>
    <w:rsid w:val="00464744"/>
    <w:rsid w:val="0046535F"/>
    <w:rsid w:val="004665A8"/>
    <w:rsid w:val="004665E3"/>
    <w:rsid w:val="0046760F"/>
    <w:rsid w:val="00471935"/>
    <w:rsid w:val="0047237D"/>
    <w:rsid w:val="00472561"/>
    <w:rsid w:val="004731F1"/>
    <w:rsid w:val="00473AE0"/>
    <w:rsid w:val="00473EB5"/>
    <w:rsid w:val="00474021"/>
    <w:rsid w:val="004743F8"/>
    <w:rsid w:val="0047456B"/>
    <w:rsid w:val="00475251"/>
    <w:rsid w:val="00475D19"/>
    <w:rsid w:val="00477400"/>
    <w:rsid w:val="0048088E"/>
    <w:rsid w:val="00480BC8"/>
    <w:rsid w:val="00481265"/>
    <w:rsid w:val="004814BF"/>
    <w:rsid w:val="00482649"/>
    <w:rsid w:val="00483630"/>
    <w:rsid w:val="004836EA"/>
    <w:rsid w:val="00483A13"/>
    <w:rsid w:val="00483F72"/>
    <w:rsid w:val="00485215"/>
    <w:rsid w:val="00485340"/>
    <w:rsid w:val="0048587E"/>
    <w:rsid w:val="00485B57"/>
    <w:rsid w:val="00486200"/>
    <w:rsid w:val="004868C8"/>
    <w:rsid w:val="00486C9C"/>
    <w:rsid w:val="00486D6A"/>
    <w:rsid w:val="00487815"/>
    <w:rsid w:val="00487830"/>
    <w:rsid w:val="00487C2B"/>
    <w:rsid w:val="004900FF"/>
    <w:rsid w:val="00490561"/>
    <w:rsid w:val="0049125B"/>
    <w:rsid w:val="004914B6"/>
    <w:rsid w:val="00491C58"/>
    <w:rsid w:val="00491FAB"/>
    <w:rsid w:val="00492081"/>
    <w:rsid w:val="0049227D"/>
    <w:rsid w:val="0049297D"/>
    <w:rsid w:val="004929F2"/>
    <w:rsid w:val="00492F1A"/>
    <w:rsid w:val="00492F5E"/>
    <w:rsid w:val="00493E9D"/>
    <w:rsid w:val="0049416C"/>
    <w:rsid w:val="00495A03"/>
    <w:rsid w:val="00495E28"/>
    <w:rsid w:val="00497079"/>
    <w:rsid w:val="00497450"/>
    <w:rsid w:val="00497F49"/>
    <w:rsid w:val="004A1135"/>
    <w:rsid w:val="004A1BBA"/>
    <w:rsid w:val="004A23C2"/>
    <w:rsid w:val="004A2F25"/>
    <w:rsid w:val="004A3336"/>
    <w:rsid w:val="004A3E3C"/>
    <w:rsid w:val="004A4069"/>
    <w:rsid w:val="004A42E5"/>
    <w:rsid w:val="004A455B"/>
    <w:rsid w:val="004A4847"/>
    <w:rsid w:val="004A484E"/>
    <w:rsid w:val="004A5562"/>
    <w:rsid w:val="004A6513"/>
    <w:rsid w:val="004A7CCE"/>
    <w:rsid w:val="004B0440"/>
    <w:rsid w:val="004B0E6D"/>
    <w:rsid w:val="004B16E8"/>
    <w:rsid w:val="004B19EA"/>
    <w:rsid w:val="004B202D"/>
    <w:rsid w:val="004B2CA5"/>
    <w:rsid w:val="004B412E"/>
    <w:rsid w:val="004B5B92"/>
    <w:rsid w:val="004B5DB7"/>
    <w:rsid w:val="004B6250"/>
    <w:rsid w:val="004B66F3"/>
    <w:rsid w:val="004B68EC"/>
    <w:rsid w:val="004B759C"/>
    <w:rsid w:val="004B76B1"/>
    <w:rsid w:val="004C0057"/>
    <w:rsid w:val="004C02E0"/>
    <w:rsid w:val="004C030A"/>
    <w:rsid w:val="004C0541"/>
    <w:rsid w:val="004C07EB"/>
    <w:rsid w:val="004C0BBF"/>
    <w:rsid w:val="004C1D08"/>
    <w:rsid w:val="004C1D55"/>
    <w:rsid w:val="004C2836"/>
    <w:rsid w:val="004C2C46"/>
    <w:rsid w:val="004C405B"/>
    <w:rsid w:val="004C47DF"/>
    <w:rsid w:val="004C54CA"/>
    <w:rsid w:val="004C686E"/>
    <w:rsid w:val="004C6CE2"/>
    <w:rsid w:val="004C7214"/>
    <w:rsid w:val="004C7235"/>
    <w:rsid w:val="004C753B"/>
    <w:rsid w:val="004C7955"/>
    <w:rsid w:val="004D0213"/>
    <w:rsid w:val="004D047F"/>
    <w:rsid w:val="004D0B63"/>
    <w:rsid w:val="004D0FA5"/>
    <w:rsid w:val="004D1529"/>
    <w:rsid w:val="004D29F1"/>
    <w:rsid w:val="004D29F3"/>
    <w:rsid w:val="004D2E04"/>
    <w:rsid w:val="004D2F51"/>
    <w:rsid w:val="004D3D96"/>
    <w:rsid w:val="004D40BB"/>
    <w:rsid w:val="004D4854"/>
    <w:rsid w:val="004D4EA1"/>
    <w:rsid w:val="004D5316"/>
    <w:rsid w:val="004D575C"/>
    <w:rsid w:val="004D650F"/>
    <w:rsid w:val="004D679F"/>
    <w:rsid w:val="004D7269"/>
    <w:rsid w:val="004D74EE"/>
    <w:rsid w:val="004D7F01"/>
    <w:rsid w:val="004E0140"/>
    <w:rsid w:val="004E08FC"/>
    <w:rsid w:val="004E0B6E"/>
    <w:rsid w:val="004E2133"/>
    <w:rsid w:val="004E2BD2"/>
    <w:rsid w:val="004E34BB"/>
    <w:rsid w:val="004E37C3"/>
    <w:rsid w:val="004E395B"/>
    <w:rsid w:val="004E3A3B"/>
    <w:rsid w:val="004E3C7D"/>
    <w:rsid w:val="004E4CD7"/>
    <w:rsid w:val="004E5EDB"/>
    <w:rsid w:val="004E60FB"/>
    <w:rsid w:val="004E73A5"/>
    <w:rsid w:val="004E758A"/>
    <w:rsid w:val="004F09DD"/>
    <w:rsid w:val="004F1C42"/>
    <w:rsid w:val="004F23CE"/>
    <w:rsid w:val="004F2C5A"/>
    <w:rsid w:val="004F3870"/>
    <w:rsid w:val="004F3E01"/>
    <w:rsid w:val="004F3E31"/>
    <w:rsid w:val="004F409E"/>
    <w:rsid w:val="004F4541"/>
    <w:rsid w:val="004F4601"/>
    <w:rsid w:val="004F779C"/>
    <w:rsid w:val="004F7846"/>
    <w:rsid w:val="005000A6"/>
    <w:rsid w:val="005000D4"/>
    <w:rsid w:val="005004EE"/>
    <w:rsid w:val="005007AB"/>
    <w:rsid w:val="0050087E"/>
    <w:rsid w:val="00500B1E"/>
    <w:rsid w:val="00500B24"/>
    <w:rsid w:val="00500C17"/>
    <w:rsid w:val="005027F4"/>
    <w:rsid w:val="005036C2"/>
    <w:rsid w:val="0050492E"/>
    <w:rsid w:val="005051C9"/>
    <w:rsid w:val="00505E48"/>
    <w:rsid w:val="00506389"/>
    <w:rsid w:val="005067F4"/>
    <w:rsid w:val="00506FF7"/>
    <w:rsid w:val="0051084C"/>
    <w:rsid w:val="00510A69"/>
    <w:rsid w:val="00510CAF"/>
    <w:rsid w:val="0051114C"/>
    <w:rsid w:val="00511597"/>
    <w:rsid w:val="0051164A"/>
    <w:rsid w:val="00511915"/>
    <w:rsid w:val="005119A4"/>
    <w:rsid w:val="00511AC6"/>
    <w:rsid w:val="00511FD1"/>
    <w:rsid w:val="00512235"/>
    <w:rsid w:val="005128C5"/>
    <w:rsid w:val="00512905"/>
    <w:rsid w:val="00512D8B"/>
    <w:rsid w:val="00512E85"/>
    <w:rsid w:val="005136C7"/>
    <w:rsid w:val="0051478B"/>
    <w:rsid w:val="00514C1C"/>
    <w:rsid w:val="0051524F"/>
    <w:rsid w:val="0051559D"/>
    <w:rsid w:val="0051566A"/>
    <w:rsid w:val="00515D7B"/>
    <w:rsid w:val="00515DD8"/>
    <w:rsid w:val="005166E9"/>
    <w:rsid w:val="00516C92"/>
    <w:rsid w:val="00517917"/>
    <w:rsid w:val="0052009E"/>
    <w:rsid w:val="005200F7"/>
    <w:rsid w:val="00520AB5"/>
    <w:rsid w:val="00520D7F"/>
    <w:rsid w:val="00521596"/>
    <w:rsid w:val="00522066"/>
    <w:rsid w:val="005222FA"/>
    <w:rsid w:val="005247B4"/>
    <w:rsid w:val="00525059"/>
    <w:rsid w:val="00525740"/>
    <w:rsid w:val="00525E59"/>
    <w:rsid w:val="005278EE"/>
    <w:rsid w:val="00530A21"/>
    <w:rsid w:val="005310DD"/>
    <w:rsid w:val="00531851"/>
    <w:rsid w:val="005318CC"/>
    <w:rsid w:val="0053199E"/>
    <w:rsid w:val="00531D65"/>
    <w:rsid w:val="005321E1"/>
    <w:rsid w:val="00532255"/>
    <w:rsid w:val="00532FAE"/>
    <w:rsid w:val="005334E4"/>
    <w:rsid w:val="005349B1"/>
    <w:rsid w:val="00535AA4"/>
    <w:rsid w:val="00535DA3"/>
    <w:rsid w:val="005364A6"/>
    <w:rsid w:val="005364AE"/>
    <w:rsid w:val="0053652C"/>
    <w:rsid w:val="0053659B"/>
    <w:rsid w:val="005368A0"/>
    <w:rsid w:val="005374BC"/>
    <w:rsid w:val="0054069B"/>
    <w:rsid w:val="00540EC2"/>
    <w:rsid w:val="0054101E"/>
    <w:rsid w:val="005427DC"/>
    <w:rsid w:val="00543177"/>
    <w:rsid w:val="00543188"/>
    <w:rsid w:val="005432F0"/>
    <w:rsid w:val="00543367"/>
    <w:rsid w:val="00543741"/>
    <w:rsid w:val="0054384E"/>
    <w:rsid w:val="00543BFA"/>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3C4"/>
    <w:rsid w:val="005558FA"/>
    <w:rsid w:val="0055637C"/>
    <w:rsid w:val="00556B00"/>
    <w:rsid w:val="0055753F"/>
    <w:rsid w:val="00557618"/>
    <w:rsid w:val="00557782"/>
    <w:rsid w:val="00560866"/>
    <w:rsid w:val="00560C90"/>
    <w:rsid w:val="00560C94"/>
    <w:rsid w:val="00560FD5"/>
    <w:rsid w:val="0056101E"/>
    <w:rsid w:val="00561C0A"/>
    <w:rsid w:val="00562765"/>
    <w:rsid w:val="0056283B"/>
    <w:rsid w:val="0056291C"/>
    <w:rsid w:val="00563E82"/>
    <w:rsid w:val="00564289"/>
    <w:rsid w:val="005643FD"/>
    <w:rsid w:val="005646BB"/>
    <w:rsid w:val="005647F9"/>
    <w:rsid w:val="00564B19"/>
    <w:rsid w:val="00564C4B"/>
    <w:rsid w:val="0056586F"/>
    <w:rsid w:val="00565A63"/>
    <w:rsid w:val="00566588"/>
    <w:rsid w:val="0056662E"/>
    <w:rsid w:val="00566A26"/>
    <w:rsid w:val="00566F23"/>
    <w:rsid w:val="00566F6B"/>
    <w:rsid w:val="00567012"/>
    <w:rsid w:val="00567BA7"/>
    <w:rsid w:val="00567EA5"/>
    <w:rsid w:val="0057004B"/>
    <w:rsid w:val="00570514"/>
    <w:rsid w:val="005705B3"/>
    <w:rsid w:val="00571111"/>
    <w:rsid w:val="00571A41"/>
    <w:rsid w:val="0057216B"/>
    <w:rsid w:val="005721D0"/>
    <w:rsid w:val="0057275D"/>
    <w:rsid w:val="00572919"/>
    <w:rsid w:val="00572C41"/>
    <w:rsid w:val="0057329C"/>
    <w:rsid w:val="00573AD5"/>
    <w:rsid w:val="00573D1A"/>
    <w:rsid w:val="00574103"/>
    <w:rsid w:val="00574DA2"/>
    <w:rsid w:val="00575B68"/>
    <w:rsid w:val="00575DA6"/>
    <w:rsid w:val="00576423"/>
    <w:rsid w:val="00577104"/>
    <w:rsid w:val="0057737F"/>
    <w:rsid w:val="005800A9"/>
    <w:rsid w:val="00580488"/>
    <w:rsid w:val="005805A0"/>
    <w:rsid w:val="0058074D"/>
    <w:rsid w:val="00580FD1"/>
    <w:rsid w:val="00581A62"/>
    <w:rsid w:val="00582FAD"/>
    <w:rsid w:val="00583489"/>
    <w:rsid w:val="0058391F"/>
    <w:rsid w:val="00583A80"/>
    <w:rsid w:val="00584188"/>
    <w:rsid w:val="00584E33"/>
    <w:rsid w:val="00585432"/>
    <w:rsid w:val="00585AD4"/>
    <w:rsid w:val="00585E5C"/>
    <w:rsid w:val="00586819"/>
    <w:rsid w:val="00586E9A"/>
    <w:rsid w:val="00587419"/>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742"/>
    <w:rsid w:val="005A19CD"/>
    <w:rsid w:val="005A1C30"/>
    <w:rsid w:val="005A1CC6"/>
    <w:rsid w:val="005A31C9"/>
    <w:rsid w:val="005A3295"/>
    <w:rsid w:val="005A46FF"/>
    <w:rsid w:val="005A4AFF"/>
    <w:rsid w:val="005A65F0"/>
    <w:rsid w:val="005A7758"/>
    <w:rsid w:val="005A7B0E"/>
    <w:rsid w:val="005A7DB8"/>
    <w:rsid w:val="005B011E"/>
    <w:rsid w:val="005B028B"/>
    <w:rsid w:val="005B0764"/>
    <w:rsid w:val="005B2E84"/>
    <w:rsid w:val="005B352F"/>
    <w:rsid w:val="005B36DA"/>
    <w:rsid w:val="005B3E66"/>
    <w:rsid w:val="005B3FE8"/>
    <w:rsid w:val="005B436C"/>
    <w:rsid w:val="005B477E"/>
    <w:rsid w:val="005B4F97"/>
    <w:rsid w:val="005B50B0"/>
    <w:rsid w:val="005B52A4"/>
    <w:rsid w:val="005B5CA4"/>
    <w:rsid w:val="005B6E01"/>
    <w:rsid w:val="005B7476"/>
    <w:rsid w:val="005B7688"/>
    <w:rsid w:val="005B7849"/>
    <w:rsid w:val="005B7B0E"/>
    <w:rsid w:val="005C0DFA"/>
    <w:rsid w:val="005C0FF0"/>
    <w:rsid w:val="005C219B"/>
    <w:rsid w:val="005C3575"/>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0B95"/>
    <w:rsid w:val="005D15AE"/>
    <w:rsid w:val="005D1A7B"/>
    <w:rsid w:val="005D1EDD"/>
    <w:rsid w:val="005D456F"/>
    <w:rsid w:val="005D45B3"/>
    <w:rsid w:val="005D4AB3"/>
    <w:rsid w:val="005D4CEB"/>
    <w:rsid w:val="005D5344"/>
    <w:rsid w:val="005D5DA8"/>
    <w:rsid w:val="005D61EB"/>
    <w:rsid w:val="005E0AE0"/>
    <w:rsid w:val="005E518C"/>
    <w:rsid w:val="005E5F9A"/>
    <w:rsid w:val="005E6628"/>
    <w:rsid w:val="005E77F2"/>
    <w:rsid w:val="005F02B8"/>
    <w:rsid w:val="005F043C"/>
    <w:rsid w:val="005F0444"/>
    <w:rsid w:val="005F04E6"/>
    <w:rsid w:val="005F1138"/>
    <w:rsid w:val="005F13C8"/>
    <w:rsid w:val="005F17EC"/>
    <w:rsid w:val="005F1C2F"/>
    <w:rsid w:val="005F2F3F"/>
    <w:rsid w:val="005F39D5"/>
    <w:rsid w:val="005F3AB5"/>
    <w:rsid w:val="005F3E05"/>
    <w:rsid w:val="005F3E08"/>
    <w:rsid w:val="005F43B9"/>
    <w:rsid w:val="005F4BBF"/>
    <w:rsid w:val="005F55D6"/>
    <w:rsid w:val="005F5CA9"/>
    <w:rsid w:val="005F68CB"/>
    <w:rsid w:val="005F6BDE"/>
    <w:rsid w:val="005F7C62"/>
    <w:rsid w:val="005F7EF1"/>
    <w:rsid w:val="005F7F90"/>
    <w:rsid w:val="00600242"/>
    <w:rsid w:val="00601974"/>
    <w:rsid w:val="00602652"/>
    <w:rsid w:val="00602B51"/>
    <w:rsid w:val="006033E3"/>
    <w:rsid w:val="00605FC7"/>
    <w:rsid w:val="00606218"/>
    <w:rsid w:val="00606CA3"/>
    <w:rsid w:val="00606E91"/>
    <w:rsid w:val="00607018"/>
    <w:rsid w:val="006077ED"/>
    <w:rsid w:val="00607C5F"/>
    <w:rsid w:val="00610954"/>
    <w:rsid w:val="00610CBE"/>
    <w:rsid w:val="00610E1F"/>
    <w:rsid w:val="0061321C"/>
    <w:rsid w:val="00614C5C"/>
    <w:rsid w:val="00614CA1"/>
    <w:rsid w:val="00615C2C"/>
    <w:rsid w:val="00616D42"/>
    <w:rsid w:val="00617297"/>
    <w:rsid w:val="0062038A"/>
    <w:rsid w:val="006203A8"/>
    <w:rsid w:val="00620E59"/>
    <w:rsid w:val="00621132"/>
    <w:rsid w:val="00622656"/>
    <w:rsid w:val="00622A77"/>
    <w:rsid w:val="00622C05"/>
    <w:rsid w:val="0062386E"/>
    <w:rsid w:val="00623D9A"/>
    <w:rsid w:val="00623F01"/>
    <w:rsid w:val="006242FB"/>
    <w:rsid w:val="00624738"/>
    <w:rsid w:val="0062670B"/>
    <w:rsid w:val="00626E2D"/>
    <w:rsid w:val="006272DE"/>
    <w:rsid w:val="00627A55"/>
    <w:rsid w:val="00627D94"/>
    <w:rsid w:val="00630490"/>
    <w:rsid w:val="006304D3"/>
    <w:rsid w:val="00630A33"/>
    <w:rsid w:val="00630AB9"/>
    <w:rsid w:val="00630B42"/>
    <w:rsid w:val="006310FC"/>
    <w:rsid w:val="006313B1"/>
    <w:rsid w:val="00631688"/>
    <w:rsid w:val="006316A4"/>
    <w:rsid w:val="006320D8"/>
    <w:rsid w:val="00632540"/>
    <w:rsid w:val="00632E88"/>
    <w:rsid w:val="0063454C"/>
    <w:rsid w:val="00634DBB"/>
    <w:rsid w:val="00635744"/>
    <w:rsid w:val="00635EA5"/>
    <w:rsid w:val="00637C26"/>
    <w:rsid w:val="00640732"/>
    <w:rsid w:val="006413B3"/>
    <w:rsid w:val="0064185E"/>
    <w:rsid w:val="00642072"/>
    <w:rsid w:val="00642088"/>
    <w:rsid w:val="00643DBD"/>
    <w:rsid w:val="006440ED"/>
    <w:rsid w:val="0064467C"/>
    <w:rsid w:val="00644F1E"/>
    <w:rsid w:val="00645213"/>
    <w:rsid w:val="00645293"/>
    <w:rsid w:val="006468CB"/>
    <w:rsid w:val="006469D9"/>
    <w:rsid w:val="00646CF8"/>
    <w:rsid w:val="00650A2D"/>
    <w:rsid w:val="00651B78"/>
    <w:rsid w:val="00652263"/>
    <w:rsid w:val="0065238F"/>
    <w:rsid w:val="00652881"/>
    <w:rsid w:val="00652985"/>
    <w:rsid w:val="006533AE"/>
    <w:rsid w:val="00653C38"/>
    <w:rsid w:val="006551AE"/>
    <w:rsid w:val="00657424"/>
    <w:rsid w:val="00661974"/>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2C9E"/>
    <w:rsid w:val="0067307E"/>
    <w:rsid w:val="0067333F"/>
    <w:rsid w:val="006739C0"/>
    <w:rsid w:val="00673F6D"/>
    <w:rsid w:val="00674850"/>
    <w:rsid w:val="00675116"/>
    <w:rsid w:val="00675D03"/>
    <w:rsid w:val="00676016"/>
    <w:rsid w:val="00676462"/>
    <w:rsid w:val="00676EA7"/>
    <w:rsid w:val="006805DF"/>
    <w:rsid w:val="00681B97"/>
    <w:rsid w:val="00682EC2"/>
    <w:rsid w:val="00683F61"/>
    <w:rsid w:val="00686A36"/>
    <w:rsid w:val="00687AD5"/>
    <w:rsid w:val="00687FBD"/>
    <w:rsid w:val="0069211A"/>
    <w:rsid w:val="00692775"/>
    <w:rsid w:val="00692B81"/>
    <w:rsid w:val="00692C4F"/>
    <w:rsid w:val="00693B90"/>
    <w:rsid w:val="00693F2C"/>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28BF"/>
    <w:rsid w:val="006A2EA3"/>
    <w:rsid w:val="006A303F"/>
    <w:rsid w:val="006A3CC1"/>
    <w:rsid w:val="006A3F9D"/>
    <w:rsid w:val="006A4899"/>
    <w:rsid w:val="006A62E1"/>
    <w:rsid w:val="006A6566"/>
    <w:rsid w:val="006A72C6"/>
    <w:rsid w:val="006A7310"/>
    <w:rsid w:val="006B02DA"/>
    <w:rsid w:val="006B08FB"/>
    <w:rsid w:val="006B0A5A"/>
    <w:rsid w:val="006B14BF"/>
    <w:rsid w:val="006B2065"/>
    <w:rsid w:val="006B275B"/>
    <w:rsid w:val="006B2D79"/>
    <w:rsid w:val="006B2F8B"/>
    <w:rsid w:val="006B30BF"/>
    <w:rsid w:val="006B38C6"/>
    <w:rsid w:val="006B3940"/>
    <w:rsid w:val="006B45A6"/>
    <w:rsid w:val="006B47D3"/>
    <w:rsid w:val="006B62F0"/>
    <w:rsid w:val="006B6C6B"/>
    <w:rsid w:val="006C09B6"/>
    <w:rsid w:val="006C111B"/>
    <w:rsid w:val="006C168D"/>
    <w:rsid w:val="006C2BF5"/>
    <w:rsid w:val="006C48EF"/>
    <w:rsid w:val="006C4A40"/>
    <w:rsid w:val="006C4E56"/>
    <w:rsid w:val="006C5CE0"/>
    <w:rsid w:val="006C5E49"/>
    <w:rsid w:val="006C5EDB"/>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B4D"/>
    <w:rsid w:val="006D41EF"/>
    <w:rsid w:val="006D53AA"/>
    <w:rsid w:val="006D6993"/>
    <w:rsid w:val="006D70F0"/>
    <w:rsid w:val="006D78AA"/>
    <w:rsid w:val="006E0D09"/>
    <w:rsid w:val="006E1F1D"/>
    <w:rsid w:val="006E241F"/>
    <w:rsid w:val="006E24EE"/>
    <w:rsid w:val="006E25BD"/>
    <w:rsid w:val="006E3379"/>
    <w:rsid w:val="006E34B7"/>
    <w:rsid w:val="006E36B8"/>
    <w:rsid w:val="006E3874"/>
    <w:rsid w:val="006E5585"/>
    <w:rsid w:val="006E5842"/>
    <w:rsid w:val="006E59EA"/>
    <w:rsid w:val="006E5BAC"/>
    <w:rsid w:val="006E5E32"/>
    <w:rsid w:val="006E62D5"/>
    <w:rsid w:val="006E633A"/>
    <w:rsid w:val="006E6A14"/>
    <w:rsid w:val="006E6B16"/>
    <w:rsid w:val="006E6DE8"/>
    <w:rsid w:val="006E780C"/>
    <w:rsid w:val="006F0823"/>
    <w:rsid w:val="006F0BA7"/>
    <w:rsid w:val="006F0EB9"/>
    <w:rsid w:val="006F0F01"/>
    <w:rsid w:val="006F174D"/>
    <w:rsid w:val="006F1F41"/>
    <w:rsid w:val="006F3222"/>
    <w:rsid w:val="006F32EF"/>
    <w:rsid w:val="006F3615"/>
    <w:rsid w:val="006F3788"/>
    <w:rsid w:val="006F3C54"/>
    <w:rsid w:val="006F4CD8"/>
    <w:rsid w:val="006F53D9"/>
    <w:rsid w:val="006F5812"/>
    <w:rsid w:val="006F609A"/>
    <w:rsid w:val="006F6E7A"/>
    <w:rsid w:val="006F7FDA"/>
    <w:rsid w:val="007004DC"/>
    <w:rsid w:val="00701093"/>
    <w:rsid w:val="007018D6"/>
    <w:rsid w:val="007022C4"/>
    <w:rsid w:val="007026E9"/>
    <w:rsid w:val="00703C8B"/>
    <w:rsid w:val="00703E8A"/>
    <w:rsid w:val="00704372"/>
    <w:rsid w:val="00704F60"/>
    <w:rsid w:val="00706045"/>
    <w:rsid w:val="00706EA3"/>
    <w:rsid w:val="007078BE"/>
    <w:rsid w:val="00710BF6"/>
    <w:rsid w:val="00711522"/>
    <w:rsid w:val="007118A6"/>
    <w:rsid w:val="007124FE"/>
    <w:rsid w:val="00712533"/>
    <w:rsid w:val="00713186"/>
    <w:rsid w:val="00713757"/>
    <w:rsid w:val="00713758"/>
    <w:rsid w:val="007137D8"/>
    <w:rsid w:val="00714064"/>
    <w:rsid w:val="00715517"/>
    <w:rsid w:val="00716A38"/>
    <w:rsid w:val="00717772"/>
    <w:rsid w:val="00717BDC"/>
    <w:rsid w:val="007200E5"/>
    <w:rsid w:val="00720622"/>
    <w:rsid w:val="00720C17"/>
    <w:rsid w:val="00721AF1"/>
    <w:rsid w:val="0072280F"/>
    <w:rsid w:val="00722B5E"/>
    <w:rsid w:val="007230F1"/>
    <w:rsid w:val="007235F5"/>
    <w:rsid w:val="00723B2C"/>
    <w:rsid w:val="007253CC"/>
    <w:rsid w:val="00725668"/>
    <w:rsid w:val="00726F5A"/>
    <w:rsid w:val="0072708F"/>
    <w:rsid w:val="00730172"/>
    <w:rsid w:val="00730E81"/>
    <w:rsid w:val="00731000"/>
    <w:rsid w:val="00731204"/>
    <w:rsid w:val="007319BC"/>
    <w:rsid w:val="0073222B"/>
    <w:rsid w:val="00732582"/>
    <w:rsid w:val="00732D1D"/>
    <w:rsid w:val="00732F5C"/>
    <w:rsid w:val="007332C4"/>
    <w:rsid w:val="00733C68"/>
    <w:rsid w:val="00734381"/>
    <w:rsid w:val="00735EAA"/>
    <w:rsid w:val="00736034"/>
    <w:rsid w:val="0073681C"/>
    <w:rsid w:val="0073725B"/>
    <w:rsid w:val="00737E96"/>
    <w:rsid w:val="00740189"/>
    <w:rsid w:val="0074033C"/>
    <w:rsid w:val="0074050E"/>
    <w:rsid w:val="0074065B"/>
    <w:rsid w:val="00740B66"/>
    <w:rsid w:val="00741AF8"/>
    <w:rsid w:val="00741EBE"/>
    <w:rsid w:val="00742112"/>
    <w:rsid w:val="00742181"/>
    <w:rsid w:val="00742218"/>
    <w:rsid w:val="007424EC"/>
    <w:rsid w:val="00742728"/>
    <w:rsid w:val="00742AB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2144"/>
    <w:rsid w:val="0076230F"/>
    <w:rsid w:val="00762ABF"/>
    <w:rsid w:val="00762C75"/>
    <w:rsid w:val="00762F29"/>
    <w:rsid w:val="00764A94"/>
    <w:rsid w:val="00764B26"/>
    <w:rsid w:val="00764EA6"/>
    <w:rsid w:val="0076511D"/>
    <w:rsid w:val="007651A9"/>
    <w:rsid w:val="007651E5"/>
    <w:rsid w:val="0076524F"/>
    <w:rsid w:val="00765584"/>
    <w:rsid w:val="007665B2"/>
    <w:rsid w:val="00766B12"/>
    <w:rsid w:val="007670DC"/>
    <w:rsid w:val="00767356"/>
    <w:rsid w:val="00770F2A"/>
    <w:rsid w:val="0077111A"/>
    <w:rsid w:val="00771F95"/>
    <w:rsid w:val="0077213A"/>
    <w:rsid w:val="007721E2"/>
    <w:rsid w:val="00772272"/>
    <w:rsid w:val="0077369F"/>
    <w:rsid w:val="0077463A"/>
    <w:rsid w:val="00774AB3"/>
    <w:rsid w:val="00774D0F"/>
    <w:rsid w:val="00774D7B"/>
    <w:rsid w:val="007756ED"/>
    <w:rsid w:val="0077589D"/>
    <w:rsid w:val="0077617F"/>
    <w:rsid w:val="00776A3D"/>
    <w:rsid w:val="0077707A"/>
    <w:rsid w:val="007776BF"/>
    <w:rsid w:val="00780B65"/>
    <w:rsid w:val="007819A1"/>
    <w:rsid w:val="00782B2A"/>
    <w:rsid w:val="00783BA5"/>
    <w:rsid w:val="00784F9E"/>
    <w:rsid w:val="0078533C"/>
    <w:rsid w:val="007857FB"/>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214"/>
    <w:rsid w:val="007A5357"/>
    <w:rsid w:val="007A59B8"/>
    <w:rsid w:val="007A65AF"/>
    <w:rsid w:val="007A7682"/>
    <w:rsid w:val="007A7F38"/>
    <w:rsid w:val="007A7F42"/>
    <w:rsid w:val="007B0E14"/>
    <w:rsid w:val="007B2862"/>
    <w:rsid w:val="007B2FD8"/>
    <w:rsid w:val="007B3968"/>
    <w:rsid w:val="007B3B0A"/>
    <w:rsid w:val="007B45AF"/>
    <w:rsid w:val="007B4DD0"/>
    <w:rsid w:val="007B611E"/>
    <w:rsid w:val="007B662A"/>
    <w:rsid w:val="007B684F"/>
    <w:rsid w:val="007B6A73"/>
    <w:rsid w:val="007B71DC"/>
    <w:rsid w:val="007B758B"/>
    <w:rsid w:val="007B7743"/>
    <w:rsid w:val="007C04F4"/>
    <w:rsid w:val="007C0CFB"/>
    <w:rsid w:val="007C2139"/>
    <w:rsid w:val="007C27DE"/>
    <w:rsid w:val="007C299E"/>
    <w:rsid w:val="007C2DFD"/>
    <w:rsid w:val="007C3C64"/>
    <w:rsid w:val="007C3F97"/>
    <w:rsid w:val="007C525F"/>
    <w:rsid w:val="007C5321"/>
    <w:rsid w:val="007C5E8A"/>
    <w:rsid w:val="007C5F4B"/>
    <w:rsid w:val="007C6AAB"/>
    <w:rsid w:val="007C6DDF"/>
    <w:rsid w:val="007C6EA8"/>
    <w:rsid w:val="007C7B84"/>
    <w:rsid w:val="007C7E09"/>
    <w:rsid w:val="007D1FE9"/>
    <w:rsid w:val="007D28C9"/>
    <w:rsid w:val="007D3009"/>
    <w:rsid w:val="007D326B"/>
    <w:rsid w:val="007D38F0"/>
    <w:rsid w:val="007D3CC8"/>
    <w:rsid w:val="007D430A"/>
    <w:rsid w:val="007D47FB"/>
    <w:rsid w:val="007D4DD3"/>
    <w:rsid w:val="007D4F6E"/>
    <w:rsid w:val="007D5362"/>
    <w:rsid w:val="007D576A"/>
    <w:rsid w:val="007D5AA3"/>
    <w:rsid w:val="007D62F9"/>
    <w:rsid w:val="007D63A4"/>
    <w:rsid w:val="007D6542"/>
    <w:rsid w:val="007D7313"/>
    <w:rsid w:val="007E1AA2"/>
    <w:rsid w:val="007E1EE3"/>
    <w:rsid w:val="007E1F2C"/>
    <w:rsid w:val="007E2429"/>
    <w:rsid w:val="007E2793"/>
    <w:rsid w:val="007E279D"/>
    <w:rsid w:val="007E2D69"/>
    <w:rsid w:val="007E3B9A"/>
    <w:rsid w:val="007E46E8"/>
    <w:rsid w:val="007E470F"/>
    <w:rsid w:val="007E4C1F"/>
    <w:rsid w:val="007E500F"/>
    <w:rsid w:val="007E55C0"/>
    <w:rsid w:val="007F01DE"/>
    <w:rsid w:val="007F0759"/>
    <w:rsid w:val="007F0BCC"/>
    <w:rsid w:val="007F0D5B"/>
    <w:rsid w:val="007F156E"/>
    <w:rsid w:val="007F1C97"/>
    <w:rsid w:val="007F1CF3"/>
    <w:rsid w:val="007F25C0"/>
    <w:rsid w:val="007F30BB"/>
    <w:rsid w:val="007F3368"/>
    <w:rsid w:val="007F3D6A"/>
    <w:rsid w:val="007F4C96"/>
    <w:rsid w:val="007F5F52"/>
    <w:rsid w:val="007F672A"/>
    <w:rsid w:val="007F6A1D"/>
    <w:rsid w:val="007F6A4B"/>
    <w:rsid w:val="007F77C6"/>
    <w:rsid w:val="007F79D4"/>
    <w:rsid w:val="008003A1"/>
    <w:rsid w:val="008006B7"/>
    <w:rsid w:val="00800FDB"/>
    <w:rsid w:val="00802081"/>
    <w:rsid w:val="008020F6"/>
    <w:rsid w:val="0080298E"/>
    <w:rsid w:val="00802F04"/>
    <w:rsid w:val="00803833"/>
    <w:rsid w:val="00804316"/>
    <w:rsid w:val="008044F8"/>
    <w:rsid w:val="00804B55"/>
    <w:rsid w:val="008050BC"/>
    <w:rsid w:val="00805D3E"/>
    <w:rsid w:val="00806461"/>
    <w:rsid w:val="008064C1"/>
    <w:rsid w:val="00806635"/>
    <w:rsid w:val="0081096D"/>
    <w:rsid w:val="00810EAD"/>
    <w:rsid w:val="00811833"/>
    <w:rsid w:val="008134C7"/>
    <w:rsid w:val="00814BDE"/>
    <w:rsid w:val="00814DBC"/>
    <w:rsid w:val="008159A9"/>
    <w:rsid w:val="008174D4"/>
    <w:rsid w:val="0082002E"/>
    <w:rsid w:val="0082083C"/>
    <w:rsid w:val="00820C54"/>
    <w:rsid w:val="00820F37"/>
    <w:rsid w:val="00820FE6"/>
    <w:rsid w:val="00821A66"/>
    <w:rsid w:val="00822476"/>
    <w:rsid w:val="008227FB"/>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1CAC"/>
    <w:rsid w:val="008320ED"/>
    <w:rsid w:val="00832A0F"/>
    <w:rsid w:val="008353D5"/>
    <w:rsid w:val="00835408"/>
    <w:rsid w:val="008358A2"/>
    <w:rsid w:val="008359DA"/>
    <w:rsid w:val="00837CEF"/>
    <w:rsid w:val="00837E2F"/>
    <w:rsid w:val="00840035"/>
    <w:rsid w:val="00842661"/>
    <w:rsid w:val="008428A9"/>
    <w:rsid w:val="00842D1E"/>
    <w:rsid w:val="00844112"/>
    <w:rsid w:val="008444D6"/>
    <w:rsid w:val="008456C9"/>
    <w:rsid w:val="00845CE1"/>
    <w:rsid w:val="0084611D"/>
    <w:rsid w:val="00846177"/>
    <w:rsid w:val="008462E0"/>
    <w:rsid w:val="0084654D"/>
    <w:rsid w:val="00846C9F"/>
    <w:rsid w:val="00847BD6"/>
    <w:rsid w:val="00850137"/>
    <w:rsid w:val="00850C62"/>
    <w:rsid w:val="00852B48"/>
    <w:rsid w:val="0085474D"/>
    <w:rsid w:val="008550E7"/>
    <w:rsid w:val="00856481"/>
    <w:rsid w:val="00856484"/>
    <w:rsid w:val="008567A2"/>
    <w:rsid w:val="00856E6C"/>
    <w:rsid w:val="008578A7"/>
    <w:rsid w:val="00857DE1"/>
    <w:rsid w:val="00860793"/>
    <w:rsid w:val="00862636"/>
    <w:rsid w:val="00863011"/>
    <w:rsid w:val="0086340E"/>
    <w:rsid w:val="00863C5B"/>
    <w:rsid w:val="00863D2E"/>
    <w:rsid w:val="00864E32"/>
    <w:rsid w:val="00865075"/>
    <w:rsid w:val="00865B2B"/>
    <w:rsid w:val="00865E2D"/>
    <w:rsid w:val="0086615F"/>
    <w:rsid w:val="0086748F"/>
    <w:rsid w:val="00870FBB"/>
    <w:rsid w:val="00871A0D"/>
    <w:rsid w:val="00871B95"/>
    <w:rsid w:val="008720A7"/>
    <w:rsid w:val="00872757"/>
    <w:rsid w:val="00872CE4"/>
    <w:rsid w:val="0087359D"/>
    <w:rsid w:val="0087391D"/>
    <w:rsid w:val="00873AA4"/>
    <w:rsid w:val="00873CA8"/>
    <w:rsid w:val="00873F3E"/>
    <w:rsid w:val="00873F5D"/>
    <w:rsid w:val="0087507A"/>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0FFF"/>
    <w:rsid w:val="0089214A"/>
    <w:rsid w:val="00892226"/>
    <w:rsid w:val="008922FA"/>
    <w:rsid w:val="00892D3E"/>
    <w:rsid w:val="008936DC"/>
    <w:rsid w:val="00893784"/>
    <w:rsid w:val="00893E53"/>
    <w:rsid w:val="008945EB"/>
    <w:rsid w:val="00894C2A"/>
    <w:rsid w:val="008964A8"/>
    <w:rsid w:val="0089690B"/>
    <w:rsid w:val="00896A5F"/>
    <w:rsid w:val="0089728F"/>
    <w:rsid w:val="008976C0"/>
    <w:rsid w:val="00897708"/>
    <w:rsid w:val="00897D88"/>
    <w:rsid w:val="008A14C7"/>
    <w:rsid w:val="008A17AF"/>
    <w:rsid w:val="008A1F98"/>
    <w:rsid w:val="008A2C65"/>
    <w:rsid w:val="008A2F16"/>
    <w:rsid w:val="008A36AE"/>
    <w:rsid w:val="008A3B1C"/>
    <w:rsid w:val="008A48C3"/>
    <w:rsid w:val="008A4E18"/>
    <w:rsid w:val="008A520C"/>
    <w:rsid w:val="008A5493"/>
    <w:rsid w:val="008A596C"/>
    <w:rsid w:val="008A5A5D"/>
    <w:rsid w:val="008A64C4"/>
    <w:rsid w:val="008A6789"/>
    <w:rsid w:val="008A6BF7"/>
    <w:rsid w:val="008A6CC1"/>
    <w:rsid w:val="008A7011"/>
    <w:rsid w:val="008A72FB"/>
    <w:rsid w:val="008A7F03"/>
    <w:rsid w:val="008B009C"/>
    <w:rsid w:val="008B1823"/>
    <w:rsid w:val="008B1B4E"/>
    <w:rsid w:val="008B24DC"/>
    <w:rsid w:val="008B2BDF"/>
    <w:rsid w:val="008B4198"/>
    <w:rsid w:val="008B586A"/>
    <w:rsid w:val="008B6651"/>
    <w:rsid w:val="008B6E16"/>
    <w:rsid w:val="008B7110"/>
    <w:rsid w:val="008B7A20"/>
    <w:rsid w:val="008C0DF9"/>
    <w:rsid w:val="008C2029"/>
    <w:rsid w:val="008C267C"/>
    <w:rsid w:val="008C2E44"/>
    <w:rsid w:val="008C3427"/>
    <w:rsid w:val="008C381D"/>
    <w:rsid w:val="008C3BC2"/>
    <w:rsid w:val="008C4413"/>
    <w:rsid w:val="008C4F76"/>
    <w:rsid w:val="008C55AD"/>
    <w:rsid w:val="008C6127"/>
    <w:rsid w:val="008C61D6"/>
    <w:rsid w:val="008C649D"/>
    <w:rsid w:val="008C64F1"/>
    <w:rsid w:val="008C69DE"/>
    <w:rsid w:val="008C6E7E"/>
    <w:rsid w:val="008C7163"/>
    <w:rsid w:val="008C7C1A"/>
    <w:rsid w:val="008D0DC1"/>
    <w:rsid w:val="008D1326"/>
    <w:rsid w:val="008D191C"/>
    <w:rsid w:val="008D1BB0"/>
    <w:rsid w:val="008D20FF"/>
    <w:rsid w:val="008D24F5"/>
    <w:rsid w:val="008D2B9A"/>
    <w:rsid w:val="008D396D"/>
    <w:rsid w:val="008D3DE6"/>
    <w:rsid w:val="008D4223"/>
    <w:rsid w:val="008D44CC"/>
    <w:rsid w:val="008D46E3"/>
    <w:rsid w:val="008D4CED"/>
    <w:rsid w:val="008D50F9"/>
    <w:rsid w:val="008D5CAF"/>
    <w:rsid w:val="008D6709"/>
    <w:rsid w:val="008E083A"/>
    <w:rsid w:val="008E12AD"/>
    <w:rsid w:val="008E21BC"/>
    <w:rsid w:val="008E22FF"/>
    <w:rsid w:val="008E2450"/>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668"/>
    <w:rsid w:val="008F48E1"/>
    <w:rsid w:val="008F4C10"/>
    <w:rsid w:val="008F5442"/>
    <w:rsid w:val="008F653E"/>
    <w:rsid w:val="008F7328"/>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753"/>
    <w:rsid w:val="00907264"/>
    <w:rsid w:val="00907488"/>
    <w:rsid w:val="0090765F"/>
    <w:rsid w:val="00907DE6"/>
    <w:rsid w:val="00910642"/>
    <w:rsid w:val="00911305"/>
    <w:rsid w:val="00912590"/>
    <w:rsid w:val="009125B5"/>
    <w:rsid w:val="00913200"/>
    <w:rsid w:val="00914EAB"/>
    <w:rsid w:val="009152D8"/>
    <w:rsid w:val="009154FD"/>
    <w:rsid w:val="00915A1D"/>
    <w:rsid w:val="0092042F"/>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0E85"/>
    <w:rsid w:val="00931040"/>
    <w:rsid w:val="00931663"/>
    <w:rsid w:val="00931D22"/>
    <w:rsid w:val="00932CC7"/>
    <w:rsid w:val="00935306"/>
    <w:rsid w:val="00935CDE"/>
    <w:rsid w:val="0093605E"/>
    <w:rsid w:val="00936688"/>
    <w:rsid w:val="00936F09"/>
    <w:rsid w:val="00937683"/>
    <w:rsid w:val="00937AC9"/>
    <w:rsid w:val="00937CFA"/>
    <w:rsid w:val="00937FC6"/>
    <w:rsid w:val="00940291"/>
    <w:rsid w:val="009406B3"/>
    <w:rsid w:val="00942286"/>
    <w:rsid w:val="00942EFD"/>
    <w:rsid w:val="00942F30"/>
    <w:rsid w:val="00943748"/>
    <w:rsid w:val="00943AB7"/>
    <w:rsid w:val="00943CEE"/>
    <w:rsid w:val="009444F4"/>
    <w:rsid w:val="00944674"/>
    <w:rsid w:val="00945727"/>
    <w:rsid w:val="00945CC4"/>
    <w:rsid w:val="00945CF5"/>
    <w:rsid w:val="0094691C"/>
    <w:rsid w:val="00947C95"/>
    <w:rsid w:val="00947EED"/>
    <w:rsid w:val="009500A1"/>
    <w:rsid w:val="009502B0"/>
    <w:rsid w:val="0095037E"/>
    <w:rsid w:val="00951D97"/>
    <w:rsid w:val="00952230"/>
    <w:rsid w:val="00952AAD"/>
    <w:rsid w:val="00953B2B"/>
    <w:rsid w:val="00954567"/>
    <w:rsid w:val="009547B3"/>
    <w:rsid w:val="00954A89"/>
    <w:rsid w:val="00954DE0"/>
    <w:rsid w:val="00955B17"/>
    <w:rsid w:val="00956671"/>
    <w:rsid w:val="009568D4"/>
    <w:rsid w:val="00956EEA"/>
    <w:rsid w:val="00957466"/>
    <w:rsid w:val="009576F7"/>
    <w:rsid w:val="00960646"/>
    <w:rsid w:val="00960722"/>
    <w:rsid w:val="00961356"/>
    <w:rsid w:val="00962401"/>
    <w:rsid w:val="00962510"/>
    <w:rsid w:val="0096260B"/>
    <w:rsid w:val="0096275C"/>
    <w:rsid w:val="009627FF"/>
    <w:rsid w:val="0096290F"/>
    <w:rsid w:val="00962A27"/>
    <w:rsid w:val="00962B9D"/>
    <w:rsid w:val="00962EDC"/>
    <w:rsid w:val="00964E3D"/>
    <w:rsid w:val="009664D5"/>
    <w:rsid w:val="009668A9"/>
    <w:rsid w:val="00966E6A"/>
    <w:rsid w:val="009670C1"/>
    <w:rsid w:val="00970C69"/>
    <w:rsid w:val="00971262"/>
    <w:rsid w:val="00971F1C"/>
    <w:rsid w:val="009720F0"/>
    <w:rsid w:val="0097211D"/>
    <w:rsid w:val="009724F9"/>
    <w:rsid w:val="0097263C"/>
    <w:rsid w:val="00972DF9"/>
    <w:rsid w:val="00972E10"/>
    <w:rsid w:val="009738AD"/>
    <w:rsid w:val="00973DE4"/>
    <w:rsid w:val="00974694"/>
    <w:rsid w:val="009746CA"/>
    <w:rsid w:val="00974E7C"/>
    <w:rsid w:val="00976F71"/>
    <w:rsid w:val="00977134"/>
    <w:rsid w:val="00980013"/>
    <w:rsid w:val="0098010E"/>
    <w:rsid w:val="009801B9"/>
    <w:rsid w:val="0098028A"/>
    <w:rsid w:val="0098030F"/>
    <w:rsid w:val="00980E65"/>
    <w:rsid w:val="0098122D"/>
    <w:rsid w:val="00981963"/>
    <w:rsid w:val="00982AAE"/>
    <w:rsid w:val="009831B9"/>
    <w:rsid w:val="00983A16"/>
    <w:rsid w:val="00983C82"/>
    <w:rsid w:val="009844D6"/>
    <w:rsid w:val="00984520"/>
    <w:rsid w:val="00985337"/>
    <w:rsid w:val="0098545C"/>
    <w:rsid w:val="00985F36"/>
    <w:rsid w:val="009862F1"/>
    <w:rsid w:val="00986F70"/>
    <w:rsid w:val="009871EA"/>
    <w:rsid w:val="00987CEA"/>
    <w:rsid w:val="00991675"/>
    <w:rsid w:val="00992BA2"/>
    <w:rsid w:val="00992F83"/>
    <w:rsid w:val="0099344F"/>
    <w:rsid w:val="00993577"/>
    <w:rsid w:val="00993A3C"/>
    <w:rsid w:val="00994633"/>
    <w:rsid w:val="0099508A"/>
    <w:rsid w:val="009967D7"/>
    <w:rsid w:val="009974EB"/>
    <w:rsid w:val="00997A12"/>
    <w:rsid w:val="009A0C49"/>
    <w:rsid w:val="009A1126"/>
    <w:rsid w:val="009A1CB4"/>
    <w:rsid w:val="009A2157"/>
    <w:rsid w:val="009A439E"/>
    <w:rsid w:val="009A5564"/>
    <w:rsid w:val="009A5C33"/>
    <w:rsid w:val="009A7469"/>
    <w:rsid w:val="009B07EE"/>
    <w:rsid w:val="009B1584"/>
    <w:rsid w:val="009B1B32"/>
    <w:rsid w:val="009B21CA"/>
    <w:rsid w:val="009B2648"/>
    <w:rsid w:val="009B424E"/>
    <w:rsid w:val="009B4317"/>
    <w:rsid w:val="009B4EBB"/>
    <w:rsid w:val="009B529C"/>
    <w:rsid w:val="009B5FA5"/>
    <w:rsid w:val="009B61B2"/>
    <w:rsid w:val="009B679E"/>
    <w:rsid w:val="009B7332"/>
    <w:rsid w:val="009B7420"/>
    <w:rsid w:val="009B7B09"/>
    <w:rsid w:val="009B7B46"/>
    <w:rsid w:val="009C0294"/>
    <w:rsid w:val="009C03E5"/>
    <w:rsid w:val="009C08B6"/>
    <w:rsid w:val="009C0920"/>
    <w:rsid w:val="009C12C3"/>
    <w:rsid w:val="009C1928"/>
    <w:rsid w:val="009C196C"/>
    <w:rsid w:val="009C1B5C"/>
    <w:rsid w:val="009C1FD2"/>
    <w:rsid w:val="009C36E6"/>
    <w:rsid w:val="009C3730"/>
    <w:rsid w:val="009C37BD"/>
    <w:rsid w:val="009C3888"/>
    <w:rsid w:val="009C3AAC"/>
    <w:rsid w:val="009C4D19"/>
    <w:rsid w:val="009C5F6C"/>
    <w:rsid w:val="009C5FDB"/>
    <w:rsid w:val="009C693E"/>
    <w:rsid w:val="009C6B2C"/>
    <w:rsid w:val="009C6ED6"/>
    <w:rsid w:val="009C70CB"/>
    <w:rsid w:val="009C7623"/>
    <w:rsid w:val="009C7D89"/>
    <w:rsid w:val="009C7E41"/>
    <w:rsid w:val="009D07C7"/>
    <w:rsid w:val="009D14EB"/>
    <w:rsid w:val="009D1B18"/>
    <w:rsid w:val="009D1E70"/>
    <w:rsid w:val="009D1EA4"/>
    <w:rsid w:val="009D27AA"/>
    <w:rsid w:val="009D2BFD"/>
    <w:rsid w:val="009D2FF8"/>
    <w:rsid w:val="009D3F20"/>
    <w:rsid w:val="009D428F"/>
    <w:rsid w:val="009D4991"/>
    <w:rsid w:val="009D597B"/>
    <w:rsid w:val="009D5A89"/>
    <w:rsid w:val="009D5BB5"/>
    <w:rsid w:val="009D6657"/>
    <w:rsid w:val="009D66C1"/>
    <w:rsid w:val="009D696D"/>
    <w:rsid w:val="009D6993"/>
    <w:rsid w:val="009D6ED2"/>
    <w:rsid w:val="009D78A3"/>
    <w:rsid w:val="009D7DB4"/>
    <w:rsid w:val="009E0603"/>
    <w:rsid w:val="009E08B3"/>
    <w:rsid w:val="009E0F1A"/>
    <w:rsid w:val="009E140D"/>
    <w:rsid w:val="009E43DD"/>
    <w:rsid w:val="009E4465"/>
    <w:rsid w:val="009E5318"/>
    <w:rsid w:val="009E6401"/>
    <w:rsid w:val="009E6C54"/>
    <w:rsid w:val="009E72E8"/>
    <w:rsid w:val="009F04C8"/>
    <w:rsid w:val="009F0812"/>
    <w:rsid w:val="009F0E02"/>
    <w:rsid w:val="009F1B6A"/>
    <w:rsid w:val="009F2408"/>
    <w:rsid w:val="009F248B"/>
    <w:rsid w:val="009F2A25"/>
    <w:rsid w:val="009F3A1A"/>
    <w:rsid w:val="009F4C7D"/>
    <w:rsid w:val="009F5235"/>
    <w:rsid w:val="009F531A"/>
    <w:rsid w:val="009F5EB9"/>
    <w:rsid w:val="009F6344"/>
    <w:rsid w:val="009F6550"/>
    <w:rsid w:val="009F6B65"/>
    <w:rsid w:val="009F786E"/>
    <w:rsid w:val="009F7B30"/>
    <w:rsid w:val="00A00817"/>
    <w:rsid w:val="00A00902"/>
    <w:rsid w:val="00A0098B"/>
    <w:rsid w:val="00A01A28"/>
    <w:rsid w:val="00A0294E"/>
    <w:rsid w:val="00A0327A"/>
    <w:rsid w:val="00A039FF"/>
    <w:rsid w:val="00A04524"/>
    <w:rsid w:val="00A046F6"/>
    <w:rsid w:val="00A05758"/>
    <w:rsid w:val="00A05ACE"/>
    <w:rsid w:val="00A06DBC"/>
    <w:rsid w:val="00A10C6C"/>
    <w:rsid w:val="00A114B9"/>
    <w:rsid w:val="00A11895"/>
    <w:rsid w:val="00A1211A"/>
    <w:rsid w:val="00A139BF"/>
    <w:rsid w:val="00A13A2E"/>
    <w:rsid w:val="00A13A65"/>
    <w:rsid w:val="00A13A67"/>
    <w:rsid w:val="00A14589"/>
    <w:rsid w:val="00A14AE3"/>
    <w:rsid w:val="00A151A0"/>
    <w:rsid w:val="00A16675"/>
    <w:rsid w:val="00A218AC"/>
    <w:rsid w:val="00A21955"/>
    <w:rsid w:val="00A22BB6"/>
    <w:rsid w:val="00A22CD6"/>
    <w:rsid w:val="00A234EC"/>
    <w:rsid w:val="00A24128"/>
    <w:rsid w:val="00A2417A"/>
    <w:rsid w:val="00A25642"/>
    <w:rsid w:val="00A26668"/>
    <w:rsid w:val="00A2681F"/>
    <w:rsid w:val="00A27804"/>
    <w:rsid w:val="00A317EA"/>
    <w:rsid w:val="00A320F6"/>
    <w:rsid w:val="00A3276D"/>
    <w:rsid w:val="00A330B0"/>
    <w:rsid w:val="00A334D1"/>
    <w:rsid w:val="00A34029"/>
    <w:rsid w:val="00A34257"/>
    <w:rsid w:val="00A34426"/>
    <w:rsid w:val="00A346FC"/>
    <w:rsid w:val="00A34F44"/>
    <w:rsid w:val="00A34F72"/>
    <w:rsid w:val="00A35CDF"/>
    <w:rsid w:val="00A3655D"/>
    <w:rsid w:val="00A36822"/>
    <w:rsid w:val="00A36AB5"/>
    <w:rsid w:val="00A374FD"/>
    <w:rsid w:val="00A3754B"/>
    <w:rsid w:val="00A402DD"/>
    <w:rsid w:val="00A4069E"/>
    <w:rsid w:val="00A40BBF"/>
    <w:rsid w:val="00A411D1"/>
    <w:rsid w:val="00A432E9"/>
    <w:rsid w:val="00A43389"/>
    <w:rsid w:val="00A434A7"/>
    <w:rsid w:val="00A43687"/>
    <w:rsid w:val="00A43E71"/>
    <w:rsid w:val="00A4526F"/>
    <w:rsid w:val="00A454C0"/>
    <w:rsid w:val="00A45753"/>
    <w:rsid w:val="00A457B8"/>
    <w:rsid w:val="00A46E47"/>
    <w:rsid w:val="00A479DC"/>
    <w:rsid w:val="00A47B15"/>
    <w:rsid w:val="00A5094A"/>
    <w:rsid w:val="00A51708"/>
    <w:rsid w:val="00A52F84"/>
    <w:rsid w:val="00A533CC"/>
    <w:rsid w:val="00A54284"/>
    <w:rsid w:val="00A5465A"/>
    <w:rsid w:val="00A54FB5"/>
    <w:rsid w:val="00A552C0"/>
    <w:rsid w:val="00A55BFA"/>
    <w:rsid w:val="00A56B05"/>
    <w:rsid w:val="00A56C06"/>
    <w:rsid w:val="00A56E50"/>
    <w:rsid w:val="00A57678"/>
    <w:rsid w:val="00A57972"/>
    <w:rsid w:val="00A579F5"/>
    <w:rsid w:val="00A57F07"/>
    <w:rsid w:val="00A57F83"/>
    <w:rsid w:val="00A60E2F"/>
    <w:rsid w:val="00A6199F"/>
    <w:rsid w:val="00A627AD"/>
    <w:rsid w:val="00A63246"/>
    <w:rsid w:val="00A63284"/>
    <w:rsid w:val="00A63458"/>
    <w:rsid w:val="00A634AE"/>
    <w:rsid w:val="00A6372D"/>
    <w:rsid w:val="00A64CB8"/>
    <w:rsid w:val="00A64E3E"/>
    <w:rsid w:val="00A66065"/>
    <w:rsid w:val="00A66D10"/>
    <w:rsid w:val="00A67018"/>
    <w:rsid w:val="00A671D2"/>
    <w:rsid w:val="00A67289"/>
    <w:rsid w:val="00A672F3"/>
    <w:rsid w:val="00A673DC"/>
    <w:rsid w:val="00A7076E"/>
    <w:rsid w:val="00A709BE"/>
    <w:rsid w:val="00A70D85"/>
    <w:rsid w:val="00A7162E"/>
    <w:rsid w:val="00A72D71"/>
    <w:rsid w:val="00A73112"/>
    <w:rsid w:val="00A73617"/>
    <w:rsid w:val="00A747D2"/>
    <w:rsid w:val="00A7511E"/>
    <w:rsid w:val="00A75123"/>
    <w:rsid w:val="00A753C0"/>
    <w:rsid w:val="00A75705"/>
    <w:rsid w:val="00A75F35"/>
    <w:rsid w:val="00A765A9"/>
    <w:rsid w:val="00A77BF3"/>
    <w:rsid w:val="00A77C69"/>
    <w:rsid w:val="00A812B1"/>
    <w:rsid w:val="00A82C61"/>
    <w:rsid w:val="00A8301B"/>
    <w:rsid w:val="00A83049"/>
    <w:rsid w:val="00A83945"/>
    <w:rsid w:val="00A83953"/>
    <w:rsid w:val="00A83CD7"/>
    <w:rsid w:val="00A8400B"/>
    <w:rsid w:val="00A8416A"/>
    <w:rsid w:val="00A846DA"/>
    <w:rsid w:val="00A853D8"/>
    <w:rsid w:val="00A8661E"/>
    <w:rsid w:val="00A8695A"/>
    <w:rsid w:val="00A86ACF"/>
    <w:rsid w:val="00A8708E"/>
    <w:rsid w:val="00A903B6"/>
    <w:rsid w:val="00A90F4F"/>
    <w:rsid w:val="00A919AD"/>
    <w:rsid w:val="00A91F90"/>
    <w:rsid w:val="00A92507"/>
    <w:rsid w:val="00A92579"/>
    <w:rsid w:val="00A92EF7"/>
    <w:rsid w:val="00A936F9"/>
    <w:rsid w:val="00A947AA"/>
    <w:rsid w:val="00A94888"/>
    <w:rsid w:val="00A94990"/>
    <w:rsid w:val="00A9681C"/>
    <w:rsid w:val="00A96867"/>
    <w:rsid w:val="00A96B3D"/>
    <w:rsid w:val="00A97141"/>
    <w:rsid w:val="00A97820"/>
    <w:rsid w:val="00A97A4E"/>
    <w:rsid w:val="00A97E07"/>
    <w:rsid w:val="00AA1B53"/>
    <w:rsid w:val="00AA1DEA"/>
    <w:rsid w:val="00AA256D"/>
    <w:rsid w:val="00AA311D"/>
    <w:rsid w:val="00AA3556"/>
    <w:rsid w:val="00AA35FD"/>
    <w:rsid w:val="00AA364F"/>
    <w:rsid w:val="00AA3DB7"/>
    <w:rsid w:val="00AA41D3"/>
    <w:rsid w:val="00AA46A1"/>
    <w:rsid w:val="00AA554C"/>
    <w:rsid w:val="00AA694F"/>
    <w:rsid w:val="00AA712F"/>
    <w:rsid w:val="00AB0039"/>
    <w:rsid w:val="00AB0D96"/>
    <w:rsid w:val="00AB15A3"/>
    <w:rsid w:val="00AB177A"/>
    <w:rsid w:val="00AB216D"/>
    <w:rsid w:val="00AB21AA"/>
    <w:rsid w:val="00AB2F94"/>
    <w:rsid w:val="00AB3012"/>
    <w:rsid w:val="00AB321C"/>
    <w:rsid w:val="00AB3CED"/>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FF3"/>
    <w:rsid w:val="00AC4938"/>
    <w:rsid w:val="00AC4A34"/>
    <w:rsid w:val="00AC4BC1"/>
    <w:rsid w:val="00AC5029"/>
    <w:rsid w:val="00AC5715"/>
    <w:rsid w:val="00AC7D8D"/>
    <w:rsid w:val="00AD04BD"/>
    <w:rsid w:val="00AD0765"/>
    <w:rsid w:val="00AD0F00"/>
    <w:rsid w:val="00AD14B8"/>
    <w:rsid w:val="00AD296B"/>
    <w:rsid w:val="00AD299E"/>
    <w:rsid w:val="00AD312A"/>
    <w:rsid w:val="00AD5374"/>
    <w:rsid w:val="00AD55A8"/>
    <w:rsid w:val="00AD5A2E"/>
    <w:rsid w:val="00AD5CA4"/>
    <w:rsid w:val="00AD6076"/>
    <w:rsid w:val="00AD634F"/>
    <w:rsid w:val="00AD6591"/>
    <w:rsid w:val="00AD6A91"/>
    <w:rsid w:val="00AD6EE3"/>
    <w:rsid w:val="00AD7214"/>
    <w:rsid w:val="00AE04DB"/>
    <w:rsid w:val="00AE0C58"/>
    <w:rsid w:val="00AE0E09"/>
    <w:rsid w:val="00AE103C"/>
    <w:rsid w:val="00AE1066"/>
    <w:rsid w:val="00AE14DD"/>
    <w:rsid w:val="00AE1A2D"/>
    <w:rsid w:val="00AE2CB7"/>
    <w:rsid w:val="00AE2FA5"/>
    <w:rsid w:val="00AE3215"/>
    <w:rsid w:val="00AE3A4F"/>
    <w:rsid w:val="00AE4518"/>
    <w:rsid w:val="00AE49D9"/>
    <w:rsid w:val="00AE4C42"/>
    <w:rsid w:val="00AE5D7F"/>
    <w:rsid w:val="00AE7140"/>
    <w:rsid w:val="00AE79F0"/>
    <w:rsid w:val="00AF07B0"/>
    <w:rsid w:val="00AF0AFC"/>
    <w:rsid w:val="00AF109C"/>
    <w:rsid w:val="00AF1752"/>
    <w:rsid w:val="00AF2896"/>
    <w:rsid w:val="00AF3F1D"/>
    <w:rsid w:val="00AF42FC"/>
    <w:rsid w:val="00AF4AC5"/>
    <w:rsid w:val="00AF4C2C"/>
    <w:rsid w:val="00AF597D"/>
    <w:rsid w:val="00AF6EC1"/>
    <w:rsid w:val="00AF7416"/>
    <w:rsid w:val="00AF784D"/>
    <w:rsid w:val="00AF7CE9"/>
    <w:rsid w:val="00B00331"/>
    <w:rsid w:val="00B00E46"/>
    <w:rsid w:val="00B01102"/>
    <w:rsid w:val="00B014A1"/>
    <w:rsid w:val="00B01A80"/>
    <w:rsid w:val="00B03EF5"/>
    <w:rsid w:val="00B046AF"/>
    <w:rsid w:val="00B06036"/>
    <w:rsid w:val="00B061F5"/>
    <w:rsid w:val="00B07C27"/>
    <w:rsid w:val="00B07DDE"/>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20203"/>
    <w:rsid w:val="00B203C4"/>
    <w:rsid w:val="00B20863"/>
    <w:rsid w:val="00B20CDD"/>
    <w:rsid w:val="00B20E37"/>
    <w:rsid w:val="00B21584"/>
    <w:rsid w:val="00B21F27"/>
    <w:rsid w:val="00B224DF"/>
    <w:rsid w:val="00B22683"/>
    <w:rsid w:val="00B22BC9"/>
    <w:rsid w:val="00B22E81"/>
    <w:rsid w:val="00B232FE"/>
    <w:rsid w:val="00B23996"/>
    <w:rsid w:val="00B23A8A"/>
    <w:rsid w:val="00B23BBE"/>
    <w:rsid w:val="00B23CB2"/>
    <w:rsid w:val="00B240CC"/>
    <w:rsid w:val="00B24E14"/>
    <w:rsid w:val="00B2561A"/>
    <w:rsid w:val="00B256C1"/>
    <w:rsid w:val="00B25A64"/>
    <w:rsid w:val="00B25A79"/>
    <w:rsid w:val="00B25B94"/>
    <w:rsid w:val="00B26E97"/>
    <w:rsid w:val="00B26EB9"/>
    <w:rsid w:val="00B271F2"/>
    <w:rsid w:val="00B277C4"/>
    <w:rsid w:val="00B31884"/>
    <w:rsid w:val="00B31D19"/>
    <w:rsid w:val="00B32155"/>
    <w:rsid w:val="00B32396"/>
    <w:rsid w:val="00B32AB3"/>
    <w:rsid w:val="00B32DAE"/>
    <w:rsid w:val="00B33825"/>
    <w:rsid w:val="00B34BB2"/>
    <w:rsid w:val="00B34E7C"/>
    <w:rsid w:val="00B35AF6"/>
    <w:rsid w:val="00B36228"/>
    <w:rsid w:val="00B366A3"/>
    <w:rsid w:val="00B368EA"/>
    <w:rsid w:val="00B3741E"/>
    <w:rsid w:val="00B37EEF"/>
    <w:rsid w:val="00B41344"/>
    <w:rsid w:val="00B418AD"/>
    <w:rsid w:val="00B41DAD"/>
    <w:rsid w:val="00B4229C"/>
    <w:rsid w:val="00B42F1A"/>
    <w:rsid w:val="00B43790"/>
    <w:rsid w:val="00B4430B"/>
    <w:rsid w:val="00B443D9"/>
    <w:rsid w:val="00B44531"/>
    <w:rsid w:val="00B445EA"/>
    <w:rsid w:val="00B46587"/>
    <w:rsid w:val="00B47AD2"/>
    <w:rsid w:val="00B47CF7"/>
    <w:rsid w:val="00B50686"/>
    <w:rsid w:val="00B50C50"/>
    <w:rsid w:val="00B50ED1"/>
    <w:rsid w:val="00B513C0"/>
    <w:rsid w:val="00B52CF8"/>
    <w:rsid w:val="00B53708"/>
    <w:rsid w:val="00B53DCB"/>
    <w:rsid w:val="00B5428F"/>
    <w:rsid w:val="00B54370"/>
    <w:rsid w:val="00B54DEA"/>
    <w:rsid w:val="00B54FDF"/>
    <w:rsid w:val="00B55185"/>
    <w:rsid w:val="00B55C03"/>
    <w:rsid w:val="00B55F0B"/>
    <w:rsid w:val="00B5695D"/>
    <w:rsid w:val="00B56A70"/>
    <w:rsid w:val="00B602D5"/>
    <w:rsid w:val="00B60638"/>
    <w:rsid w:val="00B606F8"/>
    <w:rsid w:val="00B60A44"/>
    <w:rsid w:val="00B616D5"/>
    <w:rsid w:val="00B61872"/>
    <w:rsid w:val="00B61923"/>
    <w:rsid w:val="00B621D6"/>
    <w:rsid w:val="00B63AF2"/>
    <w:rsid w:val="00B64278"/>
    <w:rsid w:val="00B65747"/>
    <w:rsid w:val="00B65D6F"/>
    <w:rsid w:val="00B65FAD"/>
    <w:rsid w:val="00B66174"/>
    <w:rsid w:val="00B661B5"/>
    <w:rsid w:val="00B67B37"/>
    <w:rsid w:val="00B67C23"/>
    <w:rsid w:val="00B7079B"/>
    <w:rsid w:val="00B70BE5"/>
    <w:rsid w:val="00B70DC7"/>
    <w:rsid w:val="00B721A4"/>
    <w:rsid w:val="00B72B5B"/>
    <w:rsid w:val="00B72EFF"/>
    <w:rsid w:val="00B73AA7"/>
    <w:rsid w:val="00B73C25"/>
    <w:rsid w:val="00B73DCE"/>
    <w:rsid w:val="00B746E4"/>
    <w:rsid w:val="00B74A6F"/>
    <w:rsid w:val="00B74D64"/>
    <w:rsid w:val="00B750C2"/>
    <w:rsid w:val="00B75411"/>
    <w:rsid w:val="00B7546A"/>
    <w:rsid w:val="00B756CB"/>
    <w:rsid w:val="00B75735"/>
    <w:rsid w:val="00B77142"/>
    <w:rsid w:val="00B77746"/>
    <w:rsid w:val="00B8010E"/>
    <w:rsid w:val="00B80879"/>
    <w:rsid w:val="00B80A2C"/>
    <w:rsid w:val="00B80D3B"/>
    <w:rsid w:val="00B8135C"/>
    <w:rsid w:val="00B814BB"/>
    <w:rsid w:val="00B81730"/>
    <w:rsid w:val="00B81F60"/>
    <w:rsid w:val="00B82123"/>
    <w:rsid w:val="00B823D4"/>
    <w:rsid w:val="00B82BEC"/>
    <w:rsid w:val="00B8314A"/>
    <w:rsid w:val="00B841AC"/>
    <w:rsid w:val="00B844A6"/>
    <w:rsid w:val="00B85873"/>
    <w:rsid w:val="00B85E95"/>
    <w:rsid w:val="00B865B0"/>
    <w:rsid w:val="00B865DC"/>
    <w:rsid w:val="00B86E3A"/>
    <w:rsid w:val="00B870E8"/>
    <w:rsid w:val="00B874E9"/>
    <w:rsid w:val="00B875E3"/>
    <w:rsid w:val="00B87ACB"/>
    <w:rsid w:val="00B87C29"/>
    <w:rsid w:val="00B90780"/>
    <w:rsid w:val="00B90968"/>
    <w:rsid w:val="00B918BB"/>
    <w:rsid w:val="00B91A15"/>
    <w:rsid w:val="00B91BC2"/>
    <w:rsid w:val="00B9240D"/>
    <w:rsid w:val="00B93E0B"/>
    <w:rsid w:val="00B94855"/>
    <w:rsid w:val="00B94960"/>
    <w:rsid w:val="00B9543E"/>
    <w:rsid w:val="00B96F6E"/>
    <w:rsid w:val="00B9702A"/>
    <w:rsid w:val="00B979D4"/>
    <w:rsid w:val="00BA027A"/>
    <w:rsid w:val="00BA0703"/>
    <w:rsid w:val="00BA22A8"/>
    <w:rsid w:val="00BA309F"/>
    <w:rsid w:val="00BA3B8F"/>
    <w:rsid w:val="00BA3E48"/>
    <w:rsid w:val="00BA4905"/>
    <w:rsid w:val="00BA4BD3"/>
    <w:rsid w:val="00BA5B51"/>
    <w:rsid w:val="00BA6120"/>
    <w:rsid w:val="00BA6E49"/>
    <w:rsid w:val="00BB0187"/>
    <w:rsid w:val="00BB0C2D"/>
    <w:rsid w:val="00BB0E56"/>
    <w:rsid w:val="00BB1473"/>
    <w:rsid w:val="00BB1EB3"/>
    <w:rsid w:val="00BB2678"/>
    <w:rsid w:val="00BB3077"/>
    <w:rsid w:val="00BB31D5"/>
    <w:rsid w:val="00BB33A8"/>
    <w:rsid w:val="00BB3927"/>
    <w:rsid w:val="00BB3D8C"/>
    <w:rsid w:val="00BB4B39"/>
    <w:rsid w:val="00BB4E17"/>
    <w:rsid w:val="00BB53AF"/>
    <w:rsid w:val="00BB5BDF"/>
    <w:rsid w:val="00BB5C26"/>
    <w:rsid w:val="00BB64B7"/>
    <w:rsid w:val="00BB6591"/>
    <w:rsid w:val="00BB6A40"/>
    <w:rsid w:val="00BC013A"/>
    <w:rsid w:val="00BC12F7"/>
    <w:rsid w:val="00BC162A"/>
    <w:rsid w:val="00BC2343"/>
    <w:rsid w:val="00BC2A29"/>
    <w:rsid w:val="00BC2BE7"/>
    <w:rsid w:val="00BC2E1B"/>
    <w:rsid w:val="00BC3F52"/>
    <w:rsid w:val="00BC43D7"/>
    <w:rsid w:val="00BC4ED3"/>
    <w:rsid w:val="00BC5824"/>
    <w:rsid w:val="00BC6B20"/>
    <w:rsid w:val="00BC702F"/>
    <w:rsid w:val="00BC7377"/>
    <w:rsid w:val="00BD0707"/>
    <w:rsid w:val="00BD0ECF"/>
    <w:rsid w:val="00BD13C1"/>
    <w:rsid w:val="00BD30C8"/>
    <w:rsid w:val="00BD38F4"/>
    <w:rsid w:val="00BD3EB4"/>
    <w:rsid w:val="00BD4C5B"/>
    <w:rsid w:val="00BD4F01"/>
    <w:rsid w:val="00BD5359"/>
    <w:rsid w:val="00BD556E"/>
    <w:rsid w:val="00BD5C65"/>
    <w:rsid w:val="00BD7906"/>
    <w:rsid w:val="00BD7BCC"/>
    <w:rsid w:val="00BE0557"/>
    <w:rsid w:val="00BE16E9"/>
    <w:rsid w:val="00BE1E11"/>
    <w:rsid w:val="00BE2730"/>
    <w:rsid w:val="00BE2A17"/>
    <w:rsid w:val="00BE2D83"/>
    <w:rsid w:val="00BE31BE"/>
    <w:rsid w:val="00BE3A1D"/>
    <w:rsid w:val="00BE3ABB"/>
    <w:rsid w:val="00BE3B92"/>
    <w:rsid w:val="00BE487E"/>
    <w:rsid w:val="00BE528E"/>
    <w:rsid w:val="00BE6018"/>
    <w:rsid w:val="00BE7086"/>
    <w:rsid w:val="00BE7278"/>
    <w:rsid w:val="00BF1F57"/>
    <w:rsid w:val="00BF20FD"/>
    <w:rsid w:val="00BF2239"/>
    <w:rsid w:val="00BF22C6"/>
    <w:rsid w:val="00BF27DD"/>
    <w:rsid w:val="00BF34C2"/>
    <w:rsid w:val="00BF3804"/>
    <w:rsid w:val="00BF3B4E"/>
    <w:rsid w:val="00BF3B89"/>
    <w:rsid w:val="00BF4086"/>
    <w:rsid w:val="00BF426C"/>
    <w:rsid w:val="00BF4594"/>
    <w:rsid w:val="00BF58D0"/>
    <w:rsid w:val="00BF6027"/>
    <w:rsid w:val="00BF6702"/>
    <w:rsid w:val="00BF7561"/>
    <w:rsid w:val="00BF7952"/>
    <w:rsid w:val="00BF7D6A"/>
    <w:rsid w:val="00C0021D"/>
    <w:rsid w:val="00C00300"/>
    <w:rsid w:val="00C0068D"/>
    <w:rsid w:val="00C00A6C"/>
    <w:rsid w:val="00C00B8B"/>
    <w:rsid w:val="00C013E1"/>
    <w:rsid w:val="00C01611"/>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153"/>
    <w:rsid w:val="00C11521"/>
    <w:rsid w:val="00C142AD"/>
    <w:rsid w:val="00C142C1"/>
    <w:rsid w:val="00C14A30"/>
    <w:rsid w:val="00C152FE"/>
    <w:rsid w:val="00C15D1B"/>
    <w:rsid w:val="00C16739"/>
    <w:rsid w:val="00C168DD"/>
    <w:rsid w:val="00C176CC"/>
    <w:rsid w:val="00C20E37"/>
    <w:rsid w:val="00C21031"/>
    <w:rsid w:val="00C221B9"/>
    <w:rsid w:val="00C225EA"/>
    <w:rsid w:val="00C226E6"/>
    <w:rsid w:val="00C22CCE"/>
    <w:rsid w:val="00C232BC"/>
    <w:rsid w:val="00C23BA2"/>
    <w:rsid w:val="00C2485F"/>
    <w:rsid w:val="00C248B1"/>
    <w:rsid w:val="00C24ACA"/>
    <w:rsid w:val="00C24B63"/>
    <w:rsid w:val="00C256C3"/>
    <w:rsid w:val="00C262A0"/>
    <w:rsid w:val="00C26A4E"/>
    <w:rsid w:val="00C271D2"/>
    <w:rsid w:val="00C31195"/>
    <w:rsid w:val="00C31774"/>
    <w:rsid w:val="00C3180E"/>
    <w:rsid w:val="00C32AF2"/>
    <w:rsid w:val="00C33051"/>
    <w:rsid w:val="00C33204"/>
    <w:rsid w:val="00C338EB"/>
    <w:rsid w:val="00C34389"/>
    <w:rsid w:val="00C3465D"/>
    <w:rsid w:val="00C347D5"/>
    <w:rsid w:val="00C35C57"/>
    <w:rsid w:val="00C379E9"/>
    <w:rsid w:val="00C37C29"/>
    <w:rsid w:val="00C37EDC"/>
    <w:rsid w:val="00C403CD"/>
    <w:rsid w:val="00C4082B"/>
    <w:rsid w:val="00C40ECA"/>
    <w:rsid w:val="00C411AC"/>
    <w:rsid w:val="00C41B04"/>
    <w:rsid w:val="00C42041"/>
    <w:rsid w:val="00C42949"/>
    <w:rsid w:val="00C42BD9"/>
    <w:rsid w:val="00C43934"/>
    <w:rsid w:val="00C43935"/>
    <w:rsid w:val="00C439FB"/>
    <w:rsid w:val="00C43AA8"/>
    <w:rsid w:val="00C43F23"/>
    <w:rsid w:val="00C441A4"/>
    <w:rsid w:val="00C452E1"/>
    <w:rsid w:val="00C45C1B"/>
    <w:rsid w:val="00C463C9"/>
    <w:rsid w:val="00C47648"/>
    <w:rsid w:val="00C47852"/>
    <w:rsid w:val="00C50011"/>
    <w:rsid w:val="00C51827"/>
    <w:rsid w:val="00C5254B"/>
    <w:rsid w:val="00C53973"/>
    <w:rsid w:val="00C5569A"/>
    <w:rsid w:val="00C55D39"/>
    <w:rsid w:val="00C55FBF"/>
    <w:rsid w:val="00C57E68"/>
    <w:rsid w:val="00C601C9"/>
    <w:rsid w:val="00C6038C"/>
    <w:rsid w:val="00C616D0"/>
    <w:rsid w:val="00C623C6"/>
    <w:rsid w:val="00C62C8A"/>
    <w:rsid w:val="00C631D3"/>
    <w:rsid w:val="00C631E8"/>
    <w:rsid w:val="00C645E6"/>
    <w:rsid w:val="00C64813"/>
    <w:rsid w:val="00C64D82"/>
    <w:rsid w:val="00C64FBC"/>
    <w:rsid w:val="00C65A83"/>
    <w:rsid w:val="00C66A00"/>
    <w:rsid w:val="00C66CBE"/>
    <w:rsid w:val="00C67118"/>
    <w:rsid w:val="00C67276"/>
    <w:rsid w:val="00C67DDD"/>
    <w:rsid w:val="00C70139"/>
    <w:rsid w:val="00C7072A"/>
    <w:rsid w:val="00C7191D"/>
    <w:rsid w:val="00C72603"/>
    <w:rsid w:val="00C728C2"/>
    <w:rsid w:val="00C72C6F"/>
    <w:rsid w:val="00C73BE3"/>
    <w:rsid w:val="00C74453"/>
    <w:rsid w:val="00C7473A"/>
    <w:rsid w:val="00C750E4"/>
    <w:rsid w:val="00C75AB0"/>
    <w:rsid w:val="00C75EDE"/>
    <w:rsid w:val="00C76166"/>
    <w:rsid w:val="00C76B7B"/>
    <w:rsid w:val="00C76BBD"/>
    <w:rsid w:val="00C76DE2"/>
    <w:rsid w:val="00C772BA"/>
    <w:rsid w:val="00C77555"/>
    <w:rsid w:val="00C7770C"/>
    <w:rsid w:val="00C802D1"/>
    <w:rsid w:val="00C8036C"/>
    <w:rsid w:val="00C80CD8"/>
    <w:rsid w:val="00C80F23"/>
    <w:rsid w:val="00C81151"/>
    <w:rsid w:val="00C82AC2"/>
    <w:rsid w:val="00C82CC6"/>
    <w:rsid w:val="00C839CB"/>
    <w:rsid w:val="00C841CE"/>
    <w:rsid w:val="00C84593"/>
    <w:rsid w:val="00C850A3"/>
    <w:rsid w:val="00C85C32"/>
    <w:rsid w:val="00C85D4F"/>
    <w:rsid w:val="00C85F45"/>
    <w:rsid w:val="00C86C8C"/>
    <w:rsid w:val="00C87473"/>
    <w:rsid w:val="00C87568"/>
    <w:rsid w:val="00C87FD0"/>
    <w:rsid w:val="00C902C8"/>
    <w:rsid w:val="00C903E7"/>
    <w:rsid w:val="00C90DB6"/>
    <w:rsid w:val="00C92603"/>
    <w:rsid w:val="00C93649"/>
    <w:rsid w:val="00C9394F"/>
    <w:rsid w:val="00C93B1A"/>
    <w:rsid w:val="00C95E97"/>
    <w:rsid w:val="00C96D24"/>
    <w:rsid w:val="00C96F5F"/>
    <w:rsid w:val="00C97055"/>
    <w:rsid w:val="00C97D41"/>
    <w:rsid w:val="00CA0351"/>
    <w:rsid w:val="00CA1E82"/>
    <w:rsid w:val="00CA2B4F"/>
    <w:rsid w:val="00CA30C3"/>
    <w:rsid w:val="00CA3549"/>
    <w:rsid w:val="00CA5927"/>
    <w:rsid w:val="00CA5D23"/>
    <w:rsid w:val="00CA635E"/>
    <w:rsid w:val="00CA6BB0"/>
    <w:rsid w:val="00CA70CE"/>
    <w:rsid w:val="00CA79EC"/>
    <w:rsid w:val="00CB002C"/>
    <w:rsid w:val="00CB1E4B"/>
    <w:rsid w:val="00CB259F"/>
    <w:rsid w:val="00CB389B"/>
    <w:rsid w:val="00CB39C2"/>
    <w:rsid w:val="00CB45FC"/>
    <w:rsid w:val="00CB4C8C"/>
    <w:rsid w:val="00CB4E90"/>
    <w:rsid w:val="00CB5850"/>
    <w:rsid w:val="00CB5C99"/>
    <w:rsid w:val="00CB633B"/>
    <w:rsid w:val="00CB6782"/>
    <w:rsid w:val="00CB6E3E"/>
    <w:rsid w:val="00CB72CD"/>
    <w:rsid w:val="00CC080A"/>
    <w:rsid w:val="00CC09EB"/>
    <w:rsid w:val="00CC0D0F"/>
    <w:rsid w:val="00CC1275"/>
    <w:rsid w:val="00CC12EE"/>
    <w:rsid w:val="00CC1A4D"/>
    <w:rsid w:val="00CC3588"/>
    <w:rsid w:val="00CC5767"/>
    <w:rsid w:val="00CC5D2F"/>
    <w:rsid w:val="00CC667C"/>
    <w:rsid w:val="00CC68CC"/>
    <w:rsid w:val="00CC6CB9"/>
    <w:rsid w:val="00CC701E"/>
    <w:rsid w:val="00CC7735"/>
    <w:rsid w:val="00CC7CAD"/>
    <w:rsid w:val="00CD0310"/>
    <w:rsid w:val="00CD0D09"/>
    <w:rsid w:val="00CD268B"/>
    <w:rsid w:val="00CD2E48"/>
    <w:rsid w:val="00CD4826"/>
    <w:rsid w:val="00CD4E19"/>
    <w:rsid w:val="00CD6219"/>
    <w:rsid w:val="00CD700F"/>
    <w:rsid w:val="00CD70EB"/>
    <w:rsid w:val="00CD7319"/>
    <w:rsid w:val="00CD7BA2"/>
    <w:rsid w:val="00CD7DF8"/>
    <w:rsid w:val="00CE04BC"/>
    <w:rsid w:val="00CE0A6E"/>
    <w:rsid w:val="00CE148E"/>
    <w:rsid w:val="00CE208D"/>
    <w:rsid w:val="00CE242D"/>
    <w:rsid w:val="00CE2453"/>
    <w:rsid w:val="00CE356D"/>
    <w:rsid w:val="00CE3FA4"/>
    <w:rsid w:val="00CE44F8"/>
    <w:rsid w:val="00CE485F"/>
    <w:rsid w:val="00CE5277"/>
    <w:rsid w:val="00CE58F6"/>
    <w:rsid w:val="00CE5B4D"/>
    <w:rsid w:val="00CE6358"/>
    <w:rsid w:val="00CE6686"/>
    <w:rsid w:val="00CE6E97"/>
    <w:rsid w:val="00CE7868"/>
    <w:rsid w:val="00CE789A"/>
    <w:rsid w:val="00CE7968"/>
    <w:rsid w:val="00CE796C"/>
    <w:rsid w:val="00CF0DB0"/>
    <w:rsid w:val="00CF1B70"/>
    <w:rsid w:val="00CF1DD1"/>
    <w:rsid w:val="00CF2161"/>
    <w:rsid w:val="00CF2307"/>
    <w:rsid w:val="00CF26AE"/>
    <w:rsid w:val="00CF2D54"/>
    <w:rsid w:val="00CF311F"/>
    <w:rsid w:val="00CF44D0"/>
    <w:rsid w:val="00CF5047"/>
    <w:rsid w:val="00D007BA"/>
    <w:rsid w:val="00D01344"/>
    <w:rsid w:val="00D01B90"/>
    <w:rsid w:val="00D024CD"/>
    <w:rsid w:val="00D02C7C"/>
    <w:rsid w:val="00D034DA"/>
    <w:rsid w:val="00D03538"/>
    <w:rsid w:val="00D0421D"/>
    <w:rsid w:val="00D046FD"/>
    <w:rsid w:val="00D047F7"/>
    <w:rsid w:val="00D049B8"/>
    <w:rsid w:val="00D04C8A"/>
    <w:rsid w:val="00D04EB2"/>
    <w:rsid w:val="00D0516C"/>
    <w:rsid w:val="00D05B56"/>
    <w:rsid w:val="00D05BBE"/>
    <w:rsid w:val="00D05C2F"/>
    <w:rsid w:val="00D05EE7"/>
    <w:rsid w:val="00D068D0"/>
    <w:rsid w:val="00D06FE0"/>
    <w:rsid w:val="00D07307"/>
    <w:rsid w:val="00D076A9"/>
    <w:rsid w:val="00D07754"/>
    <w:rsid w:val="00D078D1"/>
    <w:rsid w:val="00D07B2E"/>
    <w:rsid w:val="00D10824"/>
    <w:rsid w:val="00D1188B"/>
    <w:rsid w:val="00D1293B"/>
    <w:rsid w:val="00D129A8"/>
    <w:rsid w:val="00D12FB9"/>
    <w:rsid w:val="00D13431"/>
    <w:rsid w:val="00D135F2"/>
    <w:rsid w:val="00D13D00"/>
    <w:rsid w:val="00D147C0"/>
    <w:rsid w:val="00D15696"/>
    <w:rsid w:val="00D15C51"/>
    <w:rsid w:val="00D16C68"/>
    <w:rsid w:val="00D17FDD"/>
    <w:rsid w:val="00D200BD"/>
    <w:rsid w:val="00D201AA"/>
    <w:rsid w:val="00D204A7"/>
    <w:rsid w:val="00D20AA5"/>
    <w:rsid w:val="00D20DC4"/>
    <w:rsid w:val="00D21059"/>
    <w:rsid w:val="00D22399"/>
    <w:rsid w:val="00D26223"/>
    <w:rsid w:val="00D2662C"/>
    <w:rsid w:val="00D27FA3"/>
    <w:rsid w:val="00D30711"/>
    <w:rsid w:val="00D316D2"/>
    <w:rsid w:val="00D3176C"/>
    <w:rsid w:val="00D31B3F"/>
    <w:rsid w:val="00D31DE7"/>
    <w:rsid w:val="00D321AF"/>
    <w:rsid w:val="00D3249F"/>
    <w:rsid w:val="00D33751"/>
    <w:rsid w:val="00D34AB9"/>
    <w:rsid w:val="00D35D4A"/>
    <w:rsid w:val="00D36F6E"/>
    <w:rsid w:val="00D372B0"/>
    <w:rsid w:val="00D37343"/>
    <w:rsid w:val="00D376AD"/>
    <w:rsid w:val="00D41E6A"/>
    <w:rsid w:val="00D42034"/>
    <w:rsid w:val="00D4205E"/>
    <w:rsid w:val="00D44EB8"/>
    <w:rsid w:val="00D464AE"/>
    <w:rsid w:val="00D47399"/>
    <w:rsid w:val="00D47BB2"/>
    <w:rsid w:val="00D47D04"/>
    <w:rsid w:val="00D5056A"/>
    <w:rsid w:val="00D510A0"/>
    <w:rsid w:val="00D51F73"/>
    <w:rsid w:val="00D527EE"/>
    <w:rsid w:val="00D5286F"/>
    <w:rsid w:val="00D529C4"/>
    <w:rsid w:val="00D53929"/>
    <w:rsid w:val="00D539B5"/>
    <w:rsid w:val="00D539D0"/>
    <w:rsid w:val="00D53F2B"/>
    <w:rsid w:val="00D540DC"/>
    <w:rsid w:val="00D54CA4"/>
    <w:rsid w:val="00D55616"/>
    <w:rsid w:val="00D5574C"/>
    <w:rsid w:val="00D55DAC"/>
    <w:rsid w:val="00D561C5"/>
    <w:rsid w:val="00D5636F"/>
    <w:rsid w:val="00D57FDF"/>
    <w:rsid w:val="00D6153F"/>
    <w:rsid w:val="00D61982"/>
    <w:rsid w:val="00D61A2D"/>
    <w:rsid w:val="00D61EA9"/>
    <w:rsid w:val="00D61EFF"/>
    <w:rsid w:val="00D62655"/>
    <w:rsid w:val="00D6267A"/>
    <w:rsid w:val="00D62998"/>
    <w:rsid w:val="00D636B6"/>
    <w:rsid w:val="00D6468E"/>
    <w:rsid w:val="00D647DE"/>
    <w:rsid w:val="00D6501F"/>
    <w:rsid w:val="00D65347"/>
    <w:rsid w:val="00D6575E"/>
    <w:rsid w:val="00D67D12"/>
    <w:rsid w:val="00D700D9"/>
    <w:rsid w:val="00D70309"/>
    <w:rsid w:val="00D705FF"/>
    <w:rsid w:val="00D70B0C"/>
    <w:rsid w:val="00D70DE6"/>
    <w:rsid w:val="00D7145C"/>
    <w:rsid w:val="00D7332F"/>
    <w:rsid w:val="00D744BC"/>
    <w:rsid w:val="00D7585A"/>
    <w:rsid w:val="00D7604B"/>
    <w:rsid w:val="00D7751E"/>
    <w:rsid w:val="00D77C53"/>
    <w:rsid w:val="00D77E96"/>
    <w:rsid w:val="00D80618"/>
    <w:rsid w:val="00D8068C"/>
    <w:rsid w:val="00D807DF"/>
    <w:rsid w:val="00D81006"/>
    <w:rsid w:val="00D82339"/>
    <w:rsid w:val="00D82494"/>
    <w:rsid w:val="00D82696"/>
    <w:rsid w:val="00D82FF2"/>
    <w:rsid w:val="00D830B9"/>
    <w:rsid w:val="00D83774"/>
    <w:rsid w:val="00D83C1D"/>
    <w:rsid w:val="00D84A4B"/>
    <w:rsid w:val="00D84E83"/>
    <w:rsid w:val="00D8555A"/>
    <w:rsid w:val="00D85631"/>
    <w:rsid w:val="00D85D98"/>
    <w:rsid w:val="00D85F8D"/>
    <w:rsid w:val="00D879CB"/>
    <w:rsid w:val="00D87C11"/>
    <w:rsid w:val="00D90A81"/>
    <w:rsid w:val="00D90B7D"/>
    <w:rsid w:val="00D90B81"/>
    <w:rsid w:val="00D90CC7"/>
    <w:rsid w:val="00D90DCE"/>
    <w:rsid w:val="00D92168"/>
    <w:rsid w:val="00D9231C"/>
    <w:rsid w:val="00D92356"/>
    <w:rsid w:val="00D92A5E"/>
    <w:rsid w:val="00D935BD"/>
    <w:rsid w:val="00D93CEC"/>
    <w:rsid w:val="00D93EEC"/>
    <w:rsid w:val="00D940B5"/>
    <w:rsid w:val="00D953F2"/>
    <w:rsid w:val="00D9582D"/>
    <w:rsid w:val="00D95CB0"/>
    <w:rsid w:val="00D9654F"/>
    <w:rsid w:val="00D966FE"/>
    <w:rsid w:val="00D977C0"/>
    <w:rsid w:val="00D97E14"/>
    <w:rsid w:val="00DA00A3"/>
    <w:rsid w:val="00DA13F3"/>
    <w:rsid w:val="00DA2DE3"/>
    <w:rsid w:val="00DA3633"/>
    <w:rsid w:val="00DA400B"/>
    <w:rsid w:val="00DA4130"/>
    <w:rsid w:val="00DA4909"/>
    <w:rsid w:val="00DA5999"/>
    <w:rsid w:val="00DA6443"/>
    <w:rsid w:val="00DA6B5E"/>
    <w:rsid w:val="00DA7146"/>
    <w:rsid w:val="00DA716A"/>
    <w:rsid w:val="00DA7B82"/>
    <w:rsid w:val="00DB02ED"/>
    <w:rsid w:val="00DB02EE"/>
    <w:rsid w:val="00DB0843"/>
    <w:rsid w:val="00DB1F4F"/>
    <w:rsid w:val="00DB2CD0"/>
    <w:rsid w:val="00DB37EE"/>
    <w:rsid w:val="00DB401F"/>
    <w:rsid w:val="00DB4450"/>
    <w:rsid w:val="00DB4EE7"/>
    <w:rsid w:val="00DB5102"/>
    <w:rsid w:val="00DB521D"/>
    <w:rsid w:val="00DB5971"/>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2FF"/>
    <w:rsid w:val="00DD0925"/>
    <w:rsid w:val="00DD24F9"/>
    <w:rsid w:val="00DD26EC"/>
    <w:rsid w:val="00DD2C06"/>
    <w:rsid w:val="00DD2DFB"/>
    <w:rsid w:val="00DD3604"/>
    <w:rsid w:val="00DD36B0"/>
    <w:rsid w:val="00DD3F4D"/>
    <w:rsid w:val="00DD6F2E"/>
    <w:rsid w:val="00DD72E1"/>
    <w:rsid w:val="00DD7848"/>
    <w:rsid w:val="00DD796C"/>
    <w:rsid w:val="00DD7EA2"/>
    <w:rsid w:val="00DE00F2"/>
    <w:rsid w:val="00DE1120"/>
    <w:rsid w:val="00DE117F"/>
    <w:rsid w:val="00DE22D3"/>
    <w:rsid w:val="00DE2D17"/>
    <w:rsid w:val="00DE353C"/>
    <w:rsid w:val="00DE401C"/>
    <w:rsid w:val="00DE549C"/>
    <w:rsid w:val="00DE5510"/>
    <w:rsid w:val="00DE5954"/>
    <w:rsid w:val="00DE5EC7"/>
    <w:rsid w:val="00DE6E2F"/>
    <w:rsid w:val="00DE6F47"/>
    <w:rsid w:val="00DE7D13"/>
    <w:rsid w:val="00DE7DD2"/>
    <w:rsid w:val="00DF1EAE"/>
    <w:rsid w:val="00DF2AF6"/>
    <w:rsid w:val="00DF2B22"/>
    <w:rsid w:val="00DF3816"/>
    <w:rsid w:val="00DF3818"/>
    <w:rsid w:val="00DF3F94"/>
    <w:rsid w:val="00DF4369"/>
    <w:rsid w:val="00DF4B8D"/>
    <w:rsid w:val="00DF55FC"/>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39F9"/>
    <w:rsid w:val="00E042A1"/>
    <w:rsid w:val="00E05E82"/>
    <w:rsid w:val="00E069E3"/>
    <w:rsid w:val="00E07425"/>
    <w:rsid w:val="00E1043E"/>
    <w:rsid w:val="00E104FA"/>
    <w:rsid w:val="00E1082A"/>
    <w:rsid w:val="00E10956"/>
    <w:rsid w:val="00E10B68"/>
    <w:rsid w:val="00E110B5"/>
    <w:rsid w:val="00E11166"/>
    <w:rsid w:val="00E12818"/>
    <w:rsid w:val="00E12887"/>
    <w:rsid w:val="00E12D39"/>
    <w:rsid w:val="00E13182"/>
    <w:rsid w:val="00E13426"/>
    <w:rsid w:val="00E141AF"/>
    <w:rsid w:val="00E14523"/>
    <w:rsid w:val="00E14972"/>
    <w:rsid w:val="00E14A89"/>
    <w:rsid w:val="00E14CB9"/>
    <w:rsid w:val="00E151F2"/>
    <w:rsid w:val="00E15383"/>
    <w:rsid w:val="00E15C82"/>
    <w:rsid w:val="00E1738C"/>
    <w:rsid w:val="00E17797"/>
    <w:rsid w:val="00E17C9D"/>
    <w:rsid w:val="00E201C0"/>
    <w:rsid w:val="00E21ABD"/>
    <w:rsid w:val="00E22775"/>
    <w:rsid w:val="00E22D28"/>
    <w:rsid w:val="00E22F81"/>
    <w:rsid w:val="00E22F87"/>
    <w:rsid w:val="00E230E3"/>
    <w:rsid w:val="00E23C97"/>
    <w:rsid w:val="00E244B0"/>
    <w:rsid w:val="00E24727"/>
    <w:rsid w:val="00E24D5F"/>
    <w:rsid w:val="00E250DB"/>
    <w:rsid w:val="00E265A7"/>
    <w:rsid w:val="00E26FC5"/>
    <w:rsid w:val="00E27B80"/>
    <w:rsid w:val="00E30EDF"/>
    <w:rsid w:val="00E31B43"/>
    <w:rsid w:val="00E31FBA"/>
    <w:rsid w:val="00E326D0"/>
    <w:rsid w:val="00E33513"/>
    <w:rsid w:val="00E33A4F"/>
    <w:rsid w:val="00E33F3E"/>
    <w:rsid w:val="00E341E5"/>
    <w:rsid w:val="00E34315"/>
    <w:rsid w:val="00E35FBC"/>
    <w:rsid w:val="00E36AAE"/>
    <w:rsid w:val="00E37198"/>
    <w:rsid w:val="00E3774C"/>
    <w:rsid w:val="00E41013"/>
    <w:rsid w:val="00E41313"/>
    <w:rsid w:val="00E41773"/>
    <w:rsid w:val="00E41ACD"/>
    <w:rsid w:val="00E42FE6"/>
    <w:rsid w:val="00E43B4A"/>
    <w:rsid w:val="00E44D25"/>
    <w:rsid w:val="00E44E78"/>
    <w:rsid w:val="00E45C40"/>
    <w:rsid w:val="00E460B6"/>
    <w:rsid w:val="00E46BD2"/>
    <w:rsid w:val="00E46CF3"/>
    <w:rsid w:val="00E473D4"/>
    <w:rsid w:val="00E474CF"/>
    <w:rsid w:val="00E513F6"/>
    <w:rsid w:val="00E519A7"/>
    <w:rsid w:val="00E51A4C"/>
    <w:rsid w:val="00E51EC6"/>
    <w:rsid w:val="00E5203E"/>
    <w:rsid w:val="00E52F3B"/>
    <w:rsid w:val="00E52F80"/>
    <w:rsid w:val="00E53BEE"/>
    <w:rsid w:val="00E53D94"/>
    <w:rsid w:val="00E53DEA"/>
    <w:rsid w:val="00E5424B"/>
    <w:rsid w:val="00E544BA"/>
    <w:rsid w:val="00E55B64"/>
    <w:rsid w:val="00E573EF"/>
    <w:rsid w:val="00E616DB"/>
    <w:rsid w:val="00E62442"/>
    <w:rsid w:val="00E6254F"/>
    <w:rsid w:val="00E627A4"/>
    <w:rsid w:val="00E62A5E"/>
    <w:rsid w:val="00E630ED"/>
    <w:rsid w:val="00E6395F"/>
    <w:rsid w:val="00E6437C"/>
    <w:rsid w:val="00E65237"/>
    <w:rsid w:val="00E66367"/>
    <w:rsid w:val="00E67862"/>
    <w:rsid w:val="00E67ADD"/>
    <w:rsid w:val="00E70ACF"/>
    <w:rsid w:val="00E70D46"/>
    <w:rsid w:val="00E712A9"/>
    <w:rsid w:val="00E713BC"/>
    <w:rsid w:val="00E72444"/>
    <w:rsid w:val="00E726A8"/>
    <w:rsid w:val="00E72D3D"/>
    <w:rsid w:val="00E72E07"/>
    <w:rsid w:val="00E72EAD"/>
    <w:rsid w:val="00E7410F"/>
    <w:rsid w:val="00E74EC5"/>
    <w:rsid w:val="00E75161"/>
    <w:rsid w:val="00E76B86"/>
    <w:rsid w:val="00E773F4"/>
    <w:rsid w:val="00E8000D"/>
    <w:rsid w:val="00E809F3"/>
    <w:rsid w:val="00E80C21"/>
    <w:rsid w:val="00E820BD"/>
    <w:rsid w:val="00E8227B"/>
    <w:rsid w:val="00E8342F"/>
    <w:rsid w:val="00E84210"/>
    <w:rsid w:val="00E844CD"/>
    <w:rsid w:val="00E847A7"/>
    <w:rsid w:val="00E84FE5"/>
    <w:rsid w:val="00E860D6"/>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EEF"/>
    <w:rsid w:val="00E936DA"/>
    <w:rsid w:val="00E9399B"/>
    <w:rsid w:val="00E939A7"/>
    <w:rsid w:val="00E94008"/>
    <w:rsid w:val="00E94762"/>
    <w:rsid w:val="00E94884"/>
    <w:rsid w:val="00E94BDB"/>
    <w:rsid w:val="00E95208"/>
    <w:rsid w:val="00E956BA"/>
    <w:rsid w:val="00E96B52"/>
    <w:rsid w:val="00EA0018"/>
    <w:rsid w:val="00EA08BE"/>
    <w:rsid w:val="00EA0A85"/>
    <w:rsid w:val="00EA14B0"/>
    <w:rsid w:val="00EA2244"/>
    <w:rsid w:val="00EA4DDC"/>
    <w:rsid w:val="00EA6FA7"/>
    <w:rsid w:val="00EB067F"/>
    <w:rsid w:val="00EB150C"/>
    <w:rsid w:val="00EB17BE"/>
    <w:rsid w:val="00EB1A1B"/>
    <w:rsid w:val="00EB1F02"/>
    <w:rsid w:val="00EB2A00"/>
    <w:rsid w:val="00EB2E64"/>
    <w:rsid w:val="00EB2FEF"/>
    <w:rsid w:val="00EB3290"/>
    <w:rsid w:val="00EB3F7A"/>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5D33"/>
    <w:rsid w:val="00EC638F"/>
    <w:rsid w:val="00EC68BF"/>
    <w:rsid w:val="00EC7927"/>
    <w:rsid w:val="00ED095E"/>
    <w:rsid w:val="00ED1A0B"/>
    <w:rsid w:val="00ED27DD"/>
    <w:rsid w:val="00ED312F"/>
    <w:rsid w:val="00ED31E5"/>
    <w:rsid w:val="00ED4E9C"/>
    <w:rsid w:val="00ED5162"/>
    <w:rsid w:val="00ED697C"/>
    <w:rsid w:val="00EE06CA"/>
    <w:rsid w:val="00EE1E0C"/>
    <w:rsid w:val="00EE43AD"/>
    <w:rsid w:val="00EE4874"/>
    <w:rsid w:val="00EE48D6"/>
    <w:rsid w:val="00EE4A6E"/>
    <w:rsid w:val="00EE4BAB"/>
    <w:rsid w:val="00EE4D3B"/>
    <w:rsid w:val="00EE511D"/>
    <w:rsid w:val="00EE6FC6"/>
    <w:rsid w:val="00EE7922"/>
    <w:rsid w:val="00EE79A6"/>
    <w:rsid w:val="00EF11DF"/>
    <w:rsid w:val="00EF130D"/>
    <w:rsid w:val="00EF2E26"/>
    <w:rsid w:val="00EF30E0"/>
    <w:rsid w:val="00EF3A81"/>
    <w:rsid w:val="00EF3D05"/>
    <w:rsid w:val="00EF42CF"/>
    <w:rsid w:val="00EF45D8"/>
    <w:rsid w:val="00EF5403"/>
    <w:rsid w:val="00EF567D"/>
    <w:rsid w:val="00EF5B08"/>
    <w:rsid w:val="00EF5F11"/>
    <w:rsid w:val="00EF6111"/>
    <w:rsid w:val="00EF6CFA"/>
    <w:rsid w:val="00F005A0"/>
    <w:rsid w:val="00F01835"/>
    <w:rsid w:val="00F01891"/>
    <w:rsid w:val="00F01DE9"/>
    <w:rsid w:val="00F0229D"/>
    <w:rsid w:val="00F02B1B"/>
    <w:rsid w:val="00F0322F"/>
    <w:rsid w:val="00F032BB"/>
    <w:rsid w:val="00F032C8"/>
    <w:rsid w:val="00F03522"/>
    <w:rsid w:val="00F03567"/>
    <w:rsid w:val="00F03DD3"/>
    <w:rsid w:val="00F04BBE"/>
    <w:rsid w:val="00F0580C"/>
    <w:rsid w:val="00F06616"/>
    <w:rsid w:val="00F07485"/>
    <w:rsid w:val="00F07EDE"/>
    <w:rsid w:val="00F10BC6"/>
    <w:rsid w:val="00F11352"/>
    <w:rsid w:val="00F11AD0"/>
    <w:rsid w:val="00F12313"/>
    <w:rsid w:val="00F13D34"/>
    <w:rsid w:val="00F14308"/>
    <w:rsid w:val="00F14602"/>
    <w:rsid w:val="00F1498D"/>
    <w:rsid w:val="00F14DDF"/>
    <w:rsid w:val="00F152AD"/>
    <w:rsid w:val="00F15BA3"/>
    <w:rsid w:val="00F15D52"/>
    <w:rsid w:val="00F165B7"/>
    <w:rsid w:val="00F1722F"/>
    <w:rsid w:val="00F20C9C"/>
    <w:rsid w:val="00F21827"/>
    <w:rsid w:val="00F21A00"/>
    <w:rsid w:val="00F2285F"/>
    <w:rsid w:val="00F23155"/>
    <w:rsid w:val="00F23EE4"/>
    <w:rsid w:val="00F24236"/>
    <w:rsid w:val="00F24E0E"/>
    <w:rsid w:val="00F2525F"/>
    <w:rsid w:val="00F25504"/>
    <w:rsid w:val="00F25707"/>
    <w:rsid w:val="00F26693"/>
    <w:rsid w:val="00F26A13"/>
    <w:rsid w:val="00F26CEB"/>
    <w:rsid w:val="00F27D3B"/>
    <w:rsid w:val="00F30F7A"/>
    <w:rsid w:val="00F31261"/>
    <w:rsid w:val="00F31334"/>
    <w:rsid w:val="00F31BB3"/>
    <w:rsid w:val="00F31C67"/>
    <w:rsid w:val="00F323C3"/>
    <w:rsid w:val="00F32A15"/>
    <w:rsid w:val="00F32C93"/>
    <w:rsid w:val="00F32EE6"/>
    <w:rsid w:val="00F32F3C"/>
    <w:rsid w:val="00F339EC"/>
    <w:rsid w:val="00F3414F"/>
    <w:rsid w:val="00F3443B"/>
    <w:rsid w:val="00F34FDD"/>
    <w:rsid w:val="00F35279"/>
    <w:rsid w:val="00F35CC2"/>
    <w:rsid w:val="00F35F1A"/>
    <w:rsid w:val="00F36130"/>
    <w:rsid w:val="00F36278"/>
    <w:rsid w:val="00F3644F"/>
    <w:rsid w:val="00F36B71"/>
    <w:rsid w:val="00F373AE"/>
    <w:rsid w:val="00F37D22"/>
    <w:rsid w:val="00F4032F"/>
    <w:rsid w:val="00F40360"/>
    <w:rsid w:val="00F40444"/>
    <w:rsid w:val="00F40CE6"/>
    <w:rsid w:val="00F40EC2"/>
    <w:rsid w:val="00F41B59"/>
    <w:rsid w:val="00F42099"/>
    <w:rsid w:val="00F423BD"/>
    <w:rsid w:val="00F42AFB"/>
    <w:rsid w:val="00F42ED8"/>
    <w:rsid w:val="00F431C5"/>
    <w:rsid w:val="00F432FF"/>
    <w:rsid w:val="00F433C2"/>
    <w:rsid w:val="00F4457F"/>
    <w:rsid w:val="00F44B9C"/>
    <w:rsid w:val="00F456D2"/>
    <w:rsid w:val="00F45B0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5E6D"/>
    <w:rsid w:val="00F56024"/>
    <w:rsid w:val="00F565E8"/>
    <w:rsid w:val="00F56CB4"/>
    <w:rsid w:val="00F5754B"/>
    <w:rsid w:val="00F576DE"/>
    <w:rsid w:val="00F57747"/>
    <w:rsid w:val="00F578BC"/>
    <w:rsid w:val="00F633F1"/>
    <w:rsid w:val="00F63BF7"/>
    <w:rsid w:val="00F6453E"/>
    <w:rsid w:val="00F65215"/>
    <w:rsid w:val="00F655C6"/>
    <w:rsid w:val="00F65617"/>
    <w:rsid w:val="00F65A88"/>
    <w:rsid w:val="00F66494"/>
    <w:rsid w:val="00F700B9"/>
    <w:rsid w:val="00F7011F"/>
    <w:rsid w:val="00F710BE"/>
    <w:rsid w:val="00F71BF5"/>
    <w:rsid w:val="00F72016"/>
    <w:rsid w:val="00F72C08"/>
    <w:rsid w:val="00F72DAD"/>
    <w:rsid w:val="00F736D2"/>
    <w:rsid w:val="00F74CEE"/>
    <w:rsid w:val="00F7564C"/>
    <w:rsid w:val="00F76220"/>
    <w:rsid w:val="00F769BE"/>
    <w:rsid w:val="00F7735C"/>
    <w:rsid w:val="00F77BD5"/>
    <w:rsid w:val="00F82E6B"/>
    <w:rsid w:val="00F83662"/>
    <w:rsid w:val="00F838C0"/>
    <w:rsid w:val="00F85F83"/>
    <w:rsid w:val="00F86374"/>
    <w:rsid w:val="00F86739"/>
    <w:rsid w:val="00F87E7F"/>
    <w:rsid w:val="00F90D75"/>
    <w:rsid w:val="00F91049"/>
    <w:rsid w:val="00F912FD"/>
    <w:rsid w:val="00F91D43"/>
    <w:rsid w:val="00F92B65"/>
    <w:rsid w:val="00F9367F"/>
    <w:rsid w:val="00F9512B"/>
    <w:rsid w:val="00F95411"/>
    <w:rsid w:val="00F9619C"/>
    <w:rsid w:val="00F96339"/>
    <w:rsid w:val="00F9759C"/>
    <w:rsid w:val="00F97859"/>
    <w:rsid w:val="00F97973"/>
    <w:rsid w:val="00F97B71"/>
    <w:rsid w:val="00FA06A3"/>
    <w:rsid w:val="00FA0E23"/>
    <w:rsid w:val="00FA230F"/>
    <w:rsid w:val="00FA2CFC"/>
    <w:rsid w:val="00FA2DDA"/>
    <w:rsid w:val="00FA34CA"/>
    <w:rsid w:val="00FA3E3E"/>
    <w:rsid w:val="00FA4A55"/>
    <w:rsid w:val="00FA4D4F"/>
    <w:rsid w:val="00FA54E8"/>
    <w:rsid w:val="00FA5FE8"/>
    <w:rsid w:val="00FA668B"/>
    <w:rsid w:val="00FA67CF"/>
    <w:rsid w:val="00FA7659"/>
    <w:rsid w:val="00FA7F6F"/>
    <w:rsid w:val="00FB10EC"/>
    <w:rsid w:val="00FB2D17"/>
    <w:rsid w:val="00FB2F69"/>
    <w:rsid w:val="00FB368B"/>
    <w:rsid w:val="00FB3A3A"/>
    <w:rsid w:val="00FB3D98"/>
    <w:rsid w:val="00FB4217"/>
    <w:rsid w:val="00FB4379"/>
    <w:rsid w:val="00FB45FF"/>
    <w:rsid w:val="00FB4C09"/>
    <w:rsid w:val="00FB55D8"/>
    <w:rsid w:val="00FB5D97"/>
    <w:rsid w:val="00FB61EA"/>
    <w:rsid w:val="00FB6C7A"/>
    <w:rsid w:val="00FB732E"/>
    <w:rsid w:val="00FB79F7"/>
    <w:rsid w:val="00FC09E7"/>
    <w:rsid w:val="00FC1CA5"/>
    <w:rsid w:val="00FC1D8E"/>
    <w:rsid w:val="00FC24EB"/>
    <w:rsid w:val="00FC2733"/>
    <w:rsid w:val="00FC2979"/>
    <w:rsid w:val="00FC5041"/>
    <w:rsid w:val="00FC5407"/>
    <w:rsid w:val="00FC6D6C"/>
    <w:rsid w:val="00FC6E91"/>
    <w:rsid w:val="00FC71A8"/>
    <w:rsid w:val="00FD1BEF"/>
    <w:rsid w:val="00FD1C3C"/>
    <w:rsid w:val="00FD24F6"/>
    <w:rsid w:val="00FD2DB1"/>
    <w:rsid w:val="00FD38A8"/>
    <w:rsid w:val="00FD3A23"/>
    <w:rsid w:val="00FD5348"/>
    <w:rsid w:val="00FD6AC8"/>
    <w:rsid w:val="00FD6ADD"/>
    <w:rsid w:val="00FE06DF"/>
    <w:rsid w:val="00FE0A6C"/>
    <w:rsid w:val="00FE1727"/>
    <w:rsid w:val="00FE1738"/>
    <w:rsid w:val="00FE225B"/>
    <w:rsid w:val="00FE3638"/>
    <w:rsid w:val="00FE3EA1"/>
    <w:rsid w:val="00FE4818"/>
    <w:rsid w:val="00FE4CA4"/>
    <w:rsid w:val="00FE5AE4"/>
    <w:rsid w:val="00FE5D80"/>
    <w:rsid w:val="00FE637F"/>
    <w:rsid w:val="00FE64EE"/>
    <w:rsid w:val="00FE73F7"/>
    <w:rsid w:val="00FE745E"/>
    <w:rsid w:val="00FE7865"/>
    <w:rsid w:val="00FF05DE"/>
    <w:rsid w:val="00FF06C4"/>
    <w:rsid w:val="00FF0BB0"/>
    <w:rsid w:val="00FF1342"/>
    <w:rsid w:val="00FF1513"/>
    <w:rsid w:val="00FF1577"/>
    <w:rsid w:val="00FF17DD"/>
    <w:rsid w:val="00FF2145"/>
    <w:rsid w:val="00FF314D"/>
    <w:rsid w:val="00FF3334"/>
    <w:rsid w:val="00FF50AB"/>
    <w:rsid w:val="00FF54A3"/>
    <w:rsid w:val="00FF5733"/>
    <w:rsid w:val="00FF59BE"/>
    <w:rsid w:val="00FF5BA7"/>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24507487-A7C1-4A50-9DDA-E0537AB2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paragraph" w:styleId="40">
    <w:name w:val="heading 4"/>
    <w:basedOn w:val="a"/>
    <w:next w:val="a"/>
    <w:link w:val="4Char"/>
    <w:unhideWhenUsed/>
    <w:qFormat/>
    <w:locked/>
    <w:rsid w:val="009106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4">
    <w:name w:val="Balloon Text"/>
    <w:basedOn w:val="a"/>
    <w:link w:val="Char"/>
    <w:uiPriority w:val="99"/>
    <w:semiHidden/>
    <w:rsid w:val="00FB732E"/>
    <w:rPr>
      <w:sz w:val="18"/>
      <w:szCs w:val="18"/>
    </w:rPr>
  </w:style>
  <w:style w:type="character" w:customStyle="1" w:styleId="Char">
    <w:name w:val="批注框文本 Char"/>
    <w:link w:val="a4"/>
    <w:uiPriority w:val="99"/>
    <w:semiHidden/>
    <w:locked/>
    <w:rsid w:val="006D141C"/>
    <w:rPr>
      <w:rFonts w:cs="Times New Roman"/>
      <w:kern w:val="2"/>
      <w:sz w:val="18"/>
      <w:szCs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0">
    <w:name w:val="正文文本缩进 Char"/>
    <w:link w:val="a5"/>
    <w:uiPriority w:val="99"/>
    <w:locked/>
    <w:rsid w:val="006D141C"/>
    <w:rPr>
      <w:rFonts w:ascii="Arial Unicode MS" w:eastAsia="Times New Roman" w:hAnsi="Arial Unicode MS" w:cs="Arial Unicode MS"/>
      <w:sz w:val="24"/>
      <w:szCs w:val="24"/>
    </w:rPr>
  </w:style>
  <w:style w:type="paragraph" w:styleId="a6">
    <w:name w:val="Plain Text"/>
    <w:basedOn w:val="a"/>
    <w:link w:val="Char1"/>
    <w:uiPriority w:val="99"/>
    <w:rsid w:val="00FB732E"/>
    <w:rPr>
      <w:rFonts w:ascii="宋体" w:hAnsi="Courier New"/>
      <w:szCs w:val="21"/>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7">
    <w:name w:val="footer"/>
    <w:basedOn w:val="a"/>
    <w:link w:val="Char2"/>
    <w:uiPriority w:val="99"/>
    <w:rsid w:val="00FB732E"/>
    <w:pPr>
      <w:tabs>
        <w:tab w:val="center" w:pos="4153"/>
        <w:tab w:val="right" w:pos="8306"/>
      </w:tabs>
      <w:snapToGrid w:val="0"/>
      <w:jc w:val="left"/>
    </w:pPr>
    <w:rPr>
      <w:sz w:val="18"/>
      <w:szCs w:val="18"/>
    </w:rPr>
  </w:style>
  <w:style w:type="character" w:customStyle="1" w:styleId="Char2">
    <w:name w:val="页脚 Char"/>
    <w:link w:val="a7"/>
    <w:uiPriority w:val="99"/>
    <w:locked/>
    <w:rsid w:val="006D141C"/>
    <w:rPr>
      <w:rFonts w:cs="Times New Roman"/>
      <w:kern w:val="2"/>
      <w:sz w:val="18"/>
      <w:szCs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a"/>
    <w:uiPriority w:val="99"/>
    <w:locked/>
    <w:rsid w:val="006D141C"/>
    <w:rPr>
      <w:rFonts w:cs="Times New Roman"/>
      <w:kern w:val="2"/>
      <w:sz w:val="18"/>
      <w:szCs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rPr>
      <w:szCs w:val="20"/>
    </w:rPr>
  </w:style>
  <w:style w:type="paragraph" w:styleId="ad">
    <w:name w:val="Body Text"/>
    <w:basedOn w:val="a"/>
    <w:link w:val="Char4"/>
    <w:uiPriority w:val="99"/>
    <w:rsid w:val="00FB732E"/>
    <w:pPr>
      <w:spacing w:after="120"/>
    </w:pPr>
  </w:style>
  <w:style w:type="character" w:customStyle="1" w:styleId="Char4">
    <w:name w:val="正文文本 Char"/>
    <w:link w:val="ad"/>
    <w:uiPriority w:val="99"/>
    <w:locked/>
    <w:rsid w:val="006D141C"/>
    <w:rPr>
      <w:rFonts w:cs="Times New Roman"/>
      <w:kern w:val="2"/>
      <w:sz w:val="24"/>
      <w:szCs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semiHidden/>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qFormat/>
    <w:rsid w:val="003D3725"/>
    <w:pPr>
      <w:tabs>
        <w:tab w:val="left" w:pos="1260"/>
        <w:tab w:val="right" w:leader="dot" w:pos="9072"/>
      </w:tabs>
      <w:ind w:leftChars="200" w:left="20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937FC6"/>
    <w:pPr>
      <w:tabs>
        <w:tab w:val="left" w:pos="420"/>
        <w:tab w:val="right" w:leader="dot" w:pos="9072"/>
      </w:tabs>
    </w:pPr>
  </w:style>
  <w:style w:type="paragraph" w:styleId="32">
    <w:name w:val="toc 3"/>
    <w:basedOn w:val="a"/>
    <w:next w:val="a"/>
    <w:autoRedefine/>
    <w:uiPriority w:val="99"/>
    <w:semiHidden/>
    <w:qFormat/>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numbering" w:customStyle="1" w:styleId="5">
    <w:name w:val="样式5"/>
    <w:rsid w:val="00CB660F"/>
    <w:pPr>
      <w:numPr>
        <w:numId w:val="8"/>
      </w:numPr>
    </w:pPr>
  </w:style>
  <w:style w:type="numbering" w:customStyle="1" w:styleId="3">
    <w:name w:val="样式3"/>
    <w:rsid w:val="00CB660F"/>
    <w:pPr>
      <w:numPr>
        <w:numId w:val="7"/>
      </w:numPr>
    </w:pPr>
  </w:style>
  <w:style w:type="numbering" w:customStyle="1" w:styleId="4">
    <w:name w:val="样式4"/>
    <w:rsid w:val="00CB660F"/>
    <w:pPr>
      <w:numPr>
        <w:numId w:val="9"/>
      </w:numPr>
    </w:pPr>
  </w:style>
  <w:style w:type="numbering" w:customStyle="1" w:styleId="2">
    <w:name w:val="样式2"/>
    <w:rsid w:val="00CB660F"/>
    <w:pPr>
      <w:numPr>
        <w:numId w:val="16"/>
      </w:numPr>
    </w:pPr>
  </w:style>
  <w:style w:type="character" w:styleId="af8">
    <w:name w:val="Strong"/>
    <w:basedOn w:val="a1"/>
    <w:uiPriority w:val="22"/>
    <w:qFormat/>
    <w:locked/>
    <w:rsid w:val="00490561"/>
    <w:rPr>
      <w:b/>
      <w:bCs/>
    </w:rPr>
  </w:style>
  <w:style w:type="paragraph" w:customStyle="1" w:styleId="af9">
    <w:name w:val="目录模式"/>
    <w:basedOn w:val="22"/>
    <w:link w:val="Charb"/>
    <w:qFormat/>
    <w:rsid w:val="00F655C6"/>
    <w:rPr>
      <w:rFonts w:ascii="宋体" w:hAnsi="宋体"/>
      <w:noProof/>
      <w:szCs w:val="24"/>
    </w:rPr>
  </w:style>
  <w:style w:type="paragraph" w:customStyle="1" w:styleId="12">
    <w:name w:val="样式1"/>
    <w:basedOn w:val="22"/>
    <w:link w:val="1Char0"/>
    <w:autoRedefine/>
    <w:qFormat/>
    <w:rsid w:val="00F655C6"/>
    <w:rPr>
      <w:rFonts w:ascii="宋体" w:hAnsi="宋体"/>
      <w:noProof/>
      <w:szCs w:val="24"/>
    </w:rPr>
  </w:style>
  <w:style w:type="character" w:customStyle="1" w:styleId="2Char1">
    <w:name w:val="目录 2 Char"/>
    <w:basedOn w:val="a1"/>
    <w:link w:val="22"/>
    <w:uiPriority w:val="99"/>
    <w:rsid w:val="003D3725"/>
    <w:rPr>
      <w:sz w:val="21"/>
      <w:szCs w:val="21"/>
    </w:rPr>
  </w:style>
  <w:style w:type="character" w:customStyle="1" w:styleId="Charb">
    <w:name w:val="目录模式 Char"/>
    <w:basedOn w:val="2Char1"/>
    <w:link w:val="af9"/>
    <w:rsid w:val="00F655C6"/>
    <w:rPr>
      <w:rFonts w:ascii="宋体" w:hAnsi="宋体"/>
      <w:noProof/>
      <w:sz w:val="24"/>
      <w:szCs w:val="24"/>
    </w:rPr>
  </w:style>
  <w:style w:type="character" w:customStyle="1" w:styleId="1Char0">
    <w:name w:val="样式1 Char"/>
    <w:basedOn w:val="2Char1"/>
    <w:link w:val="12"/>
    <w:rsid w:val="00F655C6"/>
    <w:rPr>
      <w:rFonts w:ascii="宋体" w:hAnsi="宋体"/>
      <w:noProof/>
      <w:sz w:val="24"/>
      <w:szCs w:val="24"/>
    </w:rPr>
  </w:style>
  <w:style w:type="character" w:customStyle="1" w:styleId="4Char">
    <w:name w:val="标题 4 Char"/>
    <w:basedOn w:val="a1"/>
    <w:link w:val="40"/>
    <w:rsid w:val="0091064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45285">
      <w:bodyDiv w:val="1"/>
      <w:marLeft w:val="0"/>
      <w:marRight w:val="0"/>
      <w:marTop w:val="0"/>
      <w:marBottom w:val="0"/>
      <w:divBdr>
        <w:top w:val="none" w:sz="0" w:space="0" w:color="auto"/>
        <w:left w:val="none" w:sz="0" w:space="0" w:color="auto"/>
        <w:bottom w:val="none" w:sz="0" w:space="0" w:color="auto"/>
        <w:right w:val="none" w:sz="0" w:space="0" w:color="auto"/>
      </w:divBdr>
    </w:div>
    <w:div w:id="79330798">
      <w:bodyDiv w:val="1"/>
      <w:marLeft w:val="0"/>
      <w:marRight w:val="0"/>
      <w:marTop w:val="0"/>
      <w:marBottom w:val="0"/>
      <w:divBdr>
        <w:top w:val="none" w:sz="0" w:space="0" w:color="auto"/>
        <w:left w:val="none" w:sz="0" w:space="0" w:color="auto"/>
        <w:bottom w:val="none" w:sz="0" w:space="0" w:color="auto"/>
        <w:right w:val="none" w:sz="0" w:space="0" w:color="auto"/>
      </w:divBdr>
    </w:div>
    <w:div w:id="213123387">
      <w:marLeft w:val="0"/>
      <w:marRight w:val="0"/>
      <w:marTop w:val="0"/>
      <w:marBottom w:val="0"/>
      <w:divBdr>
        <w:top w:val="none" w:sz="0" w:space="0" w:color="auto"/>
        <w:left w:val="none" w:sz="0" w:space="0" w:color="auto"/>
        <w:bottom w:val="none" w:sz="0" w:space="0" w:color="auto"/>
        <w:right w:val="none" w:sz="0" w:space="0" w:color="auto"/>
      </w:divBdr>
    </w:div>
    <w:div w:id="213123388">
      <w:marLeft w:val="0"/>
      <w:marRight w:val="0"/>
      <w:marTop w:val="0"/>
      <w:marBottom w:val="0"/>
      <w:divBdr>
        <w:top w:val="none" w:sz="0" w:space="0" w:color="auto"/>
        <w:left w:val="none" w:sz="0" w:space="0" w:color="auto"/>
        <w:bottom w:val="none" w:sz="0" w:space="0" w:color="auto"/>
        <w:right w:val="none" w:sz="0" w:space="0" w:color="auto"/>
      </w:divBdr>
    </w:div>
    <w:div w:id="213123389">
      <w:marLeft w:val="0"/>
      <w:marRight w:val="0"/>
      <w:marTop w:val="0"/>
      <w:marBottom w:val="0"/>
      <w:divBdr>
        <w:top w:val="none" w:sz="0" w:space="0" w:color="auto"/>
        <w:left w:val="none" w:sz="0" w:space="0" w:color="auto"/>
        <w:bottom w:val="none" w:sz="0" w:space="0" w:color="auto"/>
        <w:right w:val="none" w:sz="0" w:space="0" w:color="auto"/>
      </w:divBdr>
    </w:div>
    <w:div w:id="213123390">
      <w:marLeft w:val="0"/>
      <w:marRight w:val="0"/>
      <w:marTop w:val="0"/>
      <w:marBottom w:val="0"/>
      <w:divBdr>
        <w:top w:val="none" w:sz="0" w:space="0" w:color="auto"/>
        <w:left w:val="none" w:sz="0" w:space="0" w:color="auto"/>
        <w:bottom w:val="none" w:sz="0" w:space="0" w:color="auto"/>
        <w:right w:val="none" w:sz="0" w:space="0" w:color="auto"/>
      </w:divBdr>
    </w:div>
    <w:div w:id="213123391">
      <w:marLeft w:val="0"/>
      <w:marRight w:val="0"/>
      <w:marTop w:val="0"/>
      <w:marBottom w:val="0"/>
      <w:divBdr>
        <w:top w:val="none" w:sz="0" w:space="0" w:color="auto"/>
        <w:left w:val="none" w:sz="0" w:space="0" w:color="auto"/>
        <w:bottom w:val="none" w:sz="0" w:space="0" w:color="auto"/>
        <w:right w:val="none" w:sz="0" w:space="0" w:color="auto"/>
      </w:divBdr>
    </w:div>
    <w:div w:id="213123392">
      <w:marLeft w:val="0"/>
      <w:marRight w:val="0"/>
      <w:marTop w:val="0"/>
      <w:marBottom w:val="0"/>
      <w:divBdr>
        <w:top w:val="none" w:sz="0" w:space="0" w:color="auto"/>
        <w:left w:val="none" w:sz="0" w:space="0" w:color="auto"/>
        <w:bottom w:val="none" w:sz="0" w:space="0" w:color="auto"/>
        <w:right w:val="none" w:sz="0" w:space="0" w:color="auto"/>
      </w:divBdr>
    </w:div>
    <w:div w:id="213123393">
      <w:marLeft w:val="0"/>
      <w:marRight w:val="0"/>
      <w:marTop w:val="0"/>
      <w:marBottom w:val="0"/>
      <w:divBdr>
        <w:top w:val="none" w:sz="0" w:space="0" w:color="auto"/>
        <w:left w:val="none" w:sz="0" w:space="0" w:color="auto"/>
        <w:bottom w:val="none" w:sz="0" w:space="0" w:color="auto"/>
        <w:right w:val="none" w:sz="0" w:space="0" w:color="auto"/>
      </w:divBdr>
    </w:div>
    <w:div w:id="213123394">
      <w:marLeft w:val="0"/>
      <w:marRight w:val="0"/>
      <w:marTop w:val="0"/>
      <w:marBottom w:val="0"/>
      <w:divBdr>
        <w:top w:val="none" w:sz="0" w:space="0" w:color="auto"/>
        <w:left w:val="none" w:sz="0" w:space="0" w:color="auto"/>
        <w:bottom w:val="none" w:sz="0" w:space="0" w:color="auto"/>
        <w:right w:val="none" w:sz="0" w:space="0" w:color="auto"/>
      </w:divBdr>
    </w:div>
    <w:div w:id="213123395">
      <w:marLeft w:val="0"/>
      <w:marRight w:val="0"/>
      <w:marTop w:val="0"/>
      <w:marBottom w:val="0"/>
      <w:divBdr>
        <w:top w:val="none" w:sz="0" w:space="0" w:color="auto"/>
        <w:left w:val="none" w:sz="0" w:space="0" w:color="auto"/>
        <w:bottom w:val="none" w:sz="0" w:space="0" w:color="auto"/>
        <w:right w:val="none" w:sz="0" w:space="0" w:color="auto"/>
      </w:divBdr>
    </w:div>
    <w:div w:id="213123396">
      <w:marLeft w:val="0"/>
      <w:marRight w:val="0"/>
      <w:marTop w:val="0"/>
      <w:marBottom w:val="0"/>
      <w:divBdr>
        <w:top w:val="none" w:sz="0" w:space="0" w:color="auto"/>
        <w:left w:val="none" w:sz="0" w:space="0" w:color="auto"/>
        <w:bottom w:val="none" w:sz="0" w:space="0" w:color="auto"/>
        <w:right w:val="none" w:sz="0" w:space="0" w:color="auto"/>
      </w:divBdr>
    </w:div>
    <w:div w:id="213123397">
      <w:marLeft w:val="0"/>
      <w:marRight w:val="0"/>
      <w:marTop w:val="0"/>
      <w:marBottom w:val="0"/>
      <w:divBdr>
        <w:top w:val="none" w:sz="0" w:space="0" w:color="auto"/>
        <w:left w:val="none" w:sz="0" w:space="0" w:color="auto"/>
        <w:bottom w:val="none" w:sz="0" w:space="0" w:color="auto"/>
        <w:right w:val="none" w:sz="0" w:space="0" w:color="auto"/>
      </w:divBdr>
    </w:div>
    <w:div w:id="213123398">
      <w:marLeft w:val="0"/>
      <w:marRight w:val="0"/>
      <w:marTop w:val="0"/>
      <w:marBottom w:val="0"/>
      <w:divBdr>
        <w:top w:val="none" w:sz="0" w:space="0" w:color="auto"/>
        <w:left w:val="none" w:sz="0" w:space="0" w:color="auto"/>
        <w:bottom w:val="none" w:sz="0" w:space="0" w:color="auto"/>
        <w:right w:val="none" w:sz="0" w:space="0" w:color="auto"/>
      </w:divBdr>
    </w:div>
    <w:div w:id="213123399">
      <w:marLeft w:val="0"/>
      <w:marRight w:val="0"/>
      <w:marTop w:val="0"/>
      <w:marBottom w:val="0"/>
      <w:divBdr>
        <w:top w:val="none" w:sz="0" w:space="0" w:color="auto"/>
        <w:left w:val="none" w:sz="0" w:space="0" w:color="auto"/>
        <w:bottom w:val="none" w:sz="0" w:space="0" w:color="auto"/>
        <w:right w:val="none" w:sz="0" w:space="0" w:color="auto"/>
      </w:divBdr>
    </w:div>
    <w:div w:id="213123400">
      <w:marLeft w:val="0"/>
      <w:marRight w:val="0"/>
      <w:marTop w:val="0"/>
      <w:marBottom w:val="0"/>
      <w:divBdr>
        <w:top w:val="none" w:sz="0" w:space="0" w:color="auto"/>
        <w:left w:val="none" w:sz="0" w:space="0" w:color="auto"/>
        <w:bottom w:val="none" w:sz="0" w:space="0" w:color="auto"/>
        <w:right w:val="none" w:sz="0" w:space="0" w:color="auto"/>
      </w:divBdr>
    </w:div>
    <w:div w:id="213123401">
      <w:marLeft w:val="0"/>
      <w:marRight w:val="0"/>
      <w:marTop w:val="0"/>
      <w:marBottom w:val="0"/>
      <w:divBdr>
        <w:top w:val="none" w:sz="0" w:space="0" w:color="auto"/>
        <w:left w:val="none" w:sz="0" w:space="0" w:color="auto"/>
        <w:bottom w:val="none" w:sz="0" w:space="0" w:color="auto"/>
        <w:right w:val="none" w:sz="0" w:space="0" w:color="auto"/>
      </w:divBdr>
    </w:div>
    <w:div w:id="213123402">
      <w:marLeft w:val="0"/>
      <w:marRight w:val="0"/>
      <w:marTop w:val="0"/>
      <w:marBottom w:val="0"/>
      <w:divBdr>
        <w:top w:val="none" w:sz="0" w:space="0" w:color="auto"/>
        <w:left w:val="none" w:sz="0" w:space="0" w:color="auto"/>
        <w:bottom w:val="none" w:sz="0" w:space="0" w:color="auto"/>
        <w:right w:val="none" w:sz="0" w:space="0" w:color="auto"/>
      </w:divBdr>
    </w:div>
    <w:div w:id="213123403">
      <w:marLeft w:val="0"/>
      <w:marRight w:val="0"/>
      <w:marTop w:val="0"/>
      <w:marBottom w:val="0"/>
      <w:divBdr>
        <w:top w:val="none" w:sz="0" w:space="0" w:color="auto"/>
        <w:left w:val="none" w:sz="0" w:space="0" w:color="auto"/>
        <w:bottom w:val="none" w:sz="0" w:space="0" w:color="auto"/>
        <w:right w:val="none" w:sz="0" w:space="0" w:color="auto"/>
      </w:divBdr>
    </w:div>
    <w:div w:id="213123404">
      <w:marLeft w:val="0"/>
      <w:marRight w:val="0"/>
      <w:marTop w:val="0"/>
      <w:marBottom w:val="0"/>
      <w:divBdr>
        <w:top w:val="none" w:sz="0" w:space="0" w:color="auto"/>
        <w:left w:val="none" w:sz="0" w:space="0" w:color="auto"/>
        <w:bottom w:val="none" w:sz="0" w:space="0" w:color="auto"/>
        <w:right w:val="none" w:sz="0" w:space="0" w:color="auto"/>
      </w:divBdr>
    </w:div>
    <w:div w:id="213123405">
      <w:marLeft w:val="0"/>
      <w:marRight w:val="0"/>
      <w:marTop w:val="0"/>
      <w:marBottom w:val="0"/>
      <w:divBdr>
        <w:top w:val="none" w:sz="0" w:space="0" w:color="auto"/>
        <w:left w:val="none" w:sz="0" w:space="0" w:color="auto"/>
        <w:bottom w:val="none" w:sz="0" w:space="0" w:color="auto"/>
        <w:right w:val="none" w:sz="0" w:space="0" w:color="auto"/>
      </w:divBdr>
    </w:div>
    <w:div w:id="213123406">
      <w:marLeft w:val="0"/>
      <w:marRight w:val="0"/>
      <w:marTop w:val="0"/>
      <w:marBottom w:val="0"/>
      <w:divBdr>
        <w:top w:val="none" w:sz="0" w:space="0" w:color="auto"/>
        <w:left w:val="none" w:sz="0" w:space="0" w:color="auto"/>
        <w:bottom w:val="none" w:sz="0" w:space="0" w:color="auto"/>
        <w:right w:val="none" w:sz="0" w:space="0" w:color="auto"/>
      </w:divBdr>
    </w:div>
    <w:div w:id="213123407">
      <w:marLeft w:val="0"/>
      <w:marRight w:val="0"/>
      <w:marTop w:val="0"/>
      <w:marBottom w:val="0"/>
      <w:divBdr>
        <w:top w:val="none" w:sz="0" w:space="0" w:color="auto"/>
        <w:left w:val="none" w:sz="0" w:space="0" w:color="auto"/>
        <w:bottom w:val="none" w:sz="0" w:space="0" w:color="auto"/>
        <w:right w:val="none" w:sz="0" w:space="0" w:color="auto"/>
      </w:divBdr>
    </w:div>
    <w:div w:id="213123408">
      <w:marLeft w:val="0"/>
      <w:marRight w:val="0"/>
      <w:marTop w:val="0"/>
      <w:marBottom w:val="0"/>
      <w:divBdr>
        <w:top w:val="none" w:sz="0" w:space="0" w:color="auto"/>
        <w:left w:val="none" w:sz="0" w:space="0" w:color="auto"/>
        <w:bottom w:val="none" w:sz="0" w:space="0" w:color="auto"/>
        <w:right w:val="none" w:sz="0" w:space="0" w:color="auto"/>
      </w:divBdr>
    </w:div>
    <w:div w:id="213123409">
      <w:marLeft w:val="0"/>
      <w:marRight w:val="0"/>
      <w:marTop w:val="0"/>
      <w:marBottom w:val="0"/>
      <w:divBdr>
        <w:top w:val="none" w:sz="0" w:space="0" w:color="auto"/>
        <w:left w:val="none" w:sz="0" w:space="0" w:color="auto"/>
        <w:bottom w:val="none" w:sz="0" w:space="0" w:color="auto"/>
        <w:right w:val="none" w:sz="0" w:space="0" w:color="auto"/>
      </w:divBdr>
    </w:div>
    <w:div w:id="213123410">
      <w:marLeft w:val="0"/>
      <w:marRight w:val="0"/>
      <w:marTop w:val="0"/>
      <w:marBottom w:val="0"/>
      <w:divBdr>
        <w:top w:val="none" w:sz="0" w:space="0" w:color="auto"/>
        <w:left w:val="none" w:sz="0" w:space="0" w:color="auto"/>
        <w:bottom w:val="none" w:sz="0" w:space="0" w:color="auto"/>
        <w:right w:val="none" w:sz="0" w:space="0" w:color="auto"/>
      </w:divBdr>
    </w:div>
    <w:div w:id="213123411">
      <w:marLeft w:val="0"/>
      <w:marRight w:val="0"/>
      <w:marTop w:val="0"/>
      <w:marBottom w:val="0"/>
      <w:divBdr>
        <w:top w:val="none" w:sz="0" w:space="0" w:color="auto"/>
        <w:left w:val="none" w:sz="0" w:space="0" w:color="auto"/>
        <w:bottom w:val="none" w:sz="0" w:space="0" w:color="auto"/>
        <w:right w:val="none" w:sz="0" w:space="0" w:color="auto"/>
      </w:divBdr>
    </w:div>
    <w:div w:id="213123412">
      <w:marLeft w:val="0"/>
      <w:marRight w:val="0"/>
      <w:marTop w:val="0"/>
      <w:marBottom w:val="0"/>
      <w:divBdr>
        <w:top w:val="none" w:sz="0" w:space="0" w:color="auto"/>
        <w:left w:val="none" w:sz="0" w:space="0" w:color="auto"/>
        <w:bottom w:val="none" w:sz="0" w:space="0" w:color="auto"/>
        <w:right w:val="none" w:sz="0" w:space="0" w:color="auto"/>
      </w:divBdr>
      <w:divsChild>
        <w:div w:id="213123536">
          <w:marLeft w:val="0"/>
          <w:marRight w:val="0"/>
          <w:marTop w:val="0"/>
          <w:marBottom w:val="0"/>
          <w:divBdr>
            <w:top w:val="none" w:sz="0" w:space="0" w:color="auto"/>
            <w:left w:val="none" w:sz="0" w:space="0" w:color="auto"/>
            <w:bottom w:val="none" w:sz="0" w:space="0" w:color="auto"/>
            <w:right w:val="none" w:sz="0" w:space="0" w:color="auto"/>
          </w:divBdr>
        </w:div>
      </w:divsChild>
    </w:div>
    <w:div w:id="213123413">
      <w:marLeft w:val="0"/>
      <w:marRight w:val="0"/>
      <w:marTop w:val="0"/>
      <w:marBottom w:val="0"/>
      <w:divBdr>
        <w:top w:val="none" w:sz="0" w:space="0" w:color="auto"/>
        <w:left w:val="none" w:sz="0" w:space="0" w:color="auto"/>
        <w:bottom w:val="none" w:sz="0" w:space="0" w:color="auto"/>
        <w:right w:val="none" w:sz="0" w:space="0" w:color="auto"/>
      </w:divBdr>
    </w:div>
    <w:div w:id="213123414">
      <w:marLeft w:val="0"/>
      <w:marRight w:val="0"/>
      <w:marTop w:val="0"/>
      <w:marBottom w:val="0"/>
      <w:divBdr>
        <w:top w:val="none" w:sz="0" w:space="0" w:color="auto"/>
        <w:left w:val="none" w:sz="0" w:space="0" w:color="auto"/>
        <w:bottom w:val="none" w:sz="0" w:space="0" w:color="auto"/>
        <w:right w:val="none" w:sz="0" w:space="0" w:color="auto"/>
      </w:divBdr>
    </w:div>
    <w:div w:id="213123415">
      <w:marLeft w:val="0"/>
      <w:marRight w:val="0"/>
      <w:marTop w:val="0"/>
      <w:marBottom w:val="0"/>
      <w:divBdr>
        <w:top w:val="none" w:sz="0" w:space="0" w:color="auto"/>
        <w:left w:val="none" w:sz="0" w:space="0" w:color="auto"/>
        <w:bottom w:val="none" w:sz="0" w:space="0" w:color="auto"/>
        <w:right w:val="none" w:sz="0" w:space="0" w:color="auto"/>
      </w:divBdr>
    </w:div>
    <w:div w:id="213123416">
      <w:marLeft w:val="0"/>
      <w:marRight w:val="0"/>
      <w:marTop w:val="0"/>
      <w:marBottom w:val="0"/>
      <w:divBdr>
        <w:top w:val="none" w:sz="0" w:space="0" w:color="auto"/>
        <w:left w:val="none" w:sz="0" w:space="0" w:color="auto"/>
        <w:bottom w:val="none" w:sz="0" w:space="0" w:color="auto"/>
        <w:right w:val="none" w:sz="0" w:space="0" w:color="auto"/>
      </w:divBdr>
    </w:div>
    <w:div w:id="213123417">
      <w:marLeft w:val="0"/>
      <w:marRight w:val="0"/>
      <w:marTop w:val="0"/>
      <w:marBottom w:val="0"/>
      <w:divBdr>
        <w:top w:val="none" w:sz="0" w:space="0" w:color="auto"/>
        <w:left w:val="none" w:sz="0" w:space="0" w:color="auto"/>
        <w:bottom w:val="none" w:sz="0" w:space="0" w:color="auto"/>
        <w:right w:val="none" w:sz="0" w:space="0" w:color="auto"/>
      </w:divBdr>
    </w:div>
    <w:div w:id="213123418">
      <w:marLeft w:val="0"/>
      <w:marRight w:val="0"/>
      <w:marTop w:val="0"/>
      <w:marBottom w:val="0"/>
      <w:divBdr>
        <w:top w:val="none" w:sz="0" w:space="0" w:color="auto"/>
        <w:left w:val="none" w:sz="0" w:space="0" w:color="auto"/>
        <w:bottom w:val="none" w:sz="0" w:space="0" w:color="auto"/>
        <w:right w:val="none" w:sz="0" w:space="0" w:color="auto"/>
      </w:divBdr>
    </w:div>
    <w:div w:id="213123419">
      <w:marLeft w:val="0"/>
      <w:marRight w:val="0"/>
      <w:marTop w:val="0"/>
      <w:marBottom w:val="0"/>
      <w:divBdr>
        <w:top w:val="none" w:sz="0" w:space="0" w:color="auto"/>
        <w:left w:val="none" w:sz="0" w:space="0" w:color="auto"/>
        <w:bottom w:val="none" w:sz="0" w:space="0" w:color="auto"/>
        <w:right w:val="none" w:sz="0" w:space="0" w:color="auto"/>
      </w:divBdr>
    </w:div>
    <w:div w:id="213123420">
      <w:marLeft w:val="0"/>
      <w:marRight w:val="0"/>
      <w:marTop w:val="0"/>
      <w:marBottom w:val="0"/>
      <w:divBdr>
        <w:top w:val="none" w:sz="0" w:space="0" w:color="auto"/>
        <w:left w:val="none" w:sz="0" w:space="0" w:color="auto"/>
        <w:bottom w:val="none" w:sz="0" w:space="0" w:color="auto"/>
        <w:right w:val="none" w:sz="0" w:space="0" w:color="auto"/>
      </w:divBdr>
    </w:div>
    <w:div w:id="213123421">
      <w:marLeft w:val="0"/>
      <w:marRight w:val="0"/>
      <w:marTop w:val="0"/>
      <w:marBottom w:val="0"/>
      <w:divBdr>
        <w:top w:val="none" w:sz="0" w:space="0" w:color="auto"/>
        <w:left w:val="none" w:sz="0" w:space="0" w:color="auto"/>
        <w:bottom w:val="none" w:sz="0" w:space="0" w:color="auto"/>
        <w:right w:val="none" w:sz="0" w:space="0" w:color="auto"/>
      </w:divBdr>
    </w:div>
    <w:div w:id="213123422">
      <w:marLeft w:val="0"/>
      <w:marRight w:val="0"/>
      <w:marTop w:val="0"/>
      <w:marBottom w:val="0"/>
      <w:divBdr>
        <w:top w:val="none" w:sz="0" w:space="0" w:color="auto"/>
        <w:left w:val="none" w:sz="0" w:space="0" w:color="auto"/>
        <w:bottom w:val="none" w:sz="0" w:space="0" w:color="auto"/>
        <w:right w:val="none" w:sz="0" w:space="0" w:color="auto"/>
      </w:divBdr>
    </w:div>
    <w:div w:id="213123423">
      <w:marLeft w:val="0"/>
      <w:marRight w:val="0"/>
      <w:marTop w:val="0"/>
      <w:marBottom w:val="0"/>
      <w:divBdr>
        <w:top w:val="none" w:sz="0" w:space="0" w:color="auto"/>
        <w:left w:val="none" w:sz="0" w:space="0" w:color="auto"/>
        <w:bottom w:val="none" w:sz="0" w:space="0" w:color="auto"/>
        <w:right w:val="none" w:sz="0" w:space="0" w:color="auto"/>
      </w:divBdr>
    </w:div>
    <w:div w:id="213123424">
      <w:marLeft w:val="0"/>
      <w:marRight w:val="0"/>
      <w:marTop w:val="0"/>
      <w:marBottom w:val="0"/>
      <w:divBdr>
        <w:top w:val="none" w:sz="0" w:space="0" w:color="auto"/>
        <w:left w:val="none" w:sz="0" w:space="0" w:color="auto"/>
        <w:bottom w:val="none" w:sz="0" w:space="0" w:color="auto"/>
        <w:right w:val="none" w:sz="0" w:space="0" w:color="auto"/>
      </w:divBdr>
    </w:div>
    <w:div w:id="213123425">
      <w:marLeft w:val="0"/>
      <w:marRight w:val="0"/>
      <w:marTop w:val="0"/>
      <w:marBottom w:val="0"/>
      <w:divBdr>
        <w:top w:val="none" w:sz="0" w:space="0" w:color="auto"/>
        <w:left w:val="none" w:sz="0" w:space="0" w:color="auto"/>
        <w:bottom w:val="none" w:sz="0" w:space="0" w:color="auto"/>
        <w:right w:val="none" w:sz="0" w:space="0" w:color="auto"/>
      </w:divBdr>
    </w:div>
    <w:div w:id="213123426">
      <w:marLeft w:val="0"/>
      <w:marRight w:val="0"/>
      <w:marTop w:val="0"/>
      <w:marBottom w:val="0"/>
      <w:divBdr>
        <w:top w:val="none" w:sz="0" w:space="0" w:color="auto"/>
        <w:left w:val="none" w:sz="0" w:space="0" w:color="auto"/>
        <w:bottom w:val="none" w:sz="0" w:space="0" w:color="auto"/>
        <w:right w:val="none" w:sz="0" w:space="0" w:color="auto"/>
      </w:divBdr>
    </w:div>
    <w:div w:id="213123427">
      <w:marLeft w:val="0"/>
      <w:marRight w:val="0"/>
      <w:marTop w:val="0"/>
      <w:marBottom w:val="0"/>
      <w:divBdr>
        <w:top w:val="none" w:sz="0" w:space="0" w:color="auto"/>
        <w:left w:val="none" w:sz="0" w:space="0" w:color="auto"/>
        <w:bottom w:val="none" w:sz="0" w:space="0" w:color="auto"/>
        <w:right w:val="none" w:sz="0" w:space="0" w:color="auto"/>
      </w:divBdr>
    </w:div>
    <w:div w:id="213123428">
      <w:marLeft w:val="0"/>
      <w:marRight w:val="0"/>
      <w:marTop w:val="0"/>
      <w:marBottom w:val="0"/>
      <w:divBdr>
        <w:top w:val="none" w:sz="0" w:space="0" w:color="auto"/>
        <w:left w:val="none" w:sz="0" w:space="0" w:color="auto"/>
        <w:bottom w:val="none" w:sz="0" w:space="0" w:color="auto"/>
        <w:right w:val="none" w:sz="0" w:space="0" w:color="auto"/>
      </w:divBdr>
    </w:div>
    <w:div w:id="213123429">
      <w:marLeft w:val="0"/>
      <w:marRight w:val="0"/>
      <w:marTop w:val="0"/>
      <w:marBottom w:val="0"/>
      <w:divBdr>
        <w:top w:val="none" w:sz="0" w:space="0" w:color="auto"/>
        <w:left w:val="none" w:sz="0" w:space="0" w:color="auto"/>
        <w:bottom w:val="none" w:sz="0" w:space="0" w:color="auto"/>
        <w:right w:val="none" w:sz="0" w:space="0" w:color="auto"/>
      </w:divBdr>
    </w:div>
    <w:div w:id="213123430">
      <w:marLeft w:val="0"/>
      <w:marRight w:val="0"/>
      <w:marTop w:val="0"/>
      <w:marBottom w:val="0"/>
      <w:divBdr>
        <w:top w:val="none" w:sz="0" w:space="0" w:color="auto"/>
        <w:left w:val="none" w:sz="0" w:space="0" w:color="auto"/>
        <w:bottom w:val="none" w:sz="0" w:space="0" w:color="auto"/>
        <w:right w:val="none" w:sz="0" w:space="0" w:color="auto"/>
      </w:divBdr>
    </w:div>
    <w:div w:id="213123431">
      <w:marLeft w:val="0"/>
      <w:marRight w:val="0"/>
      <w:marTop w:val="0"/>
      <w:marBottom w:val="0"/>
      <w:divBdr>
        <w:top w:val="none" w:sz="0" w:space="0" w:color="auto"/>
        <w:left w:val="none" w:sz="0" w:space="0" w:color="auto"/>
        <w:bottom w:val="none" w:sz="0" w:space="0" w:color="auto"/>
        <w:right w:val="none" w:sz="0" w:space="0" w:color="auto"/>
      </w:divBdr>
    </w:div>
    <w:div w:id="213123432">
      <w:marLeft w:val="0"/>
      <w:marRight w:val="0"/>
      <w:marTop w:val="0"/>
      <w:marBottom w:val="0"/>
      <w:divBdr>
        <w:top w:val="none" w:sz="0" w:space="0" w:color="auto"/>
        <w:left w:val="none" w:sz="0" w:space="0" w:color="auto"/>
        <w:bottom w:val="none" w:sz="0" w:space="0" w:color="auto"/>
        <w:right w:val="none" w:sz="0" w:space="0" w:color="auto"/>
      </w:divBdr>
    </w:div>
    <w:div w:id="213123433">
      <w:marLeft w:val="0"/>
      <w:marRight w:val="0"/>
      <w:marTop w:val="0"/>
      <w:marBottom w:val="0"/>
      <w:divBdr>
        <w:top w:val="none" w:sz="0" w:space="0" w:color="auto"/>
        <w:left w:val="none" w:sz="0" w:space="0" w:color="auto"/>
        <w:bottom w:val="none" w:sz="0" w:space="0" w:color="auto"/>
        <w:right w:val="none" w:sz="0" w:space="0" w:color="auto"/>
      </w:divBdr>
    </w:div>
    <w:div w:id="213123434">
      <w:marLeft w:val="0"/>
      <w:marRight w:val="0"/>
      <w:marTop w:val="0"/>
      <w:marBottom w:val="0"/>
      <w:divBdr>
        <w:top w:val="none" w:sz="0" w:space="0" w:color="auto"/>
        <w:left w:val="none" w:sz="0" w:space="0" w:color="auto"/>
        <w:bottom w:val="none" w:sz="0" w:space="0" w:color="auto"/>
        <w:right w:val="none" w:sz="0" w:space="0" w:color="auto"/>
      </w:divBdr>
    </w:div>
    <w:div w:id="213123435">
      <w:marLeft w:val="0"/>
      <w:marRight w:val="0"/>
      <w:marTop w:val="0"/>
      <w:marBottom w:val="0"/>
      <w:divBdr>
        <w:top w:val="none" w:sz="0" w:space="0" w:color="auto"/>
        <w:left w:val="none" w:sz="0" w:space="0" w:color="auto"/>
        <w:bottom w:val="none" w:sz="0" w:space="0" w:color="auto"/>
        <w:right w:val="none" w:sz="0" w:space="0" w:color="auto"/>
      </w:divBdr>
    </w:div>
    <w:div w:id="213123436">
      <w:marLeft w:val="0"/>
      <w:marRight w:val="0"/>
      <w:marTop w:val="0"/>
      <w:marBottom w:val="0"/>
      <w:divBdr>
        <w:top w:val="none" w:sz="0" w:space="0" w:color="auto"/>
        <w:left w:val="none" w:sz="0" w:space="0" w:color="auto"/>
        <w:bottom w:val="none" w:sz="0" w:space="0" w:color="auto"/>
        <w:right w:val="none" w:sz="0" w:space="0" w:color="auto"/>
      </w:divBdr>
    </w:div>
    <w:div w:id="213123437">
      <w:marLeft w:val="0"/>
      <w:marRight w:val="0"/>
      <w:marTop w:val="0"/>
      <w:marBottom w:val="0"/>
      <w:divBdr>
        <w:top w:val="none" w:sz="0" w:space="0" w:color="auto"/>
        <w:left w:val="none" w:sz="0" w:space="0" w:color="auto"/>
        <w:bottom w:val="none" w:sz="0" w:space="0" w:color="auto"/>
        <w:right w:val="none" w:sz="0" w:space="0" w:color="auto"/>
      </w:divBdr>
    </w:div>
    <w:div w:id="213123438">
      <w:marLeft w:val="0"/>
      <w:marRight w:val="0"/>
      <w:marTop w:val="0"/>
      <w:marBottom w:val="0"/>
      <w:divBdr>
        <w:top w:val="none" w:sz="0" w:space="0" w:color="auto"/>
        <w:left w:val="none" w:sz="0" w:space="0" w:color="auto"/>
        <w:bottom w:val="none" w:sz="0" w:space="0" w:color="auto"/>
        <w:right w:val="none" w:sz="0" w:space="0" w:color="auto"/>
      </w:divBdr>
    </w:div>
    <w:div w:id="213123439">
      <w:marLeft w:val="0"/>
      <w:marRight w:val="0"/>
      <w:marTop w:val="0"/>
      <w:marBottom w:val="0"/>
      <w:divBdr>
        <w:top w:val="none" w:sz="0" w:space="0" w:color="auto"/>
        <w:left w:val="none" w:sz="0" w:space="0" w:color="auto"/>
        <w:bottom w:val="none" w:sz="0" w:space="0" w:color="auto"/>
        <w:right w:val="none" w:sz="0" w:space="0" w:color="auto"/>
      </w:divBdr>
    </w:div>
    <w:div w:id="213123440">
      <w:marLeft w:val="0"/>
      <w:marRight w:val="0"/>
      <w:marTop w:val="0"/>
      <w:marBottom w:val="0"/>
      <w:divBdr>
        <w:top w:val="none" w:sz="0" w:space="0" w:color="auto"/>
        <w:left w:val="none" w:sz="0" w:space="0" w:color="auto"/>
        <w:bottom w:val="none" w:sz="0" w:space="0" w:color="auto"/>
        <w:right w:val="none" w:sz="0" w:space="0" w:color="auto"/>
      </w:divBdr>
    </w:div>
    <w:div w:id="213123441">
      <w:marLeft w:val="0"/>
      <w:marRight w:val="0"/>
      <w:marTop w:val="0"/>
      <w:marBottom w:val="0"/>
      <w:divBdr>
        <w:top w:val="none" w:sz="0" w:space="0" w:color="auto"/>
        <w:left w:val="none" w:sz="0" w:space="0" w:color="auto"/>
        <w:bottom w:val="none" w:sz="0" w:space="0" w:color="auto"/>
        <w:right w:val="none" w:sz="0" w:space="0" w:color="auto"/>
      </w:divBdr>
    </w:div>
    <w:div w:id="213123442">
      <w:marLeft w:val="0"/>
      <w:marRight w:val="0"/>
      <w:marTop w:val="0"/>
      <w:marBottom w:val="0"/>
      <w:divBdr>
        <w:top w:val="none" w:sz="0" w:space="0" w:color="auto"/>
        <w:left w:val="none" w:sz="0" w:space="0" w:color="auto"/>
        <w:bottom w:val="none" w:sz="0" w:space="0" w:color="auto"/>
        <w:right w:val="none" w:sz="0" w:space="0" w:color="auto"/>
      </w:divBdr>
    </w:div>
    <w:div w:id="213123443">
      <w:marLeft w:val="0"/>
      <w:marRight w:val="0"/>
      <w:marTop w:val="0"/>
      <w:marBottom w:val="0"/>
      <w:divBdr>
        <w:top w:val="none" w:sz="0" w:space="0" w:color="auto"/>
        <w:left w:val="none" w:sz="0" w:space="0" w:color="auto"/>
        <w:bottom w:val="none" w:sz="0" w:space="0" w:color="auto"/>
        <w:right w:val="none" w:sz="0" w:space="0" w:color="auto"/>
      </w:divBdr>
    </w:div>
    <w:div w:id="213123444">
      <w:marLeft w:val="0"/>
      <w:marRight w:val="0"/>
      <w:marTop w:val="0"/>
      <w:marBottom w:val="0"/>
      <w:divBdr>
        <w:top w:val="none" w:sz="0" w:space="0" w:color="auto"/>
        <w:left w:val="none" w:sz="0" w:space="0" w:color="auto"/>
        <w:bottom w:val="none" w:sz="0" w:space="0" w:color="auto"/>
        <w:right w:val="none" w:sz="0" w:space="0" w:color="auto"/>
      </w:divBdr>
    </w:div>
    <w:div w:id="213123445">
      <w:marLeft w:val="0"/>
      <w:marRight w:val="0"/>
      <w:marTop w:val="0"/>
      <w:marBottom w:val="0"/>
      <w:divBdr>
        <w:top w:val="none" w:sz="0" w:space="0" w:color="auto"/>
        <w:left w:val="none" w:sz="0" w:space="0" w:color="auto"/>
        <w:bottom w:val="none" w:sz="0" w:space="0" w:color="auto"/>
        <w:right w:val="none" w:sz="0" w:space="0" w:color="auto"/>
      </w:divBdr>
    </w:div>
    <w:div w:id="213123446">
      <w:marLeft w:val="0"/>
      <w:marRight w:val="0"/>
      <w:marTop w:val="0"/>
      <w:marBottom w:val="0"/>
      <w:divBdr>
        <w:top w:val="none" w:sz="0" w:space="0" w:color="auto"/>
        <w:left w:val="none" w:sz="0" w:space="0" w:color="auto"/>
        <w:bottom w:val="none" w:sz="0" w:space="0" w:color="auto"/>
        <w:right w:val="none" w:sz="0" w:space="0" w:color="auto"/>
      </w:divBdr>
    </w:div>
    <w:div w:id="213123447">
      <w:marLeft w:val="0"/>
      <w:marRight w:val="0"/>
      <w:marTop w:val="0"/>
      <w:marBottom w:val="0"/>
      <w:divBdr>
        <w:top w:val="none" w:sz="0" w:space="0" w:color="auto"/>
        <w:left w:val="none" w:sz="0" w:space="0" w:color="auto"/>
        <w:bottom w:val="none" w:sz="0" w:space="0" w:color="auto"/>
        <w:right w:val="none" w:sz="0" w:space="0" w:color="auto"/>
      </w:divBdr>
    </w:div>
    <w:div w:id="213123448">
      <w:marLeft w:val="0"/>
      <w:marRight w:val="0"/>
      <w:marTop w:val="0"/>
      <w:marBottom w:val="0"/>
      <w:divBdr>
        <w:top w:val="none" w:sz="0" w:space="0" w:color="auto"/>
        <w:left w:val="none" w:sz="0" w:space="0" w:color="auto"/>
        <w:bottom w:val="none" w:sz="0" w:space="0" w:color="auto"/>
        <w:right w:val="none" w:sz="0" w:space="0" w:color="auto"/>
      </w:divBdr>
    </w:div>
    <w:div w:id="213123449">
      <w:marLeft w:val="0"/>
      <w:marRight w:val="0"/>
      <w:marTop w:val="0"/>
      <w:marBottom w:val="0"/>
      <w:divBdr>
        <w:top w:val="none" w:sz="0" w:space="0" w:color="auto"/>
        <w:left w:val="none" w:sz="0" w:space="0" w:color="auto"/>
        <w:bottom w:val="none" w:sz="0" w:space="0" w:color="auto"/>
        <w:right w:val="none" w:sz="0" w:space="0" w:color="auto"/>
      </w:divBdr>
    </w:div>
    <w:div w:id="213123450">
      <w:marLeft w:val="0"/>
      <w:marRight w:val="0"/>
      <w:marTop w:val="0"/>
      <w:marBottom w:val="0"/>
      <w:divBdr>
        <w:top w:val="none" w:sz="0" w:space="0" w:color="auto"/>
        <w:left w:val="none" w:sz="0" w:space="0" w:color="auto"/>
        <w:bottom w:val="none" w:sz="0" w:space="0" w:color="auto"/>
        <w:right w:val="none" w:sz="0" w:space="0" w:color="auto"/>
      </w:divBdr>
    </w:div>
    <w:div w:id="213123451">
      <w:marLeft w:val="0"/>
      <w:marRight w:val="0"/>
      <w:marTop w:val="0"/>
      <w:marBottom w:val="0"/>
      <w:divBdr>
        <w:top w:val="none" w:sz="0" w:space="0" w:color="auto"/>
        <w:left w:val="none" w:sz="0" w:space="0" w:color="auto"/>
        <w:bottom w:val="none" w:sz="0" w:space="0" w:color="auto"/>
        <w:right w:val="none" w:sz="0" w:space="0" w:color="auto"/>
      </w:divBdr>
    </w:div>
    <w:div w:id="213123452">
      <w:marLeft w:val="0"/>
      <w:marRight w:val="0"/>
      <w:marTop w:val="0"/>
      <w:marBottom w:val="0"/>
      <w:divBdr>
        <w:top w:val="none" w:sz="0" w:space="0" w:color="auto"/>
        <w:left w:val="none" w:sz="0" w:space="0" w:color="auto"/>
        <w:bottom w:val="none" w:sz="0" w:space="0" w:color="auto"/>
        <w:right w:val="none" w:sz="0" w:space="0" w:color="auto"/>
      </w:divBdr>
    </w:div>
    <w:div w:id="213123453">
      <w:marLeft w:val="0"/>
      <w:marRight w:val="0"/>
      <w:marTop w:val="0"/>
      <w:marBottom w:val="0"/>
      <w:divBdr>
        <w:top w:val="none" w:sz="0" w:space="0" w:color="auto"/>
        <w:left w:val="none" w:sz="0" w:space="0" w:color="auto"/>
        <w:bottom w:val="none" w:sz="0" w:space="0" w:color="auto"/>
        <w:right w:val="none" w:sz="0" w:space="0" w:color="auto"/>
      </w:divBdr>
    </w:div>
    <w:div w:id="213123454">
      <w:marLeft w:val="0"/>
      <w:marRight w:val="0"/>
      <w:marTop w:val="0"/>
      <w:marBottom w:val="0"/>
      <w:divBdr>
        <w:top w:val="none" w:sz="0" w:space="0" w:color="auto"/>
        <w:left w:val="none" w:sz="0" w:space="0" w:color="auto"/>
        <w:bottom w:val="none" w:sz="0" w:space="0" w:color="auto"/>
        <w:right w:val="none" w:sz="0" w:space="0" w:color="auto"/>
      </w:divBdr>
    </w:div>
    <w:div w:id="213123455">
      <w:marLeft w:val="0"/>
      <w:marRight w:val="0"/>
      <w:marTop w:val="0"/>
      <w:marBottom w:val="0"/>
      <w:divBdr>
        <w:top w:val="none" w:sz="0" w:space="0" w:color="auto"/>
        <w:left w:val="none" w:sz="0" w:space="0" w:color="auto"/>
        <w:bottom w:val="none" w:sz="0" w:space="0" w:color="auto"/>
        <w:right w:val="none" w:sz="0" w:space="0" w:color="auto"/>
      </w:divBdr>
    </w:div>
    <w:div w:id="213123456">
      <w:marLeft w:val="0"/>
      <w:marRight w:val="0"/>
      <w:marTop w:val="0"/>
      <w:marBottom w:val="0"/>
      <w:divBdr>
        <w:top w:val="none" w:sz="0" w:space="0" w:color="auto"/>
        <w:left w:val="none" w:sz="0" w:space="0" w:color="auto"/>
        <w:bottom w:val="none" w:sz="0" w:space="0" w:color="auto"/>
        <w:right w:val="none" w:sz="0" w:space="0" w:color="auto"/>
      </w:divBdr>
    </w:div>
    <w:div w:id="213123457">
      <w:marLeft w:val="0"/>
      <w:marRight w:val="0"/>
      <w:marTop w:val="0"/>
      <w:marBottom w:val="0"/>
      <w:divBdr>
        <w:top w:val="none" w:sz="0" w:space="0" w:color="auto"/>
        <w:left w:val="none" w:sz="0" w:space="0" w:color="auto"/>
        <w:bottom w:val="none" w:sz="0" w:space="0" w:color="auto"/>
        <w:right w:val="none" w:sz="0" w:space="0" w:color="auto"/>
      </w:divBdr>
    </w:div>
    <w:div w:id="213123458">
      <w:marLeft w:val="0"/>
      <w:marRight w:val="0"/>
      <w:marTop w:val="0"/>
      <w:marBottom w:val="0"/>
      <w:divBdr>
        <w:top w:val="none" w:sz="0" w:space="0" w:color="auto"/>
        <w:left w:val="none" w:sz="0" w:space="0" w:color="auto"/>
        <w:bottom w:val="none" w:sz="0" w:space="0" w:color="auto"/>
        <w:right w:val="none" w:sz="0" w:space="0" w:color="auto"/>
      </w:divBdr>
    </w:div>
    <w:div w:id="213123459">
      <w:marLeft w:val="0"/>
      <w:marRight w:val="0"/>
      <w:marTop w:val="0"/>
      <w:marBottom w:val="0"/>
      <w:divBdr>
        <w:top w:val="none" w:sz="0" w:space="0" w:color="auto"/>
        <w:left w:val="none" w:sz="0" w:space="0" w:color="auto"/>
        <w:bottom w:val="none" w:sz="0" w:space="0" w:color="auto"/>
        <w:right w:val="none" w:sz="0" w:space="0" w:color="auto"/>
      </w:divBdr>
    </w:div>
    <w:div w:id="213123460">
      <w:marLeft w:val="0"/>
      <w:marRight w:val="0"/>
      <w:marTop w:val="0"/>
      <w:marBottom w:val="0"/>
      <w:divBdr>
        <w:top w:val="none" w:sz="0" w:space="0" w:color="auto"/>
        <w:left w:val="none" w:sz="0" w:space="0" w:color="auto"/>
        <w:bottom w:val="none" w:sz="0" w:space="0" w:color="auto"/>
        <w:right w:val="none" w:sz="0" w:space="0" w:color="auto"/>
      </w:divBdr>
    </w:div>
    <w:div w:id="213123461">
      <w:marLeft w:val="0"/>
      <w:marRight w:val="0"/>
      <w:marTop w:val="0"/>
      <w:marBottom w:val="0"/>
      <w:divBdr>
        <w:top w:val="none" w:sz="0" w:space="0" w:color="auto"/>
        <w:left w:val="none" w:sz="0" w:space="0" w:color="auto"/>
        <w:bottom w:val="none" w:sz="0" w:space="0" w:color="auto"/>
        <w:right w:val="none" w:sz="0" w:space="0" w:color="auto"/>
      </w:divBdr>
    </w:div>
    <w:div w:id="213123462">
      <w:marLeft w:val="0"/>
      <w:marRight w:val="0"/>
      <w:marTop w:val="0"/>
      <w:marBottom w:val="0"/>
      <w:divBdr>
        <w:top w:val="none" w:sz="0" w:space="0" w:color="auto"/>
        <w:left w:val="none" w:sz="0" w:space="0" w:color="auto"/>
        <w:bottom w:val="none" w:sz="0" w:space="0" w:color="auto"/>
        <w:right w:val="none" w:sz="0" w:space="0" w:color="auto"/>
      </w:divBdr>
    </w:div>
    <w:div w:id="213123463">
      <w:marLeft w:val="0"/>
      <w:marRight w:val="0"/>
      <w:marTop w:val="0"/>
      <w:marBottom w:val="0"/>
      <w:divBdr>
        <w:top w:val="none" w:sz="0" w:space="0" w:color="auto"/>
        <w:left w:val="none" w:sz="0" w:space="0" w:color="auto"/>
        <w:bottom w:val="none" w:sz="0" w:space="0" w:color="auto"/>
        <w:right w:val="none" w:sz="0" w:space="0" w:color="auto"/>
      </w:divBdr>
    </w:div>
    <w:div w:id="213123464">
      <w:marLeft w:val="0"/>
      <w:marRight w:val="0"/>
      <w:marTop w:val="0"/>
      <w:marBottom w:val="0"/>
      <w:divBdr>
        <w:top w:val="none" w:sz="0" w:space="0" w:color="auto"/>
        <w:left w:val="none" w:sz="0" w:space="0" w:color="auto"/>
        <w:bottom w:val="none" w:sz="0" w:space="0" w:color="auto"/>
        <w:right w:val="none" w:sz="0" w:space="0" w:color="auto"/>
      </w:divBdr>
    </w:div>
    <w:div w:id="213123465">
      <w:marLeft w:val="0"/>
      <w:marRight w:val="0"/>
      <w:marTop w:val="0"/>
      <w:marBottom w:val="0"/>
      <w:divBdr>
        <w:top w:val="none" w:sz="0" w:space="0" w:color="auto"/>
        <w:left w:val="none" w:sz="0" w:space="0" w:color="auto"/>
        <w:bottom w:val="none" w:sz="0" w:space="0" w:color="auto"/>
        <w:right w:val="none" w:sz="0" w:space="0" w:color="auto"/>
      </w:divBdr>
    </w:div>
    <w:div w:id="213123466">
      <w:marLeft w:val="0"/>
      <w:marRight w:val="0"/>
      <w:marTop w:val="0"/>
      <w:marBottom w:val="0"/>
      <w:divBdr>
        <w:top w:val="none" w:sz="0" w:space="0" w:color="auto"/>
        <w:left w:val="none" w:sz="0" w:space="0" w:color="auto"/>
        <w:bottom w:val="none" w:sz="0" w:space="0" w:color="auto"/>
        <w:right w:val="none" w:sz="0" w:space="0" w:color="auto"/>
      </w:divBdr>
    </w:div>
    <w:div w:id="213123467">
      <w:marLeft w:val="0"/>
      <w:marRight w:val="0"/>
      <w:marTop w:val="0"/>
      <w:marBottom w:val="0"/>
      <w:divBdr>
        <w:top w:val="none" w:sz="0" w:space="0" w:color="auto"/>
        <w:left w:val="none" w:sz="0" w:space="0" w:color="auto"/>
        <w:bottom w:val="none" w:sz="0" w:space="0" w:color="auto"/>
        <w:right w:val="none" w:sz="0" w:space="0" w:color="auto"/>
      </w:divBdr>
    </w:div>
    <w:div w:id="213123468">
      <w:marLeft w:val="0"/>
      <w:marRight w:val="0"/>
      <w:marTop w:val="0"/>
      <w:marBottom w:val="0"/>
      <w:divBdr>
        <w:top w:val="none" w:sz="0" w:space="0" w:color="auto"/>
        <w:left w:val="none" w:sz="0" w:space="0" w:color="auto"/>
        <w:bottom w:val="none" w:sz="0" w:space="0" w:color="auto"/>
        <w:right w:val="none" w:sz="0" w:space="0" w:color="auto"/>
      </w:divBdr>
    </w:div>
    <w:div w:id="213123469">
      <w:marLeft w:val="0"/>
      <w:marRight w:val="0"/>
      <w:marTop w:val="0"/>
      <w:marBottom w:val="0"/>
      <w:divBdr>
        <w:top w:val="none" w:sz="0" w:space="0" w:color="auto"/>
        <w:left w:val="none" w:sz="0" w:space="0" w:color="auto"/>
        <w:bottom w:val="none" w:sz="0" w:space="0" w:color="auto"/>
        <w:right w:val="none" w:sz="0" w:space="0" w:color="auto"/>
      </w:divBdr>
    </w:div>
    <w:div w:id="213123470">
      <w:marLeft w:val="0"/>
      <w:marRight w:val="0"/>
      <w:marTop w:val="0"/>
      <w:marBottom w:val="0"/>
      <w:divBdr>
        <w:top w:val="none" w:sz="0" w:space="0" w:color="auto"/>
        <w:left w:val="none" w:sz="0" w:space="0" w:color="auto"/>
        <w:bottom w:val="none" w:sz="0" w:space="0" w:color="auto"/>
        <w:right w:val="none" w:sz="0" w:space="0" w:color="auto"/>
      </w:divBdr>
    </w:div>
    <w:div w:id="213123471">
      <w:marLeft w:val="0"/>
      <w:marRight w:val="0"/>
      <w:marTop w:val="0"/>
      <w:marBottom w:val="0"/>
      <w:divBdr>
        <w:top w:val="none" w:sz="0" w:space="0" w:color="auto"/>
        <w:left w:val="none" w:sz="0" w:space="0" w:color="auto"/>
        <w:bottom w:val="none" w:sz="0" w:space="0" w:color="auto"/>
        <w:right w:val="none" w:sz="0" w:space="0" w:color="auto"/>
      </w:divBdr>
    </w:div>
    <w:div w:id="213123472">
      <w:marLeft w:val="0"/>
      <w:marRight w:val="0"/>
      <w:marTop w:val="0"/>
      <w:marBottom w:val="0"/>
      <w:divBdr>
        <w:top w:val="none" w:sz="0" w:space="0" w:color="auto"/>
        <w:left w:val="none" w:sz="0" w:space="0" w:color="auto"/>
        <w:bottom w:val="none" w:sz="0" w:space="0" w:color="auto"/>
        <w:right w:val="none" w:sz="0" w:space="0" w:color="auto"/>
      </w:divBdr>
    </w:div>
    <w:div w:id="213123473">
      <w:marLeft w:val="0"/>
      <w:marRight w:val="0"/>
      <w:marTop w:val="0"/>
      <w:marBottom w:val="0"/>
      <w:divBdr>
        <w:top w:val="none" w:sz="0" w:space="0" w:color="auto"/>
        <w:left w:val="none" w:sz="0" w:space="0" w:color="auto"/>
        <w:bottom w:val="none" w:sz="0" w:space="0" w:color="auto"/>
        <w:right w:val="none" w:sz="0" w:space="0" w:color="auto"/>
      </w:divBdr>
    </w:div>
    <w:div w:id="213123474">
      <w:marLeft w:val="0"/>
      <w:marRight w:val="0"/>
      <w:marTop w:val="0"/>
      <w:marBottom w:val="0"/>
      <w:divBdr>
        <w:top w:val="none" w:sz="0" w:space="0" w:color="auto"/>
        <w:left w:val="none" w:sz="0" w:space="0" w:color="auto"/>
        <w:bottom w:val="none" w:sz="0" w:space="0" w:color="auto"/>
        <w:right w:val="none" w:sz="0" w:space="0" w:color="auto"/>
      </w:divBdr>
    </w:div>
    <w:div w:id="213123475">
      <w:marLeft w:val="0"/>
      <w:marRight w:val="0"/>
      <w:marTop w:val="0"/>
      <w:marBottom w:val="0"/>
      <w:divBdr>
        <w:top w:val="none" w:sz="0" w:space="0" w:color="auto"/>
        <w:left w:val="none" w:sz="0" w:space="0" w:color="auto"/>
        <w:bottom w:val="none" w:sz="0" w:space="0" w:color="auto"/>
        <w:right w:val="none" w:sz="0" w:space="0" w:color="auto"/>
      </w:divBdr>
    </w:div>
    <w:div w:id="213123476">
      <w:marLeft w:val="0"/>
      <w:marRight w:val="0"/>
      <w:marTop w:val="0"/>
      <w:marBottom w:val="0"/>
      <w:divBdr>
        <w:top w:val="none" w:sz="0" w:space="0" w:color="auto"/>
        <w:left w:val="none" w:sz="0" w:space="0" w:color="auto"/>
        <w:bottom w:val="none" w:sz="0" w:space="0" w:color="auto"/>
        <w:right w:val="none" w:sz="0" w:space="0" w:color="auto"/>
      </w:divBdr>
    </w:div>
    <w:div w:id="213123477">
      <w:marLeft w:val="0"/>
      <w:marRight w:val="0"/>
      <w:marTop w:val="0"/>
      <w:marBottom w:val="0"/>
      <w:divBdr>
        <w:top w:val="none" w:sz="0" w:space="0" w:color="auto"/>
        <w:left w:val="none" w:sz="0" w:space="0" w:color="auto"/>
        <w:bottom w:val="none" w:sz="0" w:space="0" w:color="auto"/>
        <w:right w:val="none" w:sz="0" w:space="0" w:color="auto"/>
      </w:divBdr>
    </w:div>
    <w:div w:id="213123478">
      <w:marLeft w:val="0"/>
      <w:marRight w:val="0"/>
      <w:marTop w:val="0"/>
      <w:marBottom w:val="0"/>
      <w:divBdr>
        <w:top w:val="none" w:sz="0" w:space="0" w:color="auto"/>
        <w:left w:val="none" w:sz="0" w:space="0" w:color="auto"/>
        <w:bottom w:val="none" w:sz="0" w:space="0" w:color="auto"/>
        <w:right w:val="none" w:sz="0" w:space="0" w:color="auto"/>
      </w:divBdr>
    </w:div>
    <w:div w:id="213123479">
      <w:marLeft w:val="0"/>
      <w:marRight w:val="0"/>
      <w:marTop w:val="0"/>
      <w:marBottom w:val="0"/>
      <w:divBdr>
        <w:top w:val="none" w:sz="0" w:space="0" w:color="auto"/>
        <w:left w:val="none" w:sz="0" w:space="0" w:color="auto"/>
        <w:bottom w:val="none" w:sz="0" w:space="0" w:color="auto"/>
        <w:right w:val="none" w:sz="0" w:space="0" w:color="auto"/>
      </w:divBdr>
    </w:div>
    <w:div w:id="213123480">
      <w:marLeft w:val="0"/>
      <w:marRight w:val="0"/>
      <w:marTop w:val="0"/>
      <w:marBottom w:val="0"/>
      <w:divBdr>
        <w:top w:val="none" w:sz="0" w:space="0" w:color="auto"/>
        <w:left w:val="none" w:sz="0" w:space="0" w:color="auto"/>
        <w:bottom w:val="none" w:sz="0" w:space="0" w:color="auto"/>
        <w:right w:val="none" w:sz="0" w:space="0" w:color="auto"/>
      </w:divBdr>
    </w:div>
    <w:div w:id="213123481">
      <w:marLeft w:val="0"/>
      <w:marRight w:val="0"/>
      <w:marTop w:val="0"/>
      <w:marBottom w:val="0"/>
      <w:divBdr>
        <w:top w:val="none" w:sz="0" w:space="0" w:color="auto"/>
        <w:left w:val="none" w:sz="0" w:space="0" w:color="auto"/>
        <w:bottom w:val="none" w:sz="0" w:space="0" w:color="auto"/>
        <w:right w:val="none" w:sz="0" w:space="0" w:color="auto"/>
      </w:divBdr>
    </w:div>
    <w:div w:id="213123482">
      <w:marLeft w:val="0"/>
      <w:marRight w:val="0"/>
      <w:marTop w:val="0"/>
      <w:marBottom w:val="0"/>
      <w:divBdr>
        <w:top w:val="none" w:sz="0" w:space="0" w:color="auto"/>
        <w:left w:val="none" w:sz="0" w:space="0" w:color="auto"/>
        <w:bottom w:val="none" w:sz="0" w:space="0" w:color="auto"/>
        <w:right w:val="none" w:sz="0" w:space="0" w:color="auto"/>
      </w:divBdr>
    </w:div>
    <w:div w:id="213123483">
      <w:marLeft w:val="0"/>
      <w:marRight w:val="0"/>
      <w:marTop w:val="0"/>
      <w:marBottom w:val="0"/>
      <w:divBdr>
        <w:top w:val="none" w:sz="0" w:space="0" w:color="auto"/>
        <w:left w:val="none" w:sz="0" w:space="0" w:color="auto"/>
        <w:bottom w:val="none" w:sz="0" w:space="0" w:color="auto"/>
        <w:right w:val="none" w:sz="0" w:space="0" w:color="auto"/>
      </w:divBdr>
    </w:div>
    <w:div w:id="213123484">
      <w:marLeft w:val="0"/>
      <w:marRight w:val="0"/>
      <w:marTop w:val="0"/>
      <w:marBottom w:val="0"/>
      <w:divBdr>
        <w:top w:val="none" w:sz="0" w:space="0" w:color="auto"/>
        <w:left w:val="none" w:sz="0" w:space="0" w:color="auto"/>
        <w:bottom w:val="none" w:sz="0" w:space="0" w:color="auto"/>
        <w:right w:val="none" w:sz="0" w:space="0" w:color="auto"/>
      </w:divBdr>
    </w:div>
    <w:div w:id="213123485">
      <w:marLeft w:val="0"/>
      <w:marRight w:val="0"/>
      <w:marTop w:val="0"/>
      <w:marBottom w:val="0"/>
      <w:divBdr>
        <w:top w:val="none" w:sz="0" w:space="0" w:color="auto"/>
        <w:left w:val="none" w:sz="0" w:space="0" w:color="auto"/>
        <w:bottom w:val="none" w:sz="0" w:space="0" w:color="auto"/>
        <w:right w:val="none" w:sz="0" w:space="0" w:color="auto"/>
      </w:divBdr>
    </w:div>
    <w:div w:id="213123486">
      <w:marLeft w:val="0"/>
      <w:marRight w:val="0"/>
      <w:marTop w:val="0"/>
      <w:marBottom w:val="0"/>
      <w:divBdr>
        <w:top w:val="none" w:sz="0" w:space="0" w:color="auto"/>
        <w:left w:val="none" w:sz="0" w:space="0" w:color="auto"/>
        <w:bottom w:val="none" w:sz="0" w:space="0" w:color="auto"/>
        <w:right w:val="none" w:sz="0" w:space="0" w:color="auto"/>
      </w:divBdr>
    </w:div>
    <w:div w:id="213123487">
      <w:marLeft w:val="0"/>
      <w:marRight w:val="0"/>
      <w:marTop w:val="0"/>
      <w:marBottom w:val="0"/>
      <w:divBdr>
        <w:top w:val="none" w:sz="0" w:space="0" w:color="auto"/>
        <w:left w:val="none" w:sz="0" w:space="0" w:color="auto"/>
        <w:bottom w:val="none" w:sz="0" w:space="0" w:color="auto"/>
        <w:right w:val="none" w:sz="0" w:space="0" w:color="auto"/>
      </w:divBdr>
    </w:div>
    <w:div w:id="213123488">
      <w:marLeft w:val="0"/>
      <w:marRight w:val="0"/>
      <w:marTop w:val="0"/>
      <w:marBottom w:val="0"/>
      <w:divBdr>
        <w:top w:val="none" w:sz="0" w:space="0" w:color="auto"/>
        <w:left w:val="none" w:sz="0" w:space="0" w:color="auto"/>
        <w:bottom w:val="none" w:sz="0" w:space="0" w:color="auto"/>
        <w:right w:val="none" w:sz="0" w:space="0" w:color="auto"/>
      </w:divBdr>
    </w:div>
    <w:div w:id="213123489">
      <w:marLeft w:val="0"/>
      <w:marRight w:val="0"/>
      <w:marTop w:val="0"/>
      <w:marBottom w:val="0"/>
      <w:divBdr>
        <w:top w:val="none" w:sz="0" w:space="0" w:color="auto"/>
        <w:left w:val="none" w:sz="0" w:space="0" w:color="auto"/>
        <w:bottom w:val="none" w:sz="0" w:space="0" w:color="auto"/>
        <w:right w:val="none" w:sz="0" w:space="0" w:color="auto"/>
      </w:divBdr>
    </w:div>
    <w:div w:id="213123490">
      <w:marLeft w:val="0"/>
      <w:marRight w:val="0"/>
      <w:marTop w:val="0"/>
      <w:marBottom w:val="0"/>
      <w:divBdr>
        <w:top w:val="none" w:sz="0" w:space="0" w:color="auto"/>
        <w:left w:val="none" w:sz="0" w:space="0" w:color="auto"/>
        <w:bottom w:val="none" w:sz="0" w:space="0" w:color="auto"/>
        <w:right w:val="none" w:sz="0" w:space="0" w:color="auto"/>
      </w:divBdr>
    </w:div>
    <w:div w:id="213123491">
      <w:marLeft w:val="0"/>
      <w:marRight w:val="0"/>
      <w:marTop w:val="0"/>
      <w:marBottom w:val="0"/>
      <w:divBdr>
        <w:top w:val="none" w:sz="0" w:space="0" w:color="auto"/>
        <w:left w:val="none" w:sz="0" w:space="0" w:color="auto"/>
        <w:bottom w:val="none" w:sz="0" w:space="0" w:color="auto"/>
        <w:right w:val="none" w:sz="0" w:space="0" w:color="auto"/>
      </w:divBdr>
    </w:div>
    <w:div w:id="213123492">
      <w:marLeft w:val="0"/>
      <w:marRight w:val="0"/>
      <w:marTop w:val="0"/>
      <w:marBottom w:val="0"/>
      <w:divBdr>
        <w:top w:val="none" w:sz="0" w:space="0" w:color="auto"/>
        <w:left w:val="none" w:sz="0" w:space="0" w:color="auto"/>
        <w:bottom w:val="none" w:sz="0" w:space="0" w:color="auto"/>
        <w:right w:val="none" w:sz="0" w:space="0" w:color="auto"/>
      </w:divBdr>
    </w:div>
    <w:div w:id="213123493">
      <w:marLeft w:val="0"/>
      <w:marRight w:val="0"/>
      <w:marTop w:val="0"/>
      <w:marBottom w:val="0"/>
      <w:divBdr>
        <w:top w:val="none" w:sz="0" w:space="0" w:color="auto"/>
        <w:left w:val="none" w:sz="0" w:space="0" w:color="auto"/>
        <w:bottom w:val="none" w:sz="0" w:space="0" w:color="auto"/>
        <w:right w:val="none" w:sz="0" w:space="0" w:color="auto"/>
      </w:divBdr>
    </w:div>
    <w:div w:id="213123494">
      <w:marLeft w:val="0"/>
      <w:marRight w:val="0"/>
      <w:marTop w:val="0"/>
      <w:marBottom w:val="0"/>
      <w:divBdr>
        <w:top w:val="none" w:sz="0" w:space="0" w:color="auto"/>
        <w:left w:val="none" w:sz="0" w:space="0" w:color="auto"/>
        <w:bottom w:val="none" w:sz="0" w:space="0" w:color="auto"/>
        <w:right w:val="none" w:sz="0" w:space="0" w:color="auto"/>
      </w:divBdr>
    </w:div>
    <w:div w:id="213123495">
      <w:marLeft w:val="0"/>
      <w:marRight w:val="0"/>
      <w:marTop w:val="0"/>
      <w:marBottom w:val="0"/>
      <w:divBdr>
        <w:top w:val="none" w:sz="0" w:space="0" w:color="auto"/>
        <w:left w:val="none" w:sz="0" w:space="0" w:color="auto"/>
        <w:bottom w:val="none" w:sz="0" w:space="0" w:color="auto"/>
        <w:right w:val="none" w:sz="0" w:space="0" w:color="auto"/>
      </w:divBdr>
    </w:div>
    <w:div w:id="213123496">
      <w:marLeft w:val="0"/>
      <w:marRight w:val="0"/>
      <w:marTop w:val="0"/>
      <w:marBottom w:val="0"/>
      <w:divBdr>
        <w:top w:val="none" w:sz="0" w:space="0" w:color="auto"/>
        <w:left w:val="none" w:sz="0" w:space="0" w:color="auto"/>
        <w:bottom w:val="none" w:sz="0" w:space="0" w:color="auto"/>
        <w:right w:val="none" w:sz="0" w:space="0" w:color="auto"/>
      </w:divBdr>
    </w:div>
    <w:div w:id="213123497">
      <w:marLeft w:val="0"/>
      <w:marRight w:val="0"/>
      <w:marTop w:val="0"/>
      <w:marBottom w:val="0"/>
      <w:divBdr>
        <w:top w:val="none" w:sz="0" w:space="0" w:color="auto"/>
        <w:left w:val="none" w:sz="0" w:space="0" w:color="auto"/>
        <w:bottom w:val="none" w:sz="0" w:space="0" w:color="auto"/>
        <w:right w:val="none" w:sz="0" w:space="0" w:color="auto"/>
      </w:divBdr>
    </w:div>
    <w:div w:id="213123498">
      <w:marLeft w:val="0"/>
      <w:marRight w:val="0"/>
      <w:marTop w:val="0"/>
      <w:marBottom w:val="0"/>
      <w:divBdr>
        <w:top w:val="none" w:sz="0" w:space="0" w:color="auto"/>
        <w:left w:val="none" w:sz="0" w:space="0" w:color="auto"/>
        <w:bottom w:val="none" w:sz="0" w:space="0" w:color="auto"/>
        <w:right w:val="none" w:sz="0" w:space="0" w:color="auto"/>
      </w:divBdr>
    </w:div>
    <w:div w:id="213123499">
      <w:marLeft w:val="0"/>
      <w:marRight w:val="0"/>
      <w:marTop w:val="0"/>
      <w:marBottom w:val="0"/>
      <w:divBdr>
        <w:top w:val="none" w:sz="0" w:space="0" w:color="auto"/>
        <w:left w:val="none" w:sz="0" w:space="0" w:color="auto"/>
        <w:bottom w:val="none" w:sz="0" w:space="0" w:color="auto"/>
        <w:right w:val="none" w:sz="0" w:space="0" w:color="auto"/>
      </w:divBdr>
    </w:div>
    <w:div w:id="213123500">
      <w:marLeft w:val="0"/>
      <w:marRight w:val="0"/>
      <w:marTop w:val="0"/>
      <w:marBottom w:val="0"/>
      <w:divBdr>
        <w:top w:val="none" w:sz="0" w:space="0" w:color="auto"/>
        <w:left w:val="none" w:sz="0" w:space="0" w:color="auto"/>
        <w:bottom w:val="none" w:sz="0" w:space="0" w:color="auto"/>
        <w:right w:val="none" w:sz="0" w:space="0" w:color="auto"/>
      </w:divBdr>
    </w:div>
    <w:div w:id="213123501">
      <w:marLeft w:val="0"/>
      <w:marRight w:val="0"/>
      <w:marTop w:val="0"/>
      <w:marBottom w:val="0"/>
      <w:divBdr>
        <w:top w:val="none" w:sz="0" w:space="0" w:color="auto"/>
        <w:left w:val="none" w:sz="0" w:space="0" w:color="auto"/>
        <w:bottom w:val="none" w:sz="0" w:space="0" w:color="auto"/>
        <w:right w:val="none" w:sz="0" w:space="0" w:color="auto"/>
      </w:divBdr>
    </w:div>
    <w:div w:id="213123502">
      <w:marLeft w:val="0"/>
      <w:marRight w:val="0"/>
      <w:marTop w:val="0"/>
      <w:marBottom w:val="0"/>
      <w:divBdr>
        <w:top w:val="none" w:sz="0" w:space="0" w:color="auto"/>
        <w:left w:val="none" w:sz="0" w:space="0" w:color="auto"/>
        <w:bottom w:val="none" w:sz="0" w:space="0" w:color="auto"/>
        <w:right w:val="none" w:sz="0" w:space="0" w:color="auto"/>
      </w:divBdr>
    </w:div>
    <w:div w:id="213123503">
      <w:marLeft w:val="0"/>
      <w:marRight w:val="0"/>
      <w:marTop w:val="0"/>
      <w:marBottom w:val="0"/>
      <w:divBdr>
        <w:top w:val="none" w:sz="0" w:space="0" w:color="auto"/>
        <w:left w:val="none" w:sz="0" w:space="0" w:color="auto"/>
        <w:bottom w:val="none" w:sz="0" w:space="0" w:color="auto"/>
        <w:right w:val="none" w:sz="0" w:space="0" w:color="auto"/>
      </w:divBdr>
    </w:div>
    <w:div w:id="213123504">
      <w:marLeft w:val="0"/>
      <w:marRight w:val="0"/>
      <w:marTop w:val="0"/>
      <w:marBottom w:val="0"/>
      <w:divBdr>
        <w:top w:val="none" w:sz="0" w:space="0" w:color="auto"/>
        <w:left w:val="none" w:sz="0" w:space="0" w:color="auto"/>
        <w:bottom w:val="none" w:sz="0" w:space="0" w:color="auto"/>
        <w:right w:val="none" w:sz="0" w:space="0" w:color="auto"/>
      </w:divBdr>
    </w:div>
    <w:div w:id="213123505">
      <w:marLeft w:val="0"/>
      <w:marRight w:val="0"/>
      <w:marTop w:val="0"/>
      <w:marBottom w:val="0"/>
      <w:divBdr>
        <w:top w:val="none" w:sz="0" w:space="0" w:color="auto"/>
        <w:left w:val="none" w:sz="0" w:space="0" w:color="auto"/>
        <w:bottom w:val="none" w:sz="0" w:space="0" w:color="auto"/>
        <w:right w:val="none" w:sz="0" w:space="0" w:color="auto"/>
      </w:divBdr>
    </w:div>
    <w:div w:id="213123506">
      <w:marLeft w:val="0"/>
      <w:marRight w:val="0"/>
      <w:marTop w:val="0"/>
      <w:marBottom w:val="0"/>
      <w:divBdr>
        <w:top w:val="none" w:sz="0" w:space="0" w:color="auto"/>
        <w:left w:val="none" w:sz="0" w:space="0" w:color="auto"/>
        <w:bottom w:val="none" w:sz="0" w:space="0" w:color="auto"/>
        <w:right w:val="none" w:sz="0" w:space="0" w:color="auto"/>
      </w:divBdr>
    </w:div>
    <w:div w:id="213123507">
      <w:marLeft w:val="0"/>
      <w:marRight w:val="0"/>
      <w:marTop w:val="0"/>
      <w:marBottom w:val="0"/>
      <w:divBdr>
        <w:top w:val="none" w:sz="0" w:space="0" w:color="auto"/>
        <w:left w:val="none" w:sz="0" w:space="0" w:color="auto"/>
        <w:bottom w:val="none" w:sz="0" w:space="0" w:color="auto"/>
        <w:right w:val="none" w:sz="0" w:space="0" w:color="auto"/>
      </w:divBdr>
    </w:div>
    <w:div w:id="213123508">
      <w:marLeft w:val="0"/>
      <w:marRight w:val="0"/>
      <w:marTop w:val="0"/>
      <w:marBottom w:val="0"/>
      <w:divBdr>
        <w:top w:val="none" w:sz="0" w:space="0" w:color="auto"/>
        <w:left w:val="none" w:sz="0" w:space="0" w:color="auto"/>
        <w:bottom w:val="none" w:sz="0" w:space="0" w:color="auto"/>
        <w:right w:val="none" w:sz="0" w:space="0" w:color="auto"/>
      </w:divBdr>
    </w:div>
    <w:div w:id="213123509">
      <w:marLeft w:val="0"/>
      <w:marRight w:val="0"/>
      <w:marTop w:val="0"/>
      <w:marBottom w:val="0"/>
      <w:divBdr>
        <w:top w:val="none" w:sz="0" w:space="0" w:color="auto"/>
        <w:left w:val="none" w:sz="0" w:space="0" w:color="auto"/>
        <w:bottom w:val="none" w:sz="0" w:space="0" w:color="auto"/>
        <w:right w:val="none" w:sz="0" w:space="0" w:color="auto"/>
      </w:divBdr>
    </w:div>
    <w:div w:id="213123510">
      <w:marLeft w:val="0"/>
      <w:marRight w:val="0"/>
      <w:marTop w:val="0"/>
      <w:marBottom w:val="0"/>
      <w:divBdr>
        <w:top w:val="none" w:sz="0" w:space="0" w:color="auto"/>
        <w:left w:val="none" w:sz="0" w:space="0" w:color="auto"/>
        <w:bottom w:val="none" w:sz="0" w:space="0" w:color="auto"/>
        <w:right w:val="none" w:sz="0" w:space="0" w:color="auto"/>
      </w:divBdr>
    </w:div>
    <w:div w:id="213123511">
      <w:marLeft w:val="0"/>
      <w:marRight w:val="0"/>
      <w:marTop w:val="0"/>
      <w:marBottom w:val="0"/>
      <w:divBdr>
        <w:top w:val="none" w:sz="0" w:space="0" w:color="auto"/>
        <w:left w:val="none" w:sz="0" w:space="0" w:color="auto"/>
        <w:bottom w:val="none" w:sz="0" w:space="0" w:color="auto"/>
        <w:right w:val="none" w:sz="0" w:space="0" w:color="auto"/>
      </w:divBdr>
    </w:div>
    <w:div w:id="213123512">
      <w:marLeft w:val="0"/>
      <w:marRight w:val="0"/>
      <w:marTop w:val="0"/>
      <w:marBottom w:val="0"/>
      <w:divBdr>
        <w:top w:val="none" w:sz="0" w:space="0" w:color="auto"/>
        <w:left w:val="none" w:sz="0" w:space="0" w:color="auto"/>
        <w:bottom w:val="none" w:sz="0" w:space="0" w:color="auto"/>
        <w:right w:val="none" w:sz="0" w:space="0" w:color="auto"/>
      </w:divBdr>
    </w:div>
    <w:div w:id="213123513">
      <w:marLeft w:val="0"/>
      <w:marRight w:val="0"/>
      <w:marTop w:val="0"/>
      <w:marBottom w:val="0"/>
      <w:divBdr>
        <w:top w:val="none" w:sz="0" w:space="0" w:color="auto"/>
        <w:left w:val="none" w:sz="0" w:space="0" w:color="auto"/>
        <w:bottom w:val="none" w:sz="0" w:space="0" w:color="auto"/>
        <w:right w:val="none" w:sz="0" w:space="0" w:color="auto"/>
      </w:divBdr>
    </w:div>
    <w:div w:id="213123514">
      <w:marLeft w:val="0"/>
      <w:marRight w:val="0"/>
      <w:marTop w:val="0"/>
      <w:marBottom w:val="0"/>
      <w:divBdr>
        <w:top w:val="none" w:sz="0" w:space="0" w:color="auto"/>
        <w:left w:val="none" w:sz="0" w:space="0" w:color="auto"/>
        <w:bottom w:val="none" w:sz="0" w:space="0" w:color="auto"/>
        <w:right w:val="none" w:sz="0" w:space="0" w:color="auto"/>
      </w:divBdr>
    </w:div>
    <w:div w:id="213123515">
      <w:marLeft w:val="0"/>
      <w:marRight w:val="0"/>
      <w:marTop w:val="0"/>
      <w:marBottom w:val="0"/>
      <w:divBdr>
        <w:top w:val="none" w:sz="0" w:space="0" w:color="auto"/>
        <w:left w:val="none" w:sz="0" w:space="0" w:color="auto"/>
        <w:bottom w:val="none" w:sz="0" w:space="0" w:color="auto"/>
        <w:right w:val="none" w:sz="0" w:space="0" w:color="auto"/>
      </w:divBdr>
    </w:div>
    <w:div w:id="213123516">
      <w:marLeft w:val="0"/>
      <w:marRight w:val="0"/>
      <w:marTop w:val="0"/>
      <w:marBottom w:val="0"/>
      <w:divBdr>
        <w:top w:val="none" w:sz="0" w:space="0" w:color="auto"/>
        <w:left w:val="none" w:sz="0" w:space="0" w:color="auto"/>
        <w:bottom w:val="none" w:sz="0" w:space="0" w:color="auto"/>
        <w:right w:val="none" w:sz="0" w:space="0" w:color="auto"/>
      </w:divBdr>
    </w:div>
    <w:div w:id="213123517">
      <w:marLeft w:val="0"/>
      <w:marRight w:val="0"/>
      <w:marTop w:val="0"/>
      <w:marBottom w:val="0"/>
      <w:divBdr>
        <w:top w:val="none" w:sz="0" w:space="0" w:color="auto"/>
        <w:left w:val="none" w:sz="0" w:space="0" w:color="auto"/>
        <w:bottom w:val="none" w:sz="0" w:space="0" w:color="auto"/>
        <w:right w:val="none" w:sz="0" w:space="0" w:color="auto"/>
      </w:divBdr>
    </w:div>
    <w:div w:id="213123518">
      <w:marLeft w:val="0"/>
      <w:marRight w:val="0"/>
      <w:marTop w:val="0"/>
      <w:marBottom w:val="0"/>
      <w:divBdr>
        <w:top w:val="none" w:sz="0" w:space="0" w:color="auto"/>
        <w:left w:val="none" w:sz="0" w:space="0" w:color="auto"/>
        <w:bottom w:val="none" w:sz="0" w:space="0" w:color="auto"/>
        <w:right w:val="none" w:sz="0" w:space="0" w:color="auto"/>
      </w:divBdr>
    </w:div>
    <w:div w:id="213123519">
      <w:marLeft w:val="0"/>
      <w:marRight w:val="0"/>
      <w:marTop w:val="0"/>
      <w:marBottom w:val="0"/>
      <w:divBdr>
        <w:top w:val="none" w:sz="0" w:space="0" w:color="auto"/>
        <w:left w:val="none" w:sz="0" w:space="0" w:color="auto"/>
        <w:bottom w:val="none" w:sz="0" w:space="0" w:color="auto"/>
        <w:right w:val="none" w:sz="0" w:space="0" w:color="auto"/>
      </w:divBdr>
    </w:div>
    <w:div w:id="213123520">
      <w:marLeft w:val="0"/>
      <w:marRight w:val="0"/>
      <w:marTop w:val="0"/>
      <w:marBottom w:val="0"/>
      <w:divBdr>
        <w:top w:val="none" w:sz="0" w:space="0" w:color="auto"/>
        <w:left w:val="none" w:sz="0" w:space="0" w:color="auto"/>
        <w:bottom w:val="none" w:sz="0" w:space="0" w:color="auto"/>
        <w:right w:val="none" w:sz="0" w:space="0" w:color="auto"/>
      </w:divBdr>
    </w:div>
    <w:div w:id="213123521">
      <w:marLeft w:val="0"/>
      <w:marRight w:val="0"/>
      <w:marTop w:val="0"/>
      <w:marBottom w:val="0"/>
      <w:divBdr>
        <w:top w:val="none" w:sz="0" w:space="0" w:color="auto"/>
        <w:left w:val="none" w:sz="0" w:space="0" w:color="auto"/>
        <w:bottom w:val="none" w:sz="0" w:space="0" w:color="auto"/>
        <w:right w:val="none" w:sz="0" w:space="0" w:color="auto"/>
      </w:divBdr>
    </w:div>
    <w:div w:id="213123522">
      <w:marLeft w:val="0"/>
      <w:marRight w:val="0"/>
      <w:marTop w:val="0"/>
      <w:marBottom w:val="0"/>
      <w:divBdr>
        <w:top w:val="none" w:sz="0" w:space="0" w:color="auto"/>
        <w:left w:val="none" w:sz="0" w:space="0" w:color="auto"/>
        <w:bottom w:val="none" w:sz="0" w:space="0" w:color="auto"/>
        <w:right w:val="none" w:sz="0" w:space="0" w:color="auto"/>
      </w:divBdr>
    </w:div>
    <w:div w:id="213123523">
      <w:marLeft w:val="0"/>
      <w:marRight w:val="0"/>
      <w:marTop w:val="0"/>
      <w:marBottom w:val="0"/>
      <w:divBdr>
        <w:top w:val="none" w:sz="0" w:space="0" w:color="auto"/>
        <w:left w:val="none" w:sz="0" w:space="0" w:color="auto"/>
        <w:bottom w:val="none" w:sz="0" w:space="0" w:color="auto"/>
        <w:right w:val="none" w:sz="0" w:space="0" w:color="auto"/>
      </w:divBdr>
    </w:div>
    <w:div w:id="213123525">
      <w:marLeft w:val="0"/>
      <w:marRight w:val="0"/>
      <w:marTop w:val="0"/>
      <w:marBottom w:val="0"/>
      <w:divBdr>
        <w:top w:val="none" w:sz="0" w:space="0" w:color="auto"/>
        <w:left w:val="none" w:sz="0" w:space="0" w:color="auto"/>
        <w:bottom w:val="none" w:sz="0" w:space="0" w:color="auto"/>
        <w:right w:val="none" w:sz="0" w:space="0" w:color="auto"/>
      </w:divBdr>
    </w:div>
    <w:div w:id="213123526">
      <w:marLeft w:val="0"/>
      <w:marRight w:val="0"/>
      <w:marTop w:val="0"/>
      <w:marBottom w:val="0"/>
      <w:divBdr>
        <w:top w:val="none" w:sz="0" w:space="0" w:color="auto"/>
        <w:left w:val="none" w:sz="0" w:space="0" w:color="auto"/>
        <w:bottom w:val="none" w:sz="0" w:space="0" w:color="auto"/>
        <w:right w:val="none" w:sz="0" w:space="0" w:color="auto"/>
      </w:divBdr>
    </w:div>
    <w:div w:id="213123527">
      <w:marLeft w:val="0"/>
      <w:marRight w:val="0"/>
      <w:marTop w:val="0"/>
      <w:marBottom w:val="0"/>
      <w:divBdr>
        <w:top w:val="none" w:sz="0" w:space="0" w:color="auto"/>
        <w:left w:val="none" w:sz="0" w:space="0" w:color="auto"/>
        <w:bottom w:val="none" w:sz="0" w:space="0" w:color="auto"/>
        <w:right w:val="none" w:sz="0" w:space="0" w:color="auto"/>
      </w:divBdr>
    </w:div>
    <w:div w:id="213123528">
      <w:marLeft w:val="0"/>
      <w:marRight w:val="0"/>
      <w:marTop w:val="0"/>
      <w:marBottom w:val="0"/>
      <w:divBdr>
        <w:top w:val="none" w:sz="0" w:space="0" w:color="auto"/>
        <w:left w:val="none" w:sz="0" w:space="0" w:color="auto"/>
        <w:bottom w:val="none" w:sz="0" w:space="0" w:color="auto"/>
        <w:right w:val="none" w:sz="0" w:space="0" w:color="auto"/>
      </w:divBdr>
    </w:div>
    <w:div w:id="213123529">
      <w:marLeft w:val="0"/>
      <w:marRight w:val="0"/>
      <w:marTop w:val="0"/>
      <w:marBottom w:val="0"/>
      <w:divBdr>
        <w:top w:val="none" w:sz="0" w:space="0" w:color="auto"/>
        <w:left w:val="none" w:sz="0" w:space="0" w:color="auto"/>
        <w:bottom w:val="none" w:sz="0" w:space="0" w:color="auto"/>
        <w:right w:val="none" w:sz="0" w:space="0" w:color="auto"/>
      </w:divBdr>
    </w:div>
    <w:div w:id="213123530">
      <w:marLeft w:val="0"/>
      <w:marRight w:val="0"/>
      <w:marTop w:val="0"/>
      <w:marBottom w:val="0"/>
      <w:divBdr>
        <w:top w:val="none" w:sz="0" w:space="0" w:color="auto"/>
        <w:left w:val="none" w:sz="0" w:space="0" w:color="auto"/>
        <w:bottom w:val="none" w:sz="0" w:space="0" w:color="auto"/>
        <w:right w:val="none" w:sz="0" w:space="0" w:color="auto"/>
      </w:divBdr>
    </w:div>
    <w:div w:id="213123531">
      <w:marLeft w:val="0"/>
      <w:marRight w:val="0"/>
      <w:marTop w:val="0"/>
      <w:marBottom w:val="0"/>
      <w:divBdr>
        <w:top w:val="none" w:sz="0" w:space="0" w:color="auto"/>
        <w:left w:val="none" w:sz="0" w:space="0" w:color="auto"/>
        <w:bottom w:val="none" w:sz="0" w:space="0" w:color="auto"/>
        <w:right w:val="none" w:sz="0" w:space="0" w:color="auto"/>
      </w:divBdr>
    </w:div>
    <w:div w:id="213123532">
      <w:marLeft w:val="0"/>
      <w:marRight w:val="0"/>
      <w:marTop w:val="0"/>
      <w:marBottom w:val="0"/>
      <w:divBdr>
        <w:top w:val="none" w:sz="0" w:space="0" w:color="auto"/>
        <w:left w:val="none" w:sz="0" w:space="0" w:color="auto"/>
        <w:bottom w:val="none" w:sz="0" w:space="0" w:color="auto"/>
        <w:right w:val="none" w:sz="0" w:space="0" w:color="auto"/>
      </w:divBdr>
    </w:div>
    <w:div w:id="213123533">
      <w:marLeft w:val="0"/>
      <w:marRight w:val="0"/>
      <w:marTop w:val="0"/>
      <w:marBottom w:val="0"/>
      <w:divBdr>
        <w:top w:val="none" w:sz="0" w:space="0" w:color="auto"/>
        <w:left w:val="none" w:sz="0" w:space="0" w:color="auto"/>
        <w:bottom w:val="none" w:sz="0" w:space="0" w:color="auto"/>
        <w:right w:val="none" w:sz="0" w:space="0" w:color="auto"/>
      </w:divBdr>
    </w:div>
    <w:div w:id="213123534">
      <w:marLeft w:val="0"/>
      <w:marRight w:val="0"/>
      <w:marTop w:val="0"/>
      <w:marBottom w:val="0"/>
      <w:divBdr>
        <w:top w:val="none" w:sz="0" w:space="0" w:color="auto"/>
        <w:left w:val="none" w:sz="0" w:space="0" w:color="auto"/>
        <w:bottom w:val="none" w:sz="0" w:space="0" w:color="auto"/>
        <w:right w:val="none" w:sz="0" w:space="0" w:color="auto"/>
      </w:divBdr>
    </w:div>
    <w:div w:id="213123535">
      <w:marLeft w:val="0"/>
      <w:marRight w:val="0"/>
      <w:marTop w:val="0"/>
      <w:marBottom w:val="0"/>
      <w:divBdr>
        <w:top w:val="none" w:sz="0" w:space="0" w:color="auto"/>
        <w:left w:val="none" w:sz="0" w:space="0" w:color="auto"/>
        <w:bottom w:val="none" w:sz="0" w:space="0" w:color="auto"/>
        <w:right w:val="none" w:sz="0" w:space="0" w:color="auto"/>
      </w:divBdr>
    </w:div>
    <w:div w:id="213123537">
      <w:marLeft w:val="0"/>
      <w:marRight w:val="0"/>
      <w:marTop w:val="0"/>
      <w:marBottom w:val="0"/>
      <w:divBdr>
        <w:top w:val="none" w:sz="0" w:space="0" w:color="auto"/>
        <w:left w:val="none" w:sz="0" w:space="0" w:color="auto"/>
        <w:bottom w:val="none" w:sz="0" w:space="0" w:color="auto"/>
        <w:right w:val="none" w:sz="0" w:space="0" w:color="auto"/>
      </w:divBdr>
    </w:div>
    <w:div w:id="213123538">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213123540">
      <w:marLeft w:val="0"/>
      <w:marRight w:val="0"/>
      <w:marTop w:val="0"/>
      <w:marBottom w:val="0"/>
      <w:divBdr>
        <w:top w:val="none" w:sz="0" w:space="0" w:color="auto"/>
        <w:left w:val="none" w:sz="0" w:space="0" w:color="auto"/>
        <w:bottom w:val="none" w:sz="0" w:space="0" w:color="auto"/>
        <w:right w:val="none" w:sz="0" w:space="0" w:color="auto"/>
      </w:divBdr>
    </w:div>
    <w:div w:id="213123541">
      <w:marLeft w:val="0"/>
      <w:marRight w:val="0"/>
      <w:marTop w:val="0"/>
      <w:marBottom w:val="0"/>
      <w:divBdr>
        <w:top w:val="none" w:sz="0" w:space="0" w:color="auto"/>
        <w:left w:val="none" w:sz="0" w:space="0" w:color="auto"/>
        <w:bottom w:val="none" w:sz="0" w:space="0" w:color="auto"/>
        <w:right w:val="none" w:sz="0" w:space="0" w:color="auto"/>
      </w:divBdr>
    </w:div>
    <w:div w:id="213123542">
      <w:marLeft w:val="0"/>
      <w:marRight w:val="0"/>
      <w:marTop w:val="0"/>
      <w:marBottom w:val="0"/>
      <w:divBdr>
        <w:top w:val="none" w:sz="0" w:space="0" w:color="auto"/>
        <w:left w:val="none" w:sz="0" w:space="0" w:color="auto"/>
        <w:bottom w:val="none" w:sz="0" w:space="0" w:color="auto"/>
        <w:right w:val="none" w:sz="0" w:space="0" w:color="auto"/>
      </w:divBdr>
    </w:div>
    <w:div w:id="213123543">
      <w:marLeft w:val="0"/>
      <w:marRight w:val="0"/>
      <w:marTop w:val="0"/>
      <w:marBottom w:val="0"/>
      <w:divBdr>
        <w:top w:val="none" w:sz="0" w:space="0" w:color="auto"/>
        <w:left w:val="none" w:sz="0" w:space="0" w:color="auto"/>
        <w:bottom w:val="none" w:sz="0" w:space="0" w:color="auto"/>
        <w:right w:val="none" w:sz="0" w:space="0" w:color="auto"/>
      </w:divBdr>
    </w:div>
    <w:div w:id="213123544">
      <w:marLeft w:val="0"/>
      <w:marRight w:val="0"/>
      <w:marTop w:val="0"/>
      <w:marBottom w:val="0"/>
      <w:divBdr>
        <w:top w:val="none" w:sz="0" w:space="0" w:color="auto"/>
        <w:left w:val="none" w:sz="0" w:space="0" w:color="auto"/>
        <w:bottom w:val="none" w:sz="0" w:space="0" w:color="auto"/>
        <w:right w:val="none" w:sz="0" w:space="0" w:color="auto"/>
      </w:divBdr>
    </w:div>
    <w:div w:id="213123545">
      <w:marLeft w:val="0"/>
      <w:marRight w:val="0"/>
      <w:marTop w:val="0"/>
      <w:marBottom w:val="0"/>
      <w:divBdr>
        <w:top w:val="none" w:sz="0" w:space="0" w:color="auto"/>
        <w:left w:val="none" w:sz="0" w:space="0" w:color="auto"/>
        <w:bottom w:val="none" w:sz="0" w:space="0" w:color="auto"/>
        <w:right w:val="none" w:sz="0" w:space="0" w:color="auto"/>
      </w:divBdr>
    </w:div>
    <w:div w:id="213123546">
      <w:marLeft w:val="0"/>
      <w:marRight w:val="0"/>
      <w:marTop w:val="0"/>
      <w:marBottom w:val="0"/>
      <w:divBdr>
        <w:top w:val="none" w:sz="0" w:space="0" w:color="auto"/>
        <w:left w:val="none" w:sz="0" w:space="0" w:color="auto"/>
        <w:bottom w:val="none" w:sz="0" w:space="0" w:color="auto"/>
        <w:right w:val="none" w:sz="0" w:space="0" w:color="auto"/>
      </w:divBdr>
    </w:div>
    <w:div w:id="213123547">
      <w:marLeft w:val="0"/>
      <w:marRight w:val="0"/>
      <w:marTop w:val="0"/>
      <w:marBottom w:val="0"/>
      <w:divBdr>
        <w:top w:val="none" w:sz="0" w:space="0" w:color="auto"/>
        <w:left w:val="none" w:sz="0" w:space="0" w:color="auto"/>
        <w:bottom w:val="none" w:sz="0" w:space="0" w:color="auto"/>
        <w:right w:val="none" w:sz="0" w:space="0" w:color="auto"/>
      </w:divBdr>
    </w:div>
    <w:div w:id="213123548">
      <w:marLeft w:val="0"/>
      <w:marRight w:val="0"/>
      <w:marTop w:val="0"/>
      <w:marBottom w:val="0"/>
      <w:divBdr>
        <w:top w:val="none" w:sz="0" w:space="0" w:color="auto"/>
        <w:left w:val="none" w:sz="0" w:space="0" w:color="auto"/>
        <w:bottom w:val="none" w:sz="0" w:space="0" w:color="auto"/>
        <w:right w:val="none" w:sz="0" w:space="0" w:color="auto"/>
      </w:divBdr>
    </w:div>
    <w:div w:id="213123549">
      <w:marLeft w:val="0"/>
      <w:marRight w:val="0"/>
      <w:marTop w:val="0"/>
      <w:marBottom w:val="0"/>
      <w:divBdr>
        <w:top w:val="none" w:sz="0" w:space="0" w:color="auto"/>
        <w:left w:val="none" w:sz="0" w:space="0" w:color="auto"/>
        <w:bottom w:val="none" w:sz="0" w:space="0" w:color="auto"/>
        <w:right w:val="none" w:sz="0" w:space="0" w:color="auto"/>
      </w:divBdr>
    </w:div>
    <w:div w:id="213123550">
      <w:marLeft w:val="0"/>
      <w:marRight w:val="0"/>
      <w:marTop w:val="0"/>
      <w:marBottom w:val="0"/>
      <w:divBdr>
        <w:top w:val="none" w:sz="0" w:space="0" w:color="auto"/>
        <w:left w:val="none" w:sz="0" w:space="0" w:color="auto"/>
        <w:bottom w:val="none" w:sz="0" w:space="0" w:color="auto"/>
        <w:right w:val="none" w:sz="0" w:space="0" w:color="auto"/>
      </w:divBdr>
    </w:div>
    <w:div w:id="213123551">
      <w:marLeft w:val="0"/>
      <w:marRight w:val="0"/>
      <w:marTop w:val="0"/>
      <w:marBottom w:val="0"/>
      <w:divBdr>
        <w:top w:val="none" w:sz="0" w:space="0" w:color="auto"/>
        <w:left w:val="none" w:sz="0" w:space="0" w:color="auto"/>
        <w:bottom w:val="none" w:sz="0" w:space="0" w:color="auto"/>
        <w:right w:val="none" w:sz="0" w:space="0" w:color="auto"/>
      </w:divBdr>
    </w:div>
    <w:div w:id="213123552">
      <w:marLeft w:val="0"/>
      <w:marRight w:val="0"/>
      <w:marTop w:val="0"/>
      <w:marBottom w:val="0"/>
      <w:divBdr>
        <w:top w:val="none" w:sz="0" w:space="0" w:color="auto"/>
        <w:left w:val="none" w:sz="0" w:space="0" w:color="auto"/>
        <w:bottom w:val="none" w:sz="0" w:space="0" w:color="auto"/>
        <w:right w:val="none" w:sz="0" w:space="0" w:color="auto"/>
      </w:divBdr>
    </w:div>
    <w:div w:id="213123553">
      <w:marLeft w:val="0"/>
      <w:marRight w:val="0"/>
      <w:marTop w:val="0"/>
      <w:marBottom w:val="0"/>
      <w:divBdr>
        <w:top w:val="none" w:sz="0" w:space="0" w:color="auto"/>
        <w:left w:val="none" w:sz="0" w:space="0" w:color="auto"/>
        <w:bottom w:val="none" w:sz="0" w:space="0" w:color="auto"/>
        <w:right w:val="none" w:sz="0" w:space="0" w:color="auto"/>
      </w:divBdr>
    </w:div>
    <w:div w:id="213123554">
      <w:marLeft w:val="0"/>
      <w:marRight w:val="0"/>
      <w:marTop w:val="0"/>
      <w:marBottom w:val="0"/>
      <w:divBdr>
        <w:top w:val="none" w:sz="0" w:space="0" w:color="auto"/>
        <w:left w:val="none" w:sz="0" w:space="0" w:color="auto"/>
        <w:bottom w:val="none" w:sz="0" w:space="0" w:color="auto"/>
        <w:right w:val="none" w:sz="0" w:space="0" w:color="auto"/>
      </w:divBdr>
    </w:div>
    <w:div w:id="213123555">
      <w:marLeft w:val="0"/>
      <w:marRight w:val="0"/>
      <w:marTop w:val="0"/>
      <w:marBottom w:val="0"/>
      <w:divBdr>
        <w:top w:val="none" w:sz="0" w:space="0" w:color="auto"/>
        <w:left w:val="none" w:sz="0" w:space="0" w:color="auto"/>
        <w:bottom w:val="none" w:sz="0" w:space="0" w:color="auto"/>
        <w:right w:val="none" w:sz="0" w:space="0" w:color="auto"/>
      </w:divBdr>
    </w:div>
    <w:div w:id="213123556">
      <w:marLeft w:val="0"/>
      <w:marRight w:val="0"/>
      <w:marTop w:val="0"/>
      <w:marBottom w:val="0"/>
      <w:divBdr>
        <w:top w:val="none" w:sz="0" w:space="0" w:color="auto"/>
        <w:left w:val="none" w:sz="0" w:space="0" w:color="auto"/>
        <w:bottom w:val="none" w:sz="0" w:space="0" w:color="auto"/>
        <w:right w:val="none" w:sz="0" w:space="0" w:color="auto"/>
      </w:divBdr>
    </w:div>
    <w:div w:id="213123557">
      <w:marLeft w:val="0"/>
      <w:marRight w:val="0"/>
      <w:marTop w:val="0"/>
      <w:marBottom w:val="0"/>
      <w:divBdr>
        <w:top w:val="none" w:sz="0" w:space="0" w:color="auto"/>
        <w:left w:val="none" w:sz="0" w:space="0" w:color="auto"/>
        <w:bottom w:val="none" w:sz="0" w:space="0" w:color="auto"/>
        <w:right w:val="none" w:sz="0" w:space="0" w:color="auto"/>
      </w:divBdr>
    </w:div>
    <w:div w:id="213123558">
      <w:marLeft w:val="0"/>
      <w:marRight w:val="0"/>
      <w:marTop w:val="0"/>
      <w:marBottom w:val="0"/>
      <w:divBdr>
        <w:top w:val="none" w:sz="0" w:space="0" w:color="auto"/>
        <w:left w:val="none" w:sz="0" w:space="0" w:color="auto"/>
        <w:bottom w:val="none" w:sz="0" w:space="0" w:color="auto"/>
        <w:right w:val="none" w:sz="0" w:space="0" w:color="auto"/>
      </w:divBdr>
    </w:div>
    <w:div w:id="213123559">
      <w:marLeft w:val="0"/>
      <w:marRight w:val="0"/>
      <w:marTop w:val="0"/>
      <w:marBottom w:val="0"/>
      <w:divBdr>
        <w:top w:val="none" w:sz="0" w:space="0" w:color="auto"/>
        <w:left w:val="none" w:sz="0" w:space="0" w:color="auto"/>
        <w:bottom w:val="none" w:sz="0" w:space="0" w:color="auto"/>
        <w:right w:val="none" w:sz="0" w:space="0" w:color="auto"/>
      </w:divBdr>
    </w:div>
    <w:div w:id="213123560">
      <w:marLeft w:val="0"/>
      <w:marRight w:val="0"/>
      <w:marTop w:val="0"/>
      <w:marBottom w:val="0"/>
      <w:divBdr>
        <w:top w:val="none" w:sz="0" w:space="0" w:color="auto"/>
        <w:left w:val="none" w:sz="0" w:space="0" w:color="auto"/>
        <w:bottom w:val="none" w:sz="0" w:space="0" w:color="auto"/>
        <w:right w:val="none" w:sz="0" w:space="0" w:color="auto"/>
      </w:divBdr>
    </w:div>
    <w:div w:id="213123561">
      <w:marLeft w:val="0"/>
      <w:marRight w:val="0"/>
      <w:marTop w:val="0"/>
      <w:marBottom w:val="0"/>
      <w:divBdr>
        <w:top w:val="none" w:sz="0" w:space="0" w:color="auto"/>
        <w:left w:val="none" w:sz="0" w:space="0" w:color="auto"/>
        <w:bottom w:val="none" w:sz="0" w:space="0" w:color="auto"/>
        <w:right w:val="none" w:sz="0" w:space="0" w:color="auto"/>
      </w:divBdr>
    </w:div>
    <w:div w:id="213123562">
      <w:marLeft w:val="0"/>
      <w:marRight w:val="0"/>
      <w:marTop w:val="0"/>
      <w:marBottom w:val="0"/>
      <w:divBdr>
        <w:top w:val="none" w:sz="0" w:space="0" w:color="auto"/>
        <w:left w:val="none" w:sz="0" w:space="0" w:color="auto"/>
        <w:bottom w:val="none" w:sz="0" w:space="0" w:color="auto"/>
        <w:right w:val="none" w:sz="0" w:space="0" w:color="auto"/>
      </w:divBdr>
    </w:div>
    <w:div w:id="213123563">
      <w:marLeft w:val="0"/>
      <w:marRight w:val="0"/>
      <w:marTop w:val="0"/>
      <w:marBottom w:val="0"/>
      <w:divBdr>
        <w:top w:val="none" w:sz="0" w:space="0" w:color="auto"/>
        <w:left w:val="none" w:sz="0" w:space="0" w:color="auto"/>
        <w:bottom w:val="none" w:sz="0" w:space="0" w:color="auto"/>
        <w:right w:val="none" w:sz="0" w:space="0" w:color="auto"/>
      </w:divBdr>
    </w:div>
    <w:div w:id="213123564">
      <w:marLeft w:val="0"/>
      <w:marRight w:val="0"/>
      <w:marTop w:val="0"/>
      <w:marBottom w:val="0"/>
      <w:divBdr>
        <w:top w:val="none" w:sz="0" w:space="0" w:color="auto"/>
        <w:left w:val="none" w:sz="0" w:space="0" w:color="auto"/>
        <w:bottom w:val="none" w:sz="0" w:space="0" w:color="auto"/>
        <w:right w:val="none" w:sz="0" w:space="0" w:color="auto"/>
      </w:divBdr>
    </w:div>
    <w:div w:id="213123565">
      <w:marLeft w:val="0"/>
      <w:marRight w:val="0"/>
      <w:marTop w:val="0"/>
      <w:marBottom w:val="0"/>
      <w:divBdr>
        <w:top w:val="none" w:sz="0" w:space="0" w:color="auto"/>
        <w:left w:val="none" w:sz="0" w:space="0" w:color="auto"/>
        <w:bottom w:val="none" w:sz="0" w:space="0" w:color="auto"/>
        <w:right w:val="none" w:sz="0" w:space="0" w:color="auto"/>
      </w:divBdr>
    </w:div>
    <w:div w:id="213123566">
      <w:marLeft w:val="0"/>
      <w:marRight w:val="0"/>
      <w:marTop w:val="0"/>
      <w:marBottom w:val="0"/>
      <w:divBdr>
        <w:top w:val="none" w:sz="0" w:space="0" w:color="auto"/>
        <w:left w:val="none" w:sz="0" w:space="0" w:color="auto"/>
        <w:bottom w:val="none" w:sz="0" w:space="0" w:color="auto"/>
        <w:right w:val="none" w:sz="0" w:space="0" w:color="auto"/>
      </w:divBdr>
    </w:div>
    <w:div w:id="213123567">
      <w:marLeft w:val="0"/>
      <w:marRight w:val="0"/>
      <w:marTop w:val="0"/>
      <w:marBottom w:val="0"/>
      <w:divBdr>
        <w:top w:val="none" w:sz="0" w:space="0" w:color="auto"/>
        <w:left w:val="none" w:sz="0" w:space="0" w:color="auto"/>
        <w:bottom w:val="none" w:sz="0" w:space="0" w:color="auto"/>
        <w:right w:val="none" w:sz="0" w:space="0" w:color="auto"/>
      </w:divBdr>
    </w:div>
    <w:div w:id="213123568">
      <w:marLeft w:val="0"/>
      <w:marRight w:val="0"/>
      <w:marTop w:val="0"/>
      <w:marBottom w:val="0"/>
      <w:divBdr>
        <w:top w:val="none" w:sz="0" w:space="0" w:color="auto"/>
        <w:left w:val="none" w:sz="0" w:space="0" w:color="auto"/>
        <w:bottom w:val="none" w:sz="0" w:space="0" w:color="auto"/>
        <w:right w:val="none" w:sz="0" w:space="0" w:color="auto"/>
      </w:divBdr>
    </w:div>
    <w:div w:id="213123569">
      <w:marLeft w:val="0"/>
      <w:marRight w:val="0"/>
      <w:marTop w:val="0"/>
      <w:marBottom w:val="0"/>
      <w:divBdr>
        <w:top w:val="none" w:sz="0" w:space="0" w:color="auto"/>
        <w:left w:val="none" w:sz="0" w:space="0" w:color="auto"/>
        <w:bottom w:val="none" w:sz="0" w:space="0" w:color="auto"/>
        <w:right w:val="none" w:sz="0" w:space="0" w:color="auto"/>
      </w:divBdr>
    </w:div>
    <w:div w:id="213123570">
      <w:marLeft w:val="0"/>
      <w:marRight w:val="0"/>
      <w:marTop w:val="0"/>
      <w:marBottom w:val="0"/>
      <w:divBdr>
        <w:top w:val="none" w:sz="0" w:space="0" w:color="auto"/>
        <w:left w:val="none" w:sz="0" w:space="0" w:color="auto"/>
        <w:bottom w:val="none" w:sz="0" w:space="0" w:color="auto"/>
        <w:right w:val="none" w:sz="0" w:space="0" w:color="auto"/>
      </w:divBdr>
    </w:div>
    <w:div w:id="213123571">
      <w:marLeft w:val="0"/>
      <w:marRight w:val="0"/>
      <w:marTop w:val="0"/>
      <w:marBottom w:val="0"/>
      <w:divBdr>
        <w:top w:val="none" w:sz="0" w:space="0" w:color="auto"/>
        <w:left w:val="none" w:sz="0" w:space="0" w:color="auto"/>
        <w:bottom w:val="none" w:sz="0" w:space="0" w:color="auto"/>
        <w:right w:val="none" w:sz="0" w:space="0" w:color="auto"/>
      </w:divBdr>
    </w:div>
    <w:div w:id="213123572">
      <w:marLeft w:val="0"/>
      <w:marRight w:val="0"/>
      <w:marTop w:val="0"/>
      <w:marBottom w:val="0"/>
      <w:divBdr>
        <w:top w:val="none" w:sz="0" w:space="0" w:color="auto"/>
        <w:left w:val="none" w:sz="0" w:space="0" w:color="auto"/>
        <w:bottom w:val="none" w:sz="0" w:space="0" w:color="auto"/>
        <w:right w:val="none" w:sz="0" w:space="0" w:color="auto"/>
      </w:divBdr>
    </w:div>
    <w:div w:id="213123573">
      <w:marLeft w:val="0"/>
      <w:marRight w:val="0"/>
      <w:marTop w:val="0"/>
      <w:marBottom w:val="0"/>
      <w:divBdr>
        <w:top w:val="none" w:sz="0" w:space="0" w:color="auto"/>
        <w:left w:val="none" w:sz="0" w:space="0" w:color="auto"/>
        <w:bottom w:val="none" w:sz="0" w:space="0" w:color="auto"/>
        <w:right w:val="none" w:sz="0" w:space="0" w:color="auto"/>
      </w:divBdr>
    </w:div>
    <w:div w:id="213123574">
      <w:marLeft w:val="0"/>
      <w:marRight w:val="0"/>
      <w:marTop w:val="0"/>
      <w:marBottom w:val="0"/>
      <w:divBdr>
        <w:top w:val="none" w:sz="0" w:space="0" w:color="auto"/>
        <w:left w:val="none" w:sz="0" w:space="0" w:color="auto"/>
        <w:bottom w:val="none" w:sz="0" w:space="0" w:color="auto"/>
        <w:right w:val="none" w:sz="0" w:space="0" w:color="auto"/>
      </w:divBdr>
    </w:div>
    <w:div w:id="213123575">
      <w:marLeft w:val="0"/>
      <w:marRight w:val="0"/>
      <w:marTop w:val="0"/>
      <w:marBottom w:val="0"/>
      <w:divBdr>
        <w:top w:val="none" w:sz="0" w:space="0" w:color="auto"/>
        <w:left w:val="none" w:sz="0" w:space="0" w:color="auto"/>
        <w:bottom w:val="none" w:sz="0" w:space="0" w:color="auto"/>
        <w:right w:val="none" w:sz="0" w:space="0" w:color="auto"/>
      </w:divBdr>
    </w:div>
    <w:div w:id="213123576">
      <w:marLeft w:val="0"/>
      <w:marRight w:val="0"/>
      <w:marTop w:val="0"/>
      <w:marBottom w:val="0"/>
      <w:divBdr>
        <w:top w:val="none" w:sz="0" w:space="0" w:color="auto"/>
        <w:left w:val="none" w:sz="0" w:space="0" w:color="auto"/>
        <w:bottom w:val="none" w:sz="0" w:space="0" w:color="auto"/>
        <w:right w:val="none" w:sz="0" w:space="0" w:color="auto"/>
      </w:divBdr>
    </w:div>
    <w:div w:id="213123577">
      <w:marLeft w:val="0"/>
      <w:marRight w:val="0"/>
      <w:marTop w:val="0"/>
      <w:marBottom w:val="0"/>
      <w:divBdr>
        <w:top w:val="none" w:sz="0" w:space="0" w:color="auto"/>
        <w:left w:val="none" w:sz="0" w:space="0" w:color="auto"/>
        <w:bottom w:val="none" w:sz="0" w:space="0" w:color="auto"/>
        <w:right w:val="none" w:sz="0" w:space="0" w:color="auto"/>
      </w:divBdr>
    </w:div>
    <w:div w:id="213123578">
      <w:marLeft w:val="0"/>
      <w:marRight w:val="0"/>
      <w:marTop w:val="0"/>
      <w:marBottom w:val="0"/>
      <w:divBdr>
        <w:top w:val="none" w:sz="0" w:space="0" w:color="auto"/>
        <w:left w:val="none" w:sz="0" w:space="0" w:color="auto"/>
        <w:bottom w:val="none" w:sz="0" w:space="0" w:color="auto"/>
        <w:right w:val="none" w:sz="0" w:space="0" w:color="auto"/>
      </w:divBdr>
    </w:div>
    <w:div w:id="213123579">
      <w:marLeft w:val="0"/>
      <w:marRight w:val="0"/>
      <w:marTop w:val="0"/>
      <w:marBottom w:val="0"/>
      <w:divBdr>
        <w:top w:val="none" w:sz="0" w:space="0" w:color="auto"/>
        <w:left w:val="none" w:sz="0" w:space="0" w:color="auto"/>
        <w:bottom w:val="none" w:sz="0" w:space="0" w:color="auto"/>
        <w:right w:val="none" w:sz="0" w:space="0" w:color="auto"/>
      </w:divBdr>
    </w:div>
    <w:div w:id="213123580">
      <w:marLeft w:val="0"/>
      <w:marRight w:val="0"/>
      <w:marTop w:val="0"/>
      <w:marBottom w:val="0"/>
      <w:divBdr>
        <w:top w:val="none" w:sz="0" w:space="0" w:color="auto"/>
        <w:left w:val="none" w:sz="0" w:space="0" w:color="auto"/>
        <w:bottom w:val="none" w:sz="0" w:space="0" w:color="auto"/>
        <w:right w:val="none" w:sz="0" w:space="0" w:color="auto"/>
      </w:divBdr>
    </w:div>
    <w:div w:id="213123581">
      <w:marLeft w:val="0"/>
      <w:marRight w:val="0"/>
      <w:marTop w:val="0"/>
      <w:marBottom w:val="0"/>
      <w:divBdr>
        <w:top w:val="none" w:sz="0" w:space="0" w:color="auto"/>
        <w:left w:val="none" w:sz="0" w:space="0" w:color="auto"/>
        <w:bottom w:val="none" w:sz="0" w:space="0" w:color="auto"/>
        <w:right w:val="none" w:sz="0" w:space="0" w:color="auto"/>
      </w:divBdr>
    </w:div>
    <w:div w:id="213123582">
      <w:marLeft w:val="0"/>
      <w:marRight w:val="0"/>
      <w:marTop w:val="0"/>
      <w:marBottom w:val="0"/>
      <w:divBdr>
        <w:top w:val="none" w:sz="0" w:space="0" w:color="auto"/>
        <w:left w:val="none" w:sz="0" w:space="0" w:color="auto"/>
        <w:bottom w:val="none" w:sz="0" w:space="0" w:color="auto"/>
        <w:right w:val="none" w:sz="0" w:space="0" w:color="auto"/>
      </w:divBdr>
    </w:div>
    <w:div w:id="213123583">
      <w:marLeft w:val="0"/>
      <w:marRight w:val="0"/>
      <w:marTop w:val="0"/>
      <w:marBottom w:val="0"/>
      <w:divBdr>
        <w:top w:val="none" w:sz="0" w:space="0" w:color="auto"/>
        <w:left w:val="none" w:sz="0" w:space="0" w:color="auto"/>
        <w:bottom w:val="none" w:sz="0" w:space="0" w:color="auto"/>
        <w:right w:val="none" w:sz="0" w:space="0" w:color="auto"/>
      </w:divBdr>
    </w:div>
    <w:div w:id="213123584">
      <w:marLeft w:val="0"/>
      <w:marRight w:val="0"/>
      <w:marTop w:val="0"/>
      <w:marBottom w:val="0"/>
      <w:divBdr>
        <w:top w:val="none" w:sz="0" w:space="0" w:color="auto"/>
        <w:left w:val="none" w:sz="0" w:space="0" w:color="auto"/>
        <w:bottom w:val="none" w:sz="0" w:space="0" w:color="auto"/>
        <w:right w:val="none" w:sz="0" w:space="0" w:color="auto"/>
      </w:divBdr>
    </w:div>
    <w:div w:id="213123585">
      <w:marLeft w:val="0"/>
      <w:marRight w:val="0"/>
      <w:marTop w:val="0"/>
      <w:marBottom w:val="0"/>
      <w:divBdr>
        <w:top w:val="none" w:sz="0" w:space="0" w:color="auto"/>
        <w:left w:val="none" w:sz="0" w:space="0" w:color="auto"/>
        <w:bottom w:val="none" w:sz="0" w:space="0" w:color="auto"/>
        <w:right w:val="none" w:sz="0" w:space="0" w:color="auto"/>
      </w:divBdr>
    </w:div>
    <w:div w:id="213123586">
      <w:marLeft w:val="0"/>
      <w:marRight w:val="0"/>
      <w:marTop w:val="0"/>
      <w:marBottom w:val="0"/>
      <w:divBdr>
        <w:top w:val="none" w:sz="0" w:space="0" w:color="auto"/>
        <w:left w:val="none" w:sz="0" w:space="0" w:color="auto"/>
        <w:bottom w:val="none" w:sz="0" w:space="0" w:color="auto"/>
        <w:right w:val="none" w:sz="0" w:space="0" w:color="auto"/>
      </w:divBdr>
    </w:div>
    <w:div w:id="213123587">
      <w:marLeft w:val="0"/>
      <w:marRight w:val="0"/>
      <w:marTop w:val="0"/>
      <w:marBottom w:val="0"/>
      <w:divBdr>
        <w:top w:val="none" w:sz="0" w:space="0" w:color="auto"/>
        <w:left w:val="none" w:sz="0" w:space="0" w:color="auto"/>
        <w:bottom w:val="none" w:sz="0" w:space="0" w:color="auto"/>
        <w:right w:val="none" w:sz="0" w:space="0" w:color="auto"/>
      </w:divBdr>
      <w:divsChild>
        <w:div w:id="213123524">
          <w:marLeft w:val="0"/>
          <w:marRight w:val="0"/>
          <w:marTop w:val="0"/>
          <w:marBottom w:val="0"/>
          <w:divBdr>
            <w:top w:val="none" w:sz="0" w:space="0" w:color="auto"/>
            <w:left w:val="none" w:sz="0" w:space="0" w:color="auto"/>
            <w:bottom w:val="none" w:sz="0" w:space="0" w:color="auto"/>
            <w:right w:val="none" w:sz="0" w:space="0" w:color="auto"/>
          </w:divBdr>
        </w:div>
      </w:divsChild>
    </w:div>
    <w:div w:id="213123588">
      <w:marLeft w:val="0"/>
      <w:marRight w:val="0"/>
      <w:marTop w:val="0"/>
      <w:marBottom w:val="0"/>
      <w:divBdr>
        <w:top w:val="none" w:sz="0" w:space="0" w:color="auto"/>
        <w:left w:val="none" w:sz="0" w:space="0" w:color="auto"/>
        <w:bottom w:val="none" w:sz="0" w:space="0" w:color="auto"/>
        <w:right w:val="none" w:sz="0" w:space="0" w:color="auto"/>
      </w:divBdr>
    </w:div>
    <w:div w:id="213123589">
      <w:marLeft w:val="0"/>
      <w:marRight w:val="0"/>
      <w:marTop w:val="0"/>
      <w:marBottom w:val="0"/>
      <w:divBdr>
        <w:top w:val="none" w:sz="0" w:space="0" w:color="auto"/>
        <w:left w:val="none" w:sz="0" w:space="0" w:color="auto"/>
        <w:bottom w:val="none" w:sz="0" w:space="0" w:color="auto"/>
        <w:right w:val="none" w:sz="0" w:space="0" w:color="auto"/>
      </w:divBdr>
    </w:div>
    <w:div w:id="213123590">
      <w:marLeft w:val="0"/>
      <w:marRight w:val="0"/>
      <w:marTop w:val="0"/>
      <w:marBottom w:val="0"/>
      <w:divBdr>
        <w:top w:val="none" w:sz="0" w:space="0" w:color="auto"/>
        <w:left w:val="none" w:sz="0" w:space="0" w:color="auto"/>
        <w:bottom w:val="none" w:sz="0" w:space="0" w:color="auto"/>
        <w:right w:val="none" w:sz="0" w:space="0" w:color="auto"/>
      </w:divBdr>
    </w:div>
    <w:div w:id="213123591">
      <w:marLeft w:val="0"/>
      <w:marRight w:val="0"/>
      <w:marTop w:val="0"/>
      <w:marBottom w:val="0"/>
      <w:divBdr>
        <w:top w:val="none" w:sz="0" w:space="0" w:color="auto"/>
        <w:left w:val="none" w:sz="0" w:space="0" w:color="auto"/>
        <w:bottom w:val="none" w:sz="0" w:space="0" w:color="auto"/>
        <w:right w:val="none" w:sz="0" w:space="0" w:color="auto"/>
      </w:divBdr>
    </w:div>
    <w:div w:id="213123592">
      <w:marLeft w:val="0"/>
      <w:marRight w:val="0"/>
      <w:marTop w:val="0"/>
      <w:marBottom w:val="0"/>
      <w:divBdr>
        <w:top w:val="none" w:sz="0" w:space="0" w:color="auto"/>
        <w:left w:val="none" w:sz="0" w:space="0" w:color="auto"/>
        <w:bottom w:val="none" w:sz="0" w:space="0" w:color="auto"/>
        <w:right w:val="none" w:sz="0" w:space="0" w:color="auto"/>
      </w:divBdr>
    </w:div>
    <w:div w:id="213123593">
      <w:marLeft w:val="0"/>
      <w:marRight w:val="0"/>
      <w:marTop w:val="0"/>
      <w:marBottom w:val="0"/>
      <w:divBdr>
        <w:top w:val="none" w:sz="0" w:space="0" w:color="auto"/>
        <w:left w:val="none" w:sz="0" w:space="0" w:color="auto"/>
        <w:bottom w:val="none" w:sz="0" w:space="0" w:color="auto"/>
        <w:right w:val="none" w:sz="0" w:space="0" w:color="auto"/>
      </w:divBdr>
    </w:div>
    <w:div w:id="213123594">
      <w:marLeft w:val="0"/>
      <w:marRight w:val="0"/>
      <w:marTop w:val="0"/>
      <w:marBottom w:val="0"/>
      <w:divBdr>
        <w:top w:val="none" w:sz="0" w:space="0" w:color="auto"/>
        <w:left w:val="none" w:sz="0" w:space="0" w:color="auto"/>
        <w:bottom w:val="none" w:sz="0" w:space="0" w:color="auto"/>
        <w:right w:val="none" w:sz="0" w:space="0" w:color="auto"/>
      </w:divBdr>
    </w:div>
    <w:div w:id="213123595">
      <w:marLeft w:val="0"/>
      <w:marRight w:val="0"/>
      <w:marTop w:val="0"/>
      <w:marBottom w:val="0"/>
      <w:divBdr>
        <w:top w:val="none" w:sz="0" w:space="0" w:color="auto"/>
        <w:left w:val="none" w:sz="0" w:space="0" w:color="auto"/>
        <w:bottom w:val="none" w:sz="0" w:space="0" w:color="auto"/>
        <w:right w:val="none" w:sz="0" w:space="0" w:color="auto"/>
      </w:divBdr>
    </w:div>
    <w:div w:id="213123596">
      <w:marLeft w:val="0"/>
      <w:marRight w:val="0"/>
      <w:marTop w:val="0"/>
      <w:marBottom w:val="0"/>
      <w:divBdr>
        <w:top w:val="none" w:sz="0" w:space="0" w:color="auto"/>
        <w:left w:val="none" w:sz="0" w:space="0" w:color="auto"/>
        <w:bottom w:val="none" w:sz="0" w:space="0" w:color="auto"/>
        <w:right w:val="none" w:sz="0" w:space="0" w:color="auto"/>
      </w:divBdr>
    </w:div>
    <w:div w:id="213123597">
      <w:marLeft w:val="0"/>
      <w:marRight w:val="0"/>
      <w:marTop w:val="0"/>
      <w:marBottom w:val="0"/>
      <w:divBdr>
        <w:top w:val="none" w:sz="0" w:space="0" w:color="auto"/>
        <w:left w:val="none" w:sz="0" w:space="0" w:color="auto"/>
        <w:bottom w:val="none" w:sz="0" w:space="0" w:color="auto"/>
        <w:right w:val="none" w:sz="0" w:space="0" w:color="auto"/>
      </w:divBdr>
    </w:div>
    <w:div w:id="213123598">
      <w:marLeft w:val="0"/>
      <w:marRight w:val="0"/>
      <w:marTop w:val="0"/>
      <w:marBottom w:val="0"/>
      <w:divBdr>
        <w:top w:val="none" w:sz="0" w:space="0" w:color="auto"/>
        <w:left w:val="none" w:sz="0" w:space="0" w:color="auto"/>
        <w:bottom w:val="none" w:sz="0" w:space="0" w:color="auto"/>
        <w:right w:val="none" w:sz="0" w:space="0" w:color="auto"/>
      </w:divBdr>
    </w:div>
    <w:div w:id="213123599">
      <w:marLeft w:val="0"/>
      <w:marRight w:val="0"/>
      <w:marTop w:val="0"/>
      <w:marBottom w:val="0"/>
      <w:divBdr>
        <w:top w:val="none" w:sz="0" w:space="0" w:color="auto"/>
        <w:left w:val="none" w:sz="0" w:space="0" w:color="auto"/>
        <w:bottom w:val="none" w:sz="0" w:space="0" w:color="auto"/>
        <w:right w:val="none" w:sz="0" w:space="0" w:color="auto"/>
      </w:divBdr>
    </w:div>
    <w:div w:id="213123600">
      <w:marLeft w:val="0"/>
      <w:marRight w:val="0"/>
      <w:marTop w:val="0"/>
      <w:marBottom w:val="0"/>
      <w:divBdr>
        <w:top w:val="none" w:sz="0" w:space="0" w:color="auto"/>
        <w:left w:val="none" w:sz="0" w:space="0" w:color="auto"/>
        <w:bottom w:val="none" w:sz="0" w:space="0" w:color="auto"/>
        <w:right w:val="none" w:sz="0" w:space="0" w:color="auto"/>
      </w:divBdr>
    </w:div>
    <w:div w:id="213123601">
      <w:marLeft w:val="0"/>
      <w:marRight w:val="0"/>
      <w:marTop w:val="0"/>
      <w:marBottom w:val="0"/>
      <w:divBdr>
        <w:top w:val="none" w:sz="0" w:space="0" w:color="auto"/>
        <w:left w:val="none" w:sz="0" w:space="0" w:color="auto"/>
        <w:bottom w:val="none" w:sz="0" w:space="0" w:color="auto"/>
        <w:right w:val="none" w:sz="0" w:space="0" w:color="auto"/>
      </w:divBdr>
    </w:div>
    <w:div w:id="213123602">
      <w:marLeft w:val="0"/>
      <w:marRight w:val="0"/>
      <w:marTop w:val="0"/>
      <w:marBottom w:val="0"/>
      <w:divBdr>
        <w:top w:val="none" w:sz="0" w:space="0" w:color="auto"/>
        <w:left w:val="none" w:sz="0" w:space="0" w:color="auto"/>
        <w:bottom w:val="none" w:sz="0" w:space="0" w:color="auto"/>
        <w:right w:val="none" w:sz="0" w:space="0" w:color="auto"/>
      </w:divBdr>
    </w:div>
    <w:div w:id="213123603">
      <w:marLeft w:val="0"/>
      <w:marRight w:val="0"/>
      <w:marTop w:val="0"/>
      <w:marBottom w:val="0"/>
      <w:divBdr>
        <w:top w:val="none" w:sz="0" w:space="0" w:color="auto"/>
        <w:left w:val="none" w:sz="0" w:space="0" w:color="auto"/>
        <w:bottom w:val="none" w:sz="0" w:space="0" w:color="auto"/>
        <w:right w:val="none" w:sz="0" w:space="0" w:color="auto"/>
      </w:divBdr>
    </w:div>
    <w:div w:id="213123604">
      <w:marLeft w:val="0"/>
      <w:marRight w:val="0"/>
      <w:marTop w:val="0"/>
      <w:marBottom w:val="0"/>
      <w:divBdr>
        <w:top w:val="none" w:sz="0" w:space="0" w:color="auto"/>
        <w:left w:val="none" w:sz="0" w:space="0" w:color="auto"/>
        <w:bottom w:val="none" w:sz="0" w:space="0" w:color="auto"/>
        <w:right w:val="none" w:sz="0" w:space="0" w:color="auto"/>
      </w:divBdr>
    </w:div>
    <w:div w:id="213123605">
      <w:marLeft w:val="0"/>
      <w:marRight w:val="0"/>
      <w:marTop w:val="0"/>
      <w:marBottom w:val="0"/>
      <w:divBdr>
        <w:top w:val="none" w:sz="0" w:space="0" w:color="auto"/>
        <w:left w:val="none" w:sz="0" w:space="0" w:color="auto"/>
        <w:bottom w:val="none" w:sz="0" w:space="0" w:color="auto"/>
        <w:right w:val="none" w:sz="0" w:space="0" w:color="auto"/>
      </w:divBdr>
    </w:div>
    <w:div w:id="213123606">
      <w:marLeft w:val="0"/>
      <w:marRight w:val="0"/>
      <w:marTop w:val="0"/>
      <w:marBottom w:val="0"/>
      <w:divBdr>
        <w:top w:val="none" w:sz="0" w:space="0" w:color="auto"/>
        <w:left w:val="none" w:sz="0" w:space="0" w:color="auto"/>
        <w:bottom w:val="none" w:sz="0" w:space="0" w:color="auto"/>
        <w:right w:val="none" w:sz="0" w:space="0" w:color="auto"/>
      </w:divBdr>
    </w:div>
    <w:div w:id="213123607">
      <w:marLeft w:val="0"/>
      <w:marRight w:val="0"/>
      <w:marTop w:val="0"/>
      <w:marBottom w:val="0"/>
      <w:divBdr>
        <w:top w:val="none" w:sz="0" w:space="0" w:color="auto"/>
        <w:left w:val="none" w:sz="0" w:space="0" w:color="auto"/>
        <w:bottom w:val="none" w:sz="0" w:space="0" w:color="auto"/>
        <w:right w:val="none" w:sz="0" w:space="0" w:color="auto"/>
      </w:divBdr>
    </w:div>
    <w:div w:id="213123608">
      <w:marLeft w:val="0"/>
      <w:marRight w:val="0"/>
      <w:marTop w:val="0"/>
      <w:marBottom w:val="0"/>
      <w:divBdr>
        <w:top w:val="none" w:sz="0" w:space="0" w:color="auto"/>
        <w:left w:val="none" w:sz="0" w:space="0" w:color="auto"/>
        <w:bottom w:val="none" w:sz="0" w:space="0" w:color="auto"/>
        <w:right w:val="none" w:sz="0" w:space="0" w:color="auto"/>
      </w:divBdr>
    </w:div>
    <w:div w:id="213123609">
      <w:marLeft w:val="0"/>
      <w:marRight w:val="0"/>
      <w:marTop w:val="0"/>
      <w:marBottom w:val="0"/>
      <w:divBdr>
        <w:top w:val="none" w:sz="0" w:space="0" w:color="auto"/>
        <w:left w:val="none" w:sz="0" w:space="0" w:color="auto"/>
        <w:bottom w:val="none" w:sz="0" w:space="0" w:color="auto"/>
        <w:right w:val="none" w:sz="0" w:space="0" w:color="auto"/>
      </w:divBdr>
    </w:div>
    <w:div w:id="213123610">
      <w:marLeft w:val="0"/>
      <w:marRight w:val="0"/>
      <w:marTop w:val="0"/>
      <w:marBottom w:val="0"/>
      <w:divBdr>
        <w:top w:val="none" w:sz="0" w:space="0" w:color="auto"/>
        <w:left w:val="none" w:sz="0" w:space="0" w:color="auto"/>
        <w:bottom w:val="none" w:sz="0" w:space="0" w:color="auto"/>
        <w:right w:val="none" w:sz="0" w:space="0" w:color="auto"/>
      </w:divBdr>
    </w:div>
    <w:div w:id="213123611">
      <w:marLeft w:val="0"/>
      <w:marRight w:val="0"/>
      <w:marTop w:val="0"/>
      <w:marBottom w:val="0"/>
      <w:divBdr>
        <w:top w:val="none" w:sz="0" w:space="0" w:color="auto"/>
        <w:left w:val="none" w:sz="0" w:space="0" w:color="auto"/>
        <w:bottom w:val="none" w:sz="0" w:space="0" w:color="auto"/>
        <w:right w:val="none" w:sz="0" w:space="0" w:color="auto"/>
      </w:divBdr>
    </w:div>
    <w:div w:id="213123612">
      <w:marLeft w:val="0"/>
      <w:marRight w:val="0"/>
      <w:marTop w:val="0"/>
      <w:marBottom w:val="0"/>
      <w:divBdr>
        <w:top w:val="none" w:sz="0" w:space="0" w:color="auto"/>
        <w:left w:val="none" w:sz="0" w:space="0" w:color="auto"/>
        <w:bottom w:val="none" w:sz="0" w:space="0" w:color="auto"/>
        <w:right w:val="none" w:sz="0" w:space="0" w:color="auto"/>
      </w:divBdr>
    </w:div>
    <w:div w:id="213123613">
      <w:marLeft w:val="0"/>
      <w:marRight w:val="0"/>
      <w:marTop w:val="0"/>
      <w:marBottom w:val="0"/>
      <w:divBdr>
        <w:top w:val="none" w:sz="0" w:space="0" w:color="auto"/>
        <w:left w:val="none" w:sz="0" w:space="0" w:color="auto"/>
        <w:bottom w:val="none" w:sz="0" w:space="0" w:color="auto"/>
        <w:right w:val="none" w:sz="0" w:space="0" w:color="auto"/>
      </w:divBdr>
    </w:div>
    <w:div w:id="213123614">
      <w:marLeft w:val="0"/>
      <w:marRight w:val="0"/>
      <w:marTop w:val="0"/>
      <w:marBottom w:val="0"/>
      <w:divBdr>
        <w:top w:val="none" w:sz="0" w:space="0" w:color="auto"/>
        <w:left w:val="none" w:sz="0" w:space="0" w:color="auto"/>
        <w:bottom w:val="none" w:sz="0" w:space="0" w:color="auto"/>
        <w:right w:val="none" w:sz="0" w:space="0" w:color="auto"/>
      </w:divBdr>
    </w:div>
    <w:div w:id="213123615">
      <w:marLeft w:val="0"/>
      <w:marRight w:val="0"/>
      <w:marTop w:val="0"/>
      <w:marBottom w:val="0"/>
      <w:divBdr>
        <w:top w:val="none" w:sz="0" w:space="0" w:color="auto"/>
        <w:left w:val="none" w:sz="0" w:space="0" w:color="auto"/>
        <w:bottom w:val="none" w:sz="0" w:space="0" w:color="auto"/>
        <w:right w:val="none" w:sz="0" w:space="0" w:color="auto"/>
      </w:divBdr>
    </w:div>
    <w:div w:id="213123616">
      <w:marLeft w:val="0"/>
      <w:marRight w:val="0"/>
      <w:marTop w:val="0"/>
      <w:marBottom w:val="0"/>
      <w:divBdr>
        <w:top w:val="none" w:sz="0" w:space="0" w:color="auto"/>
        <w:left w:val="none" w:sz="0" w:space="0" w:color="auto"/>
        <w:bottom w:val="none" w:sz="0" w:space="0" w:color="auto"/>
        <w:right w:val="none" w:sz="0" w:space="0" w:color="auto"/>
      </w:divBdr>
    </w:div>
    <w:div w:id="213123617">
      <w:marLeft w:val="0"/>
      <w:marRight w:val="0"/>
      <w:marTop w:val="0"/>
      <w:marBottom w:val="0"/>
      <w:divBdr>
        <w:top w:val="none" w:sz="0" w:space="0" w:color="auto"/>
        <w:left w:val="none" w:sz="0" w:space="0" w:color="auto"/>
        <w:bottom w:val="none" w:sz="0" w:space="0" w:color="auto"/>
        <w:right w:val="none" w:sz="0" w:space="0" w:color="auto"/>
      </w:divBdr>
    </w:div>
    <w:div w:id="213123618">
      <w:marLeft w:val="0"/>
      <w:marRight w:val="0"/>
      <w:marTop w:val="0"/>
      <w:marBottom w:val="0"/>
      <w:divBdr>
        <w:top w:val="none" w:sz="0" w:space="0" w:color="auto"/>
        <w:left w:val="none" w:sz="0" w:space="0" w:color="auto"/>
        <w:bottom w:val="none" w:sz="0" w:space="0" w:color="auto"/>
        <w:right w:val="none" w:sz="0" w:space="0" w:color="auto"/>
      </w:divBdr>
    </w:div>
    <w:div w:id="213123619">
      <w:marLeft w:val="0"/>
      <w:marRight w:val="0"/>
      <w:marTop w:val="0"/>
      <w:marBottom w:val="0"/>
      <w:divBdr>
        <w:top w:val="none" w:sz="0" w:space="0" w:color="auto"/>
        <w:left w:val="none" w:sz="0" w:space="0" w:color="auto"/>
        <w:bottom w:val="none" w:sz="0" w:space="0" w:color="auto"/>
        <w:right w:val="none" w:sz="0" w:space="0" w:color="auto"/>
      </w:divBdr>
    </w:div>
    <w:div w:id="213123620">
      <w:marLeft w:val="0"/>
      <w:marRight w:val="0"/>
      <w:marTop w:val="0"/>
      <w:marBottom w:val="0"/>
      <w:divBdr>
        <w:top w:val="none" w:sz="0" w:space="0" w:color="auto"/>
        <w:left w:val="none" w:sz="0" w:space="0" w:color="auto"/>
        <w:bottom w:val="none" w:sz="0" w:space="0" w:color="auto"/>
        <w:right w:val="none" w:sz="0" w:space="0" w:color="auto"/>
      </w:divBdr>
    </w:div>
    <w:div w:id="213123621">
      <w:marLeft w:val="0"/>
      <w:marRight w:val="0"/>
      <w:marTop w:val="0"/>
      <w:marBottom w:val="0"/>
      <w:divBdr>
        <w:top w:val="none" w:sz="0" w:space="0" w:color="auto"/>
        <w:left w:val="none" w:sz="0" w:space="0" w:color="auto"/>
        <w:bottom w:val="none" w:sz="0" w:space="0" w:color="auto"/>
        <w:right w:val="none" w:sz="0" w:space="0" w:color="auto"/>
      </w:divBdr>
    </w:div>
    <w:div w:id="213123622">
      <w:marLeft w:val="0"/>
      <w:marRight w:val="0"/>
      <w:marTop w:val="0"/>
      <w:marBottom w:val="0"/>
      <w:divBdr>
        <w:top w:val="none" w:sz="0" w:space="0" w:color="auto"/>
        <w:left w:val="none" w:sz="0" w:space="0" w:color="auto"/>
        <w:bottom w:val="none" w:sz="0" w:space="0" w:color="auto"/>
        <w:right w:val="none" w:sz="0" w:space="0" w:color="auto"/>
      </w:divBdr>
    </w:div>
    <w:div w:id="213123623">
      <w:marLeft w:val="0"/>
      <w:marRight w:val="0"/>
      <w:marTop w:val="0"/>
      <w:marBottom w:val="0"/>
      <w:divBdr>
        <w:top w:val="none" w:sz="0" w:space="0" w:color="auto"/>
        <w:left w:val="none" w:sz="0" w:space="0" w:color="auto"/>
        <w:bottom w:val="none" w:sz="0" w:space="0" w:color="auto"/>
        <w:right w:val="none" w:sz="0" w:space="0" w:color="auto"/>
      </w:divBdr>
    </w:div>
    <w:div w:id="213123624">
      <w:marLeft w:val="0"/>
      <w:marRight w:val="0"/>
      <w:marTop w:val="0"/>
      <w:marBottom w:val="0"/>
      <w:divBdr>
        <w:top w:val="none" w:sz="0" w:space="0" w:color="auto"/>
        <w:left w:val="none" w:sz="0" w:space="0" w:color="auto"/>
        <w:bottom w:val="none" w:sz="0" w:space="0" w:color="auto"/>
        <w:right w:val="none" w:sz="0" w:space="0" w:color="auto"/>
      </w:divBdr>
    </w:div>
    <w:div w:id="213123625">
      <w:marLeft w:val="0"/>
      <w:marRight w:val="0"/>
      <w:marTop w:val="0"/>
      <w:marBottom w:val="0"/>
      <w:divBdr>
        <w:top w:val="none" w:sz="0" w:space="0" w:color="auto"/>
        <w:left w:val="none" w:sz="0" w:space="0" w:color="auto"/>
        <w:bottom w:val="none" w:sz="0" w:space="0" w:color="auto"/>
        <w:right w:val="none" w:sz="0" w:space="0" w:color="auto"/>
      </w:divBdr>
    </w:div>
    <w:div w:id="213123626">
      <w:marLeft w:val="0"/>
      <w:marRight w:val="0"/>
      <w:marTop w:val="0"/>
      <w:marBottom w:val="0"/>
      <w:divBdr>
        <w:top w:val="none" w:sz="0" w:space="0" w:color="auto"/>
        <w:left w:val="none" w:sz="0" w:space="0" w:color="auto"/>
        <w:bottom w:val="none" w:sz="0" w:space="0" w:color="auto"/>
        <w:right w:val="none" w:sz="0" w:space="0" w:color="auto"/>
      </w:divBdr>
    </w:div>
    <w:div w:id="213123627">
      <w:marLeft w:val="0"/>
      <w:marRight w:val="0"/>
      <w:marTop w:val="0"/>
      <w:marBottom w:val="0"/>
      <w:divBdr>
        <w:top w:val="none" w:sz="0" w:space="0" w:color="auto"/>
        <w:left w:val="none" w:sz="0" w:space="0" w:color="auto"/>
        <w:bottom w:val="none" w:sz="0" w:space="0" w:color="auto"/>
        <w:right w:val="none" w:sz="0" w:space="0" w:color="auto"/>
      </w:divBdr>
    </w:div>
    <w:div w:id="213123628">
      <w:marLeft w:val="0"/>
      <w:marRight w:val="0"/>
      <w:marTop w:val="0"/>
      <w:marBottom w:val="0"/>
      <w:divBdr>
        <w:top w:val="none" w:sz="0" w:space="0" w:color="auto"/>
        <w:left w:val="none" w:sz="0" w:space="0" w:color="auto"/>
        <w:bottom w:val="none" w:sz="0" w:space="0" w:color="auto"/>
        <w:right w:val="none" w:sz="0" w:space="0" w:color="auto"/>
      </w:divBdr>
    </w:div>
    <w:div w:id="213123629">
      <w:marLeft w:val="0"/>
      <w:marRight w:val="0"/>
      <w:marTop w:val="0"/>
      <w:marBottom w:val="0"/>
      <w:divBdr>
        <w:top w:val="none" w:sz="0" w:space="0" w:color="auto"/>
        <w:left w:val="none" w:sz="0" w:space="0" w:color="auto"/>
        <w:bottom w:val="none" w:sz="0" w:space="0" w:color="auto"/>
        <w:right w:val="none" w:sz="0" w:space="0" w:color="auto"/>
      </w:divBdr>
    </w:div>
    <w:div w:id="213123630">
      <w:marLeft w:val="0"/>
      <w:marRight w:val="0"/>
      <w:marTop w:val="0"/>
      <w:marBottom w:val="0"/>
      <w:divBdr>
        <w:top w:val="none" w:sz="0" w:space="0" w:color="auto"/>
        <w:left w:val="none" w:sz="0" w:space="0" w:color="auto"/>
        <w:bottom w:val="none" w:sz="0" w:space="0" w:color="auto"/>
        <w:right w:val="none" w:sz="0" w:space="0" w:color="auto"/>
      </w:divBdr>
    </w:div>
    <w:div w:id="213123631">
      <w:marLeft w:val="0"/>
      <w:marRight w:val="0"/>
      <w:marTop w:val="0"/>
      <w:marBottom w:val="0"/>
      <w:divBdr>
        <w:top w:val="none" w:sz="0" w:space="0" w:color="auto"/>
        <w:left w:val="none" w:sz="0" w:space="0" w:color="auto"/>
        <w:bottom w:val="none" w:sz="0" w:space="0" w:color="auto"/>
        <w:right w:val="none" w:sz="0" w:space="0" w:color="auto"/>
      </w:divBdr>
    </w:div>
    <w:div w:id="213123632">
      <w:marLeft w:val="0"/>
      <w:marRight w:val="0"/>
      <w:marTop w:val="0"/>
      <w:marBottom w:val="0"/>
      <w:divBdr>
        <w:top w:val="none" w:sz="0" w:space="0" w:color="auto"/>
        <w:left w:val="none" w:sz="0" w:space="0" w:color="auto"/>
        <w:bottom w:val="none" w:sz="0" w:space="0" w:color="auto"/>
        <w:right w:val="none" w:sz="0" w:space="0" w:color="auto"/>
      </w:divBdr>
    </w:div>
    <w:div w:id="213123633">
      <w:marLeft w:val="0"/>
      <w:marRight w:val="0"/>
      <w:marTop w:val="0"/>
      <w:marBottom w:val="0"/>
      <w:divBdr>
        <w:top w:val="none" w:sz="0" w:space="0" w:color="auto"/>
        <w:left w:val="none" w:sz="0" w:space="0" w:color="auto"/>
        <w:bottom w:val="none" w:sz="0" w:space="0" w:color="auto"/>
        <w:right w:val="none" w:sz="0" w:space="0" w:color="auto"/>
      </w:divBdr>
    </w:div>
    <w:div w:id="213123634">
      <w:marLeft w:val="0"/>
      <w:marRight w:val="0"/>
      <w:marTop w:val="0"/>
      <w:marBottom w:val="0"/>
      <w:divBdr>
        <w:top w:val="none" w:sz="0" w:space="0" w:color="auto"/>
        <w:left w:val="none" w:sz="0" w:space="0" w:color="auto"/>
        <w:bottom w:val="none" w:sz="0" w:space="0" w:color="auto"/>
        <w:right w:val="none" w:sz="0" w:space="0" w:color="auto"/>
      </w:divBdr>
    </w:div>
    <w:div w:id="213123635">
      <w:marLeft w:val="0"/>
      <w:marRight w:val="0"/>
      <w:marTop w:val="0"/>
      <w:marBottom w:val="0"/>
      <w:divBdr>
        <w:top w:val="none" w:sz="0" w:space="0" w:color="auto"/>
        <w:left w:val="none" w:sz="0" w:space="0" w:color="auto"/>
        <w:bottom w:val="none" w:sz="0" w:space="0" w:color="auto"/>
        <w:right w:val="none" w:sz="0" w:space="0" w:color="auto"/>
      </w:divBdr>
    </w:div>
    <w:div w:id="213123636">
      <w:marLeft w:val="0"/>
      <w:marRight w:val="0"/>
      <w:marTop w:val="0"/>
      <w:marBottom w:val="0"/>
      <w:divBdr>
        <w:top w:val="none" w:sz="0" w:space="0" w:color="auto"/>
        <w:left w:val="none" w:sz="0" w:space="0" w:color="auto"/>
        <w:bottom w:val="none" w:sz="0" w:space="0" w:color="auto"/>
        <w:right w:val="none" w:sz="0" w:space="0" w:color="auto"/>
      </w:divBdr>
    </w:div>
    <w:div w:id="213123637">
      <w:marLeft w:val="0"/>
      <w:marRight w:val="0"/>
      <w:marTop w:val="0"/>
      <w:marBottom w:val="0"/>
      <w:divBdr>
        <w:top w:val="none" w:sz="0" w:space="0" w:color="auto"/>
        <w:left w:val="none" w:sz="0" w:space="0" w:color="auto"/>
        <w:bottom w:val="none" w:sz="0" w:space="0" w:color="auto"/>
        <w:right w:val="none" w:sz="0" w:space="0" w:color="auto"/>
      </w:divBdr>
    </w:div>
    <w:div w:id="213123638">
      <w:marLeft w:val="0"/>
      <w:marRight w:val="0"/>
      <w:marTop w:val="0"/>
      <w:marBottom w:val="0"/>
      <w:divBdr>
        <w:top w:val="none" w:sz="0" w:space="0" w:color="auto"/>
        <w:left w:val="none" w:sz="0" w:space="0" w:color="auto"/>
        <w:bottom w:val="none" w:sz="0" w:space="0" w:color="auto"/>
        <w:right w:val="none" w:sz="0" w:space="0" w:color="auto"/>
      </w:divBdr>
    </w:div>
    <w:div w:id="273754158">
      <w:bodyDiv w:val="1"/>
      <w:marLeft w:val="0"/>
      <w:marRight w:val="0"/>
      <w:marTop w:val="0"/>
      <w:marBottom w:val="0"/>
      <w:divBdr>
        <w:top w:val="none" w:sz="0" w:space="0" w:color="auto"/>
        <w:left w:val="none" w:sz="0" w:space="0" w:color="auto"/>
        <w:bottom w:val="none" w:sz="0" w:space="0" w:color="auto"/>
        <w:right w:val="none" w:sz="0" w:space="0" w:color="auto"/>
      </w:divBdr>
    </w:div>
    <w:div w:id="322703213">
      <w:bodyDiv w:val="1"/>
      <w:marLeft w:val="0"/>
      <w:marRight w:val="0"/>
      <w:marTop w:val="0"/>
      <w:marBottom w:val="0"/>
      <w:divBdr>
        <w:top w:val="none" w:sz="0" w:space="0" w:color="auto"/>
        <w:left w:val="none" w:sz="0" w:space="0" w:color="auto"/>
        <w:bottom w:val="none" w:sz="0" w:space="0" w:color="auto"/>
        <w:right w:val="none" w:sz="0" w:space="0" w:color="auto"/>
      </w:divBdr>
    </w:div>
    <w:div w:id="644042538">
      <w:bodyDiv w:val="1"/>
      <w:marLeft w:val="0"/>
      <w:marRight w:val="0"/>
      <w:marTop w:val="0"/>
      <w:marBottom w:val="0"/>
      <w:divBdr>
        <w:top w:val="none" w:sz="0" w:space="0" w:color="auto"/>
        <w:left w:val="none" w:sz="0" w:space="0" w:color="auto"/>
        <w:bottom w:val="none" w:sz="0" w:space="0" w:color="auto"/>
        <w:right w:val="none" w:sz="0" w:space="0" w:color="auto"/>
      </w:divBdr>
    </w:div>
    <w:div w:id="670062225">
      <w:bodyDiv w:val="1"/>
      <w:marLeft w:val="0"/>
      <w:marRight w:val="0"/>
      <w:marTop w:val="0"/>
      <w:marBottom w:val="0"/>
      <w:divBdr>
        <w:top w:val="none" w:sz="0" w:space="0" w:color="auto"/>
        <w:left w:val="none" w:sz="0" w:space="0" w:color="auto"/>
        <w:bottom w:val="none" w:sz="0" w:space="0" w:color="auto"/>
        <w:right w:val="none" w:sz="0" w:space="0" w:color="auto"/>
      </w:divBdr>
    </w:div>
    <w:div w:id="1005747553">
      <w:bodyDiv w:val="1"/>
      <w:marLeft w:val="0"/>
      <w:marRight w:val="0"/>
      <w:marTop w:val="0"/>
      <w:marBottom w:val="0"/>
      <w:divBdr>
        <w:top w:val="none" w:sz="0" w:space="0" w:color="auto"/>
        <w:left w:val="none" w:sz="0" w:space="0" w:color="auto"/>
        <w:bottom w:val="none" w:sz="0" w:space="0" w:color="auto"/>
        <w:right w:val="none" w:sz="0" w:space="0" w:color="auto"/>
      </w:divBdr>
    </w:div>
    <w:div w:id="1114250943">
      <w:bodyDiv w:val="1"/>
      <w:marLeft w:val="0"/>
      <w:marRight w:val="0"/>
      <w:marTop w:val="0"/>
      <w:marBottom w:val="0"/>
      <w:divBdr>
        <w:top w:val="none" w:sz="0" w:space="0" w:color="auto"/>
        <w:left w:val="none" w:sz="0" w:space="0" w:color="auto"/>
        <w:bottom w:val="none" w:sz="0" w:space="0" w:color="auto"/>
        <w:right w:val="none" w:sz="0" w:space="0" w:color="auto"/>
      </w:divBdr>
    </w:div>
    <w:div w:id="1115947171">
      <w:bodyDiv w:val="1"/>
      <w:marLeft w:val="0"/>
      <w:marRight w:val="0"/>
      <w:marTop w:val="0"/>
      <w:marBottom w:val="0"/>
      <w:divBdr>
        <w:top w:val="none" w:sz="0" w:space="0" w:color="auto"/>
        <w:left w:val="none" w:sz="0" w:space="0" w:color="auto"/>
        <w:bottom w:val="none" w:sz="0" w:space="0" w:color="auto"/>
        <w:right w:val="none" w:sz="0" w:space="0" w:color="auto"/>
      </w:divBdr>
    </w:div>
    <w:div w:id="1117068689">
      <w:bodyDiv w:val="1"/>
      <w:marLeft w:val="0"/>
      <w:marRight w:val="0"/>
      <w:marTop w:val="0"/>
      <w:marBottom w:val="0"/>
      <w:divBdr>
        <w:top w:val="none" w:sz="0" w:space="0" w:color="auto"/>
        <w:left w:val="none" w:sz="0" w:space="0" w:color="auto"/>
        <w:bottom w:val="none" w:sz="0" w:space="0" w:color="auto"/>
        <w:right w:val="none" w:sz="0" w:space="0" w:color="auto"/>
      </w:divBdr>
    </w:div>
    <w:div w:id="1170172822">
      <w:bodyDiv w:val="1"/>
      <w:marLeft w:val="0"/>
      <w:marRight w:val="0"/>
      <w:marTop w:val="0"/>
      <w:marBottom w:val="0"/>
      <w:divBdr>
        <w:top w:val="none" w:sz="0" w:space="0" w:color="auto"/>
        <w:left w:val="none" w:sz="0" w:space="0" w:color="auto"/>
        <w:bottom w:val="none" w:sz="0" w:space="0" w:color="auto"/>
        <w:right w:val="none" w:sz="0" w:space="0" w:color="auto"/>
      </w:divBdr>
    </w:div>
    <w:div w:id="1210190248">
      <w:bodyDiv w:val="1"/>
      <w:marLeft w:val="0"/>
      <w:marRight w:val="0"/>
      <w:marTop w:val="0"/>
      <w:marBottom w:val="0"/>
      <w:divBdr>
        <w:top w:val="none" w:sz="0" w:space="0" w:color="auto"/>
        <w:left w:val="none" w:sz="0" w:space="0" w:color="auto"/>
        <w:bottom w:val="none" w:sz="0" w:space="0" w:color="auto"/>
        <w:right w:val="none" w:sz="0" w:space="0" w:color="auto"/>
      </w:divBdr>
    </w:div>
    <w:div w:id="1289781119">
      <w:bodyDiv w:val="1"/>
      <w:marLeft w:val="0"/>
      <w:marRight w:val="0"/>
      <w:marTop w:val="0"/>
      <w:marBottom w:val="0"/>
      <w:divBdr>
        <w:top w:val="none" w:sz="0" w:space="0" w:color="auto"/>
        <w:left w:val="none" w:sz="0" w:space="0" w:color="auto"/>
        <w:bottom w:val="none" w:sz="0" w:space="0" w:color="auto"/>
        <w:right w:val="none" w:sz="0" w:space="0" w:color="auto"/>
      </w:divBdr>
    </w:div>
    <w:div w:id="1530484841">
      <w:bodyDiv w:val="1"/>
      <w:marLeft w:val="0"/>
      <w:marRight w:val="0"/>
      <w:marTop w:val="0"/>
      <w:marBottom w:val="0"/>
      <w:divBdr>
        <w:top w:val="none" w:sz="0" w:space="0" w:color="auto"/>
        <w:left w:val="none" w:sz="0" w:space="0" w:color="auto"/>
        <w:bottom w:val="none" w:sz="0" w:space="0" w:color="auto"/>
        <w:right w:val="none" w:sz="0" w:space="0" w:color="auto"/>
      </w:divBdr>
    </w:div>
    <w:div w:id="1549417623">
      <w:bodyDiv w:val="1"/>
      <w:marLeft w:val="0"/>
      <w:marRight w:val="0"/>
      <w:marTop w:val="0"/>
      <w:marBottom w:val="0"/>
      <w:divBdr>
        <w:top w:val="none" w:sz="0" w:space="0" w:color="auto"/>
        <w:left w:val="none" w:sz="0" w:space="0" w:color="auto"/>
        <w:bottom w:val="none" w:sz="0" w:space="0" w:color="auto"/>
        <w:right w:val="none" w:sz="0" w:space="0" w:color="auto"/>
      </w:divBdr>
    </w:div>
    <w:div w:id="1556355356">
      <w:bodyDiv w:val="1"/>
      <w:marLeft w:val="0"/>
      <w:marRight w:val="0"/>
      <w:marTop w:val="0"/>
      <w:marBottom w:val="0"/>
      <w:divBdr>
        <w:top w:val="none" w:sz="0" w:space="0" w:color="auto"/>
        <w:left w:val="none" w:sz="0" w:space="0" w:color="auto"/>
        <w:bottom w:val="none" w:sz="0" w:space="0" w:color="auto"/>
        <w:right w:val="none" w:sz="0" w:space="0" w:color="auto"/>
      </w:divBdr>
    </w:div>
    <w:div w:id="1630475139">
      <w:bodyDiv w:val="1"/>
      <w:marLeft w:val="0"/>
      <w:marRight w:val="0"/>
      <w:marTop w:val="0"/>
      <w:marBottom w:val="0"/>
      <w:divBdr>
        <w:top w:val="none" w:sz="0" w:space="0" w:color="auto"/>
        <w:left w:val="none" w:sz="0" w:space="0" w:color="auto"/>
        <w:bottom w:val="none" w:sz="0" w:space="0" w:color="auto"/>
        <w:right w:val="none" w:sz="0" w:space="0" w:color="auto"/>
      </w:divBdr>
    </w:div>
    <w:div w:id="1782407786">
      <w:bodyDiv w:val="1"/>
      <w:marLeft w:val="180"/>
      <w:marRight w:val="180"/>
      <w:marTop w:val="180"/>
      <w:marBottom w:val="180"/>
      <w:divBdr>
        <w:top w:val="none" w:sz="0" w:space="0" w:color="auto"/>
        <w:left w:val="none" w:sz="0" w:space="0" w:color="auto"/>
        <w:bottom w:val="none" w:sz="0" w:space="0" w:color="auto"/>
        <w:right w:val="none" w:sz="0" w:space="0" w:color="auto"/>
      </w:divBdr>
      <w:divsChild>
        <w:div w:id="776758508">
          <w:marLeft w:val="0"/>
          <w:marRight w:val="0"/>
          <w:marTop w:val="0"/>
          <w:marBottom w:val="0"/>
          <w:divBdr>
            <w:top w:val="none" w:sz="0" w:space="0" w:color="auto"/>
            <w:left w:val="none" w:sz="0" w:space="0" w:color="auto"/>
            <w:bottom w:val="none" w:sz="0" w:space="0" w:color="auto"/>
            <w:right w:val="none" w:sz="0" w:space="0" w:color="auto"/>
          </w:divBdr>
        </w:div>
      </w:divsChild>
    </w:div>
    <w:div w:id="1875339606">
      <w:bodyDiv w:val="1"/>
      <w:marLeft w:val="0"/>
      <w:marRight w:val="0"/>
      <w:marTop w:val="0"/>
      <w:marBottom w:val="0"/>
      <w:divBdr>
        <w:top w:val="none" w:sz="0" w:space="0" w:color="auto"/>
        <w:left w:val="none" w:sz="0" w:space="0" w:color="auto"/>
        <w:bottom w:val="none" w:sz="0" w:space="0" w:color="auto"/>
        <w:right w:val="none" w:sz="0" w:space="0" w:color="auto"/>
      </w:divBdr>
    </w:div>
    <w:div w:id="191077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6883-E76C-49BE-B71F-38358AE0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7137</Words>
  <Characters>40683</Characters>
  <Application>Microsoft Office Word</Application>
  <DocSecurity>0</DocSecurity>
  <Lines>339</Lines>
  <Paragraphs>95</Paragraphs>
  <ScaleCrop>false</ScaleCrop>
  <Company/>
  <LinksUpToDate>false</LinksUpToDate>
  <CharactersWithSpaces>47725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2020-08-18T06:51:00Z</dcterms:modified>
</cp:coreProperties>
</file>