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A5D" w:rsidRPr="00862636" w:rsidRDefault="008A5A5D" w:rsidP="006D141C">
      <w:pPr>
        <w:autoSpaceDE w:val="0"/>
        <w:autoSpaceDN w:val="0"/>
        <w:adjustRightInd w:val="0"/>
        <w:spacing w:line="360" w:lineRule="auto"/>
        <w:jc w:val="left"/>
        <w:rPr>
          <w:rFonts w:eastAsiaTheme="minorEastAsia"/>
          <w:color w:val="000000"/>
          <w:kern w:val="0"/>
          <w:szCs w:val="21"/>
        </w:rPr>
      </w:pPr>
      <w:bookmarkStart w:id="0" w:name="_GoBack"/>
    </w:p>
    <w:p w:rsidR="008A5A5D" w:rsidRPr="00862636" w:rsidRDefault="008A5A5D" w:rsidP="006D141C">
      <w:pPr>
        <w:autoSpaceDE w:val="0"/>
        <w:autoSpaceDN w:val="0"/>
        <w:adjustRightInd w:val="0"/>
        <w:spacing w:line="360" w:lineRule="auto"/>
        <w:jc w:val="left"/>
        <w:rPr>
          <w:rFonts w:eastAsiaTheme="minorEastAsia"/>
          <w:color w:val="000000"/>
          <w:kern w:val="0"/>
          <w:szCs w:val="21"/>
        </w:rPr>
      </w:pPr>
    </w:p>
    <w:p w:rsidR="006A28BF" w:rsidRPr="00862636" w:rsidRDefault="006A28BF" w:rsidP="006D141C">
      <w:pPr>
        <w:autoSpaceDE w:val="0"/>
        <w:autoSpaceDN w:val="0"/>
        <w:adjustRightInd w:val="0"/>
        <w:spacing w:line="360" w:lineRule="auto"/>
        <w:jc w:val="left"/>
        <w:rPr>
          <w:rFonts w:eastAsiaTheme="minorEastAsia"/>
          <w:color w:val="000000"/>
          <w:kern w:val="0"/>
          <w:szCs w:val="21"/>
        </w:rPr>
      </w:pPr>
    </w:p>
    <w:p w:rsidR="008A5A5D" w:rsidRPr="00862636" w:rsidRDefault="008A5A5D" w:rsidP="006D141C">
      <w:pPr>
        <w:autoSpaceDE w:val="0"/>
        <w:autoSpaceDN w:val="0"/>
        <w:adjustRightInd w:val="0"/>
        <w:spacing w:line="360" w:lineRule="auto"/>
        <w:jc w:val="left"/>
        <w:rPr>
          <w:rStyle w:val="af8"/>
          <w:rFonts w:eastAsiaTheme="minorEastAsia"/>
          <w:szCs w:val="21"/>
        </w:rPr>
      </w:pPr>
    </w:p>
    <w:p w:rsidR="008A5A5D" w:rsidRPr="00307E35" w:rsidRDefault="008A5A5D" w:rsidP="00F07EDE">
      <w:pPr>
        <w:spacing w:line="360" w:lineRule="auto"/>
        <w:jc w:val="center"/>
        <w:rPr>
          <w:b/>
          <w:sz w:val="44"/>
          <w:szCs w:val="44"/>
        </w:rPr>
      </w:pPr>
      <w:bookmarkStart w:id="1" w:name="_Toc352254876"/>
      <w:bookmarkStart w:id="2" w:name="_Toc352255956"/>
      <w:bookmarkStart w:id="3" w:name="_Toc352256024"/>
      <w:bookmarkStart w:id="4" w:name="_Toc352256201"/>
      <w:bookmarkStart w:id="5" w:name="_Toc352331202"/>
      <w:r w:rsidRPr="00307E35">
        <w:rPr>
          <w:b/>
          <w:sz w:val="44"/>
          <w:szCs w:val="44"/>
        </w:rPr>
        <w:t>易方达香港恒生综合小型股指数证券投资基金（</w:t>
      </w:r>
      <w:r w:rsidRPr="00307E35">
        <w:rPr>
          <w:b/>
          <w:sz w:val="44"/>
          <w:szCs w:val="44"/>
        </w:rPr>
        <w:t>LOF</w:t>
      </w:r>
      <w:r w:rsidRPr="00307E35">
        <w:rPr>
          <w:b/>
          <w:sz w:val="44"/>
          <w:szCs w:val="44"/>
        </w:rPr>
        <w:t>）</w:t>
      </w:r>
      <w:bookmarkEnd w:id="1"/>
      <w:bookmarkEnd w:id="2"/>
      <w:bookmarkEnd w:id="3"/>
      <w:bookmarkEnd w:id="4"/>
      <w:bookmarkEnd w:id="5"/>
    </w:p>
    <w:p w:rsidR="008A5A5D" w:rsidRPr="00307E35" w:rsidRDefault="008A5A5D" w:rsidP="00F07EDE">
      <w:pPr>
        <w:spacing w:line="360" w:lineRule="auto"/>
        <w:jc w:val="center"/>
        <w:rPr>
          <w:b/>
          <w:sz w:val="44"/>
          <w:szCs w:val="44"/>
        </w:rPr>
      </w:pPr>
      <w:bookmarkStart w:id="6" w:name="_Toc352254877"/>
      <w:bookmarkStart w:id="7" w:name="_Toc352255957"/>
      <w:bookmarkStart w:id="8" w:name="_Toc352256025"/>
      <w:bookmarkStart w:id="9" w:name="_Toc352256202"/>
      <w:bookmarkStart w:id="10" w:name="_Toc352331203"/>
      <w:r w:rsidRPr="00307E35">
        <w:rPr>
          <w:b/>
          <w:sz w:val="44"/>
          <w:szCs w:val="44"/>
        </w:rPr>
        <w:t>2020</w:t>
      </w:r>
      <w:r w:rsidRPr="00307E35">
        <w:rPr>
          <w:b/>
          <w:sz w:val="44"/>
          <w:szCs w:val="44"/>
        </w:rPr>
        <w:t>年中期报告</w:t>
      </w:r>
      <w:bookmarkEnd w:id="6"/>
      <w:bookmarkEnd w:id="7"/>
      <w:bookmarkEnd w:id="8"/>
      <w:bookmarkEnd w:id="9"/>
      <w:bookmarkEnd w:id="10"/>
    </w:p>
    <w:p w:rsidR="008A5A5D" w:rsidRPr="00307E35" w:rsidRDefault="00146FBA" w:rsidP="00F07EDE">
      <w:pPr>
        <w:spacing w:line="360" w:lineRule="auto"/>
        <w:jc w:val="center"/>
        <w:rPr>
          <w:b/>
          <w:sz w:val="44"/>
          <w:szCs w:val="44"/>
        </w:rPr>
      </w:pPr>
      <w:r w:rsidRPr="00307E35">
        <w:rPr>
          <w:b/>
          <w:sz w:val="44"/>
          <w:szCs w:val="44"/>
        </w:rPr>
        <w:t>2020</w:t>
      </w:r>
      <w:r w:rsidRPr="00307E35">
        <w:rPr>
          <w:b/>
          <w:sz w:val="44"/>
          <w:szCs w:val="44"/>
        </w:rPr>
        <w:t>年</w:t>
      </w:r>
      <w:r w:rsidRPr="00307E35">
        <w:rPr>
          <w:b/>
          <w:sz w:val="44"/>
          <w:szCs w:val="44"/>
        </w:rPr>
        <w:t>6</w:t>
      </w:r>
      <w:r w:rsidRPr="00307E35">
        <w:rPr>
          <w:b/>
          <w:sz w:val="44"/>
          <w:szCs w:val="44"/>
        </w:rPr>
        <w:t>月</w:t>
      </w:r>
      <w:r w:rsidRPr="00307E35">
        <w:rPr>
          <w:b/>
          <w:sz w:val="44"/>
          <w:szCs w:val="44"/>
        </w:rPr>
        <w:t>30</w:t>
      </w:r>
      <w:r w:rsidRPr="00307E35">
        <w:rPr>
          <w:b/>
          <w:sz w:val="44"/>
          <w:szCs w:val="44"/>
        </w:rPr>
        <w:t>日</w:t>
      </w:r>
    </w:p>
    <w:p w:rsidR="008A5A5D" w:rsidRPr="008134C7" w:rsidRDefault="008A5A5D" w:rsidP="006D141C">
      <w:pPr>
        <w:spacing w:line="360" w:lineRule="auto"/>
        <w:jc w:val="center"/>
        <w:rPr>
          <w:rStyle w:val="af8"/>
          <w:rFonts w:eastAsiaTheme="minorEastAsia"/>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rPr>
          <w:rFonts w:eastAsiaTheme="minorEastAsia"/>
          <w:b/>
          <w:color w:val="000000"/>
          <w:sz w:val="24"/>
        </w:rPr>
      </w:pP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基金管理人：易方达基金管理有限公司</w:t>
      </w: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基金托管人：招商银行股份有限公司</w:t>
      </w:r>
    </w:p>
    <w:p w:rsidR="008A5A5D" w:rsidRPr="00862636"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送出日期：二〇二〇年八月二十八日</w:t>
      </w:r>
    </w:p>
    <w:p w:rsidR="008A5A5D" w:rsidRPr="00862636" w:rsidRDefault="008A5A5D" w:rsidP="00F07EDE">
      <w:pPr>
        <w:spacing w:line="288" w:lineRule="auto"/>
        <w:ind w:firstLineChars="900" w:firstLine="1897"/>
        <w:rPr>
          <w:rFonts w:eastAsiaTheme="minorEastAsia"/>
          <w:b/>
          <w:color w:val="000000"/>
          <w:szCs w:val="21"/>
        </w:rPr>
        <w:sectPr w:rsidR="008A5A5D" w:rsidRPr="00862636">
          <w:headerReference w:type="default" r:id="rId8"/>
          <w:footerReference w:type="default" r:id="rId9"/>
          <w:pgSz w:w="11926" w:h="15840"/>
          <w:pgMar w:top="1418" w:right="1418" w:bottom="851" w:left="1418" w:header="851" w:footer="992" w:gutter="0"/>
          <w:cols w:space="720"/>
        </w:sectPr>
      </w:pPr>
    </w:p>
    <w:p w:rsidR="00937FC6" w:rsidRPr="00A432E9" w:rsidRDefault="00937FC6"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1" w:name="_Toc225498243"/>
      <w:bookmarkStart w:id="12" w:name="_Toc352255958"/>
      <w:bookmarkStart w:id="13" w:name="_Toc352256026"/>
      <w:bookmarkStart w:id="14" w:name="_Toc352331204"/>
      <w:bookmarkStart w:id="15" w:name="_Toc48663831"/>
      <w:r w:rsidRPr="000C6CCD">
        <w:rPr>
          <w:rFonts w:ascii="宋体" w:hAnsi="宋体"/>
          <w:bCs w:val="0"/>
          <w:color w:val="000000"/>
          <w:sz w:val="21"/>
          <w:szCs w:val="21"/>
        </w:rPr>
        <w:lastRenderedPageBreak/>
        <w:t>1</w:t>
      </w:r>
      <w:r w:rsidR="000C6CCD">
        <w:rPr>
          <w:rFonts w:ascii="Times New Roman" w:hAnsi="Times New Roman"/>
          <w:bCs w:val="0"/>
          <w:color w:val="000000"/>
          <w:sz w:val="21"/>
          <w:szCs w:val="21"/>
        </w:rPr>
        <w:t xml:space="preserve">    </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重要提示及目录</w:t>
      </w:r>
      <w:bookmarkEnd w:id="11"/>
      <w:bookmarkEnd w:id="12"/>
      <w:bookmarkEnd w:id="13"/>
      <w:bookmarkEnd w:id="14"/>
      <w:bookmarkEnd w:id="15"/>
    </w:p>
    <w:p w:rsidR="00C24ACA" w:rsidRPr="00A432E9" w:rsidRDefault="00C24ACA" w:rsidP="00732F5C">
      <w:pPr>
        <w:pStyle w:val="20"/>
        <w:spacing w:beforeLines="100" w:before="312" w:after="0"/>
        <w:rPr>
          <w:rFonts w:ascii="Times New Roman" w:eastAsiaTheme="minorEastAsia" w:hAnsi="Times New Roman"/>
          <w:kern w:val="0"/>
          <w:sz w:val="21"/>
          <w:szCs w:val="21"/>
        </w:rPr>
      </w:pPr>
      <w:bookmarkStart w:id="16" w:name="_Toc352255959"/>
      <w:bookmarkStart w:id="17" w:name="_Toc352256027"/>
      <w:bookmarkStart w:id="18" w:name="_Toc352331205"/>
      <w:bookmarkStart w:id="19" w:name="_Toc48663832"/>
      <w:r w:rsidRPr="0087359D">
        <w:rPr>
          <w:rFonts w:ascii="宋体" w:hAnsi="宋体"/>
          <w:kern w:val="0"/>
          <w:sz w:val="21"/>
          <w:szCs w:val="21"/>
        </w:rPr>
        <w:t>1.1</w:t>
      </w:r>
      <w:r w:rsidR="009A2157" w:rsidRPr="009A2157">
        <w:rPr>
          <w:rFonts w:ascii="Times New Roman" w:eastAsiaTheme="minorEastAsia" w:hAnsi="Times New Roman"/>
          <w:kern w:val="0"/>
          <w:sz w:val="21"/>
          <w:szCs w:val="21"/>
        </w:rPr>
        <w:t xml:space="preserve">   </w:t>
      </w:r>
      <w:r w:rsidRPr="00A432E9">
        <w:rPr>
          <w:rFonts w:ascii="Times New Roman" w:eastAsiaTheme="minorEastAsia" w:hAnsi="Times New Roman" w:hint="eastAsia"/>
          <w:kern w:val="0"/>
          <w:sz w:val="21"/>
          <w:szCs w:val="21"/>
        </w:rPr>
        <w:t>重要提示</w:t>
      </w:r>
      <w:bookmarkEnd w:id="16"/>
      <w:bookmarkEnd w:id="17"/>
      <w:bookmarkEnd w:id="18"/>
      <w:bookmarkEnd w:id="19"/>
    </w:p>
    <w:p w:rsidR="007B4EE4" w:rsidRDefault="00B833D5">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B4EE4" w:rsidRDefault="00B833D5">
      <w:pPr>
        <w:spacing w:line="360" w:lineRule="auto"/>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B4EE4" w:rsidRDefault="00B833D5">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B4EE4" w:rsidRDefault="00B833D5">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B4EE4" w:rsidRDefault="00B833D5">
      <w:pPr>
        <w:spacing w:line="360" w:lineRule="auto"/>
        <w:ind w:firstLineChars="200" w:firstLine="420"/>
        <w:rPr>
          <w:szCs w:val="21"/>
        </w:rPr>
      </w:pPr>
      <w:r>
        <w:rPr>
          <w:color w:val="000000"/>
          <w:szCs w:val="21"/>
        </w:rPr>
        <w:t>本报告中财务资料未经审计。</w:t>
      </w:r>
      <w:r>
        <w:rPr>
          <w:color w:val="000000"/>
          <w:szCs w:val="21"/>
        </w:rPr>
        <w:t xml:space="preserve"> </w:t>
      </w:r>
    </w:p>
    <w:p w:rsidR="00C24ACA" w:rsidRPr="00C24ACA" w:rsidRDefault="00C24ACA" w:rsidP="001412CA">
      <w:pPr>
        <w:spacing w:line="360" w:lineRule="auto"/>
        <w:ind w:firstLineChars="200" w:firstLine="420"/>
        <w:rPr>
          <w:szCs w:val="21"/>
        </w:rPr>
      </w:pPr>
      <w:r w:rsidRPr="00C24ACA">
        <w:rPr>
          <w:color w:val="000000"/>
          <w:szCs w:val="21"/>
        </w:rPr>
        <w:t>本报告期自</w:t>
      </w:r>
      <w:r w:rsidRPr="00C24ACA">
        <w:rPr>
          <w:color w:val="000000"/>
          <w:szCs w:val="21"/>
        </w:rPr>
        <w:t>2020</w:t>
      </w:r>
      <w:r w:rsidRPr="00C24ACA">
        <w:rPr>
          <w:color w:val="000000"/>
          <w:szCs w:val="21"/>
        </w:rPr>
        <w:t>年</w:t>
      </w:r>
      <w:r w:rsidRPr="00C24ACA">
        <w:rPr>
          <w:color w:val="000000"/>
          <w:szCs w:val="21"/>
        </w:rPr>
        <w:t>1</w:t>
      </w:r>
      <w:r w:rsidRPr="00C24ACA">
        <w:rPr>
          <w:color w:val="000000"/>
          <w:szCs w:val="21"/>
        </w:rPr>
        <w:t>月</w:t>
      </w:r>
      <w:r w:rsidRPr="00C24ACA">
        <w:rPr>
          <w:color w:val="000000"/>
          <w:szCs w:val="21"/>
        </w:rPr>
        <w:t>1</w:t>
      </w:r>
      <w:r w:rsidRPr="00C24ACA">
        <w:rPr>
          <w:color w:val="000000"/>
          <w:szCs w:val="21"/>
        </w:rPr>
        <w:t>日起至</w:t>
      </w:r>
      <w:r w:rsidRPr="00C24ACA">
        <w:rPr>
          <w:color w:val="000000"/>
          <w:szCs w:val="21"/>
        </w:rPr>
        <w:t>6</w:t>
      </w:r>
      <w:r w:rsidRPr="00C24ACA">
        <w:rPr>
          <w:color w:val="000000"/>
          <w:szCs w:val="21"/>
        </w:rPr>
        <w:t>月</w:t>
      </w:r>
      <w:r w:rsidRPr="00C24ACA">
        <w:rPr>
          <w:color w:val="000000"/>
          <w:szCs w:val="21"/>
        </w:rPr>
        <w:t>30</w:t>
      </w:r>
      <w:r w:rsidRPr="00C24ACA">
        <w:rPr>
          <w:color w:val="000000"/>
          <w:szCs w:val="21"/>
        </w:rPr>
        <w:t>日止。</w:t>
      </w:r>
    </w:p>
    <w:p w:rsidR="00937FC6" w:rsidRPr="00C24ACA" w:rsidRDefault="00871A0D" w:rsidP="00732F5C">
      <w:pPr>
        <w:pStyle w:val="20"/>
        <w:spacing w:beforeLines="100" w:before="312" w:after="0"/>
        <w:rPr>
          <w:rFonts w:eastAsiaTheme="minorEastAsia"/>
          <w:b w:val="0"/>
          <w:szCs w:val="21"/>
        </w:rPr>
      </w:pPr>
      <w:r w:rsidRPr="00C24ACA">
        <w:rPr>
          <w:rFonts w:eastAsiaTheme="minorEastAsia"/>
          <w:szCs w:val="21"/>
        </w:rPr>
        <w:br w:type="page"/>
      </w:r>
      <w:bookmarkStart w:id="20" w:name="_Toc48663833"/>
      <w:r w:rsidR="00937FC6" w:rsidRPr="00E141AF">
        <w:rPr>
          <w:rFonts w:ascii="宋体" w:hAnsi="宋体"/>
          <w:kern w:val="0"/>
          <w:sz w:val="21"/>
          <w:szCs w:val="21"/>
        </w:rPr>
        <w:lastRenderedPageBreak/>
        <w:t>1.2</w:t>
      </w:r>
      <w:r w:rsidR="00257CCE" w:rsidRPr="00257CCE">
        <w:rPr>
          <w:rFonts w:ascii="宋体" w:hAnsi="宋体"/>
          <w:kern w:val="0"/>
          <w:sz w:val="21"/>
          <w:szCs w:val="21"/>
        </w:rPr>
        <w:t xml:space="preserve">   </w:t>
      </w:r>
      <w:r w:rsidR="00937FC6" w:rsidRPr="00E141AF">
        <w:rPr>
          <w:rFonts w:ascii="宋体" w:hAnsi="宋体"/>
          <w:kern w:val="0"/>
          <w:sz w:val="21"/>
          <w:szCs w:val="21"/>
        </w:rPr>
        <w:t>目录</w:t>
      </w:r>
      <w:bookmarkEnd w:id="20"/>
    </w:p>
    <w:p w:rsidR="003C1A92" w:rsidRDefault="00955B17">
      <w:pPr>
        <w:pStyle w:val="22"/>
        <w:ind w:left="420"/>
        <w:rPr>
          <w:rFonts w:asciiTheme="minorHAnsi" w:eastAsiaTheme="minorEastAsia" w:hAnsiTheme="minorHAnsi" w:cstheme="minorBidi"/>
          <w:noProof/>
          <w:kern w:val="2"/>
          <w:szCs w:val="22"/>
        </w:rPr>
      </w:pPr>
      <w:r w:rsidRPr="006F3222">
        <w:rPr>
          <w:rFonts w:eastAsiaTheme="minorEastAsia"/>
        </w:rPr>
        <w:fldChar w:fldCharType="begin"/>
      </w:r>
      <w:r w:rsidR="00937FC6" w:rsidRPr="006F3222">
        <w:rPr>
          <w:rFonts w:eastAsiaTheme="minorEastAsia"/>
        </w:rPr>
        <w:instrText xml:space="preserve"> TOC \o "1-3" \h \z \u </w:instrText>
      </w:r>
      <w:r w:rsidRPr="006F3222">
        <w:rPr>
          <w:rFonts w:eastAsiaTheme="minorEastAsia"/>
        </w:rPr>
        <w:fldChar w:fldCharType="separate"/>
      </w:r>
      <w:hyperlink w:anchor="_Toc48663831" w:history="1">
        <w:r w:rsidR="003C1A92" w:rsidRPr="00E845DF">
          <w:rPr>
            <w:rStyle w:val="a9"/>
            <w:rFonts w:ascii="宋体" w:hAnsi="宋体"/>
            <w:noProof/>
          </w:rPr>
          <w:t>1</w:t>
        </w:r>
        <w:r w:rsidR="003C1A92" w:rsidRPr="00E845DF">
          <w:rPr>
            <w:rStyle w:val="a9"/>
            <w:noProof/>
          </w:rPr>
          <w:t xml:space="preserve">     </w:t>
        </w:r>
        <w:r w:rsidR="003C1A92" w:rsidRPr="00E845DF">
          <w:rPr>
            <w:rStyle w:val="a9"/>
            <w:rFonts w:hint="eastAsia"/>
            <w:noProof/>
          </w:rPr>
          <w:t>重要提示及目录</w:t>
        </w:r>
        <w:r w:rsidR="003C1A92">
          <w:rPr>
            <w:noProof/>
            <w:webHidden/>
          </w:rPr>
          <w:tab/>
        </w:r>
        <w:r w:rsidR="003C1A92">
          <w:rPr>
            <w:noProof/>
            <w:webHidden/>
          </w:rPr>
          <w:fldChar w:fldCharType="begin"/>
        </w:r>
        <w:r w:rsidR="003C1A92">
          <w:rPr>
            <w:noProof/>
            <w:webHidden/>
          </w:rPr>
          <w:instrText xml:space="preserve"> PAGEREF _Toc48663831 \h </w:instrText>
        </w:r>
        <w:r w:rsidR="003C1A92">
          <w:rPr>
            <w:noProof/>
            <w:webHidden/>
          </w:rPr>
        </w:r>
        <w:r w:rsidR="003C1A92">
          <w:rPr>
            <w:noProof/>
            <w:webHidden/>
          </w:rPr>
          <w:fldChar w:fldCharType="separate"/>
        </w:r>
        <w:r w:rsidR="003C1A92">
          <w:rPr>
            <w:noProof/>
            <w:webHidden/>
          </w:rPr>
          <w:t>2</w:t>
        </w:r>
        <w:r w:rsidR="003C1A92">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32" w:history="1">
        <w:r w:rsidRPr="00E845DF">
          <w:rPr>
            <w:rStyle w:val="a9"/>
            <w:rFonts w:ascii="宋体" w:hAnsi="宋体"/>
            <w:noProof/>
          </w:rPr>
          <w:t>1.1</w:t>
        </w:r>
        <w:r w:rsidRPr="00E845DF">
          <w:rPr>
            <w:rStyle w:val="a9"/>
            <w:noProof/>
          </w:rPr>
          <w:t xml:space="preserve">   </w:t>
        </w:r>
        <w:r w:rsidRPr="00E845DF">
          <w:rPr>
            <w:rStyle w:val="a9"/>
            <w:rFonts w:hint="eastAsia"/>
            <w:noProof/>
          </w:rPr>
          <w:t>重要提示</w:t>
        </w:r>
        <w:r>
          <w:rPr>
            <w:noProof/>
            <w:webHidden/>
          </w:rPr>
          <w:tab/>
        </w:r>
        <w:r>
          <w:rPr>
            <w:noProof/>
            <w:webHidden/>
          </w:rPr>
          <w:fldChar w:fldCharType="begin"/>
        </w:r>
        <w:r>
          <w:rPr>
            <w:noProof/>
            <w:webHidden/>
          </w:rPr>
          <w:instrText xml:space="preserve"> PAGEREF _Toc48663832 \h </w:instrText>
        </w:r>
        <w:r>
          <w:rPr>
            <w:noProof/>
            <w:webHidden/>
          </w:rPr>
        </w:r>
        <w:r>
          <w:rPr>
            <w:noProof/>
            <w:webHidden/>
          </w:rPr>
          <w:fldChar w:fldCharType="separate"/>
        </w:r>
        <w:r>
          <w:rPr>
            <w:noProof/>
            <w:webHidden/>
          </w:rPr>
          <w:t>2</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33" w:history="1">
        <w:r w:rsidRPr="00E845DF">
          <w:rPr>
            <w:rStyle w:val="a9"/>
            <w:rFonts w:ascii="宋体" w:hAnsi="宋体"/>
            <w:noProof/>
          </w:rPr>
          <w:t xml:space="preserve">1.2   </w:t>
        </w:r>
        <w:r w:rsidRPr="00E845DF">
          <w:rPr>
            <w:rStyle w:val="a9"/>
            <w:rFonts w:ascii="宋体" w:hAnsi="宋体" w:hint="eastAsia"/>
            <w:noProof/>
          </w:rPr>
          <w:t>目录</w:t>
        </w:r>
        <w:r>
          <w:rPr>
            <w:noProof/>
            <w:webHidden/>
          </w:rPr>
          <w:tab/>
        </w:r>
        <w:r>
          <w:rPr>
            <w:noProof/>
            <w:webHidden/>
          </w:rPr>
          <w:fldChar w:fldCharType="begin"/>
        </w:r>
        <w:r>
          <w:rPr>
            <w:noProof/>
            <w:webHidden/>
          </w:rPr>
          <w:instrText xml:space="preserve"> PAGEREF _Toc48663833 \h </w:instrText>
        </w:r>
        <w:r>
          <w:rPr>
            <w:noProof/>
            <w:webHidden/>
          </w:rPr>
        </w:r>
        <w:r>
          <w:rPr>
            <w:noProof/>
            <w:webHidden/>
          </w:rPr>
          <w:fldChar w:fldCharType="separate"/>
        </w:r>
        <w:r>
          <w:rPr>
            <w:noProof/>
            <w:webHidden/>
          </w:rPr>
          <w:t>3</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34" w:history="1">
        <w:r w:rsidRPr="00E845DF">
          <w:rPr>
            <w:rStyle w:val="a9"/>
            <w:rFonts w:ascii="宋体" w:hAnsi="宋体"/>
            <w:noProof/>
          </w:rPr>
          <w:t>2</w:t>
        </w:r>
        <w:r w:rsidRPr="00E845DF">
          <w:rPr>
            <w:rStyle w:val="a9"/>
            <w:noProof/>
          </w:rPr>
          <w:t xml:space="preserve">     </w:t>
        </w:r>
        <w:r w:rsidRPr="00E845DF">
          <w:rPr>
            <w:rStyle w:val="a9"/>
            <w:rFonts w:hint="eastAsia"/>
            <w:noProof/>
          </w:rPr>
          <w:t>基金简介</w:t>
        </w:r>
        <w:r>
          <w:rPr>
            <w:noProof/>
            <w:webHidden/>
          </w:rPr>
          <w:tab/>
        </w:r>
        <w:r>
          <w:rPr>
            <w:noProof/>
            <w:webHidden/>
          </w:rPr>
          <w:fldChar w:fldCharType="begin"/>
        </w:r>
        <w:r>
          <w:rPr>
            <w:noProof/>
            <w:webHidden/>
          </w:rPr>
          <w:instrText xml:space="preserve"> PAGEREF _Toc48663834 \h </w:instrText>
        </w:r>
        <w:r>
          <w:rPr>
            <w:noProof/>
            <w:webHidden/>
          </w:rPr>
        </w:r>
        <w:r>
          <w:rPr>
            <w:noProof/>
            <w:webHidden/>
          </w:rPr>
          <w:fldChar w:fldCharType="separate"/>
        </w:r>
        <w:r>
          <w:rPr>
            <w:noProof/>
            <w:webHidden/>
          </w:rPr>
          <w:t>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35" w:history="1">
        <w:r w:rsidRPr="00E845DF">
          <w:rPr>
            <w:rStyle w:val="a9"/>
            <w:rFonts w:ascii="宋体" w:hAnsi="宋体"/>
            <w:noProof/>
          </w:rPr>
          <w:t>2.1</w:t>
        </w:r>
        <w:r w:rsidRPr="00E845DF">
          <w:rPr>
            <w:rStyle w:val="a9"/>
            <w:noProof/>
          </w:rPr>
          <w:t xml:space="preserve">   </w:t>
        </w:r>
        <w:r w:rsidRPr="00E845DF">
          <w:rPr>
            <w:rStyle w:val="a9"/>
            <w:rFonts w:hint="eastAsia"/>
            <w:noProof/>
          </w:rPr>
          <w:t>基金基本情况</w:t>
        </w:r>
        <w:r>
          <w:rPr>
            <w:noProof/>
            <w:webHidden/>
          </w:rPr>
          <w:tab/>
        </w:r>
        <w:r>
          <w:rPr>
            <w:noProof/>
            <w:webHidden/>
          </w:rPr>
          <w:fldChar w:fldCharType="begin"/>
        </w:r>
        <w:r>
          <w:rPr>
            <w:noProof/>
            <w:webHidden/>
          </w:rPr>
          <w:instrText xml:space="preserve"> PAGEREF _Toc48663835 \h </w:instrText>
        </w:r>
        <w:r>
          <w:rPr>
            <w:noProof/>
            <w:webHidden/>
          </w:rPr>
        </w:r>
        <w:r>
          <w:rPr>
            <w:noProof/>
            <w:webHidden/>
          </w:rPr>
          <w:fldChar w:fldCharType="separate"/>
        </w:r>
        <w:r>
          <w:rPr>
            <w:noProof/>
            <w:webHidden/>
          </w:rPr>
          <w:t>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36" w:history="1">
        <w:r w:rsidRPr="00E845DF">
          <w:rPr>
            <w:rStyle w:val="a9"/>
            <w:rFonts w:ascii="宋体" w:hAnsi="宋体"/>
            <w:noProof/>
          </w:rPr>
          <w:t>2.2</w:t>
        </w:r>
        <w:r w:rsidRPr="00E845DF">
          <w:rPr>
            <w:rStyle w:val="a9"/>
            <w:noProof/>
          </w:rPr>
          <w:t xml:space="preserve">   </w:t>
        </w:r>
        <w:r w:rsidRPr="00E845DF">
          <w:rPr>
            <w:rStyle w:val="a9"/>
            <w:rFonts w:hint="eastAsia"/>
            <w:noProof/>
          </w:rPr>
          <w:t>基金产品说明</w:t>
        </w:r>
        <w:r>
          <w:rPr>
            <w:noProof/>
            <w:webHidden/>
          </w:rPr>
          <w:tab/>
        </w:r>
        <w:r>
          <w:rPr>
            <w:noProof/>
            <w:webHidden/>
          </w:rPr>
          <w:fldChar w:fldCharType="begin"/>
        </w:r>
        <w:r>
          <w:rPr>
            <w:noProof/>
            <w:webHidden/>
          </w:rPr>
          <w:instrText xml:space="preserve"> PAGEREF _Toc48663836 \h </w:instrText>
        </w:r>
        <w:r>
          <w:rPr>
            <w:noProof/>
            <w:webHidden/>
          </w:rPr>
        </w:r>
        <w:r>
          <w:rPr>
            <w:noProof/>
            <w:webHidden/>
          </w:rPr>
          <w:fldChar w:fldCharType="separate"/>
        </w:r>
        <w:r>
          <w:rPr>
            <w:noProof/>
            <w:webHidden/>
          </w:rPr>
          <w:t>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37" w:history="1">
        <w:r w:rsidRPr="00E845DF">
          <w:rPr>
            <w:rStyle w:val="a9"/>
            <w:rFonts w:ascii="宋体" w:hAnsi="宋体"/>
            <w:noProof/>
          </w:rPr>
          <w:t>2.3</w:t>
        </w:r>
        <w:r w:rsidRPr="00E845DF">
          <w:rPr>
            <w:rStyle w:val="a9"/>
            <w:noProof/>
          </w:rPr>
          <w:t xml:space="preserve">   </w:t>
        </w:r>
        <w:r w:rsidRPr="00E845DF">
          <w:rPr>
            <w:rStyle w:val="a9"/>
            <w:rFonts w:hint="eastAsia"/>
            <w:noProof/>
          </w:rPr>
          <w:t>基金管理人和基金托管人</w:t>
        </w:r>
        <w:r>
          <w:rPr>
            <w:noProof/>
            <w:webHidden/>
          </w:rPr>
          <w:tab/>
        </w:r>
        <w:r>
          <w:rPr>
            <w:noProof/>
            <w:webHidden/>
          </w:rPr>
          <w:fldChar w:fldCharType="begin"/>
        </w:r>
        <w:r>
          <w:rPr>
            <w:noProof/>
            <w:webHidden/>
          </w:rPr>
          <w:instrText xml:space="preserve"> PAGEREF _Toc48663837 \h </w:instrText>
        </w:r>
        <w:r>
          <w:rPr>
            <w:noProof/>
            <w:webHidden/>
          </w:rPr>
        </w:r>
        <w:r>
          <w:rPr>
            <w:noProof/>
            <w:webHidden/>
          </w:rPr>
          <w:fldChar w:fldCharType="separate"/>
        </w:r>
        <w:r>
          <w:rPr>
            <w:noProof/>
            <w:webHidden/>
          </w:rPr>
          <w:t>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38" w:history="1">
        <w:r w:rsidRPr="00E845DF">
          <w:rPr>
            <w:rStyle w:val="a9"/>
            <w:rFonts w:ascii="宋体" w:hAnsi="宋体"/>
            <w:noProof/>
          </w:rPr>
          <w:t>2.4</w:t>
        </w:r>
        <w:r w:rsidRPr="00E845DF">
          <w:rPr>
            <w:rStyle w:val="a9"/>
            <w:noProof/>
          </w:rPr>
          <w:t xml:space="preserve">   </w:t>
        </w:r>
        <w:r w:rsidRPr="00E845DF">
          <w:rPr>
            <w:rStyle w:val="a9"/>
            <w:rFonts w:hint="eastAsia"/>
            <w:noProof/>
          </w:rPr>
          <w:t>境外投资顾问和境外资产托管人</w:t>
        </w:r>
        <w:r>
          <w:rPr>
            <w:noProof/>
            <w:webHidden/>
          </w:rPr>
          <w:tab/>
        </w:r>
        <w:r>
          <w:rPr>
            <w:noProof/>
            <w:webHidden/>
          </w:rPr>
          <w:fldChar w:fldCharType="begin"/>
        </w:r>
        <w:r>
          <w:rPr>
            <w:noProof/>
            <w:webHidden/>
          </w:rPr>
          <w:instrText xml:space="preserve"> PAGEREF _Toc48663838 \h </w:instrText>
        </w:r>
        <w:r>
          <w:rPr>
            <w:noProof/>
            <w:webHidden/>
          </w:rPr>
        </w:r>
        <w:r>
          <w:rPr>
            <w:noProof/>
            <w:webHidden/>
          </w:rPr>
          <w:fldChar w:fldCharType="separate"/>
        </w:r>
        <w:r>
          <w:rPr>
            <w:noProof/>
            <w:webHidden/>
          </w:rPr>
          <w:t>6</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39" w:history="1">
        <w:r w:rsidRPr="00E845DF">
          <w:rPr>
            <w:rStyle w:val="a9"/>
            <w:rFonts w:ascii="宋体" w:hAnsi="宋体"/>
            <w:noProof/>
          </w:rPr>
          <w:t>2.5</w:t>
        </w:r>
        <w:r w:rsidRPr="00E845DF">
          <w:rPr>
            <w:rStyle w:val="a9"/>
            <w:noProof/>
          </w:rPr>
          <w:t xml:space="preserve">   </w:t>
        </w:r>
        <w:r w:rsidRPr="00E845DF">
          <w:rPr>
            <w:rStyle w:val="a9"/>
            <w:rFonts w:hint="eastAsia"/>
            <w:noProof/>
          </w:rPr>
          <w:t>信息披露方式</w:t>
        </w:r>
        <w:r>
          <w:rPr>
            <w:noProof/>
            <w:webHidden/>
          </w:rPr>
          <w:tab/>
        </w:r>
        <w:r>
          <w:rPr>
            <w:noProof/>
            <w:webHidden/>
          </w:rPr>
          <w:fldChar w:fldCharType="begin"/>
        </w:r>
        <w:r>
          <w:rPr>
            <w:noProof/>
            <w:webHidden/>
          </w:rPr>
          <w:instrText xml:space="preserve"> PAGEREF _Toc48663839 \h </w:instrText>
        </w:r>
        <w:r>
          <w:rPr>
            <w:noProof/>
            <w:webHidden/>
          </w:rPr>
        </w:r>
        <w:r>
          <w:rPr>
            <w:noProof/>
            <w:webHidden/>
          </w:rPr>
          <w:fldChar w:fldCharType="separate"/>
        </w:r>
        <w:r>
          <w:rPr>
            <w:noProof/>
            <w:webHidden/>
          </w:rPr>
          <w:t>6</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40" w:history="1">
        <w:r w:rsidRPr="00E845DF">
          <w:rPr>
            <w:rStyle w:val="a9"/>
            <w:rFonts w:ascii="宋体" w:hAnsi="宋体"/>
            <w:noProof/>
          </w:rPr>
          <w:t>2.6</w:t>
        </w:r>
        <w:r w:rsidRPr="00E845DF">
          <w:rPr>
            <w:rStyle w:val="a9"/>
            <w:noProof/>
          </w:rPr>
          <w:t xml:space="preserve">   </w:t>
        </w:r>
        <w:r w:rsidRPr="00E845DF">
          <w:rPr>
            <w:rStyle w:val="a9"/>
            <w:rFonts w:hint="eastAsia"/>
            <w:noProof/>
          </w:rPr>
          <w:t>其他相关资料</w:t>
        </w:r>
        <w:r>
          <w:rPr>
            <w:noProof/>
            <w:webHidden/>
          </w:rPr>
          <w:tab/>
        </w:r>
        <w:r>
          <w:rPr>
            <w:noProof/>
            <w:webHidden/>
          </w:rPr>
          <w:fldChar w:fldCharType="begin"/>
        </w:r>
        <w:r>
          <w:rPr>
            <w:noProof/>
            <w:webHidden/>
          </w:rPr>
          <w:instrText xml:space="preserve"> PAGEREF _Toc48663840 \h </w:instrText>
        </w:r>
        <w:r>
          <w:rPr>
            <w:noProof/>
            <w:webHidden/>
          </w:rPr>
        </w:r>
        <w:r>
          <w:rPr>
            <w:noProof/>
            <w:webHidden/>
          </w:rPr>
          <w:fldChar w:fldCharType="separate"/>
        </w:r>
        <w:r>
          <w:rPr>
            <w:noProof/>
            <w:webHidden/>
          </w:rPr>
          <w:t>6</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41" w:history="1">
        <w:r w:rsidRPr="00E845DF">
          <w:rPr>
            <w:rStyle w:val="a9"/>
            <w:rFonts w:ascii="宋体" w:hAnsi="宋体"/>
            <w:noProof/>
          </w:rPr>
          <w:t>3</w:t>
        </w:r>
        <w:r w:rsidRPr="00E845DF">
          <w:rPr>
            <w:rStyle w:val="a9"/>
            <w:noProof/>
          </w:rPr>
          <w:t xml:space="preserve">     </w:t>
        </w:r>
        <w:r w:rsidRPr="00E845DF">
          <w:rPr>
            <w:rStyle w:val="a9"/>
            <w:rFonts w:hint="eastAsia"/>
            <w:noProof/>
          </w:rPr>
          <w:t>主要财务指标和基金净值表现</w:t>
        </w:r>
        <w:r>
          <w:rPr>
            <w:noProof/>
            <w:webHidden/>
          </w:rPr>
          <w:tab/>
        </w:r>
        <w:r>
          <w:rPr>
            <w:noProof/>
            <w:webHidden/>
          </w:rPr>
          <w:fldChar w:fldCharType="begin"/>
        </w:r>
        <w:r>
          <w:rPr>
            <w:noProof/>
            <w:webHidden/>
          </w:rPr>
          <w:instrText xml:space="preserve"> PAGEREF _Toc48663841 \h </w:instrText>
        </w:r>
        <w:r>
          <w:rPr>
            <w:noProof/>
            <w:webHidden/>
          </w:rPr>
        </w:r>
        <w:r>
          <w:rPr>
            <w:noProof/>
            <w:webHidden/>
          </w:rPr>
          <w:fldChar w:fldCharType="separate"/>
        </w:r>
        <w:r>
          <w:rPr>
            <w:noProof/>
            <w:webHidden/>
          </w:rPr>
          <w:t>7</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42" w:history="1">
        <w:r w:rsidRPr="00E845DF">
          <w:rPr>
            <w:rStyle w:val="a9"/>
            <w:rFonts w:ascii="宋体" w:hAnsi="宋体"/>
            <w:noProof/>
          </w:rPr>
          <w:t>3.1</w:t>
        </w:r>
        <w:r w:rsidRPr="00E845DF">
          <w:rPr>
            <w:rStyle w:val="a9"/>
            <w:noProof/>
          </w:rPr>
          <w:t xml:space="preserve">   </w:t>
        </w:r>
        <w:r w:rsidRPr="00E845DF">
          <w:rPr>
            <w:rStyle w:val="a9"/>
            <w:rFonts w:hint="eastAsia"/>
            <w:noProof/>
          </w:rPr>
          <w:t>主要会计数据和财务指标</w:t>
        </w:r>
        <w:r>
          <w:rPr>
            <w:noProof/>
            <w:webHidden/>
          </w:rPr>
          <w:tab/>
        </w:r>
        <w:r>
          <w:rPr>
            <w:noProof/>
            <w:webHidden/>
          </w:rPr>
          <w:fldChar w:fldCharType="begin"/>
        </w:r>
        <w:r>
          <w:rPr>
            <w:noProof/>
            <w:webHidden/>
          </w:rPr>
          <w:instrText xml:space="preserve"> PAGEREF _Toc48663842 \h </w:instrText>
        </w:r>
        <w:r>
          <w:rPr>
            <w:noProof/>
            <w:webHidden/>
          </w:rPr>
        </w:r>
        <w:r>
          <w:rPr>
            <w:noProof/>
            <w:webHidden/>
          </w:rPr>
          <w:fldChar w:fldCharType="separate"/>
        </w:r>
        <w:r>
          <w:rPr>
            <w:noProof/>
            <w:webHidden/>
          </w:rPr>
          <w:t>7</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43" w:history="1">
        <w:r w:rsidRPr="00E845DF">
          <w:rPr>
            <w:rStyle w:val="a9"/>
            <w:rFonts w:ascii="宋体" w:hAnsi="宋体"/>
            <w:noProof/>
          </w:rPr>
          <w:t>3.2</w:t>
        </w:r>
        <w:r w:rsidRPr="00E845DF">
          <w:rPr>
            <w:rStyle w:val="a9"/>
            <w:noProof/>
          </w:rPr>
          <w:t xml:space="preserve">   </w:t>
        </w:r>
        <w:r w:rsidRPr="00E845DF">
          <w:rPr>
            <w:rStyle w:val="a9"/>
            <w:rFonts w:hint="eastAsia"/>
            <w:noProof/>
          </w:rPr>
          <w:t>基金净值表现</w:t>
        </w:r>
        <w:r>
          <w:rPr>
            <w:noProof/>
            <w:webHidden/>
          </w:rPr>
          <w:tab/>
        </w:r>
        <w:r>
          <w:rPr>
            <w:noProof/>
            <w:webHidden/>
          </w:rPr>
          <w:fldChar w:fldCharType="begin"/>
        </w:r>
        <w:r>
          <w:rPr>
            <w:noProof/>
            <w:webHidden/>
          </w:rPr>
          <w:instrText xml:space="preserve"> PAGEREF _Toc48663843 \h </w:instrText>
        </w:r>
        <w:r>
          <w:rPr>
            <w:noProof/>
            <w:webHidden/>
          </w:rPr>
        </w:r>
        <w:r>
          <w:rPr>
            <w:noProof/>
            <w:webHidden/>
          </w:rPr>
          <w:fldChar w:fldCharType="separate"/>
        </w:r>
        <w:r>
          <w:rPr>
            <w:noProof/>
            <w:webHidden/>
          </w:rPr>
          <w:t>7</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44" w:history="1">
        <w:r w:rsidRPr="00E845DF">
          <w:rPr>
            <w:rStyle w:val="a9"/>
            <w:rFonts w:ascii="宋体" w:hAnsi="宋体"/>
            <w:noProof/>
          </w:rPr>
          <w:t>4</w:t>
        </w:r>
        <w:r w:rsidRPr="00E845DF">
          <w:rPr>
            <w:rStyle w:val="a9"/>
            <w:noProof/>
          </w:rPr>
          <w:t xml:space="preserve">     </w:t>
        </w:r>
        <w:r w:rsidRPr="00E845DF">
          <w:rPr>
            <w:rStyle w:val="a9"/>
            <w:rFonts w:hint="eastAsia"/>
            <w:noProof/>
          </w:rPr>
          <w:t>管理人报告</w:t>
        </w:r>
        <w:r>
          <w:rPr>
            <w:noProof/>
            <w:webHidden/>
          </w:rPr>
          <w:tab/>
        </w:r>
        <w:r>
          <w:rPr>
            <w:noProof/>
            <w:webHidden/>
          </w:rPr>
          <w:fldChar w:fldCharType="begin"/>
        </w:r>
        <w:r>
          <w:rPr>
            <w:noProof/>
            <w:webHidden/>
          </w:rPr>
          <w:instrText xml:space="preserve"> PAGEREF _Toc48663844 \h </w:instrText>
        </w:r>
        <w:r>
          <w:rPr>
            <w:noProof/>
            <w:webHidden/>
          </w:rPr>
        </w:r>
        <w:r>
          <w:rPr>
            <w:noProof/>
            <w:webHidden/>
          </w:rPr>
          <w:fldChar w:fldCharType="separate"/>
        </w:r>
        <w:r>
          <w:rPr>
            <w:noProof/>
            <w:webHidden/>
          </w:rPr>
          <w:t>10</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45" w:history="1">
        <w:r w:rsidRPr="00E845DF">
          <w:rPr>
            <w:rStyle w:val="a9"/>
            <w:rFonts w:ascii="宋体" w:hAnsi="宋体"/>
            <w:noProof/>
          </w:rPr>
          <w:t>4.1</w:t>
        </w:r>
        <w:r w:rsidRPr="00E845DF">
          <w:rPr>
            <w:rStyle w:val="a9"/>
            <w:noProof/>
          </w:rPr>
          <w:t xml:space="preserve">   </w:t>
        </w:r>
        <w:r w:rsidRPr="00E845DF">
          <w:rPr>
            <w:rStyle w:val="a9"/>
            <w:rFonts w:hint="eastAsia"/>
            <w:noProof/>
          </w:rPr>
          <w:t>基金管理人及基金经理情况</w:t>
        </w:r>
        <w:r>
          <w:rPr>
            <w:noProof/>
            <w:webHidden/>
          </w:rPr>
          <w:tab/>
        </w:r>
        <w:r>
          <w:rPr>
            <w:noProof/>
            <w:webHidden/>
          </w:rPr>
          <w:fldChar w:fldCharType="begin"/>
        </w:r>
        <w:r>
          <w:rPr>
            <w:noProof/>
            <w:webHidden/>
          </w:rPr>
          <w:instrText xml:space="preserve"> PAGEREF _Toc48663845 \h </w:instrText>
        </w:r>
        <w:r>
          <w:rPr>
            <w:noProof/>
            <w:webHidden/>
          </w:rPr>
        </w:r>
        <w:r>
          <w:rPr>
            <w:noProof/>
            <w:webHidden/>
          </w:rPr>
          <w:fldChar w:fldCharType="separate"/>
        </w:r>
        <w:r>
          <w:rPr>
            <w:noProof/>
            <w:webHidden/>
          </w:rPr>
          <w:t>10</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46" w:history="1">
        <w:r w:rsidRPr="00E845DF">
          <w:rPr>
            <w:rStyle w:val="a9"/>
            <w:rFonts w:ascii="宋体" w:hAnsi="宋体"/>
            <w:noProof/>
          </w:rPr>
          <w:t>4.2</w:t>
        </w:r>
        <w:r w:rsidRPr="00E845DF">
          <w:rPr>
            <w:rStyle w:val="a9"/>
            <w:noProof/>
          </w:rPr>
          <w:t xml:space="preserve">   </w:t>
        </w:r>
        <w:r w:rsidRPr="00E845DF">
          <w:rPr>
            <w:rStyle w:val="a9"/>
            <w:rFonts w:hint="eastAsia"/>
            <w:noProof/>
          </w:rPr>
          <w:t>境外投资顾问为本基金提供投资建议的主要成员简介</w:t>
        </w:r>
        <w:r>
          <w:rPr>
            <w:noProof/>
            <w:webHidden/>
          </w:rPr>
          <w:tab/>
        </w:r>
        <w:r>
          <w:rPr>
            <w:noProof/>
            <w:webHidden/>
          </w:rPr>
          <w:fldChar w:fldCharType="begin"/>
        </w:r>
        <w:r>
          <w:rPr>
            <w:noProof/>
            <w:webHidden/>
          </w:rPr>
          <w:instrText xml:space="preserve"> PAGEREF _Toc48663846 \h </w:instrText>
        </w:r>
        <w:r>
          <w:rPr>
            <w:noProof/>
            <w:webHidden/>
          </w:rPr>
        </w:r>
        <w:r>
          <w:rPr>
            <w:noProof/>
            <w:webHidden/>
          </w:rPr>
          <w:fldChar w:fldCharType="separate"/>
        </w:r>
        <w:r>
          <w:rPr>
            <w:noProof/>
            <w:webHidden/>
          </w:rPr>
          <w:t>13</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47" w:history="1">
        <w:r w:rsidRPr="00E845DF">
          <w:rPr>
            <w:rStyle w:val="a9"/>
            <w:rFonts w:ascii="宋体" w:hAnsi="宋体"/>
            <w:noProof/>
          </w:rPr>
          <w:t>4.3</w:t>
        </w:r>
        <w:r w:rsidRPr="00E845DF">
          <w:rPr>
            <w:rStyle w:val="a9"/>
            <w:noProof/>
          </w:rPr>
          <w:t xml:space="preserve">   </w:t>
        </w:r>
        <w:r w:rsidRPr="00E845DF">
          <w:rPr>
            <w:rStyle w:val="a9"/>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_Toc48663847 \h </w:instrText>
        </w:r>
        <w:r>
          <w:rPr>
            <w:noProof/>
            <w:webHidden/>
          </w:rPr>
        </w:r>
        <w:r>
          <w:rPr>
            <w:noProof/>
            <w:webHidden/>
          </w:rPr>
          <w:fldChar w:fldCharType="separate"/>
        </w:r>
        <w:r>
          <w:rPr>
            <w:noProof/>
            <w:webHidden/>
          </w:rPr>
          <w:t>13</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48" w:history="1">
        <w:r w:rsidRPr="00E845DF">
          <w:rPr>
            <w:rStyle w:val="a9"/>
            <w:rFonts w:ascii="宋体" w:hAnsi="宋体"/>
            <w:noProof/>
          </w:rPr>
          <w:t>4.4</w:t>
        </w:r>
        <w:r w:rsidRPr="00E845DF">
          <w:rPr>
            <w:rStyle w:val="a9"/>
            <w:noProof/>
          </w:rPr>
          <w:t xml:space="preserve">   </w:t>
        </w:r>
        <w:r w:rsidRPr="00E845DF">
          <w:rPr>
            <w:rStyle w:val="a9"/>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_Toc48663848 \h </w:instrText>
        </w:r>
        <w:r>
          <w:rPr>
            <w:noProof/>
            <w:webHidden/>
          </w:rPr>
        </w:r>
        <w:r>
          <w:rPr>
            <w:noProof/>
            <w:webHidden/>
          </w:rPr>
          <w:fldChar w:fldCharType="separate"/>
        </w:r>
        <w:r>
          <w:rPr>
            <w:noProof/>
            <w:webHidden/>
          </w:rPr>
          <w:t>14</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49" w:history="1">
        <w:r w:rsidRPr="00E845DF">
          <w:rPr>
            <w:rStyle w:val="a9"/>
            <w:rFonts w:ascii="宋体" w:hAnsi="宋体"/>
            <w:noProof/>
          </w:rPr>
          <w:t>4.5</w:t>
        </w:r>
        <w:r w:rsidRPr="00E845DF">
          <w:rPr>
            <w:rStyle w:val="a9"/>
            <w:noProof/>
          </w:rPr>
          <w:t xml:space="preserve">   </w:t>
        </w:r>
        <w:r w:rsidRPr="00E845DF">
          <w:rPr>
            <w:rStyle w:val="a9"/>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_Toc48663849 \h </w:instrText>
        </w:r>
        <w:r>
          <w:rPr>
            <w:noProof/>
            <w:webHidden/>
          </w:rPr>
        </w:r>
        <w:r>
          <w:rPr>
            <w:noProof/>
            <w:webHidden/>
          </w:rPr>
          <w:fldChar w:fldCharType="separate"/>
        </w:r>
        <w:r>
          <w:rPr>
            <w:noProof/>
            <w:webHidden/>
          </w:rPr>
          <w:t>14</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50" w:history="1">
        <w:r w:rsidRPr="00E845DF">
          <w:rPr>
            <w:rStyle w:val="a9"/>
            <w:rFonts w:ascii="宋体" w:hAnsi="宋体"/>
            <w:noProof/>
          </w:rPr>
          <w:t>4.6</w:t>
        </w:r>
        <w:r w:rsidRPr="00E845DF">
          <w:rPr>
            <w:rStyle w:val="a9"/>
            <w:noProof/>
          </w:rPr>
          <w:t xml:space="preserve">   </w:t>
        </w:r>
        <w:r w:rsidRPr="00E845DF">
          <w:rPr>
            <w:rStyle w:val="a9"/>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_Toc48663850 \h </w:instrText>
        </w:r>
        <w:r>
          <w:rPr>
            <w:noProof/>
            <w:webHidden/>
          </w:rPr>
        </w:r>
        <w:r>
          <w:rPr>
            <w:noProof/>
            <w:webHidden/>
          </w:rPr>
          <w:fldChar w:fldCharType="separate"/>
        </w:r>
        <w:r>
          <w:rPr>
            <w:noProof/>
            <w:webHidden/>
          </w:rPr>
          <w:t>15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51" w:history="1">
        <w:r w:rsidRPr="00E845DF">
          <w:rPr>
            <w:rStyle w:val="a9"/>
            <w:rFonts w:ascii="宋体" w:hAnsi="宋体"/>
            <w:noProof/>
          </w:rPr>
          <w:t>4.7</w:t>
        </w:r>
        <w:r w:rsidRPr="00E845DF">
          <w:rPr>
            <w:rStyle w:val="a9"/>
            <w:noProof/>
          </w:rPr>
          <w:t xml:space="preserve">   </w:t>
        </w:r>
        <w:r w:rsidRPr="00E845DF">
          <w:rPr>
            <w:rStyle w:val="a9"/>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_Toc48663851 \h </w:instrText>
        </w:r>
        <w:r>
          <w:rPr>
            <w:noProof/>
            <w:webHidden/>
          </w:rPr>
        </w:r>
        <w:r>
          <w:rPr>
            <w:noProof/>
            <w:webHidden/>
          </w:rPr>
          <w:fldChar w:fldCharType="separate"/>
        </w:r>
        <w:r>
          <w:rPr>
            <w:noProof/>
            <w:webHidden/>
          </w:rPr>
          <w:t>15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52" w:history="1">
        <w:r w:rsidRPr="00E845DF">
          <w:rPr>
            <w:rStyle w:val="a9"/>
            <w:rFonts w:ascii="宋体" w:hAnsi="宋体"/>
            <w:noProof/>
          </w:rPr>
          <w:t>4.8</w:t>
        </w:r>
        <w:r w:rsidRPr="00E845DF">
          <w:rPr>
            <w:rStyle w:val="a9"/>
            <w:noProof/>
          </w:rPr>
          <w:t xml:space="preserve">   </w:t>
        </w:r>
        <w:r w:rsidRPr="00E845DF">
          <w:rPr>
            <w:rStyle w:val="a9"/>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_Toc48663852 \h </w:instrText>
        </w:r>
        <w:r>
          <w:rPr>
            <w:noProof/>
            <w:webHidden/>
          </w:rPr>
        </w:r>
        <w:r>
          <w:rPr>
            <w:noProof/>
            <w:webHidden/>
          </w:rPr>
          <w:fldChar w:fldCharType="separate"/>
        </w:r>
        <w:r>
          <w:rPr>
            <w:noProof/>
            <w:webHidden/>
          </w:rPr>
          <w:t>15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53" w:history="1">
        <w:r w:rsidRPr="00E845DF">
          <w:rPr>
            <w:rStyle w:val="a9"/>
            <w:rFonts w:ascii="宋体" w:hAnsi="宋体"/>
            <w:noProof/>
          </w:rPr>
          <w:t>4.9</w:t>
        </w:r>
        <w:r w:rsidRPr="00E845DF">
          <w:rPr>
            <w:rStyle w:val="a9"/>
            <w:noProof/>
          </w:rPr>
          <w:t xml:space="preserve">   </w:t>
        </w:r>
        <w:r w:rsidRPr="00E845DF">
          <w:rPr>
            <w:rStyle w:val="a9"/>
            <w:rFonts w:hint="eastAsia"/>
            <w:noProof/>
          </w:rPr>
          <w:t>报告期内管理人对本基金持有人数或基金资产净值预警情形的说明</w:t>
        </w:r>
        <w:r>
          <w:rPr>
            <w:noProof/>
            <w:webHidden/>
          </w:rPr>
          <w:tab/>
        </w:r>
        <w:r>
          <w:rPr>
            <w:noProof/>
            <w:webHidden/>
          </w:rPr>
          <w:fldChar w:fldCharType="begin"/>
        </w:r>
        <w:r>
          <w:rPr>
            <w:noProof/>
            <w:webHidden/>
          </w:rPr>
          <w:instrText xml:space="preserve"> PAGEREF _Toc48663853 \h </w:instrText>
        </w:r>
        <w:r>
          <w:rPr>
            <w:noProof/>
            <w:webHidden/>
          </w:rPr>
        </w:r>
        <w:r>
          <w:rPr>
            <w:noProof/>
            <w:webHidden/>
          </w:rPr>
          <w:fldChar w:fldCharType="separate"/>
        </w:r>
        <w:r>
          <w:rPr>
            <w:noProof/>
            <w:webHidden/>
          </w:rPr>
          <w:t>16</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54" w:history="1">
        <w:r w:rsidRPr="00E845DF">
          <w:rPr>
            <w:rStyle w:val="a9"/>
            <w:rFonts w:ascii="宋体" w:hAnsi="宋体"/>
            <w:noProof/>
          </w:rPr>
          <w:t>5</w:t>
        </w:r>
        <w:r w:rsidRPr="00E845DF">
          <w:rPr>
            <w:rStyle w:val="a9"/>
            <w:noProof/>
          </w:rPr>
          <w:t xml:space="preserve">     </w:t>
        </w:r>
        <w:r w:rsidRPr="00E845DF">
          <w:rPr>
            <w:rStyle w:val="a9"/>
            <w:rFonts w:hint="eastAsia"/>
            <w:noProof/>
          </w:rPr>
          <w:t>托管人报告</w:t>
        </w:r>
        <w:r>
          <w:rPr>
            <w:noProof/>
            <w:webHidden/>
          </w:rPr>
          <w:tab/>
        </w:r>
        <w:r>
          <w:rPr>
            <w:noProof/>
            <w:webHidden/>
          </w:rPr>
          <w:fldChar w:fldCharType="begin"/>
        </w:r>
        <w:r>
          <w:rPr>
            <w:noProof/>
            <w:webHidden/>
          </w:rPr>
          <w:instrText xml:space="preserve"> PAGEREF _Toc48663854 \h </w:instrText>
        </w:r>
        <w:r>
          <w:rPr>
            <w:noProof/>
            <w:webHidden/>
          </w:rPr>
        </w:r>
        <w:r>
          <w:rPr>
            <w:noProof/>
            <w:webHidden/>
          </w:rPr>
          <w:fldChar w:fldCharType="separate"/>
        </w:r>
        <w:r>
          <w:rPr>
            <w:noProof/>
            <w:webHidden/>
          </w:rPr>
          <w:t>16</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55" w:history="1">
        <w:r w:rsidRPr="00E845DF">
          <w:rPr>
            <w:rStyle w:val="a9"/>
            <w:rFonts w:ascii="宋体" w:hAnsi="宋体"/>
            <w:noProof/>
          </w:rPr>
          <w:t>5.1</w:t>
        </w:r>
        <w:r w:rsidRPr="00E845DF">
          <w:rPr>
            <w:rStyle w:val="a9"/>
            <w:noProof/>
          </w:rPr>
          <w:t xml:space="preserve">   </w:t>
        </w:r>
        <w:r w:rsidRPr="00E845DF">
          <w:rPr>
            <w:rStyle w:val="a9"/>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_Toc48663855 \h </w:instrText>
        </w:r>
        <w:r>
          <w:rPr>
            <w:noProof/>
            <w:webHidden/>
          </w:rPr>
        </w:r>
        <w:r>
          <w:rPr>
            <w:noProof/>
            <w:webHidden/>
          </w:rPr>
          <w:fldChar w:fldCharType="separate"/>
        </w:r>
        <w:r>
          <w:rPr>
            <w:noProof/>
            <w:webHidden/>
          </w:rPr>
          <w:t>16</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56" w:history="1">
        <w:r w:rsidRPr="00E845DF">
          <w:rPr>
            <w:rStyle w:val="a9"/>
            <w:rFonts w:ascii="宋体" w:hAnsi="宋体"/>
            <w:noProof/>
          </w:rPr>
          <w:t>5.2</w:t>
        </w:r>
        <w:r w:rsidRPr="00E845DF">
          <w:rPr>
            <w:rStyle w:val="a9"/>
            <w:noProof/>
          </w:rPr>
          <w:t xml:space="preserve">   </w:t>
        </w:r>
        <w:r w:rsidRPr="00E845DF">
          <w:rPr>
            <w:rStyle w:val="a9"/>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_Toc48663856 \h </w:instrText>
        </w:r>
        <w:r>
          <w:rPr>
            <w:noProof/>
            <w:webHidden/>
          </w:rPr>
        </w:r>
        <w:r>
          <w:rPr>
            <w:noProof/>
            <w:webHidden/>
          </w:rPr>
          <w:fldChar w:fldCharType="separate"/>
        </w:r>
        <w:r>
          <w:rPr>
            <w:noProof/>
            <w:webHidden/>
          </w:rPr>
          <w:t>16</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57" w:history="1">
        <w:r w:rsidRPr="00E845DF">
          <w:rPr>
            <w:rStyle w:val="a9"/>
            <w:rFonts w:ascii="宋体" w:hAnsi="宋体"/>
            <w:noProof/>
          </w:rPr>
          <w:t>5.3</w:t>
        </w:r>
        <w:r w:rsidRPr="00E845DF">
          <w:rPr>
            <w:rStyle w:val="a9"/>
            <w:noProof/>
          </w:rPr>
          <w:t xml:space="preserve">   </w:t>
        </w:r>
        <w:r w:rsidRPr="00E845DF">
          <w:rPr>
            <w:rStyle w:val="a9"/>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_Toc48663857 \h </w:instrText>
        </w:r>
        <w:r>
          <w:rPr>
            <w:noProof/>
            <w:webHidden/>
          </w:rPr>
        </w:r>
        <w:r>
          <w:rPr>
            <w:noProof/>
            <w:webHidden/>
          </w:rPr>
          <w:fldChar w:fldCharType="separate"/>
        </w:r>
        <w:r>
          <w:rPr>
            <w:noProof/>
            <w:webHidden/>
          </w:rPr>
          <w:t>16</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58" w:history="1">
        <w:r w:rsidRPr="00E845DF">
          <w:rPr>
            <w:rStyle w:val="a9"/>
            <w:rFonts w:ascii="宋体" w:hAnsi="宋体"/>
            <w:noProof/>
          </w:rPr>
          <w:t>6</w:t>
        </w:r>
        <w:r w:rsidRPr="00E845DF">
          <w:rPr>
            <w:rStyle w:val="a9"/>
            <w:noProof/>
          </w:rPr>
          <w:t xml:space="preserve">     </w:t>
        </w:r>
        <w:r w:rsidRPr="00E845DF">
          <w:rPr>
            <w:rStyle w:val="a9"/>
            <w:rFonts w:hint="eastAsia"/>
            <w:noProof/>
          </w:rPr>
          <w:t>半年度财务会计报告（未经审计）</w:t>
        </w:r>
        <w:r>
          <w:rPr>
            <w:noProof/>
            <w:webHidden/>
          </w:rPr>
          <w:tab/>
        </w:r>
        <w:r>
          <w:rPr>
            <w:noProof/>
            <w:webHidden/>
          </w:rPr>
          <w:fldChar w:fldCharType="begin"/>
        </w:r>
        <w:r>
          <w:rPr>
            <w:noProof/>
            <w:webHidden/>
          </w:rPr>
          <w:instrText xml:space="preserve"> PAGEREF _Toc48663858 \h </w:instrText>
        </w:r>
        <w:r>
          <w:rPr>
            <w:noProof/>
            <w:webHidden/>
          </w:rPr>
        </w:r>
        <w:r>
          <w:rPr>
            <w:noProof/>
            <w:webHidden/>
          </w:rPr>
          <w:fldChar w:fldCharType="separate"/>
        </w:r>
        <w:r>
          <w:rPr>
            <w:noProof/>
            <w:webHidden/>
          </w:rPr>
          <w:t>16</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59" w:history="1">
        <w:r w:rsidRPr="00E845DF">
          <w:rPr>
            <w:rStyle w:val="a9"/>
            <w:rFonts w:ascii="宋体" w:hAnsi="宋体"/>
            <w:noProof/>
          </w:rPr>
          <w:t>6.1</w:t>
        </w:r>
        <w:r w:rsidRPr="00E845DF">
          <w:rPr>
            <w:rStyle w:val="a9"/>
            <w:noProof/>
          </w:rPr>
          <w:t xml:space="preserve">   </w:t>
        </w:r>
        <w:r w:rsidRPr="00E845DF">
          <w:rPr>
            <w:rStyle w:val="a9"/>
            <w:rFonts w:hint="eastAsia"/>
            <w:noProof/>
          </w:rPr>
          <w:t>资产负债表</w:t>
        </w:r>
        <w:r>
          <w:rPr>
            <w:noProof/>
            <w:webHidden/>
          </w:rPr>
          <w:tab/>
        </w:r>
        <w:r>
          <w:rPr>
            <w:noProof/>
            <w:webHidden/>
          </w:rPr>
          <w:fldChar w:fldCharType="begin"/>
        </w:r>
        <w:r>
          <w:rPr>
            <w:noProof/>
            <w:webHidden/>
          </w:rPr>
          <w:instrText xml:space="preserve"> PAGEREF _Toc48663859 \h </w:instrText>
        </w:r>
        <w:r>
          <w:rPr>
            <w:noProof/>
            <w:webHidden/>
          </w:rPr>
        </w:r>
        <w:r>
          <w:rPr>
            <w:noProof/>
            <w:webHidden/>
          </w:rPr>
          <w:fldChar w:fldCharType="separate"/>
        </w:r>
        <w:r>
          <w:rPr>
            <w:noProof/>
            <w:webHidden/>
          </w:rPr>
          <w:t>16</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60" w:history="1">
        <w:r w:rsidRPr="00E845DF">
          <w:rPr>
            <w:rStyle w:val="a9"/>
            <w:rFonts w:ascii="宋体" w:hAnsi="宋体"/>
            <w:noProof/>
          </w:rPr>
          <w:t>6.2</w:t>
        </w:r>
        <w:r w:rsidRPr="00E845DF">
          <w:rPr>
            <w:rStyle w:val="a9"/>
            <w:noProof/>
          </w:rPr>
          <w:t xml:space="preserve">   </w:t>
        </w:r>
        <w:r w:rsidRPr="00E845DF">
          <w:rPr>
            <w:rStyle w:val="a9"/>
            <w:rFonts w:hint="eastAsia"/>
            <w:noProof/>
          </w:rPr>
          <w:t>利润表</w:t>
        </w:r>
        <w:r>
          <w:rPr>
            <w:noProof/>
            <w:webHidden/>
          </w:rPr>
          <w:tab/>
        </w:r>
        <w:r>
          <w:rPr>
            <w:noProof/>
            <w:webHidden/>
          </w:rPr>
          <w:fldChar w:fldCharType="begin"/>
        </w:r>
        <w:r>
          <w:rPr>
            <w:noProof/>
            <w:webHidden/>
          </w:rPr>
          <w:instrText xml:space="preserve"> PAGEREF _Toc48663860 \h </w:instrText>
        </w:r>
        <w:r>
          <w:rPr>
            <w:noProof/>
            <w:webHidden/>
          </w:rPr>
        </w:r>
        <w:r>
          <w:rPr>
            <w:noProof/>
            <w:webHidden/>
          </w:rPr>
          <w:fldChar w:fldCharType="separate"/>
        </w:r>
        <w:r>
          <w:rPr>
            <w:noProof/>
            <w:webHidden/>
          </w:rPr>
          <w:t>18</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61" w:history="1">
        <w:r w:rsidRPr="00E845DF">
          <w:rPr>
            <w:rStyle w:val="a9"/>
            <w:rFonts w:ascii="宋体" w:hAnsi="宋体"/>
            <w:noProof/>
          </w:rPr>
          <w:t>6.3</w:t>
        </w:r>
        <w:r w:rsidRPr="00E845DF">
          <w:rPr>
            <w:rStyle w:val="a9"/>
            <w:noProof/>
          </w:rPr>
          <w:t xml:space="preserve">   </w:t>
        </w:r>
        <w:r w:rsidRPr="00E845DF">
          <w:rPr>
            <w:rStyle w:val="a9"/>
            <w:rFonts w:hint="eastAsia"/>
            <w:noProof/>
          </w:rPr>
          <w:t>所有者权益（基金净值）变动表</w:t>
        </w:r>
        <w:r>
          <w:rPr>
            <w:noProof/>
            <w:webHidden/>
          </w:rPr>
          <w:tab/>
        </w:r>
        <w:r>
          <w:rPr>
            <w:noProof/>
            <w:webHidden/>
          </w:rPr>
          <w:fldChar w:fldCharType="begin"/>
        </w:r>
        <w:r>
          <w:rPr>
            <w:noProof/>
            <w:webHidden/>
          </w:rPr>
          <w:instrText xml:space="preserve"> PAGEREF _Toc48663861 \h </w:instrText>
        </w:r>
        <w:r>
          <w:rPr>
            <w:noProof/>
            <w:webHidden/>
          </w:rPr>
        </w:r>
        <w:r>
          <w:rPr>
            <w:noProof/>
            <w:webHidden/>
          </w:rPr>
          <w:fldChar w:fldCharType="separate"/>
        </w:r>
        <w:r>
          <w:rPr>
            <w:noProof/>
            <w:webHidden/>
          </w:rPr>
          <w:t>19</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62" w:history="1">
        <w:r w:rsidRPr="00E845DF">
          <w:rPr>
            <w:rStyle w:val="a9"/>
            <w:rFonts w:ascii="宋体" w:hAnsi="宋体"/>
            <w:noProof/>
          </w:rPr>
          <w:t>6.4</w:t>
        </w:r>
        <w:r w:rsidRPr="00E845DF">
          <w:rPr>
            <w:rStyle w:val="a9"/>
            <w:noProof/>
          </w:rPr>
          <w:t xml:space="preserve">   </w:t>
        </w:r>
        <w:r w:rsidRPr="00E845DF">
          <w:rPr>
            <w:rStyle w:val="a9"/>
            <w:rFonts w:hint="eastAsia"/>
            <w:noProof/>
          </w:rPr>
          <w:t>报表附注</w:t>
        </w:r>
        <w:r>
          <w:rPr>
            <w:noProof/>
            <w:webHidden/>
          </w:rPr>
          <w:tab/>
        </w:r>
        <w:r>
          <w:rPr>
            <w:noProof/>
            <w:webHidden/>
          </w:rPr>
          <w:fldChar w:fldCharType="begin"/>
        </w:r>
        <w:r>
          <w:rPr>
            <w:noProof/>
            <w:webHidden/>
          </w:rPr>
          <w:instrText xml:space="preserve"> PAGEREF _Toc48663862 \h </w:instrText>
        </w:r>
        <w:r>
          <w:rPr>
            <w:noProof/>
            <w:webHidden/>
          </w:rPr>
        </w:r>
        <w:r>
          <w:rPr>
            <w:noProof/>
            <w:webHidden/>
          </w:rPr>
          <w:fldChar w:fldCharType="separate"/>
        </w:r>
        <w:r>
          <w:rPr>
            <w:noProof/>
            <w:webHidden/>
          </w:rPr>
          <w:t>20</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63" w:history="1">
        <w:r w:rsidRPr="00E845DF">
          <w:rPr>
            <w:rStyle w:val="a9"/>
            <w:rFonts w:ascii="宋体" w:hAnsi="宋体"/>
            <w:noProof/>
          </w:rPr>
          <w:t>7</w:t>
        </w:r>
        <w:r w:rsidRPr="00E845DF">
          <w:rPr>
            <w:rStyle w:val="a9"/>
            <w:noProof/>
          </w:rPr>
          <w:t xml:space="preserve">     </w:t>
        </w:r>
        <w:r w:rsidRPr="00E845DF">
          <w:rPr>
            <w:rStyle w:val="a9"/>
            <w:rFonts w:hint="eastAsia"/>
            <w:noProof/>
          </w:rPr>
          <w:t>投资组合报告</w:t>
        </w:r>
        <w:r>
          <w:rPr>
            <w:noProof/>
            <w:webHidden/>
          </w:rPr>
          <w:tab/>
        </w:r>
        <w:r>
          <w:rPr>
            <w:noProof/>
            <w:webHidden/>
          </w:rPr>
          <w:fldChar w:fldCharType="begin"/>
        </w:r>
        <w:r>
          <w:rPr>
            <w:noProof/>
            <w:webHidden/>
          </w:rPr>
          <w:instrText xml:space="preserve"> PAGEREF _Toc48663863 \h </w:instrText>
        </w:r>
        <w:r>
          <w:rPr>
            <w:noProof/>
            <w:webHidden/>
          </w:rPr>
        </w:r>
        <w:r>
          <w:rPr>
            <w:noProof/>
            <w:webHidden/>
          </w:rPr>
          <w:fldChar w:fldCharType="separate"/>
        </w:r>
        <w:r>
          <w:rPr>
            <w:noProof/>
            <w:webHidden/>
          </w:rPr>
          <w:t>41</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64" w:history="1">
        <w:r w:rsidRPr="00E845DF">
          <w:rPr>
            <w:rStyle w:val="a9"/>
            <w:rFonts w:ascii="宋体" w:hAnsi="宋体"/>
            <w:noProof/>
          </w:rPr>
          <w:t>7.1</w:t>
        </w:r>
        <w:r w:rsidRPr="00E845DF">
          <w:rPr>
            <w:rStyle w:val="a9"/>
            <w:noProof/>
          </w:rPr>
          <w:t xml:space="preserve">   </w:t>
        </w:r>
        <w:r w:rsidRPr="00E845DF">
          <w:rPr>
            <w:rStyle w:val="a9"/>
            <w:rFonts w:hint="eastAsia"/>
            <w:noProof/>
          </w:rPr>
          <w:t>期末基金资产组合情况</w:t>
        </w:r>
        <w:r>
          <w:rPr>
            <w:noProof/>
            <w:webHidden/>
          </w:rPr>
          <w:tab/>
        </w:r>
        <w:r>
          <w:rPr>
            <w:noProof/>
            <w:webHidden/>
          </w:rPr>
          <w:fldChar w:fldCharType="begin"/>
        </w:r>
        <w:r>
          <w:rPr>
            <w:noProof/>
            <w:webHidden/>
          </w:rPr>
          <w:instrText xml:space="preserve"> PAGEREF _Toc48663864 \h </w:instrText>
        </w:r>
        <w:r>
          <w:rPr>
            <w:noProof/>
            <w:webHidden/>
          </w:rPr>
        </w:r>
        <w:r>
          <w:rPr>
            <w:noProof/>
            <w:webHidden/>
          </w:rPr>
          <w:fldChar w:fldCharType="separate"/>
        </w:r>
        <w:r>
          <w:rPr>
            <w:noProof/>
            <w:webHidden/>
          </w:rPr>
          <w:t>41</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65" w:history="1">
        <w:r w:rsidRPr="00E845DF">
          <w:rPr>
            <w:rStyle w:val="a9"/>
            <w:rFonts w:ascii="宋体" w:hAnsi="宋体"/>
            <w:noProof/>
          </w:rPr>
          <w:t>7.2</w:t>
        </w:r>
        <w:r w:rsidRPr="00E845DF">
          <w:rPr>
            <w:rStyle w:val="a9"/>
            <w:noProof/>
          </w:rPr>
          <w:t xml:space="preserve">   </w:t>
        </w:r>
        <w:r w:rsidRPr="00E845DF">
          <w:rPr>
            <w:rStyle w:val="a9"/>
            <w:rFonts w:hint="eastAsia"/>
            <w:noProof/>
          </w:rPr>
          <w:t>期末在各个国家（地区）证券市场的权益投资分布</w:t>
        </w:r>
        <w:r>
          <w:rPr>
            <w:noProof/>
            <w:webHidden/>
          </w:rPr>
          <w:tab/>
        </w:r>
        <w:r>
          <w:rPr>
            <w:noProof/>
            <w:webHidden/>
          </w:rPr>
          <w:fldChar w:fldCharType="begin"/>
        </w:r>
        <w:r>
          <w:rPr>
            <w:noProof/>
            <w:webHidden/>
          </w:rPr>
          <w:instrText xml:space="preserve"> PAGEREF _Toc48663865 \h </w:instrText>
        </w:r>
        <w:r>
          <w:rPr>
            <w:noProof/>
            <w:webHidden/>
          </w:rPr>
        </w:r>
        <w:r>
          <w:rPr>
            <w:noProof/>
            <w:webHidden/>
          </w:rPr>
          <w:fldChar w:fldCharType="separate"/>
        </w:r>
        <w:r>
          <w:rPr>
            <w:noProof/>
            <w:webHidden/>
          </w:rPr>
          <w:t>42</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66" w:history="1">
        <w:r w:rsidRPr="00E845DF">
          <w:rPr>
            <w:rStyle w:val="a9"/>
            <w:rFonts w:ascii="宋体" w:hAnsi="宋体"/>
            <w:noProof/>
          </w:rPr>
          <w:t>7.3</w:t>
        </w:r>
        <w:r w:rsidRPr="00E845DF">
          <w:rPr>
            <w:rStyle w:val="a9"/>
            <w:noProof/>
          </w:rPr>
          <w:t xml:space="preserve">   </w:t>
        </w:r>
        <w:r w:rsidRPr="00E845DF">
          <w:rPr>
            <w:rStyle w:val="a9"/>
            <w:rFonts w:hint="eastAsia"/>
            <w:noProof/>
          </w:rPr>
          <w:t>期末按行业分类的权益投资组合</w:t>
        </w:r>
        <w:r>
          <w:rPr>
            <w:noProof/>
            <w:webHidden/>
          </w:rPr>
          <w:tab/>
        </w:r>
        <w:r>
          <w:rPr>
            <w:noProof/>
            <w:webHidden/>
          </w:rPr>
          <w:fldChar w:fldCharType="begin"/>
        </w:r>
        <w:r>
          <w:rPr>
            <w:noProof/>
            <w:webHidden/>
          </w:rPr>
          <w:instrText xml:space="preserve"> PAGEREF _Toc48663866 \h </w:instrText>
        </w:r>
        <w:r>
          <w:rPr>
            <w:noProof/>
            <w:webHidden/>
          </w:rPr>
        </w:r>
        <w:r>
          <w:rPr>
            <w:noProof/>
            <w:webHidden/>
          </w:rPr>
          <w:fldChar w:fldCharType="separate"/>
        </w:r>
        <w:r>
          <w:rPr>
            <w:noProof/>
            <w:webHidden/>
          </w:rPr>
          <w:t>42</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67" w:history="1">
        <w:r w:rsidRPr="00E845DF">
          <w:rPr>
            <w:rStyle w:val="a9"/>
            <w:rFonts w:ascii="宋体" w:hAnsi="宋体"/>
            <w:noProof/>
          </w:rPr>
          <w:t>7.4</w:t>
        </w:r>
        <w:r w:rsidRPr="00E845DF">
          <w:rPr>
            <w:rStyle w:val="a9"/>
            <w:noProof/>
          </w:rPr>
          <w:t xml:space="preserve">   </w:t>
        </w:r>
        <w:r w:rsidRPr="00E845DF">
          <w:rPr>
            <w:rStyle w:val="a9"/>
            <w:rFonts w:hint="eastAsia"/>
            <w:noProof/>
          </w:rPr>
          <w:t>期末按公允价值占基金资产净值比例大小排序的所有权益投资明细</w:t>
        </w:r>
        <w:r>
          <w:rPr>
            <w:noProof/>
            <w:webHidden/>
          </w:rPr>
          <w:tab/>
        </w:r>
        <w:r>
          <w:rPr>
            <w:noProof/>
            <w:webHidden/>
          </w:rPr>
          <w:fldChar w:fldCharType="begin"/>
        </w:r>
        <w:r>
          <w:rPr>
            <w:noProof/>
            <w:webHidden/>
          </w:rPr>
          <w:instrText xml:space="preserve"> PAGEREF _Toc48663867 \h </w:instrText>
        </w:r>
        <w:r>
          <w:rPr>
            <w:noProof/>
            <w:webHidden/>
          </w:rPr>
        </w:r>
        <w:r>
          <w:rPr>
            <w:noProof/>
            <w:webHidden/>
          </w:rPr>
          <w:fldChar w:fldCharType="separate"/>
        </w:r>
        <w:r>
          <w:rPr>
            <w:noProof/>
            <w:webHidden/>
          </w:rPr>
          <w:t>42</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68" w:history="1">
        <w:r w:rsidRPr="00E845DF">
          <w:rPr>
            <w:rStyle w:val="a9"/>
            <w:rFonts w:ascii="宋体" w:hAnsi="宋体"/>
            <w:noProof/>
          </w:rPr>
          <w:t>7.5</w:t>
        </w:r>
        <w:r w:rsidRPr="00E845DF">
          <w:rPr>
            <w:rStyle w:val="a9"/>
            <w:noProof/>
          </w:rPr>
          <w:t xml:space="preserve">   </w:t>
        </w:r>
        <w:r w:rsidRPr="00E845DF">
          <w:rPr>
            <w:rStyle w:val="a9"/>
            <w:rFonts w:hint="eastAsia"/>
            <w:noProof/>
          </w:rPr>
          <w:t>报告期内</w:t>
        </w:r>
        <w:r w:rsidRPr="00E845DF">
          <w:rPr>
            <w:rStyle w:val="a9"/>
            <w:rFonts w:ascii="宋体" w:hAnsi="宋体" w:hint="eastAsia"/>
            <w:noProof/>
          </w:rPr>
          <w:t>权益</w:t>
        </w:r>
        <w:r w:rsidRPr="00E845DF">
          <w:rPr>
            <w:rStyle w:val="a9"/>
            <w:rFonts w:hint="eastAsia"/>
            <w:noProof/>
          </w:rPr>
          <w:t>投资组合的重大变动</w:t>
        </w:r>
        <w:r>
          <w:rPr>
            <w:noProof/>
            <w:webHidden/>
          </w:rPr>
          <w:tab/>
        </w:r>
        <w:r>
          <w:rPr>
            <w:noProof/>
            <w:webHidden/>
          </w:rPr>
          <w:fldChar w:fldCharType="begin"/>
        </w:r>
        <w:r>
          <w:rPr>
            <w:noProof/>
            <w:webHidden/>
          </w:rPr>
          <w:instrText xml:space="preserve"> PAGEREF _Toc48663868 \h </w:instrText>
        </w:r>
        <w:r>
          <w:rPr>
            <w:noProof/>
            <w:webHidden/>
          </w:rPr>
        </w:r>
        <w:r>
          <w:rPr>
            <w:noProof/>
            <w:webHidden/>
          </w:rPr>
          <w:fldChar w:fldCharType="separate"/>
        </w:r>
        <w:r>
          <w:rPr>
            <w:noProof/>
            <w:webHidden/>
          </w:rPr>
          <w:t>59</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69" w:history="1">
        <w:r w:rsidRPr="00E845DF">
          <w:rPr>
            <w:rStyle w:val="a9"/>
            <w:rFonts w:ascii="宋体" w:hAnsi="宋体"/>
            <w:noProof/>
          </w:rPr>
          <w:t>7.6</w:t>
        </w:r>
        <w:r w:rsidRPr="00E845DF">
          <w:rPr>
            <w:rStyle w:val="a9"/>
            <w:noProof/>
          </w:rPr>
          <w:t xml:space="preserve">   </w:t>
        </w:r>
        <w:r w:rsidRPr="00E845DF">
          <w:rPr>
            <w:rStyle w:val="a9"/>
            <w:rFonts w:hint="eastAsia"/>
            <w:noProof/>
          </w:rPr>
          <w:t>期末按债券信用等级分类的债券投资组合</w:t>
        </w:r>
        <w:r>
          <w:rPr>
            <w:noProof/>
            <w:webHidden/>
          </w:rPr>
          <w:tab/>
        </w:r>
        <w:r>
          <w:rPr>
            <w:noProof/>
            <w:webHidden/>
          </w:rPr>
          <w:fldChar w:fldCharType="begin"/>
        </w:r>
        <w:r>
          <w:rPr>
            <w:noProof/>
            <w:webHidden/>
          </w:rPr>
          <w:instrText xml:space="preserve"> PAGEREF _Toc48663869 \h </w:instrText>
        </w:r>
        <w:r>
          <w:rPr>
            <w:noProof/>
            <w:webHidden/>
          </w:rPr>
        </w:r>
        <w:r>
          <w:rPr>
            <w:noProof/>
            <w:webHidden/>
          </w:rPr>
          <w:fldChar w:fldCharType="separate"/>
        </w:r>
        <w:r>
          <w:rPr>
            <w:noProof/>
            <w:webHidden/>
          </w:rPr>
          <w:t>62</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70" w:history="1">
        <w:r w:rsidRPr="00E845DF">
          <w:rPr>
            <w:rStyle w:val="a9"/>
            <w:rFonts w:ascii="宋体" w:hAnsi="宋体"/>
            <w:noProof/>
          </w:rPr>
          <w:t>7.7</w:t>
        </w:r>
        <w:r w:rsidRPr="00E845DF">
          <w:rPr>
            <w:rStyle w:val="a9"/>
            <w:noProof/>
          </w:rPr>
          <w:t xml:space="preserve">   </w:t>
        </w:r>
        <w:r w:rsidRPr="00E845DF">
          <w:rPr>
            <w:rStyle w:val="a9"/>
            <w:rFonts w:hint="eastAsia"/>
            <w:noProof/>
          </w:rPr>
          <w:t>期末按公允价值占基金资产净值比例大小排名的前五名债券投资明细</w:t>
        </w:r>
        <w:r>
          <w:rPr>
            <w:noProof/>
            <w:webHidden/>
          </w:rPr>
          <w:tab/>
        </w:r>
        <w:r>
          <w:rPr>
            <w:noProof/>
            <w:webHidden/>
          </w:rPr>
          <w:fldChar w:fldCharType="begin"/>
        </w:r>
        <w:r>
          <w:rPr>
            <w:noProof/>
            <w:webHidden/>
          </w:rPr>
          <w:instrText xml:space="preserve"> PAGEREF _Toc48663870 \h </w:instrText>
        </w:r>
        <w:r>
          <w:rPr>
            <w:noProof/>
            <w:webHidden/>
          </w:rPr>
        </w:r>
        <w:r>
          <w:rPr>
            <w:noProof/>
            <w:webHidden/>
          </w:rPr>
          <w:fldChar w:fldCharType="separate"/>
        </w:r>
        <w:r>
          <w:rPr>
            <w:noProof/>
            <w:webHidden/>
          </w:rPr>
          <w:t>62</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71" w:history="1">
        <w:r w:rsidRPr="00E845DF">
          <w:rPr>
            <w:rStyle w:val="a9"/>
            <w:rFonts w:ascii="宋体" w:hAnsi="宋体"/>
            <w:noProof/>
          </w:rPr>
          <w:t>7.8</w:t>
        </w:r>
        <w:r w:rsidRPr="00E845DF">
          <w:rPr>
            <w:rStyle w:val="a9"/>
            <w:noProof/>
          </w:rPr>
          <w:t xml:space="preserve">   </w:t>
        </w:r>
        <w:r w:rsidRPr="00E845DF">
          <w:rPr>
            <w:rStyle w:val="a9"/>
            <w:rFonts w:hint="eastAsia"/>
            <w:noProof/>
          </w:rPr>
          <w:t>期末按公允价值占基金资产净值比例大小排名的所有资产支持证券投资明细</w:t>
        </w:r>
        <w:r>
          <w:rPr>
            <w:noProof/>
            <w:webHidden/>
          </w:rPr>
          <w:tab/>
        </w:r>
        <w:r>
          <w:rPr>
            <w:noProof/>
            <w:webHidden/>
          </w:rPr>
          <w:fldChar w:fldCharType="begin"/>
        </w:r>
        <w:r>
          <w:rPr>
            <w:noProof/>
            <w:webHidden/>
          </w:rPr>
          <w:instrText xml:space="preserve"> PAGEREF _Toc48663871 \h </w:instrText>
        </w:r>
        <w:r>
          <w:rPr>
            <w:noProof/>
            <w:webHidden/>
          </w:rPr>
        </w:r>
        <w:r>
          <w:rPr>
            <w:noProof/>
            <w:webHidden/>
          </w:rPr>
          <w:fldChar w:fldCharType="separate"/>
        </w:r>
        <w:r>
          <w:rPr>
            <w:noProof/>
            <w:webHidden/>
          </w:rPr>
          <w:t>62</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72" w:history="1">
        <w:r w:rsidRPr="00E845DF">
          <w:rPr>
            <w:rStyle w:val="a9"/>
            <w:rFonts w:ascii="宋体" w:hAnsi="宋体"/>
            <w:noProof/>
          </w:rPr>
          <w:t>7.9</w:t>
        </w:r>
        <w:r w:rsidRPr="00E845DF">
          <w:rPr>
            <w:rStyle w:val="a9"/>
            <w:noProof/>
          </w:rPr>
          <w:t xml:space="preserve">   </w:t>
        </w:r>
        <w:r w:rsidRPr="00E845DF">
          <w:rPr>
            <w:rStyle w:val="a9"/>
            <w:rFonts w:hint="eastAsia"/>
            <w:noProof/>
          </w:rPr>
          <w:t>期末按公允价值占基金资产净值比例大小排名的前五名金融衍生品投资明细</w:t>
        </w:r>
        <w:r>
          <w:rPr>
            <w:noProof/>
            <w:webHidden/>
          </w:rPr>
          <w:tab/>
        </w:r>
        <w:r>
          <w:rPr>
            <w:noProof/>
            <w:webHidden/>
          </w:rPr>
          <w:fldChar w:fldCharType="begin"/>
        </w:r>
        <w:r>
          <w:rPr>
            <w:noProof/>
            <w:webHidden/>
          </w:rPr>
          <w:instrText xml:space="preserve"> PAGEREF _Toc48663872 \h </w:instrText>
        </w:r>
        <w:r>
          <w:rPr>
            <w:noProof/>
            <w:webHidden/>
          </w:rPr>
        </w:r>
        <w:r>
          <w:rPr>
            <w:noProof/>
            <w:webHidden/>
          </w:rPr>
          <w:fldChar w:fldCharType="separate"/>
        </w:r>
        <w:r>
          <w:rPr>
            <w:noProof/>
            <w:webHidden/>
          </w:rPr>
          <w:t>62</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73" w:history="1">
        <w:r w:rsidRPr="00E845DF">
          <w:rPr>
            <w:rStyle w:val="a9"/>
            <w:rFonts w:ascii="宋体" w:hAnsi="宋体"/>
            <w:noProof/>
          </w:rPr>
          <w:t>7.10</w:t>
        </w:r>
        <w:r w:rsidRPr="00E845DF">
          <w:rPr>
            <w:rStyle w:val="a9"/>
            <w:noProof/>
          </w:rPr>
          <w:t xml:space="preserve">   </w:t>
        </w:r>
        <w:r w:rsidRPr="00E845DF">
          <w:rPr>
            <w:rStyle w:val="a9"/>
            <w:rFonts w:hint="eastAsia"/>
            <w:noProof/>
          </w:rPr>
          <w:t>期末按公允价值占基金资产净值比例大小排序的前十名基金投资明细</w:t>
        </w:r>
        <w:r>
          <w:rPr>
            <w:noProof/>
            <w:webHidden/>
          </w:rPr>
          <w:tab/>
        </w:r>
        <w:r>
          <w:rPr>
            <w:noProof/>
            <w:webHidden/>
          </w:rPr>
          <w:fldChar w:fldCharType="begin"/>
        </w:r>
        <w:r>
          <w:rPr>
            <w:noProof/>
            <w:webHidden/>
          </w:rPr>
          <w:instrText xml:space="preserve"> PAGEREF _Toc48663873 \h </w:instrText>
        </w:r>
        <w:r>
          <w:rPr>
            <w:noProof/>
            <w:webHidden/>
          </w:rPr>
        </w:r>
        <w:r>
          <w:rPr>
            <w:noProof/>
            <w:webHidden/>
          </w:rPr>
          <w:fldChar w:fldCharType="separate"/>
        </w:r>
        <w:r>
          <w:rPr>
            <w:noProof/>
            <w:webHidden/>
          </w:rPr>
          <w:t>62</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74" w:history="1">
        <w:r w:rsidRPr="00E845DF">
          <w:rPr>
            <w:rStyle w:val="a9"/>
            <w:rFonts w:ascii="宋体" w:hAnsi="宋体"/>
            <w:noProof/>
          </w:rPr>
          <w:t>7.11</w:t>
        </w:r>
        <w:r w:rsidRPr="00E845DF">
          <w:rPr>
            <w:rStyle w:val="a9"/>
            <w:noProof/>
          </w:rPr>
          <w:t xml:space="preserve">   </w:t>
        </w:r>
        <w:r w:rsidRPr="00E845DF">
          <w:rPr>
            <w:rStyle w:val="a9"/>
            <w:rFonts w:hint="eastAsia"/>
            <w:noProof/>
          </w:rPr>
          <w:t>投资组合报告附注</w:t>
        </w:r>
        <w:r>
          <w:rPr>
            <w:noProof/>
            <w:webHidden/>
          </w:rPr>
          <w:tab/>
        </w:r>
        <w:r>
          <w:rPr>
            <w:noProof/>
            <w:webHidden/>
          </w:rPr>
          <w:fldChar w:fldCharType="begin"/>
        </w:r>
        <w:r>
          <w:rPr>
            <w:noProof/>
            <w:webHidden/>
          </w:rPr>
          <w:instrText xml:space="preserve"> PAGEREF _Toc48663874 \h </w:instrText>
        </w:r>
        <w:r>
          <w:rPr>
            <w:noProof/>
            <w:webHidden/>
          </w:rPr>
        </w:r>
        <w:r>
          <w:rPr>
            <w:noProof/>
            <w:webHidden/>
          </w:rPr>
          <w:fldChar w:fldCharType="separate"/>
        </w:r>
        <w:r>
          <w:rPr>
            <w:noProof/>
            <w:webHidden/>
          </w:rPr>
          <w:t>62</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75" w:history="1">
        <w:r w:rsidRPr="00E845DF">
          <w:rPr>
            <w:rStyle w:val="a9"/>
            <w:rFonts w:ascii="宋体" w:hAnsi="宋体"/>
            <w:noProof/>
          </w:rPr>
          <w:t>8</w:t>
        </w:r>
        <w:r w:rsidRPr="00E845DF">
          <w:rPr>
            <w:rStyle w:val="a9"/>
            <w:noProof/>
          </w:rPr>
          <w:t xml:space="preserve">     </w:t>
        </w:r>
        <w:r w:rsidRPr="00E845DF">
          <w:rPr>
            <w:rStyle w:val="a9"/>
            <w:rFonts w:hint="eastAsia"/>
            <w:noProof/>
          </w:rPr>
          <w:t>基金份额持有人信息</w:t>
        </w:r>
        <w:r>
          <w:rPr>
            <w:noProof/>
            <w:webHidden/>
          </w:rPr>
          <w:tab/>
        </w:r>
        <w:r>
          <w:rPr>
            <w:noProof/>
            <w:webHidden/>
          </w:rPr>
          <w:fldChar w:fldCharType="begin"/>
        </w:r>
        <w:r>
          <w:rPr>
            <w:noProof/>
            <w:webHidden/>
          </w:rPr>
          <w:instrText xml:space="preserve"> PAGEREF _Toc48663875 \h </w:instrText>
        </w:r>
        <w:r>
          <w:rPr>
            <w:noProof/>
            <w:webHidden/>
          </w:rPr>
        </w:r>
        <w:r>
          <w:rPr>
            <w:noProof/>
            <w:webHidden/>
          </w:rPr>
          <w:fldChar w:fldCharType="separate"/>
        </w:r>
        <w:r>
          <w:rPr>
            <w:noProof/>
            <w:webHidden/>
          </w:rPr>
          <w:t>63</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76" w:history="1">
        <w:r w:rsidRPr="00E845DF">
          <w:rPr>
            <w:rStyle w:val="a9"/>
            <w:rFonts w:ascii="宋体" w:hAnsi="宋体"/>
            <w:noProof/>
          </w:rPr>
          <w:t>8.1</w:t>
        </w:r>
        <w:r w:rsidRPr="00E845DF">
          <w:rPr>
            <w:rStyle w:val="a9"/>
            <w:noProof/>
          </w:rPr>
          <w:t xml:space="preserve">   </w:t>
        </w:r>
        <w:r w:rsidRPr="00E845DF">
          <w:rPr>
            <w:rStyle w:val="a9"/>
            <w:rFonts w:hint="eastAsia"/>
            <w:noProof/>
          </w:rPr>
          <w:t>期末基金份额持有人户数及持有人结构</w:t>
        </w:r>
        <w:r>
          <w:rPr>
            <w:noProof/>
            <w:webHidden/>
          </w:rPr>
          <w:tab/>
        </w:r>
        <w:r>
          <w:rPr>
            <w:noProof/>
            <w:webHidden/>
          </w:rPr>
          <w:fldChar w:fldCharType="begin"/>
        </w:r>
        <w:r>
          <w:rPr>
            <w:noProof/>
            <w:webHidden/>
          </w:rPr>
          <w:instrText xml:space="preserve"> PAGEREF _Toc48663876 \h </w:instrText>
        </w:r>
        <w:r>
          <w:rPr>
            <w:noProof/>
            <w:webHidden/>
          </w:rPr>
        </w:r>
        <w:r>
          <w:rPr>
            <w:noProof/>
            <w:webHidden/>
          </w:rPr>
          <w:fldChar w:fldCharType="separate"/>
        </w:r>
        <w:r>
          <w:rPr>
            <w:noProof/>
            <w:webHidden/>
          </w:rPr>
          <w:t>63</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77" w:history="1">
        <w:r w:rsidRPr="00E845DF">
          <w:rPr>
            <w:rStyle w:val="a9"/>
            <w:rFonts w:ascii="宋体" w:hAnsi="宋体"/>
            <w:noProof/>
          </w:rPr>
          <w:t>8.2</w:t>
        </w:r>
        <w:r w:rsidRPr="00E845DF">
          <w:rPr>
            <w:rStyle w:val="a9"/>
            <w:noProof/>
          </w:rPr>
          <w:t xml:space="preserve">   </w:t>
        </w:r>
        <w:r w:rsidRPr="00E845DF">
          <w:rPr>
            <w:rStyle w:val="a9"/>
            <w:rFonts w:hint="eastAsia"/>
            <w:noProof/>
          </w:rPr>
          <w:t>期末上市基金前十名持有人</w:t>
        </w:r>
        <w:r>
          <w:rPr>
            <w:noProof/>
            <w:webHidden/>
          </w:rPr>
          <w:tab/>
        </w:r>
        <w:r>
          <w:rPr>
            <w:noProof/>
            <w:webHidden/>
          </w:rPr>
          <w:fldChar w:fldCharType="begin"/>
        </w:r>
        <w:r>
          <w:rPr>
            <w:noProof/>
            <w:webHidden/>
          </w:rPr>
          <w:instrText xml:space="preserve"> PAGEREF _Toc48663877 \h </w:instrText>
        </w:r>
        <w:r>
          <w:rPr>
            <w:noProof/>
            <w:webHidden/>
          </w:rPr>
        </w:r>
        <w:r>
          <w:rPr>
            <w:noProof/>
            <w:webHidden/>
          </w:rPr>
          <w:fldChar w:fldCharType="separate"/>
        </w:r>
        <w:r>
          <w:rPr>
            <w:noProof/>
            <w:webHidden/>
          </w:rPr>
          <w:t>63</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78" w:history="1">
        <w:r w:rsidRPr="00E845DF">
          <w:rPr>
            <w:rStyle w:val="a9"/>
            <w:rFonts w:ascii="宋体" w:hAnsi="宋体"/>
            <w:noProof/>
          </w:rPr>
          <w:t>8.3</w:t>
        </w:r>
        <w:r w:rsidRPr="00E845DF">
          <w:rPr>
            <w:rStyle w:val="a9"/>
            <w:noProof/>
          </w:rPr>
          <w:t xml:space="preserve">   </w:t>
        </w:r>
        <w:r w:rsidRPr="00E845DF">
          <w:rPr>
            <w:rStyle w:val="a9"/>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_Toc48663878 \h </w:instrText>
        </w:r>
        <w:r>
          <w:rPr>
            <w:noProof/>
            <w:webHidden/>
          </w:rPr>
        </w:r>
        <w:r>
          <w:rPr>
            <w:noProof/>
            <w:webHidden/>
          </w:rPr>
          <w:fldChar w:fldCharType="separate"/>
        </w:r>
        <w:r>
          <w:rPr>
            <w:noProof/>
            <w:webHidden/>
          </w:rPr>
          <w:t>64</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79" w:history="1">
        <w:r w:rsidRPr="00E845DF">
          <w:rPr>
            <w:rStyle w:val="a9"/>
            <w:rFonts w:ascii="宋体" w:hAnsi="宋体"/>
            <w:noProof/>
          </w:rPr>
          <w:t>8.4</w:t>
        </w:r>
        <w:r w:rsidRPr="00E845DF">
          <w:rPr>
            <w:rStyle w:val="a9"/>
            <w:noProof/>
          </w:rPr>
          <w:t xml:space="preserve">   </w:t>
        </w:r>
        <w:r w:rsidRPr="00E845DF">
          <w:rPr>
            <w:rStyle w:val="a9"/>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_Toc48663879 \h </w:instrText>
        </w:r>
        <w:r>
          <w:rPr>
            <w:noProof/>
            <w:webHidden/>
          </w:rPr>
        </w:r>
        <w:r>
          <w:rPr>
            <w:noProof/>
            <w:webHidden/>
          </w:rPr>
          <w:fldChar w:fldCharType="separate"/>
        </w:r>
        <w:r>
          <w:rPr>
            <w:noProof/>
            <w:webHidden/>
          </w:rPr>
          <w:t>64</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80" w:history="1">
        <w:r w:rsidRPr="00E845DF">
          <w:rPr>
            <w:rStyle w:val="a9"/>
            <w:noProof/>
          </w:rPr>
          <w:t xml:space="preserve">9     </w:t>
        </w:r>
        <w:r w:rsidRPr="00E845DF">
          <w:rPr>
            <w:rStyle w:val="a9"/>
            <w:rFonts w:hint="eastAsia"/>
            <w:noProof/>
          </w:rPr>
          <w:t>开放式基金份额变动</w:t>
        </w:r>
        <w:r>
          <w:rPr>
            <w:noProof/>
            <w:webHidden/>
          </w:rPr>
          <w:tab/>
        </w:r>
        <w:r>
          <w:rPr>
            <w:noProof/>
            <w:webHidden/>
          </w:rPr>
          <w:fldChar w:fldCharType="begin"/>
        </w:r>
        <w:r>
          <w:rPr>
            <w:noProof/>
            <w:webHidden/>
          </w:rPr>
          <w:instrText xml:space="preserve"> PAGEREF _Toc48663880 \h </w:instrText>
        </w:r>
        <w:r>
          <w:rPr>
            <w:noProof/>
            <w:webHidden/>
          </w:rPr>
        </w:r>
        <w:r>
          <w:rPr>
            <w:noProof/>
            <w:webHidden/>
          </w:rPr>
          <w:fldChar w:fldCharType="separate"/>
        </w:r>
        <w:r>
          <w:rPr>
            <w:noProof/>
            <w:webHidden/>
          </w:rPr>
          <w:t>64</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81" w:history="1">
        <w:r w:rsidRPr="00E845DF">
          <w:rPr>
            <w:rStyle w:val="a9"/>
            <w:rFonts w:ascii="宋体" w:hAnsi="宋体"/>
            <w:noProof/>
          </w:rPr>
          <w:t>10</w:t>
        </w:r>
        <w:r w:rsidRPr="00E845DF">
          <w:rPr>
            <w:rStyle w:val="a9"/>
            <w:noProof/>
          </w:rPr>
          <w:t xml:space="preserve">     </w:t>
        </w:r>
        <w:r w:rsidRPr="00E845DF">
          <w:rPr>
            <w:rStyle w:val="a9"/>
            <w:rFonts w:hint="eastAsia"/>
            <w:noProof/>
          </w:rPr>
          <w:t>重大事件揭示</w:t>
        </w:r>
        <w:r>
          <w:rPr>
            <w:noProof/>
            <w:webHidden/>
          </w:rPr>
          <w:tab/>
        </w:r>
        <w:r>
          <w:rPr>
            <w:noProof/>
            <w:webHidden/>
          </w:rPr>
          <w:fldChar w:fldCharType="begin"/>
        </w:r>
        <w:r>
          <w:rPr>
            <w:noProof/>
            <w:webHidden/>
          </w:rPr>
          <w:instrText xml:space="preserve"> PAGEREF _Toc48663881 \h </w:instrText>
        </w:r>
        <w:r>
          <w:rPr>
            <w:noProof/>
            <w:webHidden/>
          </w:rPr>
        </w:r>
        <w:r>
          <w:rPr>
            <w:noProof/>
            <w:webHidden/>
          </w:rPr>
          <w:fldChar w:fldCharType="separate"/>
        </w:r>
        <w:r>
          <w:rPr>
            <w:noProof/>
            <w:webHidden/>
          </w:rPr>
          <w:t>65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82" w:history="1">
        <w:r w:rsidRPr="00E845DF">
          <w:rPr>
            <w:rStyle w:val="a9"/>
            <w:rFonts w:ascii="宋体" w:hAnsi="宋体"/>
            <w:noProof/>
          </w:rPr>
          <w:t>10.1</w:t>
        </w:r>
        <w:r w:rsidRPr="00E845DF">
          <w:rPr>
            <w:rStyle w:val="a9"/>
            <w:noProof/>
          </w:rPr>
          <w:t xml:space="preserve">   </w:t>
        </w:r>
        <w:r w:rsidRPr="00E845DF">
          <w:rPr>
            <w:rStyle w:val="a9"/>
            <w:rFonts w:hint="eastAsia"/>
            <w:noProof/>
          </w:rPr>
          <w:t>基金份额持有人大会决议</w:t>
        </w:r>
        <w:r>
          <w:rPr>
            <w:noProof/>
            <w:webHidden/>
          </w:rPr>
          <w:tab/>
        </w:r>
        <w:r>
          <w:rPr>
            <w:noProof/>
            <w:webHidden/>
          </w:rPr>
          <w:fldChar w:fldCharType="begin"/>
        </w:r>
        <w:r>
          <w:rPr>
            <w:noProof/>
            <w:webHidden/>
          </w:rPr>
          <w:instrText xml:space="preserve"> PAGEREF _Toc48663882 \h </w:instrText>
        </w:r>
        <w:r>
          <w:rPr>
            <w:noProof/>
            <w:webHidden/>
          </w:rPr>
        </w:r>
        <w:r>
          <w:rPr>
            <w:noProof/>
            <w:webHidden/>
          </w:rPr>
          <w:fldChar w:fldCharType="separate"/>
        </w:r>
        <w:r>
          <w:rPr>
            <w:noProof/>
            <w:webHidden/>
          </w:rPr>
          <w:t>65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83" w:history="1">
        <w:r w:rsidRPr="00E845DF">
          <w:rPr>
            <w:rStyle w:val="a9"/>
            <w:rFonts w:ascii="宋体" w:hAnsi="宋体"/>
            <w:noProof/>
          </w:rPr>
          <w:t>10.2</w:t>
        </w:r>
        <w:r w:rsidRPr="00E845DF">
          <w:rPr>
            <w:rStyle w:val="a9"/>
            <w:noProof/>
          </w:rPr>
          <w:t xml:space="preserve">   </w:t>
        </w:r>
        <w:r w:rsidRPr="00E845DF">
          <w:rPr>
            <w:rStyle w:val="a9"/>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_Toc48663883 \h </w:instrText>
        </w:r>
        <w:r>
          <w:rPr>
            <w:noProof/>
            <w:webHidden/>
          </w:rPr>
        </w:r>
        <w:r>
          <w:rPr>
            <w:noProof/>
            <w:webHidden/>
          </w:rPr>
          <w:fldChar w:fldCharType="separate"/>
        </w:r>
        <w:r>
          <w:rPr>
            <w:noProof/>
            <w:webHidden/>
          </w:rPr>
          <w:t>65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84" w:history="1">
        <w:r w:rsidRPr="00E845DF">
          <w:rPr>
            <w:rStyle w:val="a9"/>
            <w:rFonts w:ascii="宋体" w:hAnsi="宋体"/>
            <w:noProof/>
          </w:rPr>
          <w:t>10.3</w:t>
        </w:r>
        <w:r w:rsidRPr="00E845DF">
          <w:rPr>
            <w:rStyle w:val="a9"/>
            <w:noProof/>
          </w:rPr>
          <w:t xml:space="preserve">   </w:t>
        </w:r>
        <w:r w:rsidRPr="00E845DF">
          <w:rPr>
            <w:rStyle w:val="a9"/>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_Toc48663884 \h </w:instrText>
        </w:r>
        <w:r>
          <w:rPr>
            <w:noProof/>
            <w:webHidden/>
          </w:rPr>
        </w:r>
        <w:r>
          <w:rPr>
            <w:noProof/>
            <w:webHidden/>
          </w:rPr>
          <w:fldChar w:fldCharType="separate"/>
        </w:r>
        <w:r>
          <w:rPr>
            <w:noProof/>
            <w:webHidden/>
          </w:rPr>
          <w:t>65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85" w:history="1">
        <w:r w:rsidRPr="00E845DF">
          <w:rPr>
            <w:rStyle w:val="a9"/>
            <w:rFonts w:ascii="宋体" w:hAnsi="宋体"/>
            <w:noProof/>
          </w:rPr>
          <w:t>10.4</w:t>
        </w:r>
        <w:r w:rsidRPr="00E845DF">
          <w:rPr>
            <w:rStyle w:val="a9"/>
            <w:noProof/>
          </w:rPr>
          <w:t xml:space="preserve">   </w:t>
        </w:r>
        <w:r w:rsidRPr="00E845DF">
          <w:rPr>
            <w:rStyle w:val="a9"/>
            <w:rFonts w:hint="eastAsia"/>
            <w:noProof/>
          </w:rPr>
          <w:t>基金投资策略的改变</w:t>
        </w:r>
        <w:r>
          <w:rPr>
            <w:noProof/>
            <w:webHidden/>
          </w:rPr>
          <w:tab/>
        </w:r>
        <w:r>
          <w:rPr>
            <w:noProof/>
            <w:webHidden/>
          </w:rPr>
          <w:fldChar w:fldCharType="begin"/>
        </w:r>
        <w:r>
          <w:rPr>
            <w:noProof/>
            <w:webHidden/>
          </w:rPr>
          <w:instrText xml:space="preserve"> PAGEREF _Toc48663885 \h </w:instrText>
        </w:r>
        <w:r>
          <w:rPr>
            <w:noProof/>
            <w:webHidden/>
          </w:rPr>
        </w:r>
        <w:r>
          <w:rPr>
            <w:noProof/>
            <w:webHidden/>
          </w:rPr>
          <w:fldChar w:fldCharType="separate"/>
        </w:r>
        <w:r>
          <w:rPr>
            <w:noProof/>
            <w:webHidden/>
          </w:rPr>
          <w:t>65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86" w:history="1">
        <w:r w:rsidRPr="00E845DF">
          <w:rPr>
            <w:rStyle w:val="a9"/>
            <w:rFonts w:ascii="宋体" w:hAnsi="宋体"/>
            <w:noProof/>
          </w:rPr>
          <w:t>10.5</w:t>
        </w:r>
        <w:r w:rsidRPr="00E845DF">
          <w:rPr>
            <w:rStyle w:val="a9"/>
            <w:noProof/>
          </w:rPr>
          <w:t xml:space="preserve">  </w:t>
        </w:r>
        <w:r w:rsidRPr="00E845DF">
          <w:rPr>
            <w:rStyle w:val="a9"/>
            <w:rFonts w:ascii="宋体" w:hAnsi="宋体" w:hint="eastAsia"/>
            <w:noProof/>
          </w:rPr>
          <w:t>为基金进行审计的会计师事务所情况</w:t>
        </w:r>
        <w:r>
          <w:rPr>
            <w:noProof/>
            <w:webHidden/>
          </w:rPr>
          <w:tab/>
        </w:r>
        <w:r>
          <w:rPr>
            <w:noProof/>
            <w:webHidden/>
          </w:rPr>
          <w:fldChar w:fldCharType="begin"/>
        </w:r>
        <w:r>
          <w:rPr>
            <w:noProof/>
            <w:webHidden/>
          </w:rPr>
          <w:instrText xml:space="preserve"> PAGEREF _Toc48663886 \h </w:instrText>
        </w:r>
        <w:r>
          <w:rPr>
            <w:noProof/>
            <w:webHidden/>
          </w:rPr>
        </w:r>
        <w:r>
          <w:rPr>
            <w:noProof/>
            <w:webHidden/>
          </w:rPr>
          <w:fldChar w:fldCharType="separate"/>
        </w:r>
        <w:r>
          <w:rPr>
            <w:noProof/>
            <w:webHidden/>
          </w:rPr>
          <w:t>65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87" w:history="1">
        <w:r w:rsidRPr="00E845DF">
          <w:rPr>
            <w:rStyle w:val="a9"/>
            <w:rFonts w:ascii="宋体" w:hAnsi="宋体"/>
            <w:noProof/>
          </w:rPr>
          <w:t>10.6</w:t>
        </w:r>
        <w:r w:rsidRPr="00E845DF">
          <w:rPr>
            <w:rStyle w:val="a9"/>
            <w:noProof/>
          </w:rPr>
          <w:t xml:space="preserve">  </w:t>
        </w:r>
        <w:r w:rsidRPr="00E845DF">
          <w:rPr>
            <w:rStyle w:val="a9"/>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_Toc48663887 \h </w:instrText>
        </w:r>
        <w:r>
          <w:rPr>
            <w:noProof/>
            <w:webHidden/>
          </w:rPr>
        </w:r>
        <w:r>
          <w:rPr>
            <w:noProof/>
            <w:webHidden/>
          </w:rPr>
          <w:fldChar w:fldCharType="separate"/>
        </w:r>
        <w:r>
          <w:rPr>
            <w:noProof/>
            <w:webHidden/>
          </w:rPr>
          <w:t>65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88" w:history="1">
        <w:r w:rsidRPr="00E845DF">
          <w:rPr>
            <w:rStyle w:val="a9"/>
            <w:rFonts w:ascii="宋体" w:hAnsi="宋体"/>
            <w:noProof/>
          </w:rPr>
          <w:t>10.7</w:t>
        </w:r>
        <w:r w:rsidRPr="00E845DF">
          <w:rPr>
            <w:rStyle w:val="a9"/>
            <w:noProof/>
          </w:rPr>
          <w:t xml:space="preserve">  </w:t>
        </w:r>
        <w:r w:rsidRPr="00E845DF">
          <w:rPr>
            <w:rStyle w:val="a9"/>
            <w:rFonts w:hint="eastAsia"/>
            <w:noProof/>
          </w:rPr>
          <w:t>基金租用证券公司交易单元的有关情况</w:t>
        </w:r>
        <w:r>
          <w:rPr>
            <w:noProof/>
            <w:webHidden/>
          </w:rPr>
          <w:tab/>
        </w:r>
        <w:r>
          <w:rPr>
            <w:noProof/>
            <w:webHidden/>
          </w:rPr>
          <w:fldChar w:fldCharType="begin"/>
        </w:r>
        <w:r>
          <w:rPr>
            <w:noProof/>
            <w:webHidden/>
          </w:rPr>
          <w:instrText xml:space="preserve"> PAGEREF _Toc48663888 \h </w:instrText>
        </w:r>
        <w:r>
          <w:rPr>
            <w:noProof/>
            <w:webHidden/>
          </w:rPr>
        </w:r>
        <w:r>
          <w:rPr>
            <w:noProof/>
            <w:webHidden/>
          </w:rPr>
          <w:fldChar w:fldCharType="separate"/>
        </w:r>
        <w:r>
          <w:rPr>
            <w:noProof/>
            <w:webHidden/>
          </w:rPr>
          <w:t>65</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89" w:history="1">
        <w:r w:rsidRPr="00E845DF">
          <w:rPr>
            <w:rStyle w:val="a9"/>
            <w:rFonts w:ascii="宋体" w:hAnsi="宋体"/>
            <w:noProof/>
          </w:rPr>
          <w:t>10.8</w:t>
        </w:r>
        <w:r w:rsidRPr="00E845DF">
          <w:rPr>
            <w:rStyle w:val="a9"/>
            <w:noProof/>
          </w:rPr>
          <w:t xml:space="preserve">   </w:t>
        </w:r>
        <w:r w:rsidRPr="00E845DF">
          <w:rPr>
            <w:rStyle w:val="a9"/>
            <w:rFonts w:hint="eastAsia"/>
            <w:noProof/>
          </w:rPr>
          <w:t>其他重大事件</w:t>
        </w:r>
        <w:r>
          <w:rPr>
            <w:noProof/>
            <w:webHidden/>
          </w:rPr>
          <w:tab/>
        </w:r>
        <w:r>
          <w:rPr>
            <w:noProof/>
            <w:webHidden/>
          </w:rPr>
          <w:fldChar w:fldCharType="begin"/>
        </w:r>
        <w:r>
          <w:rPr>
            <w:noProof/>
            <w:webHidden/>
          </w:rPr>
          <w:instrText xml:space="preserve"> PAGEREF _Toc48663889 \h </w:instrText>
        </w:r>
        <w:r>
          <w:rPr>
            <w:noProof/>
            <w:webHidden/>
          </w:rPr>
        </w:r>
        <w:r>
          <w:rPr>
            <w:noProof/>
            <w:webHidden/>
          </w:rPr>
          <w:fldChar w:fldCharType="separate"/>
        </w:r>
        <w:r>
          <w:rPr>
            <w:noProof/>
            <w:webHidden/>
          </w:rPr>
          <w:t>69</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90" w:history="1">
        <w:r w:rsidRPr="00E845DF">
          <w:rPr>
            <w:rStyle w:val="a9"/>
            <w:rFonts w:ascii="宋体" w:hAnsi="宋体"/>
            <w:noProof/>
          </w:rPr>
          <w:t>11</w:t>
        </w:r>
        <w:r w:rsidRPr="00E845DF">
          <w:rPr>
            <w:rStyle w:val="a9"/>
            <w:noProof/>
          </w:rPr>
          <w:t xml:space="preserve">     </w:t>
        </w:r>
        <w:r w:rsidRPr="00E845DF">
          <w:rPr>
            <w:rStyle w:val="a9"/>
            <w:rFonts w:hint="eastAsia"/>
            <w:noProof/>
          </w:rPr>
          <w:t>备查文件目录</w:t>
        </w:r>
        <w:r>
          <w:rPr>
            <w:noProof/>
            <w:webHidden/>
          </w:rPr>
          <w:tab/>
        </w:r>
        <w:r>
          <w:rPr>
            <w:noProof/>
            <w:webHidden/>
          </w:rPr>
          <w:fldChar w:fldCharType="begin"/>
        </w:r>
        <w:r>
          <w:rPr>
            <w:noProof/>
            <w:webHidden/>
          </w:rPr>
          <w:instrText xml:space="preserve"> PAGEREF _Toc48663890 \h </w:instrText>
        </w:r>
        <w:r>
          <w:rPr>
            <w:noProof/>
            <w:webHidden/>
          </w:rPr>
        </w:r>
        <w:r>
          <w:rPr>
            <w:noProof/>
            <w:webHidden/>
          </w:rPr>
          <w:fldChar w:fldCharType="separate"/>
        </w:r>
        <w:r>
          <w:rPr>
            <w:noProof/>
            <w:webHidden/>
          </w:rPr>
          <w:t>71</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91" w:history="1">
        <w:r w:rsidRPr="00E845DF">
          <w:rPr>
            <w:rStyle w:val="a9"/>
            <w:rFonts w:ascii="宋体" w:hAnsi="宋体"/>
            <w:noProof/>
          </w:rPr>
          <w:t>11.1</w:t>
        </w:r>
        <w:r w:rsidRPr="00E845DF">
          <w:rPr>
            <w:rStyle w:val="a9"/>
            <w:noProof/>
          </w:rPr>
          <w:t xml:space="preserve">   </w:t>
        </w:r>
        <w:r w:rsidRPr="00E845DF">
          <w:rPr>
            <w:rStyle w:val="a9"/>
            <w:rFonts w:hint="eastAsia"/>
            <w:noProof/>
          </w:rPr>
          <w:t>备查文件目录</w:t>
        </w:r>
        <w:r>
          <w:rPr>
            <w:noProof/>
            <w:webHidden/>
          </w:rPr>
          <w:tab/>
        </w:r>
        <w:r>
          <w:rPr>
            <w:noProof/>
            <w:webHidden/>
          </w:rPr>
          <w:fldChar w:fldCharType="begin"/>
        </w:r>
        <w:r>
          <w:rPr>
            <w:noProof/>
            <w:webHidden/>
          </w:rPr>
          <w:instrText xml:space="preserve"> PAGEREF _Toc48663891 \h </w:instrText>
        </w:r>
        <w:r>
          <w:rPr>
            <w:noProof/>
            <w:webHidden/>
          </w:rPr>
        </w:r>
        <w:r>
          <w:rPr>
            <w:noProof/>
            <w:webHidden/>
          </w:rPr>
          <w:fldChar w:fldCharType="separate"/>
        </w:r>
        <w:r>
          <w:rPr>
            <w:noProof/>
            <w:webHidden/>
          </w:rPr>
          <w:t>71</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92" w:history="1">
        <w:r w:rsidRPr="00E845DF">
          <w:rPr>
            <w:rStyle w:val="a9"/>
            <w:rFonts w:ascii="宋体" w:hAnsi="宋体"/>
            <w:noProof/>
          </w:rPr>
          <w:t>11.2</w:t>
        </w:r>
        <w:r w:rsidRPr="00E845DF">
          <w:rPr>
            <w:rStyle w:val="a9"/>
            <w:noProof/>
          </w:rPr>
          <w:t xml:space="preserve">   </w:t>
        </w:r>
        <w:r w:rsidRPr="00E845DF">
          <w:rPr>
            <w:rStyle w:val="a9"/>
            <w:rFonts w:hint="eastAsia"/>
            <w:noProof/>
          </w:rPr>
          <w:t>存放地点</w:t>
        </w:r>
        <w:r>
          <w:rPr>
            <w:noProof/>
            <w:webHidden/>
          </w:rPr>
          <w:tab/>
        </w:r>
        <w:r>
          <w:rPr>
            <w:noProof/>
            <w:webHidden/>
          </w:rPr>
          <w:fldChar w:fldCharType="begin"/>
        </w:r>
        <w:r>
          <w:rPr>
            <w:noProof/>
            <w:webHidden/>
          </w:rPr>
          <w:instrText xml:space="preserve"> PAGEREF _Toc48663892 \h </w:instrText>
        </w:r>
        <w:r>
          <w:rPr>
            <w:noProof/>
            <w:webHidden/>
          </w:rPr>
        </w:r>
        <w:r>
          <w:rPr>
            <w:noProof/>
            <w:webHidden/>
          </w:rPr>
          <w:fldChar w:fldCharType="separate"/>
        </w:r>
        <w:r>
          <w:rPr>
            <w:noProof/>
            <w:webHidden/>
          </w:rPr>
          <w:t>72</w:t>
        </w:r>
        <w:r>
          <w:rPr>
            <w:noProof/>
            <w:webHidden/>
          </w:rPr>
          <w:fldChar w:fldCharType="end"/>
        </w:r>
      </w:hyperlink>
    </w:p>
    <w:p w:rsidR="003C1A92" w:rsidRDefault="003C1A92">
      <w:pPr>
        <w:pStyle w:val="22"/>
        <w:ind w:left="420"/>
        <w:rPr>
          <w:rFonts w:asciiTheme="minorHAnsi" w:eastAsiaTheme="minorEastAsia" w:hAnsiTheme="minorHAnsi" w:cstheme="minorBidi"/>
          <w:noProof/>
          <w:kern w:val="2"/>
          <w:szCs w:val="22"/>
        </w:rPr>
      </w:pPr>
      <w:hyperlink w:anchor="_Toc48663893" w:history="1">
        <w:r w:rsidRPr="00E845DF">
          <w:rPr>
            <w:rStyle w:val="a9"/>
            <w:rFonts w:ascii="宋体" w:hAnsi="宋体"/>
            <w:noProof/>
          </w:rPr>
          <w:t>11.3</w:t>
        </w:r>
        <w:r w:rsidRPr="00E845DF">
          <w:rPr>
            <w:rStyle w:val="a9"/>
            <w:noProof/>
          </w:rPr>
          <w:t xml:space="preserve">   </w:t>
        </w:r>
        <w:r w:rsidRPr="00E845DF">
          <w:rPr>
            <w:rStyle w:val="a9"/>
            <w:rFonts w:hint="eastAsia"/>
            <w:noProof/>
          </w:rPr>
          <w:t>查阅方式</w:t>
        </w:r>
        <w:r>
          <w:rPr>
            <w:noProof/>
            <w:webHidden/>
          </w:rPr>
          <w:tab/>
        </w:r>
        <w:r>
          <w:rPr>
            <w:noProof/>
            <w:webHidden/>
          </w:rPr>
          <w:fldChar w:fldCharType="begin"/>
        </w:r>
        <w:r>
          <w:rPr>
            <w:noProof/>
            <w:webHidden/>
          </w:rPr>
          <w:instrText xml:space="preserve"> PAGEREF _Toc48663893 \h </w:instrText>
        </w:r>
        <w:r>
          <w:rPr>
            <w:noProof/>
            <w:webHidden/>
          </w:rPr>
        </w:r>
        <w:r>
          <w:rPr>
            <w:noProof/>
            <w:webHidden/>
          </w:rPr>
          <w:fldChar w:fldCharType="separate"/>
        </w:r>
        <w:r>
          <w:rPr>
            <w:noProof/>
            <w:webHidden/>
          </w:rPr>
          <w:t>72</w:t>
        </w:r>
        <w:r>
          <w:rPr>
            <w:noProof/>
            <w:webHidden/>
          </w:rPr>
          <w:fldChar w:fldCharType="end"/>
        </w:r>
      </w:hyperlink>
    </w:p>
    <w:p w:rsidR="00871A0D" w:rsidRPr="00C24ACA" w:rsidRDefault="00955B17" w:rsidP="00DB02ED">
      <w:pPr>
        <w:pStyle w:val="22"/>
        <w:tabs>
          <w:tab w:val="clear" w:pos="9072"/>
          <w:tab w:val="right" w:leader="dot" w:pos="8834"/>
        </w:tabs>
        <w:ind w:left="420"/>
        <w:rPr>
          <w:rFonts w:eastAsiaTheme="minorEastAsia"/>
        </w:rPr>
      </w:pPr>
      <w:r w:rsidRPr="006F3222">
        <w:rPr>
          <w:rFonts w:eastAsiaTheme="minorEastAsia"/>
          <w:color w:val="000000"/>
        </w:rPr>
        <w:fldChar w:fldCharType="end"/>
      </w:r>
      <w:r w:rsidR="00871A0D" w:rsidRPr="00C24ACA">
        <w:rPr>
          <w:rFonts w:eastAsiaTheme="minorEastAsia"/>
        </w:rPr>
        <w:br w:type="page"/>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1" w:name="_Toc225498244"/>
      <w:bookmarkStart w:id="22" w:name="_Toc352255960"/>
      <w:bookmarkStart w:id="23" w:name="_Toc352256028"/>
      <w:bookmarkStart w:id="24" w:name="_Toc352331206"/>
      <w:bookmarkStart w:id="25" w:name="_Toc390164792"/>
      <w:bookmarkStart w:id="26" w:name="_Toc48663834"/>
      <w:r w:rsidRPr="000C6CCD">
        <w:rPr>
          <w:rFonts w:ascii="宋体" w:hAnsi="宋体"/>
          <w:bCs w:val="0"/>
          <w:color w:val="000000"/>
          <w:sz w:val="21"/>
          <w:szCs w:val="21"/>
        </w:rPr>
        <w:lastRenderedPageBreak/>
        <w:t>2</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基金简介</w:t>
      </w:r>
      <w:bookmarkEnd w:id="21"/>
      <w:bookmarkEnd w:id="22"/>
      <w:bookmarkEnd w:id="23"/>
      <w:bookmarkEnd w:id="24"/>
      <w:bookmarkEnd w:id="25"/>
      <w:bookmarkEnd w:id="26"/>
    </w:p>
    <w:p w:rsidR="008A5A5D" w:rsidRPr="00A317EA" w:rsidRDefault="008A5A5D" w:rsidP="00732F5C">
      <w:pPr>
        <w:pStyle w:val="20"/>
        <w:spacing w:beforeLines="100" w:before="312" w:after="0"/>
        <w:rPr>
          <w:rFonts w:ascii="Times New Roman" w:eastAsiaTheme="minorEastAsia" w:hAnsi="Times New Roman"/>
          <w:kern w:val="0"/>
          <w:sz w:val="21"/>
          <w:szCs w:val="21"/>
        </w:rPr>
      </w:pPr>
      <w:bookmarkStart w:id="27" w:name="_Toc352255961"/>
      <w:bookmarkStart w:id="28" w:name="_Toc352256029"/>
      <w:bookmarkStart w:id="29" w:name="_Toc352331207"/>
      <w:bookmarkStart w:id="30" w:name="_Toc390164793"/>
      <w:bookmarkStart w:id="31" w:name="_Toc48663835"/>
      <w:r w:rsidRPr="0087359D">
        <w:rPr>
          <w:rFonts w:ascii="宋体" w:hAnsi="宋体"/>
          <w:kern w:val="0"/>
          <w:sz w:val="21"/>
          <w:szCs w:val="21"/>
        </w:rPr>
        <w:t>2.1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基金基本情况</w:t>
      </w:r>
      <w:bookmarkEnd w:id="27"/>
      <w:bookmarkEnd w:id="28"/>
      <w:bookmarkEnd w:id="29"/>
      <w:bookmarkEnd w:id="30"/>
      <w:bookmarkEnd w:id="3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58"/>
        <w:gridCol w:w="2580"/>
        <w:gridCol w:w="2637"/>
      </w:tblGrid>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基金名称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易方达香港恒生综合小型股指数证券投资基金（</w:t>
            </w:r>
            <w:r w:rsidRPr="00C24ACA">
              <w:rPr>
                <w:rFonts w:eastAsiaTheme="minorEastAsia"/>
                <w:szCs w:val="21"/>
              </w:rPr>
              <w:t>LOF</w:t>
            </w:r>
            <w:r w:rsidRPr="00C24ACA">
              <w:rPr>
                <w:rFonts w:eastAsiaTheme="minorEastAsia"/>
                <w:szCs w:val="21"/>
              </w:rPr>
              <w:t>）</w:t>
            </w:r>
          </w:p>
        </w:tc>
      </w:tr>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基金简称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易方达香港恒生综合小型股指数（</w:t>
            </w:r>
            <w:r w:rsidRPr="00C24ACA">
              <w:rPr>
                <w:rFonts w:eastAsiaTheme="minorEastAsia"/>
                <w:szCs w:val="21"/>
              </w:rPr>
              <w:t>QDII-LOF</w:t>
            </w:r>
            <w:r w:rsidRPr="00C24ACA">
              <w:rPr>
                <w:rFonts w:eastAsiaTheme="minorEastAsia"/>
                <w:szCs w:val="21"/>
              </w:rPr>
              <w:t>）</w:t>
            </w:r>
          </w:p>
        </w:tc>
      </w:tr>
      <w:tr w:rsidR="009A1CB4" w:rsidRPr="00C24ACA" w:rsidTr="00862636">
        <w:tc>
          <w:tcPr>
            <w:tcW w:w="3258" w:type="dxa"/>
          </w:tcPr>
          <w:p w:rsidR="009A1CB4" w:rsidRPr="00C24ACA" w:rsidRDefault="009A1CB4" w:rsidP="008F4C10">
            <w:pPr>
              <w:rPr>
                <w:rFonts w:eastAsiaTheme="minorEastAsia"/>
                <w:szCs w:val="21"/>
              </w:rPr>
            </w:pPr>
            <w:r w:rsidRPr="00C24ACA">
              <w:rPr>
                <w:rFonts w:eastAsiaTheme="minorEastAsia"/>
                <w:szCs w:val="21"/>
              </w:rPr>
              <w:t>场内简称</w:t>
            </w:r>
          </w:p>
        </w:tc>
        <w:tc>
          <w:tcPr>
            <w:tcW w:w="5217" w:type="dxa"/>
            <w:gridSpan w:val="2"/>
            <w:vAlign w:val="center"/>
          </w:tcPr>
          <w:p w:rsidR="009A1CB4" w:rsidRPr="00C24ACA" w:rsidRDefault="009A1CB4" w:rsidP="008F4C10">
            <w:pPr>
              <w:jc w:val="right"/>
              <w:rPr>
                <w:rFonts w:eastAsiaTheme="minorEastAsia"/>
                <w:szCs w:val="21"/>
              </w:rPr>
            </w:pPr>
            <w:r w:rsidRPr="00C24ACA">
              <w:rPr>
                <w:rFonts w:eastAsiaTheme="minorEastAsia"/>
                <w:szCs w:val="21"/>
              </w:rPr>
              <w:t>香港小盘</w:t>
            </w:r>
          </w:p>
        </w:tc>
      </w:tr>
      <w:tr w:rsidR="008A5A5D" w:rsidRPr="00C24ACA" w:rsidTr="00862636">
        <w:tc>
          <w:tcPr>
            <w:tcW w:w="3258" w:type="dxa"/>
            <w:vAlign w:val="center"/>
          </w:tcPr>
          <w:p w:rsidR="008A5A5D" w:rsidRPr="00C24ACA" w:rsidRDefault="008A5A5D" w:rsidP="008F4C10">
            <w:pPr>
              <w:rPr>
                <w:rFonts w:eastAsiaTheme="minorEastAsia"/>
                <w:color w:val="000000"/>
                <w:kern w:val="0"/>
                <w:szCs w:val="21"/>
              </w:rPr>
            </w:pPr>
            <w:r w:rsidRPr="00C24ACA">
              <w:rPr>
                <w:rFonts w:eastAsiaTheme="minorEastAsia"/>
                <w:szCs w:val="21"/>
              </w:rPr>
              <w:t>基金主代码</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161124</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基金运作方式</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契约型、上市开放式（</w:t>
            </w:r>
            <w:r w:rsidRPr="00C24ACA">
              <w:rPr>
                <w:rFonts w:eastAsiaTheme="minorEastAsia"/>
                <w:szCs w:val="21"/>
              </w:rPr>
              <w:t>LOF</w:t>
            </w:r>
            <w:r w:rsidRPr="00C24ACA">
              <w:rPr>
                <w:rFonts w:eastAsiaTheme="minorEastAsia"/>
                <w:szCs w:val="21"/>
              </w:rPr>
              <w:t>）</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基金合同生效日</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2016</w:t>
            </w:r>
            <w:r w:rsidRPr="00C24ACA">
              <w:rPr>
                <w:rFonts w:eastAsiaTheme="minorEastAsia"/>
                <w:szCs w:val="21"/>
              </w:rPr>
              <w:t>年</w:t>
            </w:r>
            <w:r w:rsidRPr="00C24ACA">
              <w:rPr>
                <w:rFonts w:eastAsiaTheme="minorEastAsia"/>
                <w:szCs w:val="21"/>
              </w:rPr>
              <w:t>11</w:t>
            </w:r>
            <w:r w:rsidRPr="00C24ACA">
              <w:rPr>
                <w:rFonts w:eastAsiaTheme="minorEastAsia"/>
                <w:szCs w:val="21"/>
              </w:rPr>
              <w:t>月</w:t>
            </w:r>
            <w:r w:rsidRPr="00C24ACA">
              <w:rPr>
                <w:rFonts w:eastAsiaTheme="minorEastAsia"/>
                <w:szCs w:val="21"/>
              </w:rPr>
              <w:t>2</w:t>
            </w:r>
            <w:r w:rsidRPr="00C24ACA">
              <w:rPr>
                <w:rFonts w:eastAsiaTheme="minorEastAsia"/>
                <w:szCs w:val="21"/>
              </w:rPr>
              <w:t>日</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基金管理人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易方达基金管理有限公司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基金托管人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招商银行股份有限公司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报告期末基金份额总额</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20,214,499.63</w:t>
            </w:r>
            <w:r w:rsidRPr="00C24ACA">
              <w:rPr>
                <w:rFonts w:eastAsiaTheme="minorEastAsia"/>
                <w:szCs w:val="21"/>
              </w:rPr>
              <w:t>份</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基金合同存续期</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不定期</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基金份额上市的证券交易所</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深圳证券交易所</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上市日期</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2016</w:t>
            </w:r>
            <w:r w:rsidRPr="00C24ACA">
              <w:rPr>
                <w:rFonts w:eastAsiaTheme="minorEastAsia"/>
                <w:szCs w:val="21"/>
              </w:rPr>
              <w:t>年</w:t>
            </w:r>
            <w:r w:rsidRPr="00C24ACA">
              <w:rPr>
                <w:rFonts w:eastAsiaTheme="minorEastAsia"/>
                <w:szCs w:val="21"/>
              </w:rPr>
              <w:t>11</w:t>
            </w:r>
            <w:r w:rsidRPr="00C24ACA">
              <w:rPr>
                <w:rFonts w:eastAsiaTheme="minorEastAsia"/>
                <w:szCs w:val="21"/>
              </w:rPr>
              <w:t>月</w:t>
            </w:r>
            <w:r w:rsidRPr="00C24ACA">
              <w:rPr>
                <w:rFonts w:eastAsiaTheme="minorEastAsia"/>
                <w:szCs w:val="21"/>
              </w:rPr>
              <w:t>10</w:t>
            </w:r>
            <w:r w:rsidRPr="00C24ACA">
              <w:rPr>
                <w:rFonts w:eastAsiaTheme="minorEastAsia"/>
                <w:szCs w:val="21"/>
              </w:rPr>
              <w:t>日</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下属分级基金的基金简称</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易方达香港恒生综合小型股指数（</w:t>
            </w:r>
            <w:r w:rsidRPr="00C24ACA">
              <w:rPr>
                <w:rFonts w:eastAsiaTheme="minorEastAsia"/>
                <w:szCs w:val="21"/>
              </w:rPr>
              <w:t>QDII-LOF</w:t>
            </w:r>
            <w:r w:rsidRPr="00C24ACA">
              <w:rPr>
                <w:rFonts w:eastAsiaTheme="minorEastAsia"/>
                <w:szCs w:val="21"/>
              </w:rPr>
              <w:t>）</w:t>
            </w:r>
            <w:r w:rsidRPr="00C24ACA">
              <w:rPr>
                <w:rFonts w:eastAsiaTheme="minorEastAsia"/>
                <w:szCs w:val="21"/>
              </w:rPr>
              <w:t>A</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易方达香港恒生综合小型股指数（</w:t>
            </w:r>
            <w:r w:rsidRPr="00C24ACA">
              <w:rPr>
                <w:rFonts w:eastAsiaTheme="minorEastAsia"/>
                <w:szCs w:val="21"/>
              </w:rPr>
              <w:t>QDII-LOF</w:t>
            </w:r>
            <w:r w:rsidRPr="00C24ACA">
              <w:rPr>
                <w:rFonts w:eastAsiaTheme="minorEastAsia"/>
                <w:szCs w:val="21"/>
              </w:rPr>
              <w:t>）</w:t>
            </w:r>
            <w:r w:rsidRPr="00C24ACA">
              <w:rPr>
                <w:rFonts w:eastAsiaTheme="minorEastAsia"/>
                <w:szCs w:val="21"/>
              </w:rPr>
              <w:t>C</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下属分级基金的场内简称</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香港小盘</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下属分级基金的交易代码</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161124</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006263</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报告期末下属分级基金的份额总额</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18,028,938.68</w:t>
            </w:r>
            <w:r w:rsidRPr="00C24ACA">
              <w:rPr>
                <w:rFonts w:eastAsiaTheme="minorEastAsia"/>
                <w:szCs w:val="21"/>
              </w:rPr>
              <w:t>份</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2,185,560.95</w:t>
            </w:r>
            <w:r w:rsidRPr="00C24ACA">
              <w:rPr>
                <w:rFonts w:eastAsiaTheme="minorEastAsia"/>
                <w:szCs w:val="21"/>
              </w:rPr>
              <w:t>份</w:t>
            </w:r>
          </w:p>
        </w:tc>
      </w:tr>
    </w:tbl>
    <w:p w:rsidR="008A5A5D" w:rsidRPr="00C24ACA" w:rsidRDefault="008A5A5D" w:rsidP="001412CA">
      <w:pPr>
        <w:tabs>
          <w:tab w:val="left" w:pos="426"/>
        </w:tabs>
        <w:spacing w:line="360" w:lineRule="auto"/>
        <w:ind w:firstLineChars="200" w:firstLine="420"/>
        <w:jc w:val="left"/>
        <w:rPr>
          <w:rFonts w:eastAsiaTheme="minorEastAsia"/>
          <w:color w:val="000000"/>
          <w:szCs w:val="21"/>
        </w:rPr>
      </w:pPr>
      <w:r w:rsidRPr="00C24ACA">
        <w:rPr>
          <w:rFonts w:eastAsiaTheme="minorEastAsia"/>
          <w:kern w:val="0"/>
          <w:szCs w:val="21"/>
        </w:rPr>
        <w:tab/>
      </w:r>
      <w:r w:rsidRPr="00C24ACA">
        <w:rPr>
          <w:rFonts w:eastAsiaTheme="minorEastAsia"/>
          <w:kern w:val="0"/>
          <w:szCs w:val="21"/>
        </w:rPr>
        <w:t>注：自</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8</w:t>
      </w:r>
      <w:r w:rsidRPr="00C24ACA">
        <w:rPr>
          <w:rFonts w:eastAsiaTheme="minorEastAsia"/>
          <w:kern w:val="0"/>
          <w:szCs w:val="21"/>
        </w:rPr>
        <w:t>月</w:t>
      </w:r>
      <w:r w:rsidRPr="00C24ACA">
        <w:rPr>
          <w:rFonts w:eastAsiaTheme="minorEastAsia"/>
          <w:kern w:val="0"/>
          <w:szCs w:val="21"/>
        </w:rPr>
        <w:t>13</w:t>
      </w:r>
      <w:r w:rsidRPr="00C24ACA">
        <w:rPr>
          <w:rFonts w:eastAsiaTheme="minorEastAsia"/>
          <w:kern w:val="0"/>
          <w:szCs w:val="21"/>
        </w:rPr>
        <w:t>日起</w:t>
      </w:r>
      <w:r w:rsidRPr="00C24ACA">
        <w:rPr>
          <w:rFonts w:eastAsiaTheme="minorEastAsia"/>
          <w:kern w:val="0"/>
          <w:szCs w:val="21"/>
        </w:rPr>
        <w:t>,</w:t>
      </w:r>
      <w:r w:rsidRPr="00C24ACA">
        <w:rPr>
          <w:rFonts w:eastAsiaTheme="minorEastAsia"/>
          <w:kern w:val="0"/>
          <w:szCs w:val="21"/>
        </w:rPr>
        <w:t>本基金增设</w:t>
      </w:r>
      <w:r w:rsidRPr="00C24ACA">
        <w:rPr>
          <w:rFonts w:eastAsiaTheme="minorEastAsia"/>
          <w:kern w:val="0"/>
          <w:szCs w:val="21"/>
        </w:rPr>
        <w:t>C</w:t>
      </w:r>
      <w:r w:rsidRPr="00C24ACA">
        <w:rPr>
          <w:rFonts w:eastAsiaTheme="minorEastAsia"/>
          <w:kern w:val="0"/>
          <w:szCs w:val="21"/>
        </w:rPr>
        <w:t>类份额类别</w:t>
      </w:r>
      <w:r w:rsidRPr="00C24ACA">
        <w:rPr>
          <w:rFonts w:eastAsiaTheme="minorEastAsia"/>
          <w:kern w:val="0"/>
          <w:szCs w:val="21"/>
        </w:rPr>
        <w:t>,</w:t>
      </w:r>
      <w:r w:rsidRPr="00C24ACA">
        <w:rPr>
          <w:rFonts w:eastAsiaTheme="minorEastAsia"/>
          <w:kern w:val="0"/>
          <w:szCs w:val="21"/>
        </w:rPr>
        <w:t>份额首次确认日为</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8</w:t>
      </w:r>
      <w:r w:rsidRPr="00C24ACA">
        <w:rPr>
          <w:rFonts w:eastAsiaTheme="minorEastAsia"/>
          <w:kern w:val="0"/>
          <w:szCs w:val="21"/>
        </w:rPr>
        <w:t>月</w:t>
      </w:r>
      <w:r w:rsidRPr="00C24ACA">
        <w:rPr>
          <w:rFonts w:eastAsiaTheme="minorEastAsia"/>
          <w:kern w:val="0"/>
          <w:szCs w:val="21"/>
        </w:rPr>
        <w:t>14</w:t>
      </w:r>
      <w:r w:rsidRPr="00C24ACA">
        <w:rPr>
          <w:rFonts w:eastAsiaTheme="minorEastAsia"/>
          <w:kern w:val="0"/>
          <w:szCs w:val="21"/>
        </w:rPr>
        <w:t>日。</w:t>
      </w:r>
    </w:p>
    <w:p w:rsidR="008A5A5D" w:rsidRPr="00A317EA" w:rsidRDefault="008A5A5D" w:rsidP="00732F5C">
      <w:pPr>
        <w:pStyle w:val="20"/>
        <w:spacing w:beforeLines="100" w:before="312" w:after="0"/>
        <w:rPr>
          <w:rFonts w:ascii="Times New Roman" w:eastAsiaTheme="minorEastAsia" w:hAnsi="Times New Roman"/>
          <w:kern w:val="0"/>
          <w:sz w:val="21"/>
          <w:szCs w:val="21"/>
        </w:rPr>
      </w:pPr>
      <w:bookmarkStart w:id="32" w:name="_Toc352255962"/>
      <w:bookmarkStart w:id="33" w:name="_Toc352256030"/>
      <w:bookmarkStart w:id="34" w:name="_Toc352331208"/>
      <w:bookmarkStart w:id="35" w:name="_Toc390164794"/>
      <w:bookmarkStart w:id="36" w:name="_Toc48663836"/>
      <w:r w:rsidRPr="0087359D">
        <w:rPr>
          <w:rFonts w:ascii="宋体" w:hAnsi="宋体"/>
          <w:kern w:val="0"/>
          <w:sz w:val="21"/>
          <w:szCs w:val="21"/>
        </w:rPr>
        <w:t>2.2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基金产品说明</w:t>
      </w:r>
      <w:bookmarkEnd w:id="32"/>
      <w:bookmarkEnd w:id="33"/>
      <w:bookmarkEnd w:id="34"/>
      <w:bookmarkEnd w:id="35"/>
      <w:bookmarkEnd w:id="3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投资目标</w:t>
            </w:r>
          </w:p>
        </w:tc>
        <w:tc>
          <w:tcPr>
            <w:tcW w:w="6873" w:type="dxa"/>
            <w:vAlign w:val="bottom"/>
          </w:tcPr>
          <w:p w:rsidR="008A5A5D" w:rsidRPr="00C24ACA" w:rsidRDefault="008A5A5D">
            <w:pPr>
              <w:rPr>
                <w:rFonts w:eastAsiaTheme="minorEastAsia"/>
                <w:szCs w:val="21"/>
              </w:rPr>
            </w:pPr>
            <w:r w:rsidRPr="00C24ACA">
              <w:rPr>
                <w:rFonts w:eastAsiaTheme="minorEastAsia"/>
                <w:szCs w:val="21"/>
              </w:rPr>
              <w:t>紧密跟踪业绩比较基准，追求跟踪偏离度及跟踪误差的最小化。</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投资策略</w:t>
            </w:r>
          </w:p>
        </w:tc>
        <w:tc>
          <w:tcPr>
            <w:tcW w:w="6873" w:type="dxa"/>
            <w:vAlign w:val="bottom"/>
          </w:tcPr>
          <w:p w:rsidR="008A5A5D" w:rsidRPr="00C24ACA" w:rsidRDefault="008A5A5D">
            <w:pPr>
              <w:rPr>
                <w:rFonts w:eastAsiaTheme="minorEastAsia"/>
                <w:szCs w:val="21"/>
              </w:rPr>
            </w:pPr>
            <w:r w:rsidRPr="00C24ACA">
              <w:rPr>
                <w:rFonts w:eastAsiaTheme="minorEastAsia"/>
                <w:szCs w:val="21"/>
              </w:rPr>
              <w:t>易方达恒生综合小型股指数基金（香港小盘</w:t>
            </w:r>
            <w:r w:rsidRPr="00C24ACA">
              <w:rPr>
                <w:rFonts w:eastAsiaTheme="minorEastAsia"/>
                <w:szCs w:val="21"/>
              </w:rPr>
              <w:t>LOF</w:t>
            </w:r>
            <w:r w:rsidRPr="00C24ACA">
              <w:rPr>
                <w:rFonts w:eastAsiaTheme="minorEastAsia"/>
                <w:szCs w:val="21"/>
              </w:rPr>
              <w:t>）属于被动跟踪指数的证券投资基金。本基金主要采取完全复制指数的投资方案，剔除基金管理人认定不合适投资的成份股后，完全复制剩余成份股的指数权重进行投资。报告期内，跟随指数的成分股变化进行日常调整操作，控制基金组合与指数权重基本一致。</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业绩比较基准</w:t>
            </w:r>
          </w:p>
        </w:tc>
        <w:tc>
          <w:tcPr>
            <w:tcW w:w="6873" w:type="dxa"/>
            <w:vAlign w:val="bottom"/>
          </w:tcPr>
          <w:p w:rsidR="008A5A5D" w:rsidRPr="00C24ACA" w:rsidRDefault="008A5A5D">
            <w:pPr>
              <w:rPr>
                <w:rFonts w:eastAsiaTheme="minorEastAsia"/>
                <w:szCs w:val="21"/>
              </w:rPr>
            </w:pPr>
            <w:r w:rsidRPr="00C24ACA">
              <w:rPr>
                <w:rFonts w:eastAsiaTheme="minorEastAsia"/>
                <w:szCs w:val="21"/>
              </w:rPr>
              <w:t>恒生综合小型股指数收益率（使用估值汇率折算）</w:t>
            </w:r>
            <w:r w:rsidRPr="00C24ACA">
              <w:rPr>
                <w:rFonts w:eastAsiaTheme="minorEastAsia"/>
                <w:szCs w:val="21"/>
              </w:rPr>
              <w:t>×95%+</w:t>
            </w:r>
            <w:r w:rsidRPr="00C24ACA">
              <w:rPr>
                <w:rFonts w:eastAsiaTheme="minorEastAsia"/>
                <w:szCs w:val="21"/>
              </w:rPr>
              <w:t>活期存款利率（税后）</w:t>
            </w:r>
            <w:r w:rsidRPr="00C24ACA">
              <w:rPr>
                <w:rFonts w:eastAsiaTheme="minorEastAsia"/>
                <w:szCs w:val="21"/>
              </w:rPr>
              <w:t xml:space="preserve">×5% </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风险收益特征</w:t>
            </w:r>
          </w:p>
        </w:tc>
        <w:tc>
          <w:tcPr>
            <w:tcW w:w="6873" w:type="dxa"/>
            <w:vAlign w:val="bottom"/>
          </w:tcPr>
          <w:p w:rsidR="007B4EE4" w:rsidRDefault="00B833D5">
            <w:pPr>
              <w:rPr>
                <w:rFonts w:eastAsiaTheme="minorEastAsia"/>
                <w:szCs w:val="21"/>
              </w:rPr>
            </w:pPr>
            <w:r>
              <w:rPr>
                <w:rFonts w:eastAsiaTheme="minorEastAsia"/>
                <w:szCs w:val="21"/>
              </w:rPr>
              <w:t>本基金属股票指数基金，预期风险与收益水平高于混合基金、债券基金与货币市场基金。本基金主要采用组合复制策略和适当的替代性策略实现对标的指数的紧密跟踪，具有与标的指数相似的风险收益特征。</w:t>
            </w:r>
          </w:p>
          <w:p w:rsidR="008A5A5D" w:rsidRPr="00C24ACA" w:rsidRDefault="008A5A5D">
            <w:pPr>
              <w:rPr>
                <w:rFonts w:eastAsiaTheme="minorEastAsia"/>
                <w:szCs w:val="21"/>
              </w:rPr>
            </w:pPr>
            <w:r w:rsidRPr="00C24ACA">
              <w:rPr>
                <w:rFonts w:eastAsiaTheme="minorEastAsia"/>
                <w:szCs w:val="21"/>
              </w:rPr>
              <w:t>本基金主要投资香港证券市场，需承担汇率风险以及境外市场的风险。</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 w:name="_Toc225498247"/>
      <w:bookmarkStart w:id="38" w:name="_Toc352255963"/>
      <w:bookmarkStart w:id="39" w:name="_Toc352256031"/>
      <w:bookmarkStart w:id="40" w:name="_Toc352331209"/>
      <w:bookmarkStart w:id="41" w:name="_Toc390164795"/>
      <w:bookmarkStart w:id="42" w:name="_Toc48663837"/>
      <w:r w:rsidRPr="0087359D">
        <w:rPr>
          <w:rFonts w:ascii="宋体" w:hAnsi="宋体"/>
          <w:kern w:val="0"/>
          <w:sz w:val="21"/>
          <w:szCs w:val="21"/>
        </w:rPr>
        <w:t>2.3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w:t>
      </w:r>
      <w:r w:rsidRPr="00A317EA">
        <w:rPr>
          <w:rFonts w:ascii="Times New Roman" w:eastAsiaTheme="minorEastAsia" w:hAnsi="Times New Roman"/>
          <w:kern w:val="0"/>
          <w:sz w:val="21"/>
          <w:szCs w:val="21"/>
        </w:rPr>
        <w:t>管理</w:t>
      </w:r>
      <w:r w:rsidRPr="00C24ACA">
        <w:rPr>
          <w:rFonts w:ascii="Times New Roman" w:eastAsiaTheme="minorEastAsia" w:hAnsi="Times New Roman"/>
          <w:kern w:val="0"/>
          <w:sz w:val="21"/>
          <w:szCs w:val="21"/>
        </w:rPr>
        <w:t>人和基金托管人</w:t>
      </w:r>
      <w:bookmarkEnd w:id="37"/>
      <w:bookmarkEnd w:id="38"/>
      <w:bookmarkEnd w:id="39"/>
      <w:bookmarkEnd w:id="40"/>
      <w:bookmarkEnd w:id="41"/>
      <w:bookmarkEnd w:id="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项目</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基金管理人</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基金托管人</w:t>
            </w:r>
          </w:p>
        </w:tc>
      </w:tr>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rPr>
                <w:rFonts w:eastAsiaTheme="minorEastAsia"/>
                <w:color w:val="000000"/>
                <w:kern w:val="0"/>
                <w:szCs w:val="21"/>
              </w:rPr>
            </w:pPr>
            <w:r w:rsidRPr="00C24ACA">
              <w:rPr>
                <w:rFonts w:eastAsiaTheme="minorEastAsia"/>
                <w:color w:val="000000"/>
                <w:kern w:val="0"/>
                <w:szCs w:val="21"/>
              </w:rPr>
              <w:t>名称</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易方达基金管理有限公司</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招商银行股份有限公司</w:t>
            </w:r>
          </w:p>
        </w:tc>
      </w:tr>
      <w:tr w:rsidR="008A5A5D" w:rsidRPr="00C24ACA" w:rsidTr="006D141C">
        <w:tc>
          <w:tcPr>
            <w:tcW w:w="1260" w:type="dxa"/>
            <w:vMerge w:val="restart"/>
            <w:vAlign w:val="center"/>
          </w:tcPr>
          <w:p w:rsidR="008A5A5D" w:rsidRPr="00C24ACA" w:rsidRDefault="008A5A5D">
            <w:pPr>
              <w:autoSpaceDE w:val="0"/>
              <w:autoSpaceDN w:val="0"/>
              <w:adjustRightInd w:val="0"/>
              <w:spacing w:before="29" w:line="360" w:lineRule="auto"/>
              <w:ind w:left="15"/>
              <w:rPr>
                <w:rFonts w:eastAsiaTheme="minorEastAsia"/>
                <w:color w:val="000000"/>
                <w:kern w:val="0"/>
                <w:szCs w:val="21"/>
              </w:rPr>
            </w:pPr>
            <w:r w:rsidRPr="00C24ACA">
              <w:rPr>
                <w:rFonts w:eastAsiaTheme="minorEastAsia"/>
                <w:color w:val="000000"/>
                <w:szCs w:val="21"/>
              </w:rPr>
              <w:t>信息披露</w:t>
            </w:r>
            <w:r w:rsidRPr="00C24ACA">
              <w:rPr>
                <w:rFonts w:eastAsiaTheme="minorEastAsia"/>
                <w:color w:val="000000"/>
                <w:szCs w:val="21"/>
              </w:rPr>
              <w:lastRenderedPageBreak/>
              <w:t>负责人</w:t>
            </w:r>
          </w:p>
        </w:tc>
        <w:tc>
          <w:tcPr>
            <w:tcW w:w="1371" w:type="dxa"/>
            <w:vAlign w:val="center"/>
          </w:tcPr>
          <w:p w:rsidR="008A5A5D" w:rsidRPr="00C24ACA" w:rsidRDefault="008A5A5D">
            <w:pPr>
              <w:jc w:val="center"/>
              <w:rPr>
                <w:rFonts w:eastAsiaTheme="minorEastAsia"/>
                <w:color w:val="000000"/>
                <w:szCs w:val="21"/>
              </w:rPr>
            </w:pPr>
            <w:r w:rsidRPr="00C24ACA">
              <w:rPr>
                <w:rFonts w:eastAsiaTheme="minorEastAsia"/>
                <w:color w:val="000000"/>
                <w:szCs w:val="21"/>
              </w:rPr>
              <w:lastRenderedPageBreak/>
              <w:t>姓名</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张南</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张燕</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联系电话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020-85102688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0755-83199084</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电子邮箱</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service@efunds.com.cn</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yan_zhang@cmbchina.com</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客户服务电话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400 881 8088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95555</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传真</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020-85104666</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0755-83195201</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注册地址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广东省珠海市横琴新区宝华路</w:t>
            </w:r>
            <w:r w:rsidRPr="00C24ACA">
              <w:rPr>
                <w:rFonts w:eastAsiaTheme="minorEastAsia"/>
                <w:color w:val="000000"/>
                <w:kern w:val="0"/>
                <w:szCs w:val="21"/>
              </w:rPr>
              <w:t>6</w:t>
            </w:r>
            <w:r w:rsidRPr="00C24ACA">
              <w:rPr>
                <w:rFonts w:eastAsiaTheme="minorEastAsia"/>
                <w:color w:val="000000"/>
                <w:kern w:val="0"/>
                <w:szCs w:val="21"/>
              </w:rPr>
              <w:t>号</w:t>
            </w:r>
            <w:r w:rsidRPr="00C24ACA">
              <w:rPr>
                <w:rFonts w:eastAsiaTheme="minorEastAsia"/>
                <w:color w:val="000000"/>
                <w:kern w:val="0"/>
                <w:szCs w:val="21"/>
              </w:rPr>
              <w:t>105</w:t>
            </w:r>
            <w:r w:rsidRPr="00C24ACA">
              <w:rPr>
                <w:rFonts w:eastAsiaTheme="minorEastAsia"/>
                <w:color w:val="000000"/>
                <w:kern w:val="0"/>
                <w:szCs w:val="21"/>
              </w:rPr>
              <w:t>室－</w:t>
            </w:r>
            <w:r w:rsidRPr="00C24ACA">
              <w:rPr>
                <w:rFonts w:eastAsiaTheme="minorEastAsia"/>
                <w:color w:val="000000"/>
                <w:kern w:val="0"/>
                <w:szCs w:val="21"/>
              </w:rPr>
              <w:t>42891</w:t>
            </w:r>
            <w:r w:rsidRPr="00C24ACA">
              <w:rPr>
                <w:rFonts w:eastAsiaTheme="minorEastAsia"/>
                <w:color w:val="000000"/>
                <w:kern w:val="0"/>
                <w:szCs w:val="21"/>
              </w:rPr>
              <w:t>（集中办公区）</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深圳市深南大道</w:t>
            </w:r>
            <w:r w:rsidRPr="00C24ACA">
              <w:rPr>
                <w:rFonts w:eastAsiaTheme="minorEastAsia"/>
                <w:color w:val="000000"/>
                <w:kern w:val="0"/>
                <w:szCs w:val="21"/>
              </w:rPr>
              <w:t>7088</w:t>
            </w:r>
            <w:r w:rsidRPr="00C24ACA">
              <w:rPr>
                <w:rFonts w:eastAsiaTheme="minorEastAsia"/>
                <w:color w:val="000000"/>
                <w:kern w:val="0"/>
                <w:szCs w:val="21"/>
              </w:rPr>
              <w:t>号招商银行大厦</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办公地址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广州市天河区珠江新城珠江东路</w:t>
            </w:r>
            <w:r w:rsidRPr="00C24ACA">
              <w:rPr>
                <w:rFonts w:eastAsiaTheme="minorEastAsia"/>
                <w:color w:val="000000"/>
                <w:kern w:val="0"/>
                <w:szCs w:val="21"/>
              </w:rPr>
              <w:t>30</w:t>
            </w:r>
            <w:r w:rsidRPr="00C24ACA">
              <w:rPr>
                <w:rFonts w:eastAsiaTheme="minorEastAsia"/>
                <w:color w:val="000000"/>
                <w:kern w:val="0"/>
                <w:szCs w:val="21"/>
              </w:rPr>
              <w:t>号广州银行大厦</w:t>
            </w:r>
            <w:r w:rsidRPr="00C24ACA">
              <w:rPr>
                <w:rFonts w:eastAsiaTheme="minorEastAsia"/>
                <w:color w:val="000000"/>
                <w:kern w:val="0"/>
                <w:szCs w:val="21"/>
              </w:rPr>
              <w:t>40-43</w:t>
            </w:r>
            <w:r w:rsidRPr="00C24ACA">
              <w:rPr>
                <w:rFonts w:eastAsiaTheme="minorEastAsia"/>
                <w:color w:val="000000"/>
                <w:kern w:val="0"/>
                <w:szCs w:val="21"/>
              </w:rPr>
              <w:t>楼</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深圳市深南大道</w:t>
            </w:r>
            <w:r w:rsidRPr="00C24ACA">
              <w:rPr>
                <w:rFonts w:eastAsiaTheme="minorEastAsia"/>
                <w:color w:val="000000"/>
                <w:kern w:val="0"/>
                <w:szCs w:val="21"/>
              </w:rPr>
              <w:t>7088</w:t>
            </w:r>
            <w:r w:rsidRPr="00C24ACA">
              <w:rPr>
                <w:rFonts w:eastAsiaTheme="minorEastAsia"/>
                <w:color w:val="000000"/>
                <w:kern w:val="0"/>
                <w:szCs w:val="21"/>
              </w:rPr>
              <w:t>号招商银行大厦</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邮政编码</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510620</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518040</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法定代表人</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刘晓艳</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李建红</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43" w:name="_Toc224618346"/>
      <w:bookmarkStart w:id="44" w:name="_Toc235605676"/>
      <w:bookmarkStart w:id="45" w:name="_Toc286929724"/>
      <w:bookmarkStart w:id="46" w:name="_Toc352255964"/>
      <w:bookmarkStart w:id="47" w:name="_Toc352256032"/>
      <w:bookmarkStart w:id="48" w:name="_Toc352331210"/>
      <w:bookmarkStart w:id="49" w:name="_Toc390164796"/>
      <w:bookmarkStart w:id="50" w:name="_Toc48663838"/>
      <w:r w:rsidRPr="0087359D">
        <w:rPr>
          <w:rFonts w:ascii="宋体" w:hAnsi="宋体"/>
          <w:kern w:val="0"/>
          <w:sz w:val="21"/>
          <w:szCs w:val="21"/>
        </w:rPr>
        <w:t>2.4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境外投资顾问和境外资产托管人</w:t>
      </w:r>
      <w:bookmarkEnd w:id="43"/>
      <w:bookmarkEnd w:id="44"/>
      <w:bookmarkEnd w:id="45"/>
      <w:bookmarkEnd w:id="46"/>
      <w:bookmarkEnd w:id="47"/>
      <w:bookmarkEnd w:id="48"/>
      <w:bookmarkEnd w:id="49"/>
      <w:bookmarkEnd w:id="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项目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境外投资顾问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境外资产托管人</w:t>
            </w:r>
          </w:p>
        </w:tc>
      </w:tr>
      <w:tr w:rsidR="008A5A5D" w:rsidRPr="00C24ACA" w:rsidTr="004B68EC">
        <w:trPr>
          <w:trHeight w:val="370"/>
        </w:trPr>
        <w:tc>
          <w:tcPr>
            <w:tcW w:w="900" w:type="dxa"/>
            <w:vMerge w:val="restart"/>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名称</w:t>
            </w: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英文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The Hongkong and Shanghai Banking Corporation Limited</w:t>
            </w:r>
          </w:p>
        </w:tc>
      </w:tr>
      <w:tr w:rsidR="008A5A5D" w:rsidRPr="00C24ACA" w:rsidTr="004B68EC">
        <w:trPr>
          <w:trHeight w:val="335"/>
        </w:trPr>
        <w:tc>
          <w:tcPr>
            <w:tcW w:w="900" w:type="dxa"/>
            <w:vMerge/>
            <w:vAlign w:val="center"/>
          </w:tcPr>
          <w:p w:rsidR="008A5A5D" w:rsidRPr="00C24ACA" w:rsidRDefault="008A5A5D" w:rsidP="004B68EC">
            <w:pPr>
              <w:jc w:val="center"/>
              <w:rPr>
                <w:rFonts w:eastAsiaTheme="minorEastAsia"/>
                <w:color w:val="000000"/>
                <w:szCs w:val="21"/>
              </w:rPr>
            </w:pP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中文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香港上海汇丰银行有限公司</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注册地址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香港皇后大道中一号</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办公地址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香港九龙深旺道</w:t>
            </w:r>
            <w:r w:rsidRPr="00C24ACA">
              <w:rPr>
                <w:rFonts w:eastAsiaTheme="minorEastAsia"/>
                <w:szCs w:val="21"/>
              </w:rPr>
              <w:t>1</w:t>
            </w:r>
            <w:r w:rsidRPr="00C24ACA">
              <w:rPr>
                <w:rFonts w:eastAsiaTheme="minorEastAsia"/>
                <w:szCs w:val="21"/>
              </w:rPr>
              <w:t>号汇丰中心</w:t>
            </w:r>
            <w:r w:rsidRPr="00C24ACA">
              <w:rPr>
                <w:rFonts w:eastAsiaTheme="minorEastAsia"/>
                <w:szCs w:val="21"/>
              </w:rPr>
              <w:t>1</w:t>
            </w:r>
            <w:r w:rsidRPr="00C24ACA">
              <w:rPr>
                <w:rFonts w:eastAsiaTheme="minorEastAsia"/>
                <w:szCs w:val="21"/>
              </w:rPr>
              <w:t>座</w:t>
            </w:r>
            <w:r w:rsidRPr="00C24ACA">
              <w:rPr>
                <w:rFonts w:eastAsiaTheme="minorEastAsia"/>
                <w:szCs w:val="21"/>
              </w:rPr>
              <w:t>6</w:t>
            </w:r>
            <w:r w:rsidRPr="00C24ACA">
              <w:rPr>
                <w:rFonts w:eastAsiaTheme="minorEastAsia"/>
                <w:szCs w:val="21"/>
              </w:rPr>
              <w:t>楼</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邮政编码</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51" w:name="_Toc225498248"/>
      <w:bookmarkStart w:id="52" w:name="_Toc352255965"/>
      <w:bookmarkStart w:id="53" w:name="_Toc352256033"/>
      <w:bookmarkStart w:id="54" w:name="_Toc352331211"/>
      <w:bookmarkStart w:id="55" w:name="_Toc390164797"/>
      <w:bookmarkStart w:id="56" w:name="_Toc48663839"/>
      <w:r w:rsidRPr="0087359D">
        <w:rPr>
          <w:rFonts w:ascii="宋体" w:hAnsi="宋体"/>
          <w:kern w:val="0"/>
          <w:sz w:val="21"/>
          <w:szCs w:val="21"/>
        </w:rPr>
        <w:t>2.5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信息披露方式</w:t>
      </w:r>
      <w:bookmarkEnd w:id="51"/>
      <w:bookmarkEnd w:id="52"/>
      <w:bookmarkEnd w:id="53"/>
      <w:bookmarkEnd w:id="54"/>
      <w:bookmarkEnd w:id="55"/>
      <w:bookmarkEnd w:id="5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本基金选定的信息披露报纸名称</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证券时报</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登载基金</w:t>
            </w:r>
            <w:r w:rsidR="00930E85">
              <w:rPr>
                <w:rFonts w:eastAsiaTheme="minorEastAsia"/>
                <w:color w:val="000000"/>
                <w:szCs w:val="21"/>
              </w:rPr>
              <w:t>中期</w:t>
            </w:r>
            <w:r w:rsidRPr="00C24ACA">
              <w:rPr>
                <w:rFonts w:eastAsiaTheme="minorEastAsia"/>
                <w:color w:val="000000"/>
                <w:szCs w:val="21"/>
              </w:rPr>
              <w:t>报告正文的管理人互联网网址</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http://www.efunds.com.cn</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基金</w:t>
            </w:r>
            <w:r w:rsidR="00930E85">
              <w:rPr>
                <w:rFonts w:eastAsiaTheme="minorEastAsia"/>
                <w:color w:val="000000"/>
                <w:szCs w:val="21"/>
              </w:rPr>
              <w:t>中期</w:t>
            </w:r>
            <w:r w:rsidRPr="00C24ACA">
              <w:rPr>
                <w:rFonts w:eastAsiaTheme="minorEastAsia"/>
                <w:color w:val="000000"/>
                <w:szCs w:val="21"/>
              </w:rPr>
              <w:t>报告备置地点</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43</w:t>
            </w:r>
            <w:r w:rsidRPr="00C24ACA">
              <w:rPr>
                <w:rFonts w:eastAsiaTheme="minorEastAsia"/>
                <w:color w:val="000000"/>
                <w:szCs w:val="21"/>
              </w:rPr>
              <w:t>楼</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57" w:name="_Toc225498249"/>
      <w:bookmarkStart w:id="58" w:name="_Toc352255966"/>
      <w:bookmarkStart w:id="59" w:name="_Toc352256034"/>
      <w:bookmarkStart w:id="60" w:name="_Toc352331212"/>
      <w:bookmarkStart w:id="61" w:name="_Toc390164798"/>
      <w:bookmarkStart w:id="62" w:name="_Toc48663840"/>
      <w:r w:rsidRPr="0087359D">
        <w:rPr>
          <w:rFonts w:ascii="宋体" w:hAnsi="宋体"/>
          <w:kern w:val="0"/>
          <w:sz w:val="21"/>
          <w:szCs w:val="21"/>
        </w:rPr>
        <w:t>2.6</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其他相关资料</w:t>
      </w:r>
      <w:bookmarkEnd w:id="57"/>
      <w:bookmarkEnd w:id="58"/>
      <w:bookmarkEnd w:id="59"/>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8A5A5D" w:rsidRPr="00C24ACA" w:rsidTr="00862636">
        <w:tc>
          <w:tcPr>
            <w:tcW w:w="1951"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项目</w:t>
            </w:r>
          </w:p>
        </w:tc>
        <w:tc>
          <w:tcPr>
            <w:tcW w:w="3260"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名称</w:t>
            </w:r>
          </w:p>
        </w:tc>
        <w:tc>
          <w:tcPr>
            <w:tcW w:w="4075"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办公地址</w:t>
            </w:r>
          </w:p>
        </w:tc>
      </w:tr>
      <w:tr w:rsidR="008A5A5D" w:rsidRPr="00C24ACA" w:rsidTr="00862636">
        <w:tc>
          <w:tcPr>
            <w:tcW w:w="1951" w:type="dxa"/>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注册登记机构</w:t>
            </w:r>
          </w:p>
        </w:tc>
        <w:tc>
          <w:tcPr>
            <w:tcW w:w="3260" w:type="dxa"/>
            <w:vAlign w:val="bottom"/>
          </w:tcPr>
          <w:p w:rsidR="008A5A5D" w:rsidRPr="00C24ACA" w:rsidRDefault="008A5A5D" w:rsidP="00EC549A">
            <w:pPr>
              <w:tabs>
                <w:tab w:val="left" w:pos="1740"/>
              </w:tabs>
              <w:jc w:val="left"/>
              <w:rPr>
                <w:rFonts w:eastAsiaTheme="minorEastAsia"/>
                <w:color w:val="000000"/>
                <w:szCs w:val="21"/>
              </w:rPr>
            </w:pPr>
            <w:r w:rsidRPr="00C24ACA">
              <w:rPr>
                <w:rFonts w:eastAsiaTheme="minorEastAsia"/>
                <w:color w:val="000000"/>
                <w:szCs w:val="21"/>
              </w:rPr>
              <w:t>易方达基金管理有限公司</w:t>
            </w:r>
          </w:p>
        </w:tc>
        <w:tc>
          <w:tcPr>
            <w:tcW w:w="4075" w:type="dxa"/>
            <w:vAlign w:val="bottom"/>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40-43</w:t>
            </w:r>
            <w:r w:rsidRPr="00C24ACA">
              <w:rPr>
                <w:rFonts w:eastAsiaTheme="minorEastAsia"/>
                <w:color w:val="000000"/>
                <w:szCs w:val="21"/>
              </w:rPr>
              <w:t>楼</w:t>
            </w:r>
          </w:p>
        </w:tc>
      </w:tr>
      <w:tr w:rsidR="007B4EE4">
        <w:tc>
          <w:tcPr>
            <w:tcW w:w="1951" w:type="dxa"/>
            <w:vAlign w:val="center"/>
          </w:tcPr>
          <w:p w:rsidR="007B4EE4" w:rsidRDefault="00B833D5">
            <w:pPr>
              <w:jc w:val="left"/>
            </w:pPr>
            <w:r>
              <w:rPr>
                <w:rFonts w:eastAsiaTheme="minorEastAsia"/>
                <w:color w:val="000000"/>
                <w:szCs w:val="21"/>
              </w:rPr>
              <w:t>注册登记机构</w:t>
            </w:r>
          </w:p>
        </w:tc>
        <w:tc>
          <w:tcPr>
            <w:tcW w:w="3260" w:type="dxa"/>
            <w:vAlign w:val="center"/>
          </w:tcPr>
          <w:p w:rsidR="007B4EE4" w:rsidRDefault="00B833D5">
            <w:pPr>
              <w:jc w:val="left"/>
            </w:pPr>
            <w:r>
              <w:rPr>
                <w:rFonts w:eastAsiaTheme="minorEastAsia"/>
                <w:color w:val="000000"/>
                <w:szCs w:val="21"/>
              </w:rPr>
              <w:t>中国证券登记结算有限责任公司</w:t>
            </w:r>
          </w:p>
        </w:tc>
        <w:tc>
          <w:tcPr>
            <w:tcW w:w="4075" w:type="dxa"/>
            <w:vAlign w:val="center"/>
          </w:tcPr>
          <w:p w:rsidR="007B4EE4" w:rsidRDefault="00B833D5">
            <w:pPr>
              <w:jc w:val="left"/>
            </w:pPr>
            <w:r>
              <w:rPr>
                <w:rFonts w:eastAsiaTheme="minorEastAsia"/>
                <w:color w:val="000000"/>
                <w:szCs w:val="21"/>
              </w:rPr>
              <w:t>北京市西城区太平桥大街</w:t>
            </w:r>
            <w:r>
              <w:rPr>
                <w:rFonts w:eastAsiaTheme="minorEastAsia"/>
                <w:color w:val="000000"/>
                <w:szCs w:val="21"/>
              </w:rPr>
              <w:t>17</w:t>
            </w:r>
            <w:r>
              <w:rPr>
                <w:rFonts w:eastAsiaTheme="minorEastAsia"/>
                <w:color w:val="000000"/>
                <w:szCs w:val="21"/>
              </w:rPr>
              <w:t>号</w:t>
            </w:r>
          </w:p>
        </w:tc>
      </w:tr>
    </w:tbl>
    <w:p w:rsidR="008A5A5D" w:rsidRPr="00C24ACA" w:rsidRDefault="008A5A5D" w:rsidP="00062D12">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注：本基金</w:t>
      </w:r>
      <w:r w:rsidRPr="00C24ACA">
        <w:rPr>
          <w:rFonts w:eastAsiaTheme="minorEastAsia"/>
          <w:kern w:val="0"/>
          <w:szCs w:val="21"/>
        </w:rPr>
        <w:t>A</w:t>
      </w:r>
      <w:r w:rsidRPr="00C24ACA">
        <w:rPr>
          <w:rFonts w:eastAsiaTheme="minorEastAsia"/>
          <w:kern w:val="0"/>
          <w:szCs w:val="21"/>
        </w:rPr>
        <w:t>类基金份额的登记结算机构为中国证券登记结算有限责任公司，</w:t>
      </w:r>
      <w:r w:rsidRPr="00C24ACA">
        <w:rPr>
          <w:rFonts w:eastAsiaTheme="minorEastAsia"/>
          <w:kern w:val="0"/>
          <w:szCs w:val="21"/>
        </w:rPr>
        <w:t>C</w:t>
      </w:r>
      <w:r w:rsidRPr="00C24ACA">
        <w:rPr>
          <w:rFonts w:eastAsiaTheme="minorEastAsia"/>
          <w:kern w:val="0"/>
          <w:szCs w:val="21"/>
        </w:rPr>
        <w:t>类基金份额的登记结算机构为易方达基金管理有限公司。</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63" w:name="_Toc352255967"/>
      <w:bookmarkStart w:id="64" w:name="_Toc352256035"/>
      <w:bookmarkStart w:id="65" w:name="_Toc352331213"/>
      <w:bookmarkStart w:id="66" w:name="_Toc390164799"/>
      <w:bookmarkStart w:id="67" w:name="_Toc48663841"/>
      <w:r w:rsidRPr="000C6CCD">
        <w:rPr>
          <w:rFonts w:ascii="宋体" w:hAnsi="宋体"/>
          <w:bCs w:val="0"/>
          <w:color w:val="000000"/>
          <w:sz w:val="21"/>
          <w:szCs w:val="21"/>
        </w:rPr>
        <w:lastRenderedPageBreak/>
        <w:t>3</w:t>
      </w:r>
      <w:r w:rsidR="00643DBD">
        <w:rPr>
          <w:rFonts w:ascii="Times New Roman" w:hAnsi="Times New Roman"/>
          <w:bCs w:val="0"/>
          <w:color w:val="000000"/>
          <w:sz w:val="21"/>
          <w:szCs w:val="21"/>
        </w:rPr>
        <w:t xml:space="preserve">     </w:t>
      </w:r>
      <w:r w:rsidR="004C753B" w:rsidRPr="00A432E9">
        <w:rPr>
          <w:rFonts w:ascii="Times New Roman" w:hAnsi="Times New Roman"/>
          <w:bCs w:val="0"/>
          <w:color w:val="000000"/>
          <w:sz w:val="21"/>
          <w:szCs w:val="21"/>
        </w:rPr>
        <w:t>主要财务指标和</w:t>
      </w:r>
      <w:r w:rsidRPr="00A432E9">
        <w:rPr>
          <w:rFonts w:ascii="Times New Roman" w:hAnsi="Times New Roman"/>
          <w:bCs w:val="0"/>
          <w:color w:val="000000"/>
          <w:sz w:val="21"/>
          <w:szCs w:val="21"/>
        </w:rPr>
        <w:t>基金净值表现</w:t>
      </w:r>
      <w:bookmarkEnd w:id="63"/>
      <w:bookmarkEnd w:id="64"/>
      <w:bookmarkEnd w:id="65"/>
      <w:bookmarkEnd w:id="66"/>
      <w:bookmarkEnd w:id="67"/>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68" w:name="_Toc286996129"/>
      <w:bookmarkStart w:id="69" w:name="_Toc352255968"/>
      <w:bookmarkStart w:id="70" w:name="_Toc352256036"/>
      <w:bookmarkStart w:id="71" w:name="_Toc352331214"/>
      <w:bookmarkStart w:id="72" w:name="_Toc390164800"/>
      <w:bookmarkStart w:id="73" w:name="_Toc48663842"/>
      <w:r w:rsidRPr="0087359D">
        <w:rPr>
          <w:rFonts w:ascii="宋体" w:hAnsi="宋体"/>
          <w:kern w:val="0"/>
          <w:sz w:val="21"/>
          <w:szCs w:val="21"/>
        </w:rPr>
        <w:t>3.1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主要会计数据和财务指标</w:t>
      </w:r>
      <w:bookmarkEnd w:id="68"/>
      <w:bookmarkEnd w:id="69"/>
      <w:bookmarkEnd w:id="70"/>
      <w:bookmarkEnd w:id="71"/>
      <w:bookmarkEnd w:id="72"/>
      <w:bookmarkEnd w:id="73"/>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金额单位：人民币元</w:t>
      </w:r>
    </w:p>
    <w:tbl>
      <w:tblPr>
        <w:tblW w:w="93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D2230" w:rsidRPr="00C24ACA" w:rsidTr="005C3575">
        <w:trPr>
          <w:trHeight w:val="487"/>
        </w:trPr>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3.1.1</w:t>
            </w:r>
            <w:r w:rsidRPr="00C24ACA">
              <w:rPr>
                <w:rFonts w:eastAsiaTheme="minorEastAsia"/>
                <w:b/>
                <w:color w:val="000000"/>
                <w:szCs w:val="21"/>
              </w:rPr>
              <w:t>期间数据和指标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w:t>
            </w:r>
            <w:r w:rsidRPr="00C24ACA">
              <w:rPr>
                <w:rFonts w:eastAsiaTheme="minorEastAsia"/>
                <w:b/>
                <w:szCs w:val="21"/>
              </w:rPr>
              <w:t>2020</w:t>
            </w:r>
            <w:r w:rsidRPr="00C24ACA">
              <w:rPr>
                <w:rFonts w:eastAsiaTheme="minorEastAsia"/>
                <w:b/>
                <w:szCs w:val="21"/>
              </w:rPr>
              <w:t>年</w:t>
            </w:r>
            <w:r w:rsidRPr="00C24ACA">
              <w:rPr>
                <w:rFonts w:eastAsiaTheme="minorEastAsia"/>
                <w:b/>
                <w:szCs w:val="21"/>
              </w:rPr>
              <w:t>1</w:t>
            </w:r>
            <w:r w:rsidRPr="00C24ACA">
              <w:rPr>
                <w:rFonts w:eastAsiaTheme="minorEastAsia"/>
                <w:b/>
                <w:szCs w:val="21"/>
              </w:rPr>
              <w:t>月</w:t>
            </w:r>
            <w:r w:rsidRPr="00C24ACA">
              <w:rPr>
                <w:rFonts w:eastAsiaTheme="minorEastAsia"/>
                <w:b/>
                <w:szCs w:val="21"/>
              </w:rPr>
              <w:t>1</w:t>
            </w:r>
            <w:r w:rsidRPr="00C24ACA">
              <w:rPr>
                <w:rFonts w:eastAsiaTheme="minorEastAsia"/>
                <w:b/>
                <w:szCs w:val="21"/>
              </w:rPr>
              <w:t>日至</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1D2230" w:rsidRPr="00C24ACA" w:rsidTr="005C3575">
        <w:trPr>
          <w:trHeight w:val="487"/>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易方达香港恒生综合小型股指数（</w:t>
            </w:r>
            <w:r w:rsidRPr="00C24ACA">
              <w:rPr>
                <w:rFonts w:eastAsiaTheme="minorEastAsia"/>
                <w:szCs w:val="21"/>
              </w:rPr>
              <w:t>QDII-LOF</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易方达香港恒生综合小型股指数（</w:t>
            </w:r>
            <w:r w:rsidRPr="00C24ACA">
              <w:rPr>
                <w:rFonts w:eastAsiaTheme="minorEastAsia"/>
                <w:szCs w:val="21"/>
              </w:rPr>
              <w:t>QDII-LOF</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本期已实现收益</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-1,544,649.94</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-198,254.94</w:t>
            </w:r>
          </w:p>
        </w:tc>
      </w:tr>
      <w:tr w:rsidR="001D2230" w:rsidRPr="00C24ACA" w:rsidTr="005C3575">
        <w:trPr>
          <w:trHeight w:val="754"/>
        </w:trPr>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96,165.09</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43,259.79</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加权平均基金份额本期利润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0.0044</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0.0164</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本期加权平均净值利润率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0.40%</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1.50%</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本期基金份额净值增长率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2.00%</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2.09%</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3.1.2</w:t>
            </w:r>
            <w:r w:rsidRPr="00C24ACA">
              <w:rPr>
                <w:rFonts w:eastAsiaTheme="minorEastAsia"/>
                <w:b/>
                <w:color w:val="000000"/>
                <w:szCs w:val="21"/>
              </w:rPr>
              <w:t>期末数据和指标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rPr>
          <w:trHeight w:val="373"/>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易方达香港恒生综合小型股指数（</w:t>
            </w:r>
            <w:r w:rsidRPr="00C24ACA">
              <w:rPr>
                <w:rFonts w:eastAsiaTheme="minorEastAsia"/>
                <w:color w:val="000000"/>
                <w:szCs w:val="21"/>
              </w:rPr>
              <w:t>QDII-LOF</w:t>
            </w:r>
            <w:r w:rsidRPr="00C24ACA">
              <w:rPr>
                <w:rFonts w:eastAsiaTheme="minorEastAsia"/>
                <w:color w:val="000000"/>
                <w:szCs w:val="21"/>
              </w:rPr>
              <w:t>）</w:t>
            </w:r>
            <w:r w:rsidRPr="00C24ACA">
              <w:rPr>
                <w:rFonts w:eastAsiaTheme="minorEastAsia"/>
                <w:color w:val="000000"/>
                <w:szCs w:val="21"/>
              </w:rPr>
              <w:t>A</w:t>
            </w:r>
          </w:p>
        </w:tc>
        <w:tc>
          <w:tcPr>
            <w:tcW w:w="2558"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易方达香港恒生综合小型股指数（</w:t>
            </w:r>
            <w:r w:rsidRPr="00C24ACA">
              <w:rPr>
                <w:rFonts w:eastAsiaTheme="minorEastAsia"/>
                <w:color w:val="000000"/>
                <w:szCs w:val="21"/>
              </w:rPr>
              <w:t>QDII-LOF</w:t>
            </w:r>
            <w:r w:rsidRPr="00C24ACA">
              <w:rPr>
                <w:rFonts w:eastAsiaTheme="minorEastAsia"/>
                <w:color w:val="000000"/>
                <w:szCs w:val="21"/>
              </w:rPr>
              <w:t>）</w:t>
            </w:r>
            <w:r w:rsidRPr="00C24ACA">
              <w:rPr>
                <w:rFonts w:eastAsiaTheme="minorEastAsia"/>
                <w:color w:val="000000"/>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2,901,508.67</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282,723.83</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期末可供分配基金份额利润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0.1609</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0.1294</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期末基金资产净值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20,930,447.35</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2,530,222.45</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期末基金份额净值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1.1609</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1.1577</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3.1.3</w:t>
            </w:r>
            <w:r w:rsidRPr="00C24ACA">
              <w:rPr>
                <w:rFonts w:eastAsiaTheme="minorEastAsia"/>
                <w:b/>
                <w:color w:val="000000"/>
                <w:szCs w:val="21"/>
              </w:rPr>
              <w:t>累计期末指标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易方达香港恒生综合小型股指数（</w:t>
            </w:r>
            <w:r w:rsidRPr="00C24ACA">
              <w:rPr>
                <w:rFonts w:eastAsiaTheme="minorEastAsia"/>
                <w:szCs w:val="21"/>
              </w:rPr>
              <w:t>QDII-LOF</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易方达香港恒生综合小型股指数（</w:t>
            </w:r>
            <w:r w:rsidRPr="00C24ACA">
              <w:rPr>
                <w:rFonts w:eastAsiaTheme="minorEastAsia"/>
                <w:szCs w:val="21"/>
              </w:rPr>
              <w:t>QDII-LOF</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基金份额累计净值增长率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16.09%</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1.28%</w:t>
            </w:r>
          </w:p>
        </w:tc>
      </w:tr>
    </w:tbl>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所述基金业绩指标不包括持有人认购或交易基金的各项费用</w:t>
      </w:r>
      <w:r>
        <w:rPr>
          <w:rFonts w:eastAsiaTheme="minorEastAsia"/>
          <w:kern w:val="0"/>
          <w:szCs w:val="21"/>
        </w:rPr>
        <w:t>,</w:t>
      </w:r>
      <w:r>
        <w:rPr>
          <w:rFonts w:eastAsiaTheme="minorEastAsia"/>
          <w:kern w:val="0"/>
          <w:szCs w:val="21"/>
        </w:rPr>
        <w:t>计入费用后实际收益水平要低于所列数字。</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本期已实现收益指基金本期利息收入、投资收益、其他收入</w:t>
      </w:r>
      <w:r>
        <w:rPr>
          <w:rFonts w:eastAsiaTheme="minorEastAsia"/>
          <w:kern w:val="0"/>
          <w:szCs w:val="21"/>
        </w:rPr>
        <w:t>(</w:t>
      </w:r>
      <w:r>
        <w:rPr>
          <w:rFonts w:eastAsiaTheme="minorEastAsia"/>
          <w:kern w:val="0"/>
          <w:szCs w:val="21"/>
        </w:rPr>
        <w:t>不含公允价值变动收益</w:t>
      </w:r>
      <w:r>
        <w:rPr>
          <w:rFonts w:eastAsiaTheme="minorEastAsia"/>
          <w:kern w:val="0"/>
          <w:szCs w:val="21"/>
        </w:rPr>
        <w:t>)</w:t>
      </w:r>
      <w:r>
        <w:rPr>
          <w:rFonts w:eastAsiaTheme="minorEastAsia"/>
          <w:kern w:val="0"/>
          <w:szCs w:val="21"/>
        </w:rPr>
        <w:t>扣除相关费用后的余额</w:t>
      </w:r>
      <w:r>
        <w:rPr>
          <w:rFonts w:eastAsiaTheme="minorEastAsia"/>
          <w:kern w:val="0"/>
          <w:szCs w:val="21"/>
        </w:rPr>
        <w:t>,</w:t>
      </w:r>
      <w:r>
        <w:rPr>
          <w:rFonts w:eastAsiaTheme="minorEastAsia"/>
          <w:kern w:val="0"/>
          <w:szCs w:val="21"/>
        </w:rPr>
        <w:t>本期利润为本期已实现收益加上本期公允价值变动收益。</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3.</w:t>
      </w:r>
      <w:r w:rsidRPr="00C24ACA">
        <w:rPr>
          <w:rFonts w:eastAsiaTheme="minorEastAsia"/>
          <w:kern w:val="0"/>
          <w:szCs w:val="21"/>
        </w:rPr>
        <w:t>期末可供分配利润</w:t>
      </w:r>
      <w:r w:rsidRPr="00C24ACA">
        <w:rPr>
          <w:rFonts w:eastAsiaTheme="minorEastAsia"/>
          <w:kern w:val="0"/>
          <w:szCs w:val="21"/>
        </w:rPr>
        <w:t>,</w:t>
      </w:r>
      <w:r w:rsidRPr="00C24ACA">
        <w:rPr>
          <w:rFonts w:eastAsiaTheme="minorEastAsia"/>
          <w:kern w:val="0"/>
          <w:szCs w:val="21"/>
        </w:rPr>
        <w:t>为期末资产负债表中未分配利润与未分配利润中已实现部分的孰低数。</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74" w:name="_Toc225498252"/>
      <w:bookmarkStart w:id="75" w:name="_Toc352255969"/>
      <w:bookmarkStart w:id="76" w:name="_Toc352256037"/>
      <w:bookmarkStart w:id="77" w:name="_Toc352331215"/>
      <w:bookmarkStart w:id="78" w:name="_Toc390164801"/>
      <w:bookmarkStart w:id="79" w:name="_Toc48663843"/>
      <w:r w:rsidRPr="0087359D">
        <w:rPr>
          <w:rFonts w:ascii="宋体" w:hAnsi="宋体"/>
          <w:kern w:val="0"/>
          <w:sz w:val="21"/>
          <w:szCs w:val="21"/>
        </w:rPr>
        <w:t>3.2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基金净值表现</w:t>
      </w:r>
      <w:bookmarkEnd w:id="74"/>
      <w:bookmarkEnd w:id="75"/>
      <w:bookmarkEnd w:id="76"/>
      <w:bookmarkEnd w:id="77"/>
      <w:bookmarkEnd w:id="78"/>
      <w:bookmarkEnd w:id="79"/>
    </w:p>
    <w:p w:rsidR="008A5A5D" w:rsidRPr="00C24ACA" w:rsidRDefault="008A5A5D" w:rsidP="00635EA5">
      <w:pPr>
        <w:autoSpaceDE w:val="0"/>
        <w:autoSpaceDN w:val="0"/>
        <w:adjustRightInd w:val="0"/>
        <w:spacing w:line="360" w:lineRule="auto"/>
        <w:jc w:val="left"/>
        <w:rPr>
          <w:rFonts w:eastAsiaTheme="minorEastAsia"/>
          <w:b/>
          <w:color w:val="000000"/>
          <w:kern w:val="0"/>
          <w:szCs w:val="21"/>
        </w:rPr>
      </w:pPr>
      <w:r w:rsidRPr="00C24ACA">
        <w:rPr>
          <w:rFonts w:eastAsiaTheme="minorEastAsia"/>
          <w:b/>
          <w:color w:val="000000"/>
          <w:kern w:val="0"/>
          <w:szCs w:val="21"/>
        </w:rPr>
        <w:t xml:space="preserve">3.2.1 </w:t>
      </w:r>
      <w:r w:rsidRPr="00C24ACA">
        <w:rPr>
          <w:rFonts w:eastAsiaTheme="minorEastAsia"/>
          <w:b/>
          <w:color w:val="000000"/>
          <w:kern w:val="0"/>
          <w:szCs w:val="21"/>
        </w:rPr>
        <w:t>基金份额净值增长率及其与同期业绩比较基准收益率的比较</w:t>
      </w:r>
    </w:p>
    <w:p w:rsidR="00FC6E91" w:rsidRPr="00C24ACA" w:rsidRDefault="00FC6E91" w:rsidP="00FC6E91">
      <w:pPr>
        <w:pStyle w:val="21"/>
        <w:spacing w:line="360"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易方达香港恒生综合小型股指数（</w:t>
      </w:r>
      <w:r w:rsidRPr="00C24ACA">
        <w:rPr>
          <w:rFonts w:ascii="Times New Roman" w:eastAsiaTheme="minorEastAsia" w:hAnsi="Times New Roman"/>
          <w:color w:val="auto"/>
          <w:sz w:val="21"/>
          <w:szCs w:val="21"/>
        </w:rPr>
        <w:t>QDII-LOF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7B4EE4">
        <w:tc>
          <w:tcPr>
            <w:tcW w:w="1620" w:type="dxa"/>
            <w:vAlign w:val="center"/>
          </w:tcPr>
          <w:p w:rsidR="007B4EE4" w:rsidRDefault="00B833D5">
            <w:pPr>
              <w:jc w:val="left"/>
            </w:pPr>
            <w:r>
              <w:rPr>
                <w:rFonts w:eastAsiaTheme="minorEastAsia"/>
                <w:color w:val="000000"/>
                <w:szCs w:val="21"/>
              </w:rPr>
              <w:lastRenderedPageBreak/>
              <w:t>过去一个月</w:t>
            </w:r>
          </w:p>
        </w:tc>
        <w:tc>
          <w:tcPr>
            <w:tcW w:w="1350" w:type="dxa"/>
            <w:vAlign w:val="center"/>
          </w:tcPr>
          <w:p w:rsidR="007B4EE4" w:rsidRDefault="00B833D5">
            <w:pPr>
              <w:jc w:val="center"/>
            </w:pPr>
            <w:r>
              <w:rPr>
                <w:rFonts w:eastAsiaTheme="minorEastAsia"/>
                <w:color w:val="000000"/>
                <w:szCs w:val="21"/>
              </w:rPr>
              <w:t>7.85%</w:t>
            </w:r>
          </w:p>
        </w:tc>
        <w:tc>
          <w:tcPr>
            <w:tcW w:w="1350" w:type="dxa"/>
            <w:vAlign w:val="center"/>
          </w:tcPr>
          <w:p w:rsidR="007B4EE4" w:rsidRDefault="00B833D5">
            <w:pPr>
              <w:jc w:val="center"/>
            </w:pPr>
            <w:r>
              <w:rPr>
                <w:rFonts w:eastAsiaTheme="minorEastAsia"/>
                <w:color w:val="000000"/>
                <w:szCs w:val="21"/>
              </w:rPr>
              <w:t>1.06%</w:t>
            </w:r>
          </w:p>
        </w:tc>
        <w:tc>
          <w:tcPr>
            <w:tcW w:w="1350" w:type="dxa"/>
            <w:vAlign w:val="center"/>
          </w:tcPr>
          <w:p w:rsidR="007B4EE4" w:rsidRDefault="00B833D5">
            <w:pPr>
              <w:jc w:val="center"/>
            </w:pPr>
            <w:r>
              <w:rPr>
                <w:rFonts w:eastAsiaTheme="minorEastAsia"/>
                <w:color w:val="000000"/>
                <w:szCs w:val="21"/>
              </w:rPr>
              <w:t>6.97%</w:t>
            </w:r>
          </w:p>
        </w:tc>
        <w:tc>
          <w:tcPr>
            <w:tcW w:w="1350" w:type="dxa"/>
            <w:vAlign w:val="center"/>
          </w:tcPr>
          <w:p w:rsidR="007B4EE4" w:rsidRDefault="00B833D5">
            <w:pPr>
              <w:jc w:val="center"/>
            </w:pPr>
            <w:r>
              <w:rPr>
                <w:rFonts w:eastAsiaTheme="minorEastAsia"/>
                <w:color w:val="000000"/>
                <w:szCs w:val="21"/>
              </w:rPr>
              <w:t>1.02%</w:t>
            </w:r>
          </w:p>
        </w:tc>
        <w:tc>
          <w:tcPr>
            <w:tcW w:w="1350" w:type="dxa"/>
            <w:vAlign w:val="center"/>
          </w:tcPr>
          <w:p w:rsidR="007B4EE4" w:rsidRDefault="00B833D5">
            <w:pPr>
              <w:jc w:val="center"/>
            </w:pPr>
            <w:r>
              <w:rPr>
                <w:rFonts w:eastAsiaTheme="minorEastAsia"/>
                <w:color w:val="000000"/>
                <w:szCs w:val="21"/>
              </w:rPr>
              <w:t>0.88%</w:t>
            </w:r>
          </w:p>
        </w:tc>
        <w:tc>
          <w:tcPr>
            <w:tcW w:w="1350" w:type="dxa"/>
            <w:vAlign w:val="center"/>
          </w:tcPr>
          <w:p w:rsidR="007B4EE4" w:rsidRDefault="00B833D5">
            <w:pPr>
              <w:jc w:val="center"/>
            </w:pPr>
            <w:r>
              <w:rPr>
                <w:rFonts w:eastAsiaTheme="minorEastAsia"/>
                <w:color w:val="000000"/>
                <w:szCs w:val="21"/>
              </w:rPr>
              <w:t>0.04%</w:t>
            </w:r>
          </w:p>
        </w:tc>
      </w:tr>
      <w:tr w:rsidR="007B4EE4">
        <w:tc>
          <w:tcPr>
            <w:tcW w:w="1620" w:type="dxa"/>
            <w:vAlign w:val="center"/>
          </w:tcPr>
          <w:p w:rsidR="007B4EE4" w:rsidRDefault="00B833D5">
            <w:pPr>
              <w:jc w:val="left"/>
            </w:pPr>
            <w:r>
              <w:rPr>
                <w:rFonts w:eastAsiaTheme="minorEastAsia"/>
                <w:color w:val="000000"/>
                <w:szCs w:val="21"/>
              </w:rPr>
              <w:t>过去三个月</w:t>
            </w:r>
          </w:p>
        </w:tc>
        <w:tc>
          <w:tcPr>
            <w:tcW w:w="1350" w:type="dxa"/>
            <w:vAlign w:val="center"/>
          </w:tcPr>
          <w:p w:rsidR="007B4EE4" w:rsidRDefault="00B833D5">
            <w:pPr>
              <w:jc w:val="center"/>
            </w:pPr>
            <w:r>
              <w:rPr>
                <w:rFonts w:eastAsiaTheme="minorEastAsia"/>
                <w:color w:val="000000"/>
                <w:szCs w:val="21"/>
              </w:rPr>
              <w:t>13.45%</w:t>
            </w:r>
          </w:p>
        </w:tc>
        <w:tc>
          <w:tcPr>
            <w:tcW w:w="1350" w:type="dxa"/>
            <w:vAlign w:val="center"/>
          </w:tcPr>
          <w:p w:rsidR="007B4EE4" w:rsidRDefault="00B833D5">
            <w:pPr>
              <w:jc w:val="center"/>
            </w:pPr>
            <w:r>
              <w:rPr>
                <w:rFonts w:eastAsiaTheme="minorEastAsia"/>
                <w:color w:val="000000"/>
                <w:szCs w:val="21"/>
              </w:rPr>
              <w:t>1.27%</w:t>
            </w:r>
          </w:p>
        </w:tc>
        <w:tc>
          <w:tcPr>
            <w:tcW w:w="1350" w:type="dxa"/>
            <w:vAlign w:val="center"/>
          </w:tcPr>
          <w:p w:rsidR="007B4EE4" w:rsidRDefault="00B833D5">
            <w:pPr>
              <w:jc w:val="center"/>
            </w:pPr>
            <w:r>
              <w:rPr>
                <w:rFonts w:eastAsiaTheme="minorEastAsia"/>
                <w:color w:val="000000"/>
                <w:szCs w:val="21"/>
              </w:rPr>
              <w:t>13.01%</w:t>
            </w:r>
          </w:p>
        </w:tc>
        <w:tc>
          <w:tcPr>
            <w:tcW w:w="1350" w:type="dxa"/>
            <w:vAlign w:val="center"/>
          </w:tcPr>
          <w:p w:rsidR="007B4EE4" w:rsidRDefault="00B833D5">
            <w:pPr>
              <w:jc w:val="center"/>
            </w:pPr>
            <w:r>
              <w:rPr>
                <w:rFonts w:eastAsiaTheme="minorEastAsia"/>
                <w:color w:val="000000"/>
                <w:szCs w:val="21"/>
              </w:rPr>
              <w:t>1.23%</w:t>
            </w:r>
          </w:p>
        </w:tc>
        <w:tc>
          <w:tcPr>
            <w:tcW w:w="1350" w:type="dxa"/>
            <w:vAlign w:val="center"/>
          </w:tcPr>
          <w:p w:rsidR="007B4EE4" w:rsidRDefault="00B833D5">
            <w:pPr>
              <w:jc w:val="center"/>
            </w:pPr>
            <w:r>
              <w:rPr>
                <w:rFonts w:eastAsiaTheme="minorEastAsia"/>
                <w:color w:val="000000"/>
                <w:szCs w:val="21"/>
              </w:rPr>
              <w:t>0.44%</w:t>
            </w:r>
          </w:p>
        </w:tc>
        <w:tc>
          <w:tcPr>
            <w:tcW w:w="1350" w:type="dxa"/>
            <w:vAlign w:val="center"/>
          </w:tcPr>
          <w:p w:rsidR="007B4EE4" w:rsidRDefault="00B833D5">
            <w:pPr>
              <w:jc w:val="center"/>
            </w:pPr>
            <w:r>
              <w:rPr>
                <w:rFonts w:eastAsiaTheme="minorEastAsia"/>
                <w:color w:val="000000"/>
                <w:szCs w:val="21"/>
              </w:rPr>
              <w:t>0.04%</w:t>
            </w:r>
          </w:p>
        </w:tc>
      </w:tr>
      <w:tr w:rsidR="007B4EE4">
        <w:tc>
          <w:tcPr>
            <w:tcW w:w="1620" w:type="dxa"/>
            <w:vAlign w:val="center"/>
          </w:tcPr>
          <w:p w:rsidR="007B4EE4" w:rsidRDefault="00B833D5">
            <w:pPr>
              <w:jc w:val="left"/>
            </w:pPr>
            <w:r>
              <w:rPr>
                <w:rFonts w:eastAsiaTheme="minorEastAsia"/>
                <w:color w:val="000000"/>
                <w:szCs w:val="21"/>
              </w:rPr>
              <w:t>过去六个月</w:t>
            </w:r>
          </w:p>
        </w:tc>
        <w:tc>
          <w:tcPr>
            <w:tcW w:w="1350" w:type="dxa"/>
            <w:vAlign w:val="center"/>
          </w:tcPr>
          <w:p w:rsidR="007B4EE4" w:rsidRDefault="00B833D5">
            <w:pPr>
              <w:jc w:val="center"/>
            </w:pPr>
            <w:r>
              <w:rPr>
                <w:rFonts w:eastAsiaTheme="minorEastAsia"/>
                <w:color w:val="000000"/>
                <w:szCs w:val="21"/>
              </w:rPr>
              <w:t>2.00%</w:t>
            </w:r>
          </w:p>
        </w:tc>
        <w:tc>
          <w:tcPr>
            <w:tcW w:w="1350" w:type="dxa"/>
            <w:vAlign w:val="center"/>
          </w:tcPr>
          <w:p w:rsidR="007B4EE4" w:rsidRDefault="00B833D5">
            <w:pPr>
              <w:jc w:val="center"/>
            </w:pPr>
            <w:r>
              <w:rPr>
                <w:rFonts w:eastAsiaTheme="minorEastAsia"/>
                <w:color w:val="000000"/>
                <w:szCs w:val="21"/>
              </w:rPr>
              <w:t>1.74%</w:t>
            </w:r>
          </w:p>
        </w:tc>
        <w:tc>
          <w:tcPr>
            <w:tcW w:w="1350" w:type="dxa"/>
            <w:vAlign w:val="center"/>
          </w:tcPr>
          <w:p w:rsidR="007B4EE4" w:rsidRDefault="00B833D5">
            <w:pPr>
              <w:jc w:val="center"/>
            </w:pPr>
            <w:r>
              <w:rPr>
                <w:rFonts w:eastAsiaTheme="minorEastAsia"/>
                <w:color w:val="000000"/>
                <w:szCs w:val="21"/>
              </w:rPr>
              <w:t>0.81%</w:t>
            </w:r>
          </w:p>
        </w:tc>
        <w:tc>
          <w:tcPr>
            <w:tcW w:w="1350" w:type="dxa"/>
            <w:vAlign w:val="center"/>
          </w:tcPr>
          <w:p w:rsidR="007B4EE4" w:rsidRDefault="00B833D5">
            <w:pPr>
              <w:jc w:val="center"/>
            </w:pPr>
            <w:r>
              <w:rPr>
                <w:rFonts w:eastAsiaTheme="minorEastAsia"/>
                <w:color w:val="000000"/>
                <w:szCs w:val="21"/>
              </w:rPr>
              <w:t>1.74%</w:t>
            </w:r>
          </w:p>
        </w:tc>
        <w:tc>
          <w:tcPr>
            <w:tcW w:w="1350" w:type="dxa"/>
            <w:vAlign w:val="center"/>
          </w:tcPr>
          <w:p w:rsidR="007B4EE4" w:rsidRDefault="00B833D5">
            <w:pPr>
              <w:jc w:val="center"/>
            </w:pPr>
            <w:r>
              <w:rPr>
                <w:rFonts w:eastAsiaTheme="minorEastAsia"/>
                <w:color w:val="000000"/>
                <w:szCs w:val="21"/>
              </w:rPr>
              <w:t>1.19%</w:t>
            </w:r>
          </w:p>
        </w:tc>
        <w:tc>
          <w:tcPr>
            <w:tcW w:w="1350" w:type="dxa"/>
            <w:vAlign w:val="center"/>
          </w:tcPr>
          <w:p w:rsidR="007B4EE4" w:rsidRDefault="00B833D5">
            <w:pPr>
              <w:jc w:val="center"/>
            </w:pPr>
            <w:r>
              <w:rPr>
                <w:rFonts w:eastAsiaTheme="minorEastAsia"/>
                <w:color w:val="000000"/>
                <w:szCs w:val="21"/>
              </w:rPr>
              <w:t>0.00%</w:t>
            </w:r>
          </w:p>
        </w:tc>
      </w:tr>
      <w:tr w:rsidR="007B4EE4">
        <w:tc>
          <w:tcPr>
            <w:tcW w:w="1620" w:type="dxa"/>
            <w:vAlign w:val="center"/>
          </w:tcPr>
          <w:p w:rsidR="007B4EE4" w:rsidRDefault="00B833D5">
            <w:pPr>
              <w:jc w:val="left"/>
            </w:pPr>
            <w:r>
              <w:rPr>
                <w:rFonts w:eastAsiaTheme="minorEastAsia"/>
                <w:color w:val="000000"/>
                <w:szCs w:val="21"/>
              </w:rPr>
              <w:t>过去一年</w:t>
            </w:r>
          </w:p>
        </w:tc>
        <w:tc>
          <w:tcPr>
            <w:tcW w:w="1350" w:type="dxa"/>
            <w:vAlign w:val="center"/>
          </w:tcPr>
          <w:p w:rsidR="007B4EE4" w:rsidRDefault="00B833D5">
            <w:pPr>
              <w:jc w:val="center"/>
            </w:pPr>
            <w:r>
              <w:rPr>
                <w:rFonts w:eastAsiaTheme="minorEastAsia"/>
                <w:color w:val="000000"/>
                <w:szCs w:val="21"/>
              </w:rPr>
              <w:t>5.49%</w:t>
            </w:r>
          </w:p>
        </w:tc>
        <w:tc>
          <w:tcPr>
            <w:tcW w:w="1350" w:type="dxa"/>
            <w:vAlign w:val="center"/>
          </w:tcPr>
          <w:p w:rsidR="007B4EE4" w:rsidRDefault="00B833D5">
            <w:pPr>
              <w:jc w:val="center"/>
            </w:pPr>
            <w:r>
              <w:rPr>
                <w:rFonts w:eastAsiaTheme="minorEastAsia"/>
                <w:color w:val="000000"/>
                <w:szCs w:val="21"/>
              </w:rPr>
              <w:t>1.34%</w:t>
            </w:r>
          </w:p>
        </w:tc>
        <w:tc>
          <w:tcPr>
            <w:tcW w:w="1350" w:type="dxa"/>
            <w:vAlign w:val="center"/>
          </w:tcPr>
          <w:p w:rsidR="007B4EE4" w:rsidRDefault="00B833D5">
            <w:pPr>
              <w:jc w:val="center"/>
            </w:pPr>
            <w:r>
              <w:rPr>
                <w:rFonts w:eastAsiaTheme="minorEastAsia"/>
                <w:color w:val="000000"/>
                <w:szCs w:val="21"/>
              </w:rPr>
              <w:t>0.72%</w:t>
            </w:r>
          </w:p>
        </w:tc>
        <w:tc>
          <w:tcPr>
            <w:tcW w:w="1350" w:type="dxa"/>
            <w:vAlign w:val="center"/>
          </w:tcPr>
          <w:p w:rsidR="007B4EE4" w:rsidRDefault="00B833D5">
            <w:pPr>
              <w:jc w:val="center"/>
            </w:pPr>
            <w:r>
              <w:rPr>
                <w:rFonts w:eastAsiaTheme="minorEastAsia"/>
                <w:color w:val="000000"/>
                <w:szCs w:val="21"/>
              </w:rPr>
              <w:t>1.34%</w:t>
            </w:r>
          </w:p>
        </w:tc>
        <w:tc>
          <w:tcPr>
            <w:tcW w:w="1350" w:type="dxa"/>
            <w:vAlign w:val="center"/>
          </w:tcPr>
          <w:p w:rsidR="007B4EE4" w:rsidRDefault="00B833D5">
            <w:pPr>
              <w:jc w:val="center"/>
            </w:pPr>
            <w:r>
              <w:rPr>
                <w:rFonts w:eastAsiaTheme="minorEastAsia"/>
                <w:color w:val="000000"/>
                <w:szCs w:val="21"/>
              </w:rPr>
              <w:t>4.77%</w:t>
            </w:r>
          </w:p>
        </w:tc>
        <w:tc>
          <w:tcPr>
            <w:tcW w:w="1350" w:type="dxa"/>
            <w:vAlign w:val="center"/>
          </w:tcPr>
          <w:p w:rsidR="007B4EE4" w:rsidRDefault="00B833D5">
            <w:pPr>
              <w:jc w:val="center"/>
            </w:pPr>
            <w:r>
              <w:rPr>
                <w:rFonts w:eastAsiaTheme="minorEastAsia"/>
                <w:color w:val="000000"/>
                <w:szCs w:val="21"/>
              </w:rPr>
              <w:t>0.00%</w:t>
            </w:r>
          </w:p>
        </w:tc>
      </w:tr>
      <w:tr w:rsidR="007B4EE4">
        <w:tc>
          <w:tcPr>
            <w:tcW w:w="1620" w:type="dxa"/>
            <w:vAlign w:val="center"/>
          </w:tcPr>
          <w:p w:rsidR="007B4EE4" w:rsidRDefault="00B833D5">
            <w:pPr>
              <w:jc w:val="left"/>
            </w:pPr>
            <w:r>
              <w:rPr>
                <w:rFonts w:eastAsiaTheme="minorEastAsia"/>
                <w:color w:val="000000"/>
                <w:szCs w:val="21"/>
              </w:rPr>
              <w:t>过去三年</w:t>
            </w:r>
          </w:p>
        </w:tc>
        <w:tc>
          <w:tcPr>
            <w:tcW w:w="1350" w:type="dxa"/>
            <w:vAlign w:val="center"/>
          </w:tcPr>
          <w:p w:rsidR="007B4EE4" w:rsidRDefault="00B833D5">
            <w:pPr>
              <w:jc w:val="center"/>
            </w:pPr>
            <w:r>
              <w:rPr>
                <w:rFonts w:eastAsiaTheme="minorEastAsia"/>
                <w:color w:val="000000"/>
                <w:szCs w:val="21"/>
              </w:rPr>
              <w:t>11.29%</w:t>
            </w:r>
          </w:p>
        </w:tc>
        <w:tc>
          <w:tcPr>
            <w:tcW w:w="1350" w:type="dxa"/>
            <w:vAlign w:val="center"/>
          </w:tcPr>
          <w:p w:rsidR="007B4EE4" w:rsidRDefault="00B833D5">
            <w:pPr>
              <w:jc w:val="center"/>
            </w:pPr>
            <w:r>
              <w:rPr>
                <w:rFonts w:eastAsiaTheme="minorEastAsia"/>
                <w:color w:val="000000"/>
                <w:szCs w:val="21"/>
              </w:rPr>
              <w:t>1.25%</w:t>
            </w:r>
          </w:p>
        </w:tc>
        <w:tc>
          <w:tcPr>
            <w:tcW w:w="1350" w:type="dxa"/>
            <w:vAlign w:val="center"/>
          </w:tcPr>
          <w:p w:rsidR="007B4EE4" w:rsidRDefault="00B833D5">
            <w:pPr>
              <w:jc w:val="center"/>
            </w:pPr>
            <w:r>
              <w:rPr>
                <w:rFonts w:eastAsiaTheme="minorEastAsia"/>
                <w:color w:val="000000"/>
                <w:szCs w:val="21"/>
              </w:rPr>
              <w:t>-2.05%</w:t>
            </w:r>
          </w:p>
        </w:tc>
        <w:tc>
          <w:tcPr>
            <w:tcW w:w="1350" w:type="dxa"/>
            <w:vAlign w:val="center"/>
          </w:tcPr>
          <w:p w:rsidR="007B4EE4" w:rsidRDefault="00B833D5">
            <w:pPr>
              <w:jc w:val="center"/>
            </w:pPr>
            <w:r>
              <w:rPr>
                <w:rFonts w:eastAsiaTheme="minorEastAsia"/>
                <w:color w:val="000000"/>
                <w:szCs w:val="21"/>
              </w:rPr>
              <w:t>1.23%</w:t>
            </w:r>
          </w:p>
        </w:tc>
        <w:tc>
          <w:tcPr>
            <w:tcW w:w="1350" w:type="dxa"/>
            <w:vAlign w:val="center"/>
          </w:tcPr>
          <w:p w:rsidR="007B4EE4" w:rsidRDefault="00B833D5">
            <w:pPr>
              <w:jc w:val="center"/>
            </w:pPr>
            <w:r>
              <w:rPr>
                <w:rFonts w:eastAsiaTheme="minorEastAsia"/>
                <w:color w:val="000000"/>
                <w:szCs w:val="21"/>
              </w:rPr>
              <w:t>13.34%</w:t>
            </w:r>
          </w:p>
        </w:tc>
        <w:tc>
          <w:tcPr>
            <w:tcW w:w="1350" w:type="dxa"/>
            <w:vAlign w:val="center"/>
          </w:tcPr>
          <w:p w:rsidR="007B4EE4" w:rsidRDefault="00B833D5">
            <w:pPr>
              <w:jc w:val="center"/>
            </w:pPr>
            <w:r>
              <w:rPr>
                <w:rFonts w:eastAsiaTheme="minorEastAsia"/>
                <w:color w:val="000000"/>
                <w:szCs w:val="21"/>
              </w:rPr>
              <w:t>0.02%</w:t>
            </w:r>
          </w:p>
        </w:tc>
      </w:tr>
      <w:tr w:rsidR="007B4EE4">
        <w:tc>
          <w:tcPr>
            <w:tcW w:w="1620" w:type="dxa"/>
            <w:vAlign w:val="center"/>
          </w:tcPr>
          <w:p w:rsidR="007B4EE4" w:rsidRDefault="00B833D5">
            <w:pPr>
              <w:jc w:val="left"/>
            </w:pPr>
            <w:r>
              <w:rPr>
                <w:rFonts w:eastAsiaTheme="minorEastAsia"/>
                <w:color w:val="000000"/>
                <w:szCs w:val="21"/>
              </w:rPr>
              <w:t>自基金合同生效起至今</w:t>
            </w:r>
          </w:p>
        </w:tc>
        <w:tc>
          <w:tcPr>
            <w:tcW w:w="1350" w:type="dxa"/>
            <w:vAlign w:val="center"/>
          </w:tcPr>
          <w:p w:rsidR="007B4EE4" w:rsidRDefault="00B833D5">
            <w:pPr>
              <w:jc w:val="center"/>
            </w:pPr>
            <w:r>
              <w:rPr>
                <w:rFonts w:eastAsiaTheme="minorEastAsia"/>
                <w:color w:val="000000"/>
                <w:szCs w:val="21"/>
              </w:rPr>
              <w:t>16.09%</w:t>
            </w:r>
          </w:p>
        </w:tc>
        <w:tc>
          <w:tcPr>
            <w:tcW w:w="1350" w:type="dxa"/>
            <w:vAlign w:val="center"/>
          </w:tcPr>
          <w:p w:rsidR="007B4EE4" w:rsidRDefault="00B833D5">
            <w:pPr>
              <w:jc w:val="center"/>
            </w:pPr>
            <w:r>
              <w:rPr>
                <w:rFonts w:eastAsiaTheme="minorEastAsia"/>
                <w:color w:val="000000"/>
                <w:szCs w:val="21"/>
              </w:rPr>
              <w:t>1.17%</w:t>
            </w:r>
          </w:p>
        </w:tc>
        <w:tc>
          <w:tcPr>
            <w:tcW w:w="1350" w:type="dxa"/>
            <w:vAlign w:val="center"/>
          </w:tcPr>
          <w:p w:rsidR="007B4EE4" w:rsidRDefault="00B833D5">
            <w:pPr>
              <w:jc w:val="center"/>
            </w:pPr>
            <w:r>
              <w:rPr>
                <w:rFonts w:eastAsiaTheme="minorEastAsia"/>
                <w:color w:val="000000"/>
                <w:szCs w:val="21"/>
              </w:rPr>
              <w:t>0.48%</w:t>
            </w:r>
          </w:p>
        </w:tc>
        <w:tc>
          <w:tcPr>
            <w:tcW w:w="1350" w:type="dxa"/>
            <w:vAlign w:val="center"/>
          </w:tcPr>
          <w:p w:rsidR="007B4EE4" w:rsidRDefault="00B833D5">
            <w:pPr>
              <w:jc w:val="center"/>
            </w:pPr>
            <w:r>
              <w:rPr>
                <w:rFonts w:eastAsiaTheme="minorEastAsia"/>
                <w:color w:val="000000"/>
                <w:szCs w:val="21"/>
              </w:rPr>
              <w:t>1.16%</w:t>
            </w:r>
          </w:p>
        </w:tc>
        <w:tc>
          <w:tcPr>
            <w:tcW w:w="1350" w:type="dxa"/>
            <w:vAlign w:val="center"/>
          </w:tcPr>
          <w:p w:rsidR="007B4EE4" w:rsidRDefault="00B833D5">
            <w:pPr>
              <w:jc w:val="center"/>
            </w:pPr>
            <w:r>
              <w:rPr>
                <w:rFonts w:eastAsiaTheme="minorEastAsia"/>
                <w:color w:val="000000"/>
                <w:szCs w:val="21"/>
              </w:rPr>
              <w:t>15.61%</w:t>
            </w:r>
          </w:p>
        </w:tc>
        <w:tc>
          <w:tcPr>
            <w:tcW w:w="1350" w:type="dxa"/>
            <w:vAlign w:val="center"/>
          </w:tcPr>
          <w:p w:rsidR="007B4EE4" w:rsidRDefault="00B833D5">
            <w:pPr>
              <w:jc w:val="center"/>
            </w:pPr>
            <w:r>
              <w:rPr>
                <w:rFonts w:eastAsiaTheme="minorEastAsia"/>
                <w:color w:val="000000"/>
                <w:szCs w:val="21"/>
              </w:rPr>
              <w:t>0.01%</w:t>
            </w:r>
          </w:p>
        </w:tc>
      </w:tr>
    </w:tbl>
    <w:p w:rsidR="00FC6E91" w:rsidRPr="00C24ACA" w:rsidRDefault="00FC6E91" w:rsidP="00FC6E91">
      <w:pPr>
        <w:pStyle w:val="21"/>
        <w:spacing w:line="288"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易方达香港恒生综合小型股指数（</w:t>
      </w:r>
      <w:r w:rsidRPr="00C24ACA">
        <w:rPr>
          <w:rFonts w:ascii="Times New Roman" w:eastAsiaTheme="minorEastAsia" w:hAnsi="Times New Roman"/>
          <w:color w:val="auto"/>
          <w:sz w:val="21"/>
          <w:szCs w:val="21"/>
        </w:rPr>
        <w:t>QDII-LOF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7B4EE4">
        <w:tc>
          <w:tcPr>
            <w:tcW w:w="1620" w:type="dxa"/>
            <w:vAlign w:val="center"/>
          </w:tcPr>
          <w:p w:rsidR="007B4EE4" w:rsidRDefault="00B833D5">
            <w:pPr>
              <w:jc w:val="left"/>
            </w:pPr>
            <w:r>
              <w:rPr>
                <w:rFonts w:eastAsiaTheme="minorEastAsia"/>
                <w:color w:val="000000"/>
                <w:szCs w:val="21"/>
              </w:rPr>
              <w:t>过去一个月</w:t>
            </w:r>
          </w:p>
        </w:tc>
        <w:tc>
          <w:tcPr>
            <w:tcW w:w="1350" w:type="dxa"/>
            <w:vAlign w:val="center"/>
          </w:tcPr>
          <w:p w:rsidR="007B4EE4" w:rsidRDefault="00B833D5">
            <w:pPr>
              <w:jc w:val="center"/>
            </w:pPr>
            <w:r>
              <w:rPr>
                <w:rFonts w:eastAsiaTheme="minorEastAsia"/>
                <w:color w:val="000000"/>
                <w:szCs w:val="21"/>
              </w:rPr>
              <w:t>7.83%</w:t>
            </w:r>
          </w:p>
        </w:tc>
        <w:tc>
          <w:tcPr>
            <w:tcW w:w="1350" w:type="dxa"/>
            <w:vAlign w:val="center"/>
          </w:tcPr>
          <w:p w:rsidR="007B4EE4" w:rsidRDefault="00B833D5">
            <w:pPr>
              <w:jc w:val="center"/>
            </w:pPr>
            <w:r>
              <w:rPr>
                <w:rFonts w:eastAsiaTheme="minorEastAsia"/>
                <w:color w:val="000000"/>
                <w:szCs w:val="21"/>
              </w:rPr>
              <w:t>1.06%</w:t>
            </w:r>
          </w:p>
        </w:tc>
        <w:tc>
          <w:tcPr>
            <w:tcW w:w="1350" w:type="dxa"/>
            <w:vAlign w:val="center"/>
          </w:tcPr>
          <w:p w:rsidR="007B4EE4" w:rsidRDefault="00B833D5">
            <w:pPr>
              <w:jc w:val="center"/>
            </w:pPr>
            <w:r>
              <w:rPr>
                <w:rFonts w:eastAsiaTheme="minorEastAsia"/>
                <w:color w:val="000000"/>
                <w:szCs w:val="21"/>
              </w:rPr>
              <w:t>6.97%</w:t>
            </w:r>
          </w:p>
        </w:tc>
        <w:tc>
          <w:tcPr>
            <w:tcW w:w="1350" w:type="dxa"/>
            <w:vAlign w:val="center"/>
          </w:tcPr>
          <w:p w:rsidR="007B4EE4" w:rsidRDefault="00B833D5">
            <w:pPr>
              <w:jc w:val="center"/>
            </w:pPr>
            <w:r>
              <w:rPr>
                <w:rFonts w:eastAsiaTheme="minorEastAsia"/>
                <w:color w:val="000000"/>
                <w:szCs w:val="21"/>
              </w:rPr>
              <w:t>1.02%</w:t>
            </w:r>
          </w:p>
        </w:tc>
        <w:tc>
          <w:tcPr>
            <w:tcW w:w="1350" w:type="dxa"/>
            <w:vAlign w:val="center"/>
          </w:tcPr>
          <w:p w:rsidR="007B4EE4" w:rsidRDefault="00B833D5">
            <w:pPr>
              <w:jc w:val="center"/>
            </w:pPr>
            <w:r>
              <w:rPr>
                <w:rFonts w:eastAsiaTheme="minorEastAsia"/>
                <w:color w:val="000000"/>
                <w:szCs w:val="21"/>
              </w:rPr>
              <w:t>0.86%</w:t>
            </w:r>
          </w:p>
        </w:tc>
        <w:tc>
          <w:tcPr>
            <w:tcW w:w="1350" w:type="dxa"/>
            <w:vAlign w:val="center"/>
          </w:tcPr>
          <w:p w:rsidR="007B4EE4" w:rsidRDefault="00B833D5">
            <w:pPr>
              <w:jc w:val="center"/>
            </w:pPr>
            <w:r>
              <w:rPr>
                <w:rFonts w:eastAsiaTheme="minorEastAsia"/>
                <w:color w:val="000000"/>
                <w:szCs w:val="21"/>
              </w:rPr>
              <w:t>0.04%</w:t>
            </w:r>
          </w:p>
        </w:tc>
      </w:tr>
      <w:tr w:rsidR="007B4EE4">
        <w:tc>
          <w:tcPr>
            <w:tcW w:w="1620" w:type="dxa"/>
            <w:vAlign w:val="center"/>
          </w:tcPr>
          <w:p w:rsidR="007B4EE4" w:rsidRDefault="00B833D5">
            <w:pPr>
              <w:jc w:val="left"/>
            </w:pPr>
            <w:r>
              <w:rPr>
                <w:rFonts w:eastAsiaTheme="minorEastAsia"/>
                <w:color w:val="000000"/>
                <w:szCs w:val="21"/>
              </w:rPr>
              <w:t>过去三个月</w:t>
            </w:r>
          </w:p>
        </w:tc>
        <w:tc>
          <w:tcPr>
            <w:tcW w:w="1350" w:type="dxa"/>
            <w:vAlign w:val="center"/>
          </w:tcPr>
          <w:p w:rsidR="007B4EE4" w:rsidRDefault="00B833D5">
            <w:pPr>
              <w:jc w:val="center"/>
            </w:pPr>
            <w:r>
              <w:rPr>
                <w:rFonts w:eastAsiaTheme="minorEastAsia"/>
                <w:color w:val="000000"/>
                <w:szCs w:val="21"/>
              </w:rPr>
              <w:t>13.39%</w:t>
            </w:r>
          </w:p>
        </w:tc>
        <w:tc>
          <w:tcPr>
            <w:tcW w:w="1350" w:type="dxa"/>
            <w:vAlign w:val="center"/>
          </w:tcPr>
          <w:p w:rsidR="007B4EE4" w:rsidRDefault="00B833D5">
            <w:pPr>
              <w:jc w:val="center"/>
            </w:pPr>
            <w:r>
              <w:rPr>
                <w:rFonts w:eastAsiaTheme="minorEastAsia"/>
                <w:color w:val="000000"/>
                <w:szCs w:val="21"/>
              </w:rPr>
              <w:t>1.27%</w:t>
            </w:r>
          </w:p>
        </w:tc>
        <w:tc>
          <w:tcPr>
            <w:tcW w:w="1350" w:type="dxa"/>
            <w:vAlign w:val="center"/>
          </w:tcPr>
          <w:p w:rsidR="007B4EE4" w:rsidRDefault="00B833D5">
            <w:pPr>
              <w:jc w:val="center"/>
            </w:pPr>
            <w:r>
              <w:rPr>
                <w:rFonts w:eastAsiaTheme="minorEastAsia"/>
                <w:color w:val="000000"/>
                <w:szCs w:val="21"/>
              </w:rPr>
              <w:t>13.01%</w:t>
            </w:r>
          </w:p>
        </w:tc>
        <w:tc>
          <w:tcPr>
            <w:tcW w:w="1350" w:type="dxa"/>
            <w:vAlign w:val="center"/>
          </w:tcPr>
          <w:p w:rsidR="007B4EE4" w:rsidRDefault="00B833D5">
            <w:pPr>
              <w:jc w:val="center"/>
            </w:pPr>
            <w:r>
              <w:rPr>
                <w:rFonts w:eastAsiaTheme="minorEastAsia"/>
                <w:color w:val="000000"/>
                <w:szCs w:val="21"/>
              </w:rPr>
              <w:t>1.23%</w:t>
            </w:r>
          </w:p>
        </w:tc>
        <w:tc>
          <w:tcPr>
            <w:tcW w:w="1350" w:type="dxa"/>
            <w:vAlign w:val="center"/>
          </w:tcPr>
          <w:p w:rsidR="007B4EE4" w:rsidRDefault="00B833D5">
            <w:pPr>
              <w:jc w:val="center"/>
            </w:pPr>
            <w:r>
              <w:rPr>
                <w:rFonts w:eastAsiaTheme="minorEastAsia"/>
                <w:color w:val="000000"/>
                <w:szCs w:val="21"/>
              </w:rPr>
              <w:t>0.38%</w:t>
            </w:r>
          </w:p>
        </w:tc>
        <w:tc>
          <w:tcPr>
            <w:tcW w:w="1350" w:type="dxa"/>
            <w:vAlign w:val="center"/>
          </w:tcPr>
          <w:p w:rsidR="007B4EE4" w:rsidRDefault="00B833D5">
            <w:pPr>
              <w:jc w:val="center"/>
            </w:pPr>
            <w:r>
              <w:rPr>
                <w:rFonts w:eastAsiaTheme="minorEastAsia"/>
                <w:color w:val="000000"/>
                <w:szCs w:val="21"/>
              </w:rPr>
              <w:t>0.04%</w:t>
            </w:r>
          </w:p>
        </w:tc>
      </w:tr>
      <w:tr w:rsidR="007B4EE4">
        <w:tc>
          <w:tcPr>
            <w:tcW w:w="1620" w:type="dxa"/>
            <w:vAlign w:val="center"/>
          </w:tcPr>
          <w:p w:rsidR="007B4EE4" w:rsidRDefault="00B833D5">
            <w:pPr>
              <w:jc w:val="left"/>
            </w:pPr>
            <w:r>
              <w:rPr>
                <w:rFonts w:eastAsiaTheme="minorEastAsia"/>
                <w:color w:val="000000"/>
                <w:szCs w:val="21"/>
              </w:rPr>
              <w:t>过去六个月</w:t>
            </w:r>
          </w:p>
        </w:tc>
        <w:tc>
          <w:tcPr>
            <w:tcW w:w="1350" w:type="dxa"/>
            <w:vAlign w:val="center"/>
          </w:tcPr>
          <w:p w:rsidR="007B4EE4" w:rsidRDefault="00B833D5">
            <w:pPr>
              <w:jc w:val="center"/>
            </w:pPr>
            <w:r>
              <w:rPr>
                <w:rFonts w:eastAsiaTheme="minorEastAsia"/>
                <w:color w:val="000000"/>
                <w:szCs w:val="21"/>
              </w:rPr>
              <w:t>2.09%</w:t>
            </w:r>
          </w:p>
        </w:tc>
        <w:tc>
          <w:tcPr>
            <w:tcW w:w="1350" w:type="dxa"/>
            <w:vAlign w:val="center"/>
          </w:tcPr>
          <w:p w:rsidR="007B4EE4" w:rsidRDefault="00B833D5">
            <w:pPr>
              <w:jc w:val="center"/>
            </w:pPr>
            <w:r>
              <w:rPr>
                <w:rFonts w:eastAsiaTheme="minorEastAsia"/>
                <w:color w:val="000000"/>
                <w:szCs w:val="21"/>
              </w:rPr>
              <w:t>1.73%</w:t>
            </w:r>
          </w:p>
        </w:tc>
        <w:tc>
          <w:tcPr>
            <w:tcW w:w="1350" w:type="dxa"/>
            <w:vAlign w:val="center"/>
          </w:tcPr>
          <w:p w:rsidR="007B4EE4" w:rsidRDefault="00B833D5">
            <w:pPr>
              <w:jc w:val="center"/>
            </w:pPr>
            <w:r>
              <w:rPr>
                <w:rFonts w:eastAsiaTheme="minorEastAsia"/>
                <w:color w:val="000000"/>
                <w:szCs w:val="21"/>
              </w:rPr>
              <w:t>0.81%</w:t>
            </w:r>
          </w:p>
        </w:tc>
        <w:tc>
          <w:tcPr>
            <w:tcW w:w="1350" w:type="dxa"/>
            <w:vAlign w:val="center"/>
          </w:tcPr>
          <w:p w:rsidR="007B4EE4" w:rsidRDefault="00B833D5">
            <w:pPr>
              <w:jc w:val="center"/>
            </w:pPr>
            <w:r>
              <w:rPr>
                <w:rFonts w:eastAsiaTheme="minorEastAsia"/>
                <w:color w:val="000000"/>
                <w:szCs w:val="21"/>
              </w:rPr>
              <w:t>1.74%</w:t>
            </w:r>
          </w:p>
        </w:tc>
        <w:tc>
          <w:tcPr>
            <w:tcW w:w="1350" w:type="dxa"/>
            <w:vAlign w:val="center"/>
          </w:tcPr>
          <w:p w:rsidR="007B4EE4" w:rsidRDefault="00B833D5">
            <w:pPr>
              <w:jc w:val="center"/>
            </w:pPr>
            <w:r>
              <w:rPr>
                <w:rFonts w:eastAsiaTheme="minorEastAsia"/>
                <w:color w:val="000000"/>
                <w:szCs w:val="21"/>
              </w:rPr>
              <w:t>1.28%</w:t>
            </w:r>
          </w:p>
        </w:tc>
        <w:tc>
          <w:tcPr>
            <w:tcW w:w="1350" w:type="dxa"/>
            <w:vAlign w:val="center"/>
          </w:tcPr>
          <w:p w:rsidR="007B4EE4" w:rsidRDefault="00B833D5">
            <w:pPr>
              <w:jc w:val="center"/>
            </w:pPr>
            <w:r>
              <w:rPr>
                <w:rFonts w:eastAsiaTheme="minorEastAsia"/>
                <w:color w:val="000000"/>
                <w:szCs w:val="21"/>
              </w:rPr>
              <w:t>-0.01%</w:t>
            </w:r>
          </w:p>
        </w:tc>
      </w:tr>
      <w:tr w:rsidR="007B4EE4">
        <w:tc>
          <w:tcPr>
            <w:tcW w:w="1620" w:type="dxa"/>
            <w:vAlign w:val="center"/>
          </w:tcPr>
          <w:p w:rsidR="007B4EE4" w:rsidRDefault="00B833D5">
            <w:pPr>
              <w:jc w:val="left"/>
            </w:pPr>
            <w:r>
              <w:rPr>
                <w:rFonts w:eastAsiaTheme="minorEastAsia"/>
                <w:color w:val="000000"/>
                <w:szCs w:val="21"/>
              </w:rPr>
              <w:t>过去一年</w:t>
            </w:r>
          </w:p>
        </w:tc>
        <w:tc>
          <w:tcPr>
            <w:tcW w:w="1350" w:type="dxa"/>
            <w:vAlign w:val="center"/>
          </w:tcPr>
          <w:p w:rsidR="007B4EE4" w:rsidRDefault="00B833D5">
            <w:pPr>
              <w:jc w:val="center"/>
            </w:pPr>
            <w:r>
              <w:rPr>
                <w:rFonts w:eastAsiaTheme="minorEastAsia"/>
                <w:color w:val="000000"/>
                <w:szCs w:val="21"/>
              </w:rPr>
              <w:t>5.45%</w:t>
            </w:r>
          </w:p>
        </w:tc>
        <w:tc>
          <w:tcPr>
            <w:tcW w:w="1350" w:type="dxa"/>
            <w:vAlign w:val="center"/>
          </w:tcPr>
          <w:p w:rsidR="007B4EE4" w:rsidRDefault="00B833D5">
            <w:pPr>
              <w:jc w:val="center"/>
            </w:pPr>
            <w:r>
              <w:rPr>
                <w:rFonts w:eastAsiaTheme="minorEastAsia"/>
                <w:color w:val="000000"/>
                <w:szCs w:val="21"/>
              </w:rPr>
              <w:t>1.33%</w:t>
            </w:r>
          </w:p>
        </w:tc>
        <w:tc>
          <w:tcPr>
            <w:tcW w:w="1350" w:type="dxa"/>
            <w:vAlign w:val="center"/>
          </w:tcPr>
          <w:p w:rsidR="007B4EE4" w:rsidRDefault="00B833D5">
            <w:pPr>
              <w:jc w:val="center"/>
            </w:pPr>
            <w:r>
              <w:rPr>
                <w:rFonts w:eastAsiaTheme="minorEastAsia"/>
                <w:color w:val="000000"/>
                <w:szCs w:val="21"/>
              </w:rPr>
              <w:t>0.72%</w:t>
            </w:r>
          </w:p>
        </w:tc>
        <w:tc>
          <w:tcPr>
            <w:tcW w:w="1350" w:type="dxa"/>
            <w:vAlign w:val="center"/>
          </w:tcPr>
          <w:p w:rsidR="007B4EE4" w:rsidRDefault="00B833D5">
            <w:pPr>
              <w:jc w:val="center"/>
            </w:pPr>
            <w:r>
              <w:rPr>
                <w:rFonts w:eastAsiaTheme="minorEastAsia"/>
                <w:color w:val="000000"/>
                <w:szCs w:val="21"/>
              </w:rPr>
              <w:t>1.34%</w:t>
            </w:r>
          </w:p>
        </w:tc>
        <w:tc>
          <w:tcPr>
            <w:tcW w:w="1350" w:type="dxa"/>
            <w:vAlign w:val="center"/>
          </w:tcPr>
          <w:p w:rsidR="007B4EE4" w:rsidRDefault="00B833D5">
            <w:pPr>
              <w:jc w:val="center"/>
            </w:pPr>
            <w:r>
              <w:rPr>
                <w:rFonts w:eastAsiaTheme="minorEastAsia"/>
                <w:color w:val="000000"/>
                <w:szCs w:val="21"/>
              </w:rPr>
              <w:t>4.73%</w:t>
            </w:r>
          </w:p>
        </w:tc>
        <w:tc>
          <w:tcPr>
            <w:tcW w:w="1350" w:type="dxa"/>
            <w:vAlign w:val="center"/>
          </w:tcPr>
          <w:p w:rsidR="007B4EE4" w:rsidRDefault="00B833D5">
            <w:pPr>
              <w:jc w:val="center"/>
            </w:pPr>
            <w:r>
              <w:rPr>
                <w:rFonts w:eastAsiaTheme="minorEastAsia"/>
                <w:color w:val="000000"/>
                <w:szCs w:val="21"/>
              </w:rPr>
              <w:t>-0.01%</w:t>
            </w:r>
          </w:p>
        </w:tc>
      </w:tr>
      <w:tr w:rsidR="007B4EE4">
        <w:tc>
          <w:tcPr>
            <w:tcW w:w="1620" w:type="dxa"/>
            <w:vAlign w:val="center"/>
          </w:tcPr>
          <w:p w:rsidR="007B4EE4" w:rsidRDefault="00B833D5">
            <w:pPr>
              <w:jc w:val="left"/>
            </w:pPr>
            <w:r>
              <w:rPr>
                <w:rFonts w:eastAsiaTheme="minorEastAsia"/>
                <w:color w:val="000000"/>
                <w:szCs w:val="21"/>
              </w:rPr>
              <w:t>过去三年</w:t>
            </w:r>
          </w:p>
        </w:tc>
        <w:tc>
          <w:tcPr>
            <w:tcW w:w="1350" w:type="dxa"/>
            <w:vAlign w:val="center"/>
          </w:tcPr>
          <w:p w:rsidR="007B4EE4" w:rsidRDefault="00B833D5">
            <w:pPr>
              <w:jc w:val="center"/>
            </w:pPr>
            <w:r>
              <w:rPr>
                <w:rFonts w:eastAsiaTheme="minorEastAsia"/>
                <w:color w:val="000000"/>
                <w:szCs w:val="21"/>
              </w:rPr>
              <w:t>-</w:t>
            </w:r>
          </w:p>
        </w:tc>
        <w:tc>
          <w:tcPr>
            <w:tcW w:w="1350" w:type="dxa"/>
            <w:vAlign w:val="center"/>
          </w:tcPr>
          <w:p w:rsidR="007B4EE4" w:rsidRDefault="00B833D5">
            <w:pPr>
              <w:jc w:val="center"/>
            </w:pPr>
            <w:r>
              <w:rPr>
                <w:rFonts w:eastAsiaTheme="minorEastAsia"/>
                <w:color w:val="000000"/>
                <w:szCs w:val="21"/>
              </w:rPr>
              <w:t>-</w:t>
            </w:r>
          </w:p>
        </w:tc>
        <w:tc>
          <w:tcPr>
            <w:tcW w:w="1350" w:type="dxa"/>
            <w:vAlign w:val="center"/>
          </w:tcPr>
          <w:p w:rsidR="007B4EE4" w:rsidRDefault="00B833D5">
            <w:pPr>
              <w:jc w:val="center"/>
            </w:pPr>
            <w:r>
              <w:rPr>
                <w:rFonts w:eastAsiaTheme="minorEastAsia"/>
                <w:color w:val="000000"/>
                <w:szCs w:val="21"/>
              </w:rPr>
              <w:t>-</w:t>
            </w:r>
          </w:p>
        </w:tc>
        <w:tc>
          <w:tcPr>
            <w:tcW w:w="1350" w:type="dxa"/>
            <w:vAlign w:val="center"/>
          </w:tcPr>
          <w:p w:rsidR="007B4EE4" w:rsidRDefault="00B833D5">
            <w:pPr>
              <w:jc w:val="center"/>
            </w:pPr>
            <w:r>
              <w:rPr>
                <w:rFonts w:eastAsiaTheme="minorEastAsia"/>
                <w:color w:val="000000"/>
                <w:szCs w:val="21"/>
              </w:rPr>
              <w:t>-</w:t>
            </w:r>
          </w:p>
        </w:tc>
        <w:tc>
          <w:tcPr>
            <w:tcW w:w="1350" w:type="dxa"/>
            <w:vAlign w:val="center"/>
          </w:tcPr>
          <w:p w:rsidR="007B4EE4" w:rsidRDefault="00B833D5">
            <w:pPr>
              <w:jc w:val="center"/>
            </w:pPr>
            <w:r>
              <w:rPr>
                <w:rFonts w:eastAsiaTheme="minorEastAsia"/>
                <w:color w:val="000000"/>
                <w:szCs w:val="21"/>
              </w:rPr>
              <w:t>-</w:t>
            </w:r>
          </w:p>
        </w:tc>
        <w:tc>
          <w:tcPr>
            <w:tcW w:w="1350" w:type="dxa"/>
            <w:vAlign w:val="center"/>
          </w:tcPr>
          <w:p w:rsidR="007B4EE4" w:rsidRDefault="00B833D5">
            <w:pPr>
              <w:jc w:val="center"/>
            </w:pPr>
            <w:r>
              <w:rPr>
                <w:rFonts w:eastAsiaTheme="minorEastAsia"/>
                <w:color w:val="000000"/>
                <w:szCs w:val="21"/>
              </w:rPr>
              <w:t>-</w:t>
            </w:r>
          </w:p>
        </w:tc>
      </w:tr>
      <w:tr w:rsidR="007B4EE4">
        <w:tc>
          <w:tcPr>
            <w:tcW w:w="1620" w:type="dxa"/>
            <w:vAlign w:val="center"/>
          </w:tcPr>
          <w:p w:rsidR="007B4EE4" w:rsidRDefault="00B833D5">
            <w:pPr>
              <w:jc w:val="left"/>
            </w:pPr>
            <w:r>
              <w:rPr>
                <w:rFonts w:eastAsiaTheme="minorEastAsia"/>
                <w:color w:val="000000"/>
                <w:szCs w:val="21"/>
              </w:rPr>
              <w:t>自基金合同生效起至今</w:t>
            </w:r>
          </w:p>
        </w:tc>
        <w:tc>
          <w:tcPr>
            <w:tcW w:w="1350" w:type="dxa"/>
            <w:vAlign w:val="center"/>
          </w:tcPr>
          <w:p w:rsidR="007B4EE4" w:rsidRDefault="00B833D5">
            <w:pPr>
              <w:jc w:val="center"/>
            </w:pPr>
            <w:r>
              <w:rPr>
                <w:rFonts w:eastAsiaTheme="minorEastAsia"/>
                <w:color w:val="000000"/>
                <w:szCs w:val="21"/>
              </w:rPr>
              <w:t>1.28%</w:t>
            </w:r>
          </w:p>
        </w:tc>
        <w:tc>
          <w:tcPr>
            <w:tcW w:w="1350" w:type="dxa"/>
            <w:vAlign w:val="center"/>
          </w:tcPr>
          <w:p w:rsidR="007B4EE4" w:rsidRDefault="00B833D5">
            <w:pPr>
              <w:jc w:val="center"/>
            </w:pPr>
            <w:r>
              <w:rPr>
                <w:rFonts w:eastAsiaTheme="minorEastAsia"/>
                <w:color w:val="000000"/>
                <w:szCs w:val="21"/>
              </w:rPr>
              <w:t>1.29%</w:t>
            </w:r>
          </w:p>
        </w:tc>
        <w:tc>
          <w:tcPr>
            <w:tcW w:w="1350" w:type="dxa"/>
            <w:vAlign w:val="center"/>
          </w:tcPr>
          <w:p w:rsidR="007B4EE4" w:rsidRDefault="00B833D5">
            <w:pPr>
              <w:jc w:val="center"/>
            </w:pPr>
            <w:r>
              <w:rPr>
                <w:rFonts w:eastAsiaTheme="minorEastAsia"/>
                <w:color w:val="000000"/>
                <w:szCs w:val="21"/>
              </w:rPr>
              <w:t>-8.36%</w:t>
            </w:r>
          </w:p>
        </w:tc>
        <w:tc>
          <w:tcPr>
            <w:tcW w:w="1350" w:type="dxa"/>
            <w:vAlign w:val="center"/>
          </w:tcPr>
          <w:p w:rsidR="007B4EE4" w:rsidRDefault="00B833D5">
            <w:pPr>
              <w:jc w:val="center"/>
            </w:pPr>
            <w:r>
              <w:rPr>
                <w:rFonts w:eastAsiaTheme="minorEastAsia"/>
                <w:color w:val="000000"/>
                <w:szCs w:val="21"/>
              </w:rPr>
              <w:t>1.28%</w:t>
            </w:r>
          </w:p>
        </w:tc>
        <w:tc>
          <w:tcPr>
            <w:tcW w:w="1350" w:type="dxa"/>
            <w:vAlign w:val="center"/>
          </w:tcPr>
          <w:p w:rsidR="007B4EE4" w:rsidRDefault="00B833D5">
            <w:pPr>
              <w:jc w:val="center"/>
            </w:pPr>
            <w:r>
              <w:rPr>
                <w:rFonts w:eastAsiaTheme="minorEastAsia"/>
                <w:color w:val="000000"/>
                <w:szCs w:val="21"/>
              </w:rPr>
              <w:t>9.64%</w:t>
            </w:r>
          </w:p>
        </w:tc>
        <w:tc>
          <w:tcPr>
            <w:tcW w:w="1350" w:type="dxa"/>
            <w:vAlign w:val="center"/>
          </w:tcPr>
          <w:p w:rsidR="007B4EE4" w:rsidRDefault="00B833D5">
            <w:pPr>
              <w:jc w:val="center"/>
            </w:pPr>
            <w:r>
              <w:rPr>
                <w:rFonts w:eastAsiaTheme="minorEastAsia"/>
                <w:color w:val="000000"/>
                <w:szCs w:val="21"/>
              </w:rPr>
              <w:t>0.01%</w:t>
            </w:r>
          </w:p>
        </w:tc>
      </w:tr>
    </w:tbl>
    <w:p w:rsidR="00FC6E91" w:rsidRPr="00C24ACA" w:rsidRDefault="00FC6E91"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注：自</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8</w:t>
      </w:r>
      <w:r w:rsidRPr="00C24ACA">
        <w:rPr>
          <w:rFonts w:eastAsiaTheme="minorEastAsia"/>
          <w:kern w:val="0"/>
          <w:szCs w:val="21"/>
        </w:rPr>
        <w:t>月</w:t>
      </w:r>
      <w:r w:rsidRPr="00C24ACA">
        <w:rPr>
          <w:rFonts w:eastAsiaTheme="minorEastAsia"/>
          <w:kern w:val="0"/>
          <w:szCs w:val="21"/>
        </w:rPr>
        <w:t>13</w:t>
      </w:r>
      <w:r w:rsidRPr="00C24ACA">
        <w:rPr>
          <w:rFonts w:eastAsiaTheme="minorEastAsia"/>
          <w:kern w:val="0"/>
          <w:szCs w:val="21"/>
        </w:rPr>
        <w:t>日起</w:t>
      </w:r>
      <w:r w:rsidRPr="00C24ACA">
        <w:rPr>
          <w:rFonts w:eastAsiaTheme="minorEastAsia"/>
          <w:kern w:val="0"/>
          <w:szCs w:val="21"/>
        </w:rPr>
        <w:t>,</w:t>
      </w:r>
      <w:r w:rsidRPr="00C24ACA">
        <w:rPr>
          <w:rFonts w:eastAsiaTheme="minorEastAsia"/>
          <w:kern w:val="0"/>
          <w:szCs w:val="21"/>
        </w:rPr>
        <w:t>本基金增设</w:t>
      </w:r>
      <w:r w:rsidRPr="00C24ACA">
        <w:rPr>
          <w:rFonts w:eastAsiaTheme="minorEastAsia"/>
          <w:kern w:val="0"/>
          <w:szCs w:val="21"/>
        </w:rPr>
        <w:t>C</w:t>
      </w:r>
      <w:r w:rsidRPr="00C24ACA">
        <w:rPr>
          <w:rFonts w:eastAsiaTheme="minorEastAsia"/>
          <w:kern w:val="0"/>
          <w:szCs w:val="21"/>
        </w:rPr>
        <w:t>类份额类别</w:t>
      </w:r>
      <w:r w:rsidRPr="00C24ACA">
        <w:rPr>
          <w:rFonts w:eastAsiaTheme="minorEastAsia"/>
          <w:kern w:val="0"/>
          <w:szCs w:val="21"/>
        </w:rPr>
        <w:t>,</w:t>
      </w:r>
      <w:r w:rsidRPr="00C24ACA">
        <w:rPr>
          <w:rFonts w:eastAsiaTheme="minorEastAsia"/>
          <w:kern w:val="0"/>
          <w:szCs w:val="21"/>
        </w:rPr>
        <w:t>份额首次确认日为</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8</w:t>
      </w:r>
      <w:r w:rsidRPr="00C24ACA">
        <w:rPr>
          <w:rFonts w:eastAsiaTheme="minorEastAsia"/>
          <w:kern w:val="0"/>
          <w:szCs w:val="21"/>
        </w:rPr>
        <w:t>月</w:t>
      </w:r>
      <w:r w:rsidRPr="00C24ACA">
        <w:rPr>
          <w:rFonts w:eastAsiaTheme="minorEastAsia"/>
          <w:kern w:val="0"/>
          <w:szCs w:val="21"/>
        </w:rPr>
        <w:t>14</w:t>
      </w:r>
      <w:r w:rsidRPr="00C24ACA">
        <w:rPr>
          <w:rFonts w:eastAsiaTheme="minorEastAsia"/>
          <w:kern w:val="0"/>
          <w:szCs w:val="21"/>
        </w:rPr>
        <w:t>日</w:t>
      </w:r>
      <w:r w:rsidRPr="00C24ACA">
        <w:rPr>
          <w:rFonts w:eastAsiaTheme="minorEastAsia"/>
          <w:kern w:val="0"/>
          <w:szCs w:val="21"/>
        </w:rPr>
        <w:t>,</w:t>
      </w:r>
      <w:r w:rsidRPr="00C24ACA">
        <w:rPr>
          <w:rFonts w:eastAsiaTheme="minorEastAsia"/>
          <w:kern w:val="0"/>
          <w:szCs w:val="21"/>
        </w:rPr>
        <w:t>增设当期的相关数据和指标按实际存续期计算。</w:t>
      </w:r>
    </w:p>
    <w:p w:rsidR="00FC6E91" w:rsidRPr="00C24ACA" w:rsidRDefault="00FC6E91" w:rsidP="00732F5C">
      <w:pPr>
        <w:spacing w:beforeLines="100" w:before="312" w:line="360" w:lineRule="auto"/>
        <w:rPr>
          <w:rFonts w:eastAsiaTheme="minorEastAsia"/>
          <w:b/>
          <w:kern w:val="0"/>
          <w:szCs w:val="21"/>
        </w:rPr>
      </w:pPr>
      <w:r w:rsidRPr="00C24ACA">
        <w:rPr>
          <w:rFonts w:eastAsiaTheme="minorEastAsia"/>
          <w:b/>
          <w:kern w:val="0"/>
          <w:szCs w:val="21"/>
        </w:rPr>
        <w:t>3.2.2</w:t>
      </w:r>
      <w:r w:rsidRPr="00C24ACA">
        <w:rPr>
          <w:rStyle w:val="af8"/>
          <w:rFonts w:eastAsiaTheme="minorEastAsia"/>
          <w:color w:val="000000"/>
          <w:szCs w:val="21"/>
          <w:shd w:val="clear" w:color="auto" w:fill="FFFFFF"/>
        </w:rPr>
        <w:t>自基金合同生效以来</w:t>
      </w:r>
      <w:r w:rsidRPr="00C24ACA">
        <w:rPr>
          <w:rFonts w:eastAsiaTheme="minorEastAsia"/>
          <w:b/>
          <w:kern w:val="0"/>
          <w:szCs w:val="21"/>
        </w:rPr>
        <w:t>基金份额累计净值增长率变动及其与同期业绩比较基准收益率变动的比较</w:t>
      </w:r>
    </w:p>
    <w:p w:rsidR="001A19C2" w:rsidRDefault="001A19C2" w:rsidP="00E039F9">
      <w:pPr>
        <w:spacing w:line="360" w:lineRule="auto"/>
        <w:ind w:firstLine="420"/>
        <w:jc w:val="center"/>
        <w:rPr>
          <w:rFonts w:eastAsiaTheme="minorEastAsia"/>
          <w:color w:val="000000"/>
          <w:kern w:val="0"/>
          <w:szCs w:val="21"/>
        </w:rPr>
      </w:pPr>
      <w:r w:rsidRPr="00D749D4">
        <w:rPr>
          <w:color w:val="000000"/>
          <w:szCs w:val="21"/>
        </w:rPr>
        <w:t>易方达香港恒生综合小型股指数证券投资基金（</w:t>
      </w:r>
      <w:r w:rsidRPr="00D749D4">
        <w:rPr>
          <w:color w:val="000000"/>
          <w:szCs w:val="21"/>
        </w:rPr>
        <w:t>LOF</w:t>
      </w:r>
      <w:r w:rsidRPr="00D749D4">
        <w:rPr>
          <w:color w:val="000000"/>
          <w:szCs w:val="21"/>
        </w:rPr>
        <w:t>）</w:t>
      </w:r>
    </w:p>
    <w:p w:rsidR="00301185" w:rsidRDefault="001A19C2" w:rsidP="00301185">
      <w:pPr>
        <w:pStyle w:val="a6"/>
        <w:snapToGrid w:val="0"/>
        <w:spacing w:line="360" w:lineRule="auto"/>
        <w:jc w:val="center"/>
        <w:rPr>
          <w:rFonts w:ascii="Times New Roman" w:eastAsiaTheme="minorEastAsia" w:hAnsi="Times New Roman"/>
          <w:color w:val="000000" w:themeColor="text1"/>
          <w:sz w:val="24"/>
          <w:szCs w:val="24"/>
        </w:rPr>
      </w:pPr>
      <w:r w:rsidRPr="00D749D4">
        <w:rPr>
          <w:rFonts w:hint="eastAsia"/>
          <w:color w:val="000000"/>
        </w:rPr>
        <w:t>份额累计净值增长率与业绩比较基准收益率历史走势对比图</w:t>
      </w:r>
    </w:p>
    <w:p w:rsidR="00301185" w:rsidRDefault="00A34426" w:rsidP="00301185">
      <w:pPr>
        <w:pStyle w:val="21"/>
        <w:spacing w:line="288" w:lineRule="auto"/>
        <w:ind w:firstLineChars="0" w:firstLine="0"/>
        <w:jc w:val="left"/>
        <w:rPr>
          <w:rFonts w:ascii="Times New Roman" w:hAnsi="Times New Roman"/>
          <w:color w:val="000000"/>
        </w:rPr>
      </w:pPr>
      <w:r w:rsidRPr="00C24ACA">
        <w:rPr>
          <w:rFonts w:ascii="Times New Roman" w:eastAsiaTheme="minorEastAsia" w:hAnsi="Times New Roman"/>
          <w:color w:val="auto"/>
          <w:sz w:val="21"/>
          <w:szCs w:val="21"/>
        </w:rPr>
        <w:t>易方达香港恒生综合小型股指数（</w:t>
      </w:r>
      <w:r w:rsidRPr="00C24ACA">
        <w:rPr>
          <w:rFonts w:ascii="Times New Roman" w:eastAsiaTheme="minorEastAsia" w:hAnsi="Times New Roman"/>
          <w:color w:val="auto"/>
          <w:sz w:val="21"/>
          <w:szCs w:val="21"/>
        </w:rPr>
        <w:t>QDII-LOF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p w:rsidR="00301185" w:rsidRPr="00576423" w:rsidRDefault="00301185" w:rsidP="00301185">
      <w:pPr>
        <w:spacing w:line="360" w:lineRule="auto"/>
        <w:jc w:val="center"/>
        <w:rPr>
          <w:szCs w:val="21"/>
        </w:rPr>
      </w:pPr>
      <w:r w:rsidRPr="00576423">
        <w:rPr>
          <w:szCs w:val="21"/>
        </w:rPr>
        <w:t>（</w:t>
      </w:r>
      <w:r w:rsidRPr="00576423">
        <w:rPr>
          <w:szCs w:val="21"/>
        </w:rPr>
        <w:t>2016</w:t>
      </w:r>
      <w:r w:rsidRPr="00576423">
        <w:rPr>
          <w:szCs w:val="21"/>
        </w:rPr>
        <w:t>年</w:t>
      </w:r>
      <w:r w:rsidRPr="00576423">
        <w:rPr>
          <w:szCs w:val="21"/>
        </w:rPr>
        <w:t>11</w:t>
      </w:r>
      <w:r w:rsidRPr="00576423">
        <w:rPr>
          <w:szCs w:val="21"/>
        </w:rPr>
        <w:t>月</w:t>
      </w:r>
      <w:r w:rsidRPr="00576423">
        <w:rPr>
          <w:szCs w:val="21"/>
        </w:rPr>
        <w:t>2</w:t>
      </w:r>
      <w:r w:rsidRPr="00576423">
        <w:rPr>
          <w:szCs w:val="21"/>
        </w:rPr>
        <w:t>日至</w:t>
      </w:r>
      <w:r w:rsidRPr="00576423">
        <w:rPr>
          <w:szCs w:val="21"/>
        </w:rPr>
        <w:t>2020</w:t>
      </w:r>
      <w:r w:rsidRPr="00576423">
        <w:rPr>
          <w:szCs w:val="21"/>
        </w:rPr>
        <w:t>年</w:t>
      </w:r>
      <w:r w:rsidRPr="00576423">
        <w:rPr>
          <w:szCs w:val="21"/>
        </w:rPr>
        <w:t>6</w:t>
      </w:r>
      <w:r w:rsidRPr="00576423">
        <w:rPr>
          <w:szCs w:val="21"/>
        </w:rPr>
        <w:t>月</w:t>
      </w:r>
      <w:r w:rsidRPr="00576423">
        <w:rPr>
          <w:szCs w:val="21"/>
        </w:rPr>
        <w:t>30</w:t>
      </w:r>
      <w:r w:rsidRPr="00576423">
        <w:rPr>
          <w:szCs w:val="21"/>
        </w:rPr>
        <w:t>日）</w:t>
      </w:r>
    </w:p>
    <w:p w:rsidR="00A34426" w:rsidRPr="00C24ACA" w:rsidRDefault="00A34426" w:rsidP="00E039F9">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lastRenderedPageBreak/>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301185" w:rsidRDefault="000902FA" w:rsidP="00301185">
      <w:pPr>
        <w:pStyle w:val="21"/>
        <w:spacing w:line="288" w:lineRule="auto"/>
        <w:ind w:firstLineChars="0" w:firstLine="0"/>
        <w:jc w:val="left"/>
        <w:rPr>
          <w:rFonts w:ascii="Times New Roman" w:hAnsi="Times New Roman"/>
          <w:color w:val="000000"/>
        </w:rPr>
      </w:pPr>
      <w:r w:rsidRPr="00C24ACA">
        <w:rPr>
          <w:rFonts w:ascii="Times New Roman" w:eastAsiaTheme="minorEastAsia" w:hAnsi="Times New Roman"/>
          <w:color w:val="auto"/>
          <w:sz w:val="21"/>
          <w:szCs w:val="21"/>
        </w:rPr>
        <w:t>易方达香港恒生综合小型股指数（</w:t>
      </w:r>
      <w:r w:rsidRPr="00C24ACA">
        <w:rPr>
          <w:rFonts w:ascii="Times New Roman" w:eastAsiaTheme="minorEastAsia" w:hAnsi="Times New Roman"/>
          <w:color w:val="auto"/>
          <w:sz w:val="21"/>
          <w:szCs w:val="21"/>
        </w:rPr>
        <w:t>QDII-LOF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p w:rsidR="00301185" w:rsidRDefault="00301185" w:rsidP="00301185">
      <w:pPr>
        <w:spacing w:line="360" w:lineRule="auto"/>
        <w:jc w:val="center"/>
        <w:rPr>
          <w:szCs w:val="21"/>
        </w:rPr>
      </w:pPr>
      <w:r w:rsidRPr="00576423">
        <w:rPr>
          <w:szCs w:val="21"/>
        </w:rPr>
        <w:t>（</w:t>
      </w:r>
      <w:r w:rsidRPr="00576423">
        <w:rPr>
          <w:szCs w:val="21"/>
        </w:rPr>
        <w:t>2018</w:t>
      </w:r>
      <w:r w:rsidRPr="00576423">
        <w:rPr>
          <w:szCs w:val="21"/>
        </w:rPr>
        <w:t>年</w:t>
      </w:r>
      <w:r w:rsidRPr="00576423">
        <w:rPr>
          <w:szCs w:val="21"/>
        </w:rPr>
        <w:t>8</w:t>
      </w:r>
      <w:r w:rsidRPr="00576423">
        <w:rPr>
          <w:szCs w:val="21"/>
        </w:rPr>
        <w:t>月</w:t>
      </w:r>
      <w:r w:rsidRPr="00576423">
        <w:rPr>
          <w:szCs w:val="21"/>
        </w:rPr>
        <w:t>14</w:t>
      </w:r>
      <w:r w:rsidRPr="00576423">
        <w:rPr>
          <w:szCs w:val="21"/>
        </w:rPr>
        <w:t>日至</w:t>
      </w:r>
      <w:r w:rsidRPr="00576423">
        <w:rPr>
          <w:szCs w:val="21"/>
        </w:rPr>
        <w:t>2020</w:t>
      </w:r>
      <w:r w:rsidRPr="00576423">
        <w:rPr>
          <w:szCs w:val="21"/>
        </w:rPr>
        <w:t>年</w:t>
      </w:r>
      <w:r w:rsidRPr="00576423">
        <w:rPr>
          <w:szCs w:val="21"/>
        </w:rPr>
        <w:t>6</w:t>
      </w:r>
      <w:r w:rsidRPr="00576423">
        <w:rPr>
          <w:szCs w:val="21"/>
        </w:rPr>
        <w:t>月</w:t>
      </w:r>
      <w:r w:rsidRPr="00576423">
        <w:rPr>
          <w:szCs w:val="21"/>
        </w:rPr>
        <w:t>30</w:t>
      </w:r>
      <w:r w:rsidRPr="00576423">
        <w:rPr>
          <w:szCs w:val="21"/>
        </w:rPr>
        <w:t>日）</w:t>
      </w:r>
    </w:p>
    <w:p w:rsidR="000902FA" w:rsidRPr="00C24ACA" w:rsidRDefault="000902FA" w:rsidP="001F489E">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本基金的业绩比较基准已经转换为以人民币计价。</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自</w:t>
      </w:r>
      <w:r>
        <w:rPr>
          <w:rFonts w:eastAsiaTheme="minorEastAsia"/>
          <w:kern w:val="0"/>
          <w:szCs w:val="21"/>
        </w:rPr>
        <w:t>2018</w:t>
      </w:r>
      <w:r>
        <w:rPr>
          <w:rFonts w:eastAsiaTheme="minorEastAsia"/>
          <w:kern w:val="0"/>
          <w:szCs w:val="21"/>
        </w:rPr>
        <w:t>年</w:t>
      </w:r>
      <w:r>
        <w:rPr>
          <w:rFonts w:eastAsiaTheme="minorEastAsia"/>
          <w:kern w:val="0"/>
          <w:szCs w:val="21"/>
        </w:rPr>
        <w:t>8</w:t>
      </w:r>
      <w:r>
        <w:rPr>
          <w:rFonts w:eastAsiaTheme="minorEastAsia"/>
          <w:kern w:val="0"/>
          <w:szCs w:val="21"/>
        </w:rPr>
        <w:t>月</w:t>
      </w:r>
      <w:r>
        <w:rPr>
          <w:rFonts w:eastAsiaTheme="minorEastAsia"/>
          <w:kern w:val="0"/>
          <w:szCs w:val="21"/>
        </w:rPr>
        <w:t>13</w:t>
      </w:r>
      <w:r>
        <w:rPr>
          <w:rFonts w:eastAsiaTheme="minorEastAsia"/>
          <w:kern w:val="0"/>
          <w:szCs w:val="21"/>
        </w:rPr>
        <w:t>日起</w:t>
      </w:r>
      <w:r>
        <w:rPr>
          <w:rFonts w:eastAsiaTheme="minorEastAsia"/>
          <w:kern w:val="0"/>
          <w:szCs w:val="21"/>
        </w:rPr>
        <w:t>,</w:t>
      </w:r>
      <w:r>
        <w:rPr>
          <w:rFonts w:eastAsiaTheme="minorEastAsia"/>
          <w:kern w:val="0"/>
          <w:szCs w:val="21"/>
        </w:rPr>
        <w:t>本基金增设</w:t>
      </w:r>
      <w:r>
        <w:rPr>
          <w:rFonts w:eastAsiaTheme="minorEastAsia"/>
          <w:kern w:val="0"/>
          <w:szCs w:val="21"/>
        </w:rPr>
        <w:t>C</w:t>
      </w:r>
      <w:r>
        <w:rPr>
          <w:rFonts w:eastAsiaTheme="minorEastAsia"/>
          <w:kern w:val="0"/>
          <w:szCs w:val="21"/>
        </w:rPr>
        <w:t>类份额类别</w:t>
      </w:r>
      <w:r>
        <w:rPr>
          <w:rFonts w:eastAsiaTheme="minorEastAsia"/>
          <w:kern w:val="0"/>
          <w:szCs w:val="21"/>
        </w:rPr>
        <w:t>,</w:t>
      </w:r>
      <w:r>
        <w:rPr>
          <w:rFonts w:eastAsiaTheme="minorEastAsia"/>
          <w:kern w:val="0"/>
          <w:szCs w:val="21"/>
        </w:rPr>
        <w:t>份额首次确认日为</w:t>
      </w:r>
      <w:r>
        <w:rPr>
          <w:rFonts w:eastAsiaTheme="minorEastAsia"/>
          <w:kern w:val="0"/>
          <w:szCs w:val="21"/>
        </w:rPr>
        <w:t>2018</w:t>
      </w:r>
      <w:r>
        <w:rPr>
          <w:rFonts w:eastAsiaTheme="minorEastAsia"/>
          <w:kern w:val="0"/>
          <w:szCs w:val="21"/>
        </w:rPr>
        <w:t>年</w:t>
      </w:r>
      <w:r>
        <w:rPr>
          <w:rFonts w:eastAsiaTheme="minorEastAsia"/>
          <w:kern w:val="0"/>
          <w:szCs w:val="21"/>
        </w:rPr>
        <w:t>8</w:t>
      </w:r>
      <w:r>
        <w:rPr>
          <w:rFonts w:eastAsiaTheme="minorEastAsia"/>
          <w:kern w:val="0"/>
          <w:szCs w:val="21"/>
        </w:rPr>
        <w:t>月</w:t>
      </w:r>
      <w:r>
        <w:rPr>
          <w:rFonts w:eastAsiaTheme="minorEastAsia"/>
          <w:kern w:val="0"/>
          <w:szCs w:val="21"/>
        </w:rPr>
        <w:t>14</w:t>
      </w:r>
      <w:r>
        <w:rPr>
          <w:rFonts w:eastAsiaTheme="minorEastAsia"/>
          <w:kern w:val="0"/>
          <w:szCs w:val="21"/>
        </w:rPr>
        <w:t>日</w:t>
      </w:r>
      <w:r>
        <w:rPr>
          <w:rFonts w:eastAsiaTheme="minorEastAsia"/>
          <w:kern w:val="0"/>
          <w:szCs w:val="21"/>
        </w:rPr>
        <w:t>,</w:t>
      </w:r>
      <w:r>
        <w:rPr>
          <w:rFonts w:eastAsiaTheme="minorEastAsia"/>
          <w:kern w:val="0"/>
          <w:szCs w:val="21"/>
        </w:rPr>
        <w:t>增设当期的相关数据和指标按实际存续期计算。</w:t>
      </w:r>
    </w:p>
    <w:p w:rsidR="00FC6E91" w:rsidRPr="00C24ACA" w:rsidRDefault="00FC6E91"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3.</w:t>
      </w:r>
      <w:r w:rsidRPr="00C24ACA">
        <w:rPr>
          <w:rFonts w:eastAsiaTheme="minorEastAsia"/>
          <w:kern w:val="0"/>
          <w:szCs w:val="21"/>
        </w:rPr>
        <w:t>自基金合同生效至报告期末</w:t>
      </w:r>
      <w:r w:rsidRPr="00C24ACA">
        <w:rPr>
          <w:rFonts w:eastAsiaTheme="minorEastAsia"/>
          <w:kern w:val="0"/>
          <w:szCs w:val="21"/>
        </w:rPr>
        <w:t>,A</w:t>
      </w:r>
      <w:r w:rsidRPr="00C24ACA">
        <w:rPr>
          <w:rFonts w:eastAsiaTheme="minorEastAsia"/>
          <w:kern w:val="0"/>
          <w:szCs w:val="21"/>
        </w:rPr>
        <w:t>类基金份额净值增长率为</w:t>
      </w:r>
      <w:r w:rsidRPr="00C24ACA">
        <w:rPr>
          <w:rFonts w:eastAsiaTheme="minorEastAsia"/>
          <w:kern w:val="0"/>
          <w:szCs w:val="21"/>
        </w:rPr>
        <w:t>16.09%,</w:t>
      </w:r>
      <w:r w:rsidRPr="00C24ACA">
        <w:rPr>
          <w:rFonts w:eastAsiaTheme="minorEastAsia"/>
          <w:kern w:val="0"/>
          <w:szCs w:val="21"/>
        </w:rPr>
        <w:t>同期业绩比较基准收益率为</w:t>
      </w:r>
      <w:r w:rsidRPr="00C24ACA">
        <w:rPr>
          <w:rFonts w:eastAsiaTheme="minorEastAsia"/>
          <w:kern w:val="0"/>
          <w:szCs w:val="21"/>
        </w:rPr>
        <w:t>0.48%</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类基金份额净值增长率为</w:t>
      </w:r>
      <w:r w:rsidRPr="00C24ACA">
        <w:rPr>
          <w:rFonts w:eastAsiaTheme="minorEastAsia"/>
          <w:kern w:val="0"/>
          <w:szCs w:val="21"/>
        </w:rPr>
        <w:t>1.28%,</w:t>
      </w:r>
      <w:r w:rsidRPr="00C24ACA">
        <w:rPr>
          <w:rFonts w:eastAsiaTheme="minorEastAsia"/>
          <w:kern w:val="0"/>
          <w:szCs w:val="21"/>
        </w:rPr>
        <w:t>同期业绩比较基准收益率为</w:t>
      </w:r>
      <w:r w:rsidRPr="00C24ACA">
        <w:rPr>
          <w:rFonts w:eastAsiaTheme="minorEastAsia"/>
          <w:kern w:val="0"/>
          <w:szCs w:val="21"/>
        </w:rPr>
        <w:t>-8.36%</w:t>
      </w:r>
      <w:r w:rsidRPr="00C24ACA">
        <w:rPr>
          <w:rFonts w:eastAsiaTheme="minorEastAsia"/>
          <w:kern w:val="0"/>
          <w:szCs w:val="21"/>
        </w:rPr>
        <w:t>。</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80" w:name="_Toc225498254"/>
      <w:bookmarkStart w:id="81" w:name="_Toc352255971"/>
      <w:bookmarkStart w:id="82" w:name="_Toc352256039"/>
      <w:bookmarkStart w:id="83" w:name="_Toc352331217"/>
      <w:bookmarkStart w:id="84" w:name="_Toc390164802"/>
      <w:bookmarkStart w:id="85" w:name="_Toc48663844"/>
      <w:r w:rsidRPr="000C6CCD">
        <w:rPr>
          <w:rFonts w:ascii="宋体" w:hAnsi="宋体"/>
          <w:bCs w:val="0"/>
          <w:color w:val="000000"/>
          <w:sz w:val="21"/>
          <w:szCs w:val="21"/>
        </w:rPr>
        <w:lastRenderedPageBreak/>
        <w:t>4</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管理人报告</w:t>
      </w:r>
      <w:bookmarkEnd w:id="80"/>
      <w:bookmarkEnd w:id="81"/>
      <w:bookmarkEnd w:id="82"/>
      <w:bookmarkEnd w:id="83"/>
      <w:bookmarkEnd w:id="84"/>
      <w:bookmarkEnd w:id="85"/>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86" w:name="_Toc352255972"/>
      <w:bookmarkStart w:id="87" w:name="_Toc352256040"/>
      <w:bookmarkStart w:id="88" w:name="_Toc352331218"/>
      <w:bookmarkStart w:id="89" w:name="_Toc362423996"/>
      <w:bookmarkStart w:id="90" w:name="_Toc374459258"/>
      <w:bookmarkStart w:id="91" w:name="_Toc48663845"/>
      <w:r w:rsidRPr="0087359D">
        <w:rPr>
          <w:rFonts w:ascii="宋体" w:hAnsi="宋体"/>
          <w:kern w:val="0"/>
          <w:sz w:val="21"/>
          <w:szCs w:val="21"/>
        </w:rPr>
        <w:t>4.1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基金管理人及基金经理情况</w:t>
      </w:r>
      <w:bookmarkEnd w:id="86"/>
      <w:bookmarkEnd w:id="87"/>
      <w:bookmarkEnd w:id="88"/>
      <w:bookmarkEnd w:id="89"/>
      <w:bookmarkEnd w:id="90"/>
      <w:bookmarkEnd w:id="91"/>
    </w:p>
    <w:p w:rsidR="00FC5407" w:rsidRPr="00C24ACA" w:rsidRDefault="00FC5407" w:rsidP="00FC5407">
      <w:pPr>
        <w:autoSpaceDE w:val="0"/>
        <w:autoSpaceDN w:val="0"/>
        <w:adjustRightInd w:val="0"/>
        <w:spacing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4.1.1 </w:t>
      </w:r>
      <w:r w:rsidRPr="00C24ACA">
        <w:rPr>
          <w:rFonts w:eastAsiaTheme="minorEastAsia"/>
          <w:b/>
          <w:color w:val="000000" w:themeColor="text1"/>
          <w:kern w:val="0"/>
          <w:szCs w:val="21"/>
        </w:rPr>
        <w:t>基金管理人及其管理基金的经验</w:t>
      </w:r>
    </w:p>
    <w:p w:rsidR="00FC5407" w:rsidRPr="00C24ACA" w:rsidRDefault="00FC5407" w:rsidP="008134C7">
      <w:pPr>
        <w:spacing w:line="360" w:lineRule="auto"/>
        <w:ind w:firstLineChars="200" w:firstLine="420"/>
        <w:rPr>
          <w:rFonts w:eastAsiaTheme="minorEastAsia"/>
          <w:color w:val="000000" w:themeColor="text1"/>
          <w:szCs w:val="21"/>
        </w:rPr>
      </w:pPr>
      <w:r w:rsidRPr="00C24ACA">
        <w:rPr>
          <w:rFonts w:eastAsiaTheme="minorEastAsia"/>
          <w:color w:val="000000" w:themeColor="text1"/>
          <w:szCs w:val="21"/>
        </w:rPr>
        <w:t>经中国证监会证监基金字</w:t>
      </w:r>
      <w:r w:rsidRPr="00C24ACA">
        <w:rPr>
          <w:rFonts w:eastAsiaTheme="minorEastAsia"/>
          <w:color w:val="000000" w:themeColor="text1"/>
          <w:szCs w:val="21"/>
        </w:rPr>
        <w:t>[2001]4</w:t>
      </w:r>
      <w:r w:rsidRPr="00C24ACA">
        <w:rPr>
          <w:rFonts w:eastAsiaTheme="minorEastAsia"/>
          <w:color w:val="000000" w:themeColor="text1"/>
          <w:szCs w:val="21"/>
        </w:rPr>
        <w:t>号文批准，本基金管理人成立于</w:t>
      </w:r>
      <w:r w:rsidRPr="00C24ACA">
        <w:rPr>
          <w:rFonts w:eastAsiaTheme="minorEastAsia"/>
          <w:color w:val="000000" w:themeColor="text1"/>
          <w:szCs w:val="21"/>
        </w:rPr>
        <w:t>2001</w:t>
      </w:r>
      <w:r w:rsidRPr="00C24ACA">
        <w:rPr>
          <w:rFonts w:eastAsiaTheme="minorEastAsia"/>
          <w:color w:val="000000" w:themeColor="text1"/>
          <w:szCs w:val="21"/>
        </w:rPr>
        <w:t>年</w:t>
      </w:r>
      <w:r w:rsidRPr="00C24ACA">
        <w:rPr>
          <w:rFonts w:eastAsiaTheme="minorEastAsia"/>
          <w:color w:val="000000" w:themeColor="text1"/>
          <w:szCs w:val="21"/>
        </w:rPr>
        <w:t>4</w:t>
      </w:r>
      <w:r w:rsidRPr="00C24ACA">
        <w:rPr>
          <w:rFonts w:eastAsiaTheme="minorEastAsia"/>
          <w:color w:val="000000" w:themeColor="text1"/>
          <w:szCs w:val="21"/>
        </w:rPr>
        <w:t>月</w:t>
      </w:r>
      <w:r w:rsidRPr="00C24ACA">
        <w:rPr>
          <w:rFonts w:eastAsiaTheme="minorEastAsia"/>
          <w:color w:val="000000" w:themeColor="text1"/>
          <w:szCs w:val="21"/>
        </w:rPr>
        <w:t>17</w:t>
      </w:r>
      <w:r w:rsidRPr="00C24ACA">
        <w:rPr>
          <w:rFonts w:eastAsiaTheme="minorEastAsia"/>
          <w:color w:val="000000" w:themeColor="text1"/>
          <w:szCs w:val="21"/>
        </w:rPr>
        <w:t>日，总部设在广州，在北京、上海、香港等地设有分公司或子公司。本基金管理人拥有公募、社保、年金、特定客户资产管理、</w:t>
      </w:r>
      <w:r w:rsidRPr="00C24ACA">
        <w:rPr>
          <w:rFonts w:eastAsiaTheme="minorEastAsia"/>
          <w:color w:val="000000" w:themeColor="text1"/>
          <w:szCs w:val="21"/>
        </w:rPr>
        <w:t>QDII</w:t>
      </w:r>
      <w:r w:rsidRPr="00C24ACA">
        <w:rPr>
          <w:rFonts w:eastAsiaTheme="minorEastAsia"/>
          <w:color w:val="000000" w:themeColor="text1"/>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4.1.2 </w:t>
      </w:r>
      <w:r w:rsidRPr="00C24ACA">
        <w:rPr>
          <w:rFonts w:eastAsiaTheme="minorEastAsia"/>
          <w:b/>
          <w:color w:val="000000" w:themeColor="text1"/>
          <w:kern w:val="0"/>
          <w:szCs w:val="21"/>
        </w:rPr>
        <w:t>基金经理（或基金经理小组）及基金经理助理的简介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9"/>
        <w:gridCol w:w="1568"/>
        <w:gridCol w:w="1292"/>
        <w:gridCol w:w="1294"/>
        <w:gridCol w:w="1200"/>
        <w:gridCol w:w="2625"/>
      </w:tblGrid>
      <w:tr w:rsidR="00FC5407" w:rsidRPr="00C24ACA" w:rsidTr="008F4C10">
        <w:tc>
          <w:tcPr>
            <w:tcW w:w="653"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姓名</w:t>
            </w:r>
          </w:p>
        </w:tc>
        <w:tc>
          <w:tcPr>
            <w:tcW w:w="8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职务</w:t>
            </w:r>
          </w:p>
        </w:tc>
        <w:tc>
          <w:tcPr>
            <w:tcW w:w="1409" w:type="pct"/>
            <w:gridSpan w:val="2"/>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任本基金的基金经理（助理）期限</w:t>
            </w:r>
          </w:p>
        </w:tc>
        <w:tc>
          <w:tcPr>
            <w:tcW w:w="6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证券从业年限</w:t>
            </w:r>
          </w:p>
        </w:tc>
        <w:tc>
          <w:tcPr>
            <w:tcW w:w="1431"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说明</w:t>
            </w:r>
          </w:p>
        </w:tc>
      </w:tr>
      <w:tr w:rsidR="00FC5407" w:rsidRPr="00C24ACA" w:rsidTr="008F4C10">
        <w:tc>
          <w:tcPr>
            <w:tcW w:w="653"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8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任职日期</w:t>
            </w: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离任日期</w:t>
            </w:r>
          </w:p>
        </w:tc>
        <w:tc>
          <w:tcPr>
            <w:tcW w:w="6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1431"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r>
      <w:tr w:rsidR="007B4EE4">
        <w:tc>
          <w:tcPr>
            <w:tcW w:w="0" w:type="auto"/>
            <w:vAlign w:val="center"/>
          </w:tcPr>
          <w:p w:rsidR="007B4EE4" w:rsidRDefault="00B833D5">
            <w:pPr>
              <w:jc w:val="center"/>
            </w:pPr>
            <w:r>
              <w:rPr>
                <w:rFonts w:eastAsiaTheme="minorEastAsia"/>
                <w:color w:val="000000" w:themeColor="text1"/>
                <w:szCs w:val="21"/>
              </w:rPr>
              <w:t>张胜记</w:t>
            </w:r>
          </w:p>
        </w:tc>
        <w:tc>
          <w:tcPr>
            <w:tcW w:w="0" w:type="auto"/>
            <w:vAlign w:val="center"/>
          </w:tcPr>
          <w:p w:rsidR="007B4EE4" w:rsidRDefault="00B833D5">
            <w:pPr>
              <w:jc w:val="left"/>
            </w:pPr>
            <w:r>
              <w:rPr>
                <w:rFonts w:eastAsiaTheme="minorEastAsia"/>
                <w:color w:val="000000" w:themeColor="text1"/>
                <w:szCs w:val="21"/>
              </w:rPr>
              <w:t>本基金的基金经理、易方达恒生中国企业交易型开放式指数证券投资基金的基金经理（自</w:t>
            </w:r>
            <w:r>
              <w:rPr>
                <w:rFonts w:eastAsiaTheme="minorEastAsia"/>
                <w:color w:val="000000" w:themeColor="text1"/>
                <w:szCs w:val="21"/>
              </w:rPr>
              <w:t>2012</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09</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日）、易方达恒生中国企业交易型开放式指数证券投资基金联接基金的基金经理（自</w:t>
            </w:r>
            <w:r>
              <w:rPr>
                <w:rFonts w:eastAsiaTheme="minorEastAsia"/>
                <w:color w:val="000000" w:themeColor="text1"/>
                <w:szCs w:val="21"/>
              </w:rPr>
              <w:t>2012</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21</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w:t>
            </w:r>
            <w:r>
              <w:rPr>
                <w:rFonts w:eastAsiaTheme="minorEastAsia"/>
                <w:color w:val="000000" w:themeColor="text1"/>
                <w:szCs w:val="21"/>
              </w:rPr>
              <w:t>50</w:t>
            </w:r>
            <w:r>
              <w:rPr>
                <w:rFonts w:eastAsiaTheme="minorEastAsia"/>
                <w:color w:val="000000" w:themeColor="text1"/>
                <w:szCs w:val="21"/>
              </w:rPr>
              <w:t>指数证券投资基金的基金经理、易方达标普全球高端消费品指数增强型证券投资基</w:t>
            </w:r>
            <w:r>
              <w:rPr>
                <w:rFonts w:eastAsiaTheme="minorEastAsia"/>
                <w:color w:val="000000" w:themeColor="text1"/>
                <w:szCs w:val="21"/>
              </w:rPr>
              <w:lastRenderedPageBreak/>
              <w:t>金的基金经理、易方达原油证券投资基金（</w:t>
            </w:r>
            <w:r>
              <w:rPr>
                <w:rFonts w:eastAsiaTheme="minorEastAsia"/>
                <w:color w:val="000000" w:themeColor="text1"/>
                <w:szCs w:val="21"/>
              </w:rPr>
              <w:t>QDII</w:t>
            </w:r>
            <w:r>
              <w:rPr>
                <w:rFonts w:eastAsiaTheme="minorEastAsia"/>
                <w:color w:val="000000" w:themeColor="text1"/>
                <w:szCs w:val="21"/>
              </w:rPr>
              <w:t>）的基金经理（自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12</w:t>
            </w:r>
            <w:r>
              <w:rPr>
                <w:rFonts w:eastAsiaTheme="minorEastAsia"/>
                <w:color w:val="000000" w:themeColor="text1"/>
                <w:szCs w:val="21"/>
              </w:rPr>
              <w:t>月</w:t>
            </w:r>
            <w:r>
              <w:rPr>
                <w:rFonts w:eastAsiaTheme="minorEastAsia"/>
                <w:color w:val="000000" w:themeColor="text1"/>
                <w:szCs w:val="21"/>
              </w:rPr>
              <w:t>19</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日）、指数增强投资部联席总经理</w:t>
            </w:r>
          </w:p>
        </w:tc>
        <w:tc>
          <w:tcPr>
            <w:tcW w:w="0" w:type="auto"/>
            <w:vAlign w:val="center"/>
          </w:tcPr>
          <w:p w:rsidR="007B4EE4" w:rsidRDefault="00B833D5">
            <w:pPr>
              <w:jc w:val="center"/>
            </w:pPr>
            <w:r>
              <w:rPr>
                <w:rFonts w:eastAsiaTheme="minorEastAsia"/>
                <w:color w:val="000000" w:themeColor="text1"/>
                <w:szCs w:val="21"/>
              </w:rPr>
              <w:lastRenderedPageBreak/>
              <w:t>2016-11-02</w:t>
            </w:r>
          </w:p>
        </w:tc>
        <w:tc>
          <w:tcPr>
            <w:tcW w:w="0" w:type="auto"/>
            <w:vAlign w:val="center"/>
          </w:tcPr>
          <w:p w:rsidR="007B4EE4" w:rsidRDefault="00B833D5">
            <w:pPr>
              <w:jc w:val="center"/>
            </w:pPr>
            <w:r>
              <w:rPr>
                <w:rFonts w:eastAsiaTheme="minorEastAsia"/>
                <w:color w:val="000000" w:themeColor="text1"/>
                <w:szCs w:val="21"/>
              </w:rPr>
              <w:t>2020-03-18</w:t>
            </w:r>
          </w:p>
        </w:tc>
        <w:tc>
          <w:tcPr>
            <w:tcW w:w="0" w:type="auto"/>
            <w:vAlign w:val="center"/>
          </w:tcPr>
          <w:p w:rsidR="007B4EE4" w:rsidRDefault="00B833D5">
            <w:pPr>
              <w:jc w:val="center"/>
            </w:pPr>
            <w:r>
              <w:rPr>
                <w:rFonts w:eastAsiaTheme="minorEastAsia"/>
                <w:color w:val="000000" w:themeColor="text1"/>
                <w:szCs w:val="21"/>
              </w:rPr>
              <w:t>15</w:t>
            </w:r>
            <w:r>
              <w:rPr>
                <w:rFonts w:eastAsiaTheme="minorEastAsia"/>
                <w:color w:val="000000" w:themeColor="text1"/>
                <w:szCs w:val="21"/>
              </w:rPr>
              <w:t>年</w:t>
            </w:r>
          </w:p>
        </w:tc>
        <w:tc>
          <w:tcPr>
            <w:tcW w:w="0" w:type="auto"/>
            <w:vAlign w:val="center"/>
          </w:tcPr>
          <w:p w:rsidR="007B4EE4" w:rsidRDefault="00B833D5">
            <w:pPr>
              <w:jc w:val="left"/>
            </w:pPr>
            <w:r>
              <w:rPr>
                <w:rFonts w:eastAsiaTheme="minorEastAsia"/>
                <w:color w:val="000000" w:themeColor="text1"/>
                <w:szCs w:val="21"/>
              </w:rPr>
              <w:t>硕士研究生，具有基金从业资格。曾任易方达基金管理有限公司投资经理助理、基金经理助理、行业研究员、指数与量化投资部总经理助理、指数与量化投资部副总经理、指数及增强投资部副总经理、指数投资部总经理、易方达沪深</w:t>
            </w:r>
            <w:r>
              <w:rPr>
                <w:rFonts w:eastAsiaTheme="minorEastAsia"/>
                <w:color w:val="000000" w:themeColor="text1"/>
                <w:szCs w:val="21"/>
              </w:rPr>
              <w:t>300</w:t>
            </w:r>
            <w:r>
              <w:rPr>
                <w:rFonts w:eastAsiaTheme="minorEastAsia"/>
                <w:color w:val="000000" w:themeColor="text1"/>
                <w:szCs w:val="21"/>
              </w:rPr>
              <w:t>交易型开放式指数发起式证券投资基金联接基金（原易方达沪深</w:t>
            </w:r>
            <w:r>
              <w:rPr>
                <w:rFonts w:eastAsiaTheme="minorEastAsia"/>
                <w:color w:val="000000" w:themeColor="text1"/>
                <w:szCs w:val="21"/>
              </w:rPr>
              <w:t>300</w:t>
            </w:r>
            <w:r>
              <w:rPr>
                <w:rFonts w:eastAsiaTheme="minorEastAsia"/>
                <w:color w:val="000000" w:themeColor="text1"/>
                <w:szCs w:val="21"/>
              </w:rPr>
              <w:t>指数证券投资基金）基金经理、易方达上证中盘交易型开放式指数证券投资基金基金经理、易方达上证中盘交易型开放式指数证券投资基金联接基金基金经理、易方达标普医疗保健指数证券投资基金（</w:t>
            </w:r>
            <w:r>
              <w:rPr>
                <w:rFonts w:eastAsiaTheme="minorEastAsia"/>
                <w:color w:val="000000" w:themeColor="text1"/>
                <w:szCs w:val="21"/>
              </w:rPr>
              <w:t>LOF</w:t>
            </w:r>
            <w:r>
              <w:rPr>
                <w:rFonts w:eastAsiaTheme="minorEastAsia"/>
                <w:color w:val="000000" w:themeColor="text1"/>
                <w:szCs w:val="21"/>
              </w:rPr>
              <w:t>）基金经理、易方达标普</w:t>
            </w:r>
            <w:r>
              <w:rPr>
                <w:rFonts w:eastAsiaTheme="minorEastAsia"/>
                <w:color w:val="000000" w:themeColor="text1"/>
                <w:szCs w:val="21"/>
              </w:rPr>
              <w:t>500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）基金经理、易方达标普生物科技指数证券投资基金（</w:t>
            </w:r>
            <w:r>
              <w:rPr>
                <w:rFonts w:eastAsiaTheme="minorEastAsia"/>
                <w:color w:val="000000" w:themeColor="text1"/>
                <w:szCs w:val="21"/>
              </w:rPr>
              <w:t>LOF</w:t>
            </w:r>
            <w:r>
              <w:rPr>
                <w:rFonts w:eastAsiaTheme="minorEastAsia"/>
                <w:color w:val="000000" w:themeColor="text1"/>
                <w:szCs w:val="21"/>
              </w:rPr>
              <w:t>）基金经理、</w:t>
            </w:r>
            <w:r>
              <w:rPr>
                <w:rFonts w:eastAsiaTheme="minorEastAsia"/>
                <w:color w:val="000000" w:themeColor="text1"/>
                <w:szCs w:val="21"/>
              </w:rPr>
              <w:lastRenderedPageBreak/>
              <w:t>易方达标普信息科技指数证券投资基金（</w:t>
            </w:r>
            <w:r>
              <w:rPr>
                <w:rFonts w:eastAsiaTheme="minorEastAsia"/>
                <w:color w:val="000000" w:themeColor="text1"/>
                <w:szCs w:val="21"/>
              </w:rPr>
              <w:t>LOF</w:t>
            </w:r>
            <w:r>
              <w:rPr>
                <w:rFonts w:eastAsiaTheme="minorEastAsia"/>
                <w:color w:val="000000" w:themeColor="text1"/>
                <w:szCs w:val="21"/>
              </w:rPr>
              <w:t>）基金经理。</w:t>
            </w:r>
          </w:p>
        </w:tc>
      </w:tr>
      <w:tr w:rsidR="007B4EE4">
        <w:tc>
          <w:tcPr>
            <w:tcW w:w="0" w:type="auto"/>
            <w:vAlign w:val="center"/>
          </w:tcPr>
          <w:p w:rsidR="007B4EE4" w:rsidRDefault="00B833D5">
            <w:pPr>
              <w:jc w:val="center"/>
            </w:pPr>
            <w:r>
              <w:rPr>
                <w:rFonts w:eastAsiaTheme="minorEastAsia"/>
                <w:color w:val="000000" w:themeColor="text1"/>
                <w:szCs w:val="21"/>
              </w:rPr>
              <w:lastRenderedPageBreak/>
              <w:t>刘树荣</w:t>
            </w:r>
          </w:p>
        </w:tc>
        <w:tc>
          <w:tcPr>
            <w:tcW w:w="0" w:type="auto"/>
            <w:vAlign w:val="center"/>
          </w:tcPr>
          <w:p w:rsidR="007B4EE4" w:rsidRDefault="00B833D5">
            <w:pPr>
              <w:jc w:val="left"/>
            </w:pPr>
            <w:r>
              <w:rPr>
                <w:rFonts w:eastAsiaTheme="minorEastAsia"/>
                <w:color w:val="000000" w:themeColor="text1"/>
                <w:szCs w:val="21"/>
              </w:rPr>
              <w:t>本基金的基金经理、易方达生物科技指数分级证券投资基金的基金经理、易方达并购重组指数分级证券投资基金的基金经理、易方达创业板交易型开放式指数证券投资基金联接基金的基金经理、易方达银行指数分级证券投资基金的基金经理、易方达中小板指数证券投资基金（</w:t>
            </w:r>
            <w:r>
              <w:rPr>
                <w:rFonts w:eastAsiaTheme="minorEastAsia"/>
                <w:color w:val="000000" w:themeColor="text1"/>
                <w:szCs w:val="21"/>
              </w:rPr>
              <w:t>LOF</w:t>
            </w:r>
            <w:r>
              <w:rPr>
                <w:rFonts w:eastAsiaTheme="minorEastAsia"/>
                <w:color w:val="000000" w:themeColor="text1"/>
                <w:szCs w:val="21"/>
              </w:rPr>
              <w:t>）的基金经理、易方达深证</w:t>
            </w:r>
            <w:r>
              <w:rPr>
                <w:rFonts w:eastAsiaTheme="minorEastAsia"/>
                <w:color w:val="000000" w:themeColor="text1"/>
                <w:szCs w:val="21"/>
              </w:rPr>
              <w:t>100</w:t>
            </w:r>
            <w:r>
              <w:rPr>
                <w:rFonts w:eastAsiaTheme="minorEastAsia"/>
                <w:color w:val="000000" w:themeColor="text1"/>
                <w:szCs w:val="21"/>
              </w:rPr>
              <w:t>交易型开放式指数基金的基金经理、易方达深证</w:t>
            </w:r>
            <w:r>
              <w:rPr>
                <w:rFonts w:eastAsiaTheme="minorEastAsia"/>
                <w:color w:val="000000" w:themeColor="text1"/>
                <w:szCs w:val="21"/>
              </w:rPr>
              <w:t>100</w:t>
            </w:r>
            <w:r>
              <w:rPr>
                <w:rFonts w:eastAsiaTheme="minorEastAsia"/>
                <w:color w:val="000000" w:themeColor="text1"/>
                <w:szCs w:val="21"/>
              </w:rPr>
              <w:t>交易型开放式指数证券投资基金联接基金的基金经理、易方达创业板交易型开放式指数证券投资基金的基金经理、</w:t>
            </w:r>
            <w:r>
              <w:rPr>
                <w:rFonts w:eastAsiaTheme="minorEastAsia"/>
                <w:color w:val="000000" w:themeColor="text1"/>
                <w:szCs w:val="21"/>
              </w:rPr>
              <w:lastRenderedPageBreak/>
              <w:t>易方达标普信息科技指数证券投资基金（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2018</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11</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日）、易方达标普生物科技指数证券投资基金（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2018</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11</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日）、易方达标普</w:t>
            </w:r>
            <w:r>
              <w:rPr>
                <w:rFonts w:eastAsiaTheme="minorEastAsia"/>
                <w:color w:val="000000" w:themeColor="text1"/>
                <w:szCs w:val="21"/>
              </w:rPr>
              <w:t>500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）的基金经理、易方达标普医疗保健指数证券投资基金（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2018</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11</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日）、易方达上证中盘交易型开放式指数证券投资基金的基金经理、易方达上证中盘交易型开放式指数证券投资基金联接基金的基金经理、易方达中证</w:t>
            </w:r>
            <w:r>
              <w:rPr>
                <w:rFonts w:eastAsiaTheme="minorEastAsia"/>
                <w:color w:val="000000" w:themeColor="text1"/>
                <w:szCs w:val="21"/>
              </w:rPr>
              <w:t>800</w:t>
            </w:r>
            <w:r>
              <w:rPr>
                <w:rFonts w:eastAsiaTheme="minorEastAsia"/>
                <w:color w:val="000000" w:themeColor="text1"/>
                <w:szCs w:val="21"/>
              </w:rPr>
              <w:t>交易型开放式指数证券投资基金的基金经理、易方达中证</w:t>
            </w:r>
            <w:r>
              <w:rPr>
                <w:rFonts w:eastAsiaTheme="minorEastAsia"/>
                <w:color w:val="000000" w:themeColor="text1"/>
                <w:szCs w:val="21"/>
              </w:rPr>
              <w:t>800</w:t>
            </w:r>
            <w:r>
              <w:rPr>
                <w:rFonts w:eastAsiaTheme="minorEastAsia"/>
                <w:color w:val="000000" w:themeColor="text1"/>
                <w:szCs w:val="21"/>
              </w:rPr>
              <w:t>交易型开放式指数证券</w:t>
            </w:r>
            <w:r>
              <w:rPr>
                <w:rFonts w:eastAsiaTheme="minorEastAsia"/>
                <w:color w:val="000000" w:themeColor="text1"/>
                <w:szCs w:val="21"/>
              </w:rPr>
              <w:lastRenderedPageBreak/>
              <w:t>投资基金发起式联接基金的基金经理、易方达中证国企一带一路交易型开放式指数证券投资基金发起式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tcW w:w="0" w:type="auto"/>
            <w:vAlign w:val="center"/>
          </w:tcPr>
          <w:p w:rsidR="007B4EE4" w:rsidRDefault="00B833D5">
            <w:pPr>
              <w:jc w:val="center"/>
            </w:pPr>
            <w:r>
              <w:rPr>
                <w:rFonts w:eastAsiaTheme="minorEastAsia"/>
                <w:color w:val="000000" w:themeColor="text1"/>
                <w:szCs w:val="21"/>
              </w:rPr>
              <w:lastRenderedPageBreak/>
              <w:t>2018-08-11</w:t>
            </w:r>
          </w:p>
        </w:tc>
        <w:tc>
          <w:tcPr>
            <w:tcW w:w="0" w:type="auto"/>
            <w:vAlign w:val="center"/>
          </w:tcPr>
          <w:p w:rsidR="007B4EE4" w:rsidRDefault="00B833D5">
            <w:pPr>
              <w:jc w:val="center"/>
            </w:pPr>
            <w:r>
              <w:rPr>
                <w:rFonts w:eastAsiaTheme="minorEastAsia"/>
                <w:color w:val="000000" w:themeColor="text1"/>
                <w:szCs w:val="21"/>
              </w:rPr>
              <w:t>-</w:t>
            </w:r>
          </w:p>
        </w:tc>
        <w:tc>
          <w:tcPr>
            <w:tcW w:w="0" w:type="auto"/>
            <w:vAlign w:val="center"/>
          </w:tcPr>
          <w:p w:rsidR="007B4EE4" w:rsidRDefault="00B833D5">
            <w:pPr>
              <w:jc w:val="center"/>
            </w:pPr>
            <w:r>
              <w:rPr>
                <w:rFonts w:eastAsiaTheme="minorEastAsia"/>
                <w:color w:val="000000" w:themeColor="text1"/>
                <w:szCs w:val="21"/>
              </w:rPr>
              <w:t>13</w:t>
            </w:r>
            <w:r>
              <w:rPr>
                <w:rFonts w:eastAsiaTheme="minorEastAsia"/>
                <w:color w:val="000000" w:themeColor="text1"/>
                <w:szCs w:val="21"/>
              </w:rPr>
              <w:t>年</w:t>
            </w:r>
          </w:p>
        </w:tc>
        <w:tc>
          <w:tcPr>
            <w:tcW w:w="0" w:type="auto"/>
            <w:vAlign w:val="center"/>
          </w:tcPr>
          <w:p w:rsidR="007B4EE4" w:rsidRDefault="00B833D5">
            <w:pPr>
              <w:jc w:val="left"/>
            </w:pPr>
            <w:r>
              <w:rPr>
                <w:rFonts w:eastAsiaTheme="minorEastAsia"/>
                <w:color w:val="000000" w:themeColor="text1"/>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7B4EE4" w:rsidRDefault="00B833D5">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E519A7" w:rsidRDefault="00FC5407" w:rsidP="00E519A7">
      <w:pPr>
        <w:tabs>
          <w:tab w:val="left" w:pos="426"/>
        </w:tabs>
        <w:spacing w:line="360" w:lineRule="auto"/>
        <w:ind w:firstLineChars="200" w:firstLine="420"/>
        <w:rPr>
          <w:kern w:val="0"/>
          <w:szCs w:val="21"/>
        </w:rPr>
      </w:pPr>
      <w:r w:rsidRPr="001412CA">
        <w:rPr>
          <w:rFonts w:eastAsiaTheme="minorEastAsia"/>
          <w:kern w:val="0"/>
          <w:szCs w:val="21"/>
        </w:rPr>
        <w:t>2.</w:t>
      </w:r>
      <w:r w:rsidRPr="001412CA">
        <w:rPr>
          <w:rFonts w:eastAsiaTheme="minorEastAsia"/>
          <w:kern w:val="0"/>
          <w:szCs w:val="21"/>
        </w:rPr>
        <w:t>证券从业的含义遵从《证券业从业人员资格管理办法》的相关规定。</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92" w:name="_Toc224618356"/>
      <w:bookmarkStart w:id="93" w:name="_Toc235605685"/>
      <w:bookmarkStart w:id="94" w:name="_Toc286929733"/>
      <w:bookmarkStart w:id="95" w:name="_Toc352255973"/>
      <w:bookmarkStart w:id="96" w:name="_Toc352256041"/>
      <w:bookmarkStart w:id="97" w:name="_Toc352331219"/>
      <w:bookmarkStart w:id="98" w:name="_Toc362423997"/>
      <w:bookmarkStart w:id="99" w:name="_Toc374459259"/>
      <w:bookmarkStart w:id="100" w:name="_Toc48663846"/>
      <w:r w:rsidRPr="0087359D">
        <w:rPr>
          <w:rFonts w:ascii="宋体" w:hAnsi="宋体"/>
          <w:kern w:val="0"/>
          <w:sz w:val="21"/>
          <w:szCs w:val="21"/>
        </w:rPr>
        <w:t>4.2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境外投资顾问为本基金提供投资建议的主要成员简介</w:t>
      </w:r>
      <w:bookmarkEnd w:id="92"/>
      <w:bookmarkEnd w:id="93"/>
      <w:bookmarkEnd w:id="94"/>
      <w:bookmarkEnd w:id="95"/>
      <w:bookmarkEnd w:id="96"/>
      <w:bookmarkEnd w:id="97"/>
      <w:bookmarkEnd w:id="98"/>
      <w:bookmarkEnd w:id="99"/>
      <w:bookmarkEnd w:id="100"/>
    </w:p>
    <w:p w:rsidR="00FC5407" w:rsidRPr="001412CA" w:rsidRDefault="00FC5407" w:rsidP="008134C7">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本基金未聘请境外投资顾问。</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01" w:name="_Toc225498256"/>
      <w:bookmarkStart w:id="102" w:name="_Toc352255974"/>
      <w:bookmarkStart w:id="103" w:name="_Toc352256042"/>
      <w:bookmarkStart w:id="104" w:name="_Toc352331220"/>
      <w:bookmarkStart w:id="105" w:name="_Toc362423998"/>
      <w:bookmarkStart w:id="106" w:name="_Toc374459260"/>
      <w:bookmarkStart w:id="107" w:name="_Toc48663847"/>
      <w:r w:rsidRPr="0087359D">
        <w:rPr>
          <w:rFonts w:ascii="宋体" w:hAnsi="宋体"/>
          <w:kern w:val="0"/>
          <w:sz w:val="21"/>
          <w:szCs w:val="21"/>
        </w:rPr>
        <w:t>4.3</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管理人对报告期内本基金运作遵规守信情况的说明</w:t>
      </w:r>
      <w:bookmarkEnd w:id="101"/>
      <w:bookmarkEnd w:id="102"/>
      <w:bookmarkEnd w:id="103"/>
      <w:bookmarkEnd w:id="104"/>
      <w:bookmarkEnd w:id="105"/>
      <w:bookmarkEnd w:id="106"/>
      <w:bookmarkEnd w:id="107"/>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08" w:name="_Toc225498257"/>
      <w:bookmarkStart w:id="109" w:name="_Toc352255975"/>
      <w:bookmarkStart w:id="110" w:name="_Toc352256043"/>
      <w:bookmarkStart w:id="111" w:name="_Toc352331221"/>
      <w:bookmarkStart w:id="112" w:name="_Toc362423999"/>
      <w:bookmarkStart w:id="113" w:name="_Toc374459261"/>
      <w:bookmarkStart w:id="114" w:name="_Toc48663848"/>
      <w:r w:rsidRPr="0087359D">
        <w:rPr>
          <w:rFonts w:ascii="宋体" w:hAnsi="宋体"/>
          <w:kern w:val="0"/>
          <w:sz w:val="21"/>
          <w:szCs w:val="21"/>
        </w:rPr>
        <w:lastRenderedPageBreak/>
        <w:t>4.4</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管理人对报告期内公平交易情况的专项说明</w:t>
      </w:r>
      <w:bookmarkEnd w:id="108"/>
      <w:bookmarkEnd w:id="109"/>
      <w:bookmarkEnd w:id="110"/>
      <w:bookmarkEnd w:id="111"/>
      <w:bookmarkEnd w:id="112"/>
      <w:bookmarkEnd w:id="113"/>
      <w:bookmarkEnd w:id="114"/>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4.4.1 </w:t>
      </w:r>
      <w:r w:rsidRPr="00C24ACA">
        <w:rPr>
          <w:rFonts w:eastAsiaTheme="minorEastAsia"/>
          <w:b/>
          <w:color w:val="000000" w:themeColor="text1"/>
          <w:kern w:val="0"/>
          <w:szCs w:val="21"/>
        </w:rPr>
        <w:t>公平交易制度的执行情况</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4.4.2 </w:t>
      </w:r>
      <w:r w:rsidRPr="00C24ACA">
        <w:rPr>
          <w:rFonts w:eastAsiaTheme="minorEastAsia"/>
          <w:b/>
          <w:color w:val="000000" w:themeColor="text1"/>
          <w:kern w:val="0"/>
          <w:szCs w:val="21"/>
        </w:rPr>
        <w:t>异常交易行为的专项说明</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本报告期内，公司旗下所有投资组合参与的交易所公开竞价交易中，同日反向交易成交较少的单边交易量超过该证券当日成交量的</w:t>
      </w:r>
      <w:r>
        <w:rPr>
          <w:rFonts w:eastAsiaTheme="minorEastAsia"/>
          <w:kern w:val="0"/>
          <w:szCs w:val="21"/>
        </w:rPr>
        <w:t>5%</w:t>
      </w:r>
      <w:r>
        <w:rPr>
          <w:rFonts w:eastAsiaTheme="minorEastAsia"/>
          <w:kern w:val="0"/>
          <w:szCs w:val="21"/>
        </w:rPr>
        <w:t>的交易共</w:t>
      </w:r>
      <w:r>
        <w:rPr>
          <w:rFonts w:eastAsiaTheme="minorEastAsia"/>
          <w:kern w:val="0"/>
          <w:szCs w:val="21"/>
        </w:rPr>
        <w:t>59</w:t>
      </w:r>
      <w:r>
        <w:rPr>
          <w:rFonts w:eastAsiaTheme="minorEastAsia"/>
          <w:kern w:val="0"/>
          <w:szCs w:val="21"/>
        </w:rPr>
        <w:t>次，均为指数量化投资组合因投资策略需要和其他组合发生的反向交易。</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本报告期内，未发现本基金有可能导致不公平交易和利益输送的异常交易。</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15" w:name="_Toc225498258"/>
      <w:bookmarkStart w:id="116" w:name="_Toc352255976"/>
      <w:bookmarkStart w:id="117" w:name="_Toc352256044"/>
      <w:bookmarkStart w:id="118" w:name="_Toc352331222"/>
      <w:bookmarkStart w:id="119" w:name="_Toc362424000"/>
      <w:bookmarkStart w:id="120" w:name="_Toc374459262"/>
      <w:bookmarkStart w:id="121" w:name="_Toc48663849"/>
      <w:r w:rsidRPr="0087359D">
        <w:rPr>
          <w:rFonts w:ascii="宋体" w:hAnsi="宋体"/>
          <w:kern w:val="0"/>
          <w:sz w:val="21"/>
          <w:szCs w:val="21"/>
        </w:rPr>
        <w:t>4.5</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管理人对报告期内基金的投资策略和业绩表现的说明</w:t>
      </w:r>
      <w:bookmarkEnd w:id="115"/>
      <w:bookmarkEnd w:id="116"/>
      <w:bookmarkEnd w:id="117"/>
      <w:bookmarkEnd w:id="118"/>
      <w:bookmarkEnd w:id="119"/>
      <w:bookmarkEnd w:id="120"/>
      <w:bookmarkEnd w:id="121"/>
    </w:p>
    <w:p w:rsidR="00FC5407" w:rsidRPr="00C24ACA" w:rsidRDefault="00FC5407" w:rsidP="00FC5407">
      <w:pPr>
        <w:spacing w:line="360" w:lineRule="auto"/>
        <w:rPr>
          <w:rFonts w:eastAsiaTheme="minorEastAsia"/>
          <w:b/>
          <w:color w:val="000000" w:themeColor="text1"/>
          <w:szCs w:val="21"/>
        </w:rPr>
      </w:pPr>
      <w:r w:rsidRPr="00C24ACA">
        <w:rPr>
          <w:rFonts w:eastAsiaTheme="minorEastAsia"/>
          <w:b/>
          <w:color w:val="000000" w:themeColor="text1"/>
          <w:szCs w:val="21"/>
        </w:rPr>
        <w:t>4.5.1</w:t>
      </w:r>
      <w:r w:rsidRPr="00C24ACA">
        <w:rPr>
          <w:rFonts w:eastAsiaTheme="minorEastAsia"/>
          <w:b/>
          <w:color w:val="000000" w:themeColor="text1"/>
          <w:szCs w:val="21"/>
        </w:rPr>
        <w:t>报告期内基金投资策略和运作分析</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本基金跟踪的标的指数为恒生综合小型股指数，恒生综合小型股指数涵盖恒生综合指数成份股总市值的后</w:t>
      </w:r>
      <w:r>
        <w:rPr>
          <w:rFonts w:eastAsiaTheme="minorEastAsia"/>
          <w:kern w:val="0"/>
          <w:szCs w:val="21"/>
        </w:rPr>
        <w:t>5%</w:t>
      </w:r>
      <w:r>
        <w:rPr>
          <w:rFonts w:eastAsiaTheme="minorEastAsia"/>
          <w:kern w:val="0"/>
          <w:szCs w:val="21"/>
        </w:rPr>
        <w:t>，成份股市值偏小，企业基本面情况与股价走势同时受国内外经济形势影响。</w:t>
      </w:r>
      <w:r>
        <w:rPr>
          <w:rFonts w:eastAsiaTheme="minorEastAsia"/>
          <w:kern w:val="0"/>
          <w:szCs w:val="21"/>
        </w:rPr>
        <w:t>2020</w:t>
      </w:r>
      <w:r>
        <w:rPr>
          <w:rFonts w:eastAsiaTheme="minorEastAsia"/>
          <w:kern w:val="0"/>
          <w:szCs w:val="21"/>
        </w:rPr>
        <w:t>年上半年，受新冠疫情的影响，全球股票市场大幅波动，尤其是</w:t>
      </w:r>
      <w:r>
        <w:rPr>
          <w:rFonts w:eastAsiaTheme="minorEastAsia"/>
          <w:kern w:val="0"/>
          <w:szCs w:val="21"/>
        </w:rPr>
        <w:t>3</w:t>
      </w:r>
      <w:r>
        <w:rPr>
          <w:rFonts w:eastAsiaTheme="minorEastAsia"/>
          <w:kern w:val="0"/>
          <w:szCs w:val="21"/>
        </w:rPr>
        <w:t>月份新冠疫情在海外蔓延后，美国标普</w:t>
      </w:r>
      <w:r>
        <w:rPr>
          <w:rFonts w:eastAsiaTheme="minorEastAsia"/>
          <w:kern w:val="0"/>
          <w:szCs w:val="21"/>
        </w:rPr>
        <w:t>500</w:t>
      </w:r>
      <w:r>
        <w:rPr>
          <w:rFonts w:eastAsiaTheme="minorEastAsia"/>
          <w:kern w:val="0"/>
          <w:szCs w:val="21"/>
        </w:rPr>
        <w:t>指数多次触发熔断，上证指数一度跌至</w:t>
      </w:r>
      <w:r>
        <w:rPr>
          <w:rFonts w:eastAsiaTheme="minorEastAsia"/>
          <w:kern w:val="0"/>
          <w:szCs w:val="21"/>
        </w:rPr>
        <w:t>2647</w:t>
      </w:r>
      <w:r>
        <w:rPr>
          <w:rFonts w:eastAsiaTheme="minorEastAsia"/>
          <w:kern w:val="0"/>
          <w:szCs w:val="21"/>
        </w:rPr>
        <w:t>点。二季度，随着各国陆续出台经济刺激政策对冲疫情的影响，投资者的恐慌情绪得到缓解，全球证券市场开始低位大幅反弹，纳斯达克指数更是突破了疫情前的高点创出新高。国内市场上，随着新冠疫情得到有效的控制和缓解，各行业陆续复工、复产，国内经济在系列政策的刺激和支持下逐步走向复苏，</w:t>
      </w:r>
      <w:r>
        <w:rPr>
          <w:rFonts w:eastAsiaTheme="minorEastAsia"/>
          <w:kern w:val="0"/>
          <w:szCs w:val="21"/>
        </w:rPr>
        <w:t>A</w:t>
      </w:r>
      <w:r>
        <w:rPr>
          <w:rFonts w:eastAsiaTheme="minorEastAsia"/>
          <w:kern w:val="0"/>
          <w:szCs w:val="21"/>
        </w:rPr>
        <w:t>股市场开始大幅上扬。行业上，医药、</w:t>
      </w:r>
      <w:r>
        <w:rPr>
          <w:rFonts w:eastAsiaTheme="minorEastAsia"/>
          <w:kern w:val="0"/>
          <w:szCs w:val="21"/>
        </w:rPr>
        <w:t>TMT</w:t>
      </w:r>
      <w:r>
        <w:rPr>
          <w:rFonts w:eastAsiaTheme="minorEastAsia"/>
          <w:kern w:val="0"/>
          <w:szCs w:val="21"/>
        </w:rPr>
        <w:t>、消费等行业表现较好，大幅战胜市场；而金融、采掘等周期行业仍然受疫情影响较大，涨幅靠后。港股市场二季度也跟随全球市场反弹。今年以来南下资金持续流入港股市场，总额合计约</w:t>
      </w:r>
      <w:r>
        <w:rPr>
          <w:rFonts w:eastAsiaTheme="minorEastAsia"/>
          <w:kern w:val="0"/>
          <w:szCs w:val="21"/>
        </w:rPr>
        <w:t>2700</w:t>
      </w:r>
      <w:r>
        <w:rPr>
          <w:rFonts w:eastAsiaTheme="minorEastAsia"/>
          <w:kern w:val="0"/>
          <w:szCs w:val="21"/>
        </w:rPr>
        <w:t>亿人民币，反映出市场对港股的认可。本报告期，恒生综合小型股指数下跌</w:t>
      </w:r>
      <w:r>
        <w:rPr>
          <w:rFonts w:eastAsiaTheme="minorEastAsia"/>
          <w:kern w:val="0"/>
          <w:szCs w:val="21"/>
        </w:rPr>
        <w:t>1.2%</w:t>
      </w:r>
      <w:r>
        <w:rPr>
          <w:rFonts w:eastAsiaTheme="minorEastAsia"/>
          <w:kern w:val="0"/>
          <w:szCs w:val="21"/>
        </w:rPr>
        <w:t>（港币计价），受汇率影响人民币计价收益率上涨</w:t>
      </w:r>
      <w:r>
        <w:rPr>
          <w:rFonts w:eastAsiaTheme="minorEastAsia"/>
          <w:kern w:val="0"/>
          <w:szCs w:val="21"/>
        </w:rPr>
        <w:t>0.7%</w:t>
      </w:r>
      <w:r>
        <w:rPr>
          <w:rFonts w:eastAsiaTheme="minorEastAsia"/>
          <w:kern w:val="0"/>
          <w:szCs w:val="21"/>
        </w:rPr>
        <w:t>。</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易方达恒生综合小型股指数基金（香港小盘</w:t>
      </w:r>
      <w:r w:rsidRPr="001412CA">
        <w:rPr>
          <w:rFonts w:eastAsiaTheme="minorEastAsia"/>
          <w:kern w:val="0"/>
          <w:szCs w:val="21"/>
        </w:rPr>
        <w:t>LOF</w:t>
      </w:r>
      <w:r w:rsidRPr="001412CA">
        <w:rPr>
          <w:rFonts w:eastAsiaTheme="minorEastAsia"/>
          <w:kern w:val="0"/>
          <w:szCs w:val="21"/>
        </w:rPr>
        <w:t>）属于被动跟踪指数的证券投资基金。报告期内，除基金管理人认为不适合投资的成份股外，本基金跟随指数的成份股变化进行日常调整操作，控制基金组合与指数权重基本一致。</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szCs w:val="21"/>
        </w:rPr>
      </w:pPr>
      <w:r w:rsidRPr="00C24ACA">
        <w:rPr>
          <w:rFonts w:eastAsiaTheme="minorEastAsia"/>
          <w:b/>
          <w:color w:val="000000" w:themeColor="text1"/>
          <w:szCs w:val="21"/>
        </w:rPr>
        <w:lastRenderedPageBreak/>
        <w:t xml:space="preserve">4.5.2 </w:t>
      </w:r>
      <w:r w:rsidRPr="00C24ACA">
        <w:rPr>
          <w:rFonts w:eastAsiaTheme="minorEastAsia"/>
          <w:b/>
          <w:color w:val="000000" w:themeColor="text1"/>
          <w:szCs w:val="21"/>
        </w:rPr>
        <w:t>报告期内基金的业绩表现</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截至报告期末，本基金</w:t>
      </w:r>
      <w:r w:rsidRPr="001412CA">
        <w:rPr>
          <w:rFonts w:eastAsiaTheme="minorEastAsia"/>
          <w:kern w:val="0"/>
          <w:szCs w:val="21"/>
        </w:rPr>
        <w:t>A</w:t>
      </w:r>
      <w:r w:rsidRPr="001412CA">
        <w:rPr>
          <w:rFonts w:eastAsiaTheme="minorEastAsia"/>
          <w:kern w:val="0"/>
          <w:szCs w:val="21"/>
        </w:rPr>
        <w:t>类基金份额净值为</w:t>
      </w:r>
      <w:r w:rsidRPr="001412CA">
        <w:rPr>
          <w:rFonts w:eastAsiaTheme="minorEastAsia"/>
          <w:kern w:val="0"/>
          <w:szCs w:val="21"/>
        </w:rPr>
        <w:t>1.1609</w:t>
      </w:r>
      <w:r w:rsidRPr="001412CA">
        <w:rPr>
          <w:rFonts w:eastAsiaTheme="minorEastAsia"/>
          <w:kern w:val="0"/>
          <w:szCs w:val="21"/>
        </w:rPr>
        <w:t>元，本报告期份额净值增长率为</w:t>
      </w:r>
      <w:r w:rsidRPr="001412CA">
        <w:rPr>
          <w:rFonts w:eastAsiaTheme="minorEastAsia"/>
          <w:kern w:val="0"/>
          <w:szCs w:val="21"/>
        </w:rPr>
        <w:t>2.00%</w:t>
      </w:r>
      <w:r w:rsidRPr="001412CA">
        <w:rPr>
          <w:rFonts w:eastAsiaTheme="minorEastAsia"/>
          <w:kern w:val="0"/>
          <w:szCs w:val="21"/>
        </w:rPr>
        <w:t>，同期业绩比较基准收益率为</w:t>
      </w:r>
      <w:r w:rsidRPr="001412CA">
        <w:rPr>
          <w:rFonts w:eastAsiaTheme="minorEastAsia"/>
          <w:kern w:val="0"/>
          <w:szCs w:val="21"/>
        </w:rPr>
        <w:t>0.81%</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类基金份额净值为</w:t>
      </w:r>
      <w:r w:rsidRPr="001412CA">
        <w:rPr>
          <w:rFonts w:eastAsiaTheme="minorEastAsia"/>
          <w:kern w:val="0"/>
          <w:szCs w:val="21"/>
        </w:rPr>
        <w:t>1.1577</w:t>
      </w:r>
      <w:r w:rsidRPr="001412CA">
        <w:rPr>
          <w:rFonts w:eastAsiaTheme="minorEastAsia"/>
          <w:kern w:val="0"/>
          <w:szCs w:val="21"/>
        </w:rPr>
        <w:t>元，本报告期份额净值增长率为</w:t>
      </w:r>
      <w:r w:rsidRPr="001412CA">
        <w:rPr>
          <w:rFonts w:eastAsiaTheme="minorEastAsia"/>
          <w:kern w:val="0"/>
          <w:szCs w:val="21"/>
        </w:rPr>
        <w:t>2.09%</w:t>
      </w:r>
      <w:r w:rsidRPr="001412CA">
        <w:rPr>
          <w:rFonts w:eastAsiaTheme="minorEastAsia"/>
          <w:kern w:val="0"/>
          <w:szCs w:val="21"/>
        </w:rPr>
        <w:t>，同期业绩比较基准收益率为</w:t>
      </w:r>
      <w:r w:rsidRPr="001412CA">
        <w:rPr>
          <w:rFonts w:eastAsiaTheme="minorEastAsia"/>
          <w:kern w:val="0"/>
          <w:szCs w:val="21"/>
        </w:rPr>
        <w:t>0.81%</w:t>
      </w:r>
      <w:r w:rsidRPr="001412CA">
        <w:rPr>
          <w:rFonts w:eastAsiaTheme="minorEastAsia"/>
          <w:kern w:val="0"/>
          <w:szCs w:val="21"/>
        </w:rPr>
        <w:t>。年化跟踪误差</w:t>
      </w:r>
      <w:r w:rsidRPr="001412CA">
        <w:rPr>
          <w:rFonts w:eastAsiaTheme="minorEastAsia"/>
          <w:kern w:val="0"/>
          <w:szCs w:val="21"/>
        </w:rPr>
        <w:t>1.43%</w:t>
      </w:r>
      <w:r w:rsidRPr="001412CA">
        <w:rPr>
          <w:rFonts w:eastAsiaTheme="minorEastAsia"/>
          <w:kern w:val="0"/>
          <w:szCs w:val="21"/>
        </w:rPr>
        <w:t>，在合同规定的目标控制范围之内。</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22" w:name="_Toc225498259"/>
      <w:bookmarkStart w:id="123" w:name="_Toc352255977"/>
      <w:bookmarkStart w:id="124" w:name="_Toc352256045"/>
      <w:bookmarkStart w:id="125" w:name="_Toc352331223"/>
      <w:bookmarkStart w:id="126" w:name="_Toc362424001"/>
      <w:bookmarkStart w:id="127" w:name="_Toc374459263"/>
      <w:bookmarkStart w:id="128" w:name="_Toc48663850"/>
      <w:r w:rsidRPr="0087359D">
        <w:rPr>
          <w:rFonts w:ascii="宋体" w:hAnsi="宋体"/>
          <w:kern w:val="0"/>
          <w:sz w:val="21"/>
          <w:szCs w:val="21"/>
        </w:rPr>
        <w:t>4.6</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管理人对宏观经济、证券市场及行业走势的简要展望</w:t>
      </w:r>
      <w:bookmarkEnd w:id="122"/>
      <w:bookmarkEnd w:id="123"/>
      <w:bookmarkEnd w:id="124"/>
      <w:bookmarkEnd w:id="125"/>
      <w:bookmarkEnd w:id="126"/>
      <w:bookmarkEnd w:id="127"/>
      <w:bookmarkEnd w:id="128"/>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展望下半年，稳增长、保就业仍是国内各项政策的出发点，宽财政、松货币等经济刺激政策有望延续。随着生产生活逐步恢复正常，前期政策逐步落地将支持下半年经济逐渐修复，预计下半年</w:t>
      </w:r>
      <w:r>
        <w:rPr>
          <w:rFonts w:eastAsiaTheme="minorEastAsia"/>
          <w:kern w:val="0"/>
          <w:szCs w:val="21"/>
        </w:rPr>
        <w:t>GDP</w:t>
      </w:r>
      <w:r>
        <w:rPr>
          <w:rFonts w:eastAsiaTheme="minorEastAsia"/>
          <w:kern w:val="0"/>
          <w:szCs w:val="21"/>
        </w:rPr>
        <w:t>增速将回归正常区间。</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下半年证券市场走势可能难以延续</w:t>
      </w:r>
      <w:r w:rsidRPr="001412CA">
        <w:rPr>
          <w:rFonts w:eastAsiaTheme="minorEastAsia"/>
          <w:kern w:val="0"/>
          <w:szCs w:val="21"/>
        </w:rPr>
        <w:t>7</w:t>
      </w:r>
      <w:r w:rsidRPr="001412CA">
        <w:rPr>
          <w:rFonts w:eastAsiaTheme="minorEastAsia"/>
          <w:kern w:val="0"/>
          <w:szCs w:val="21"/>
        </w:rPr>
        <w:t>月初的快速上涨行情，波动难免。一方面，国内各种经济刺激政策短时间内退出的概率较低，经济持续修复的大背景下有利于股市向好；另一方面，全球疫情依然严重，疫情爆发以来中美之间的冲突加剧，外部不确定性对证券市场走势仍是一大影响。香港市场上，虽然南下资金持续流入，但港股受外围不确定性影响更大。作为被动投资的基金，本基金将坚持既定的指数化投资策略，以严格控制基金相对目标指数的跟踪偏离为投资目标，致力于为投资者提供分享中国经济增长的优质指数产品。</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29" w:name="_Toc247959457"/>
      <w:bookmarkStart w:id="130" w:name="_Toc225570083"/>
      <w:bookmarkStart w:id="131" w:name="_Toc352255979"/>
      <w:bookmarkStart w:id="132" w:name="_Toc352256047"/>
      <w:bookmarkStart w:id="133" w:name="_Toc352331225"/>
      <w:bookmarkStart w:id="134" w:name="_Toc362424003"/>
      <w:bookmarkStart w:id="135" w:name="_Toc374459265"/>
      <w:bookmarkStart w:id="136" w:name="_Toc48663851"/>
      <w:r w:rsidRPr="0087359D">
        <w:rPr>
          <w:rFonts w:ascii="宋体" w:hAnsi="宋体"/>
          <w:kern w:val="0"/>
          <w:sz w:val="21"/>
          <w:szCs w:val="21"/>
        </w:rPr>
        <w:t>4.7</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管理人对报告期内基金估值程序等事项的说明</w:t>
      </w:r>
      <w:bookmarkEnd w:id="129"/>
      <w:bookmarkEnd w:id="130"/>
      <w:bookmarkEnd w:id="131"/>
      <w:bookmarkEnd w:id="132"/>
      <w:bookmarkEnd w:id="133"/>
      <w:bookmarkEnd w:id="134"/>
      <w:bookmarkEnd w:id="135"/>
      <w:bookmarkEnd w:id="136"/>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本报告期内，参与估值流程各方之间不存在任何重大利益冲突。</w:t>
      </w:r>
      <w:r>
        <w:rPr>
          <w:rFonts w:eastAsiaTheme="minorEastAsia"/>
          <w:kern w:val="0"/>
          <w:szCs w:val="21"/>
        </w:rPr>
        <w:t xml:space="preserve"> </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37" w:name="_Toc247959458"/>
      <w:bookmarkStart w:id="138" w:name="_Toc225570084"/>
      <w:bookmarkStart w:id="139" w:name="_Toc352255980"/>
      <w:bookmarkStart w:id="140" w:name="_Toc352256048"/>
      <w:bookmarkStart w:id="141" w:name="_Toc352331226"/>
      <w:bookmarkStart w:id="142" w:name="_Toc362424004"/>
      <w:bookmarkStart w:id="143" w:name="_Toc374459266"/>
      <w:bookmarkStart w:id="144" w:name="_Toc48663852"/>
      <w:r w:rsidRPr="0087359D">
        <w:rPr>
          <w:rFonts w:ascii="宋体" w:hAnsi="宋体"/>
          <w:kern w:val="0"/>
          <w:sz w:val="21"/>
          <w:szCs w:val="21"/>
        </w:rPr>
        <w:t>4.8</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管理人对报告期内基金利润分配情况的说明</w:t>
      </w:r>
      <w:bookmarkEnd w:id="137"/>
      <w:bookmarkEnd w:id="138"/>
      <w:bookmarkEnd w:id="139"/>
      <w:bookmarkEnd w:id="140"/>
      <w:bookmarkEnd w:id="141"/>
      <w:bookmarkEnd w:id="142"/>
      <w:bookmarkEnd w:id="143"/>
      <w:bookmarkEnd w:id="144"/>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易方达香港恒生综合小型股指数（</w:t>
      </w:r>
      <w:r>
        <w:rPr>
          <w:rFonts w:eastAsiaTheme="minorEastAsia"/>
          <w:kern w:val="0"/>
          <w:szCs w:val="21"/>
        </w:rPr>
        <w:t>QDII-LOF</w:t>
      </w:r>
      <w:r>
        <w:rPr>
          <w:rFonts w:eastAsiaTheme="minorEastAsia"/>
          <w:kern w:val="0"/>
          <w:szCs w:val="21"/>
        </w:rPr>
        <w:t>）</w:t>
      </w:r>
      <w:r>
        <w:rPr>
          <w:rFonts w:eastAsiaTheme="minorEastAsia"/>
          <w:kern w:val="0"/>
          <w:szCs w:val="21"/>
        </w:rPr>
        <w:t>A:</w:t>
      </w:r>
      <w:r>
        <w:rPr>
          <w:rFonts w:eastAsiaTheme="minorEastAsia"/>
          <w:kern w:val="0"/>
          <w:szCs w:val="21"/>
        </w:rPr>
        <w:t>本报告期内未实施利润分配。</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lastRenderedPageBreak/>
        <w:t>易方达香港恒生综合小型股指数（</w:t>
      </w:r>
      <w:r w:rsidRPr="001412CA">
        <w:rPr>
          <w:rFonts w:eastAsiaTheme="minorEastAsia"/>
          <w:kern w:val="0"/>
          <w:szCs w:val="21"/>
        </w:rPr>
        <w:t>QDII-LOF</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本报告期内未实施利润分配。</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45" w:name="_Toc48663853"/>
      <w:r w:rsidRPr="0087359D">
        <w:rPr>
          <w:rFonts w:ascii="宋体" w:hAnsi="宋体"/>
          <w:kern w:val="0"/>
          <w:sz w:val="21"/>
          <w:szCs w:val="21"/>
        </w:rPr>
        <w:t>4.9</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报告期内管理人对本基金持有人数或基金资产净值预警情形的说明</w:t>
      </w:r>
      <w:bookmarkEnd w:id="145"/>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本报告期，本基金均存在连续二十个工作日基金资产净值低于五千万元的情形。</w:t>
      </w:r>
    </w:p>
    <w:p w:rsidR="002D7BFF"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本基金均存在连续六十个工作日基金资产净值低于五千万元的情形。基金资产净值的下滑主要受市场环境影响，基金管理人已按照法律法规及《基金合同》的有关规定向中国证监会报送《关于易方达香港恒生综合小型股指数证券投资基金（</w:t>
      </w:r>
      <w:r w:rsidRPr="001412CA">
        <w:rPr>
          <w:rFonts w:eastAsiaTheme="minorEastAsia"/>
          <w:kern w:val="0"/>
          <w:szCs w:val="21"/>
        </w:rPr>
        <w:t>LOF</w:t>
      </w:r>
      <w:r w:rsidRPr="001412CA">
        <w:rPr>
          <w:rFonts w:eastAsiaTheme="minorEastAsia"/>
          <w:kern w:val="0"/>
          <w:szCs w:val="21"/>
        </w:rPr>
        <w:t>）终止基金合同并召开基金份额持有人大会的请示》，拟召开基金份额持有人大会审议终止本基金《基金合同》等事项。请投资者关注相关风险。</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46" w:name="_Toc225498263"/>
      <w:bookmarkStart w:id="147" w:name="_Toc352255982"/>
      <w:bookmarkStart w:id="148" w:name="_Toc352256050"/>
      <w:bookmarkStart w:id="149" w:name="_Toc352331228"/>
      <w:bookmarkStart w:id="150" w:name="_Toc390164811"/>
      <w:bookmarkStart w:id="151" w:name="_Toc48663854"/>
      <w:r w:rsidRPr="000C6CCD">
        <w:rPr>
          <w:rFonts w:ascii="宋体" w:hAnsi="宋体"/>
          <w:bCs w:val="0"/>
          <w:color w:val="000000"/>
          <w:sz w:val="21"/>
          <w:szCs w:val="21"/>
        </w:rPr>
        <w:t>5</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托管人报告</w:t>
      </w:r>
      <w:bookmarkEnd w:id="146"/>
      <w:bookmarkEnd w:id="147"/>
      <w:bookmarkEnd w:id="148"/>
      <w:bookmarkEnd w:id="149"/>
      <w:bookmarkEnd w:id="150"/>
      <w:bookmarkEnd w:id="151"/>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52" w:name="_Toc225498264"/>
      <w:bookmarkStart w:id="153" w:name="_Toc352255983"/>
      <w:bookmarkStart w:id="154" w:name="_Toc352256051"/>
      <w:bookmarkStart w:id="155" w:name="_Toc352331229"/>
      <w:bookmarkStart w:id="156" w:name="_Toc390164812"/>
      <w:bookmarkStart w:id="157" w:name="_Toc48663855"/>
      <w:r w:rsidRPr="0087359D">
        <w:rPr>
          <w:rFonts w:ascii="宋体" w:hAnsi="宋体"/>
          <w:kern w:val="0"/>
          <w:sz w:val="21"/>
          <w:szCs w:val="21"/>
        </w:rPr>
        <w:t>5.1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报告期内本基金托管人遵规守信情况声明</w:t>
      </w:r>
      <w:bookmarkEnd w:id="152"/>
      <w:bookmarkEnd w:id="153"/>
      <w:bookmarkEnd w:id="154"/>
      <w:bookmarkEnd w:id="155"/>
      <w:bookmarkEnd w:id="156"/>
      <w:bookmarkEnd w:id="157"/>
    </w:p>
    <w:p w:rsidR="002716B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58" w:name="_Toc225498265"/>
      <w:bookmarkStart w:id="159" w:name="_Toc352255984"/>
      <w:bookmarkStart w:id="160" w:name="_Toc352256052"/>
      <w:bookmarkStart w:id="161" w:name="_Toc352331230"/>
      <w:bookmarkStart w:id="162" w:name="_Toc390164813"/>
      <w:bookmarkStart w:id="163" w:name="_Toc48663856"/>
      <w:r w:rsidRPr="0087359D">
        <w:rPr>
          <w:rFonts w:ascii="宋体" w:hAnsi="宋体"/>
          <w:kern w:val="0"/>
          <w:sz w:val="21"/>
          <w:szCs w:val="21"/>
        </w:rPr>
        <w:t>5.2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托管人对报告期内本基金投资运作遵规守信、净值计算、利润分配等情况的</w:t>
      </w:r>
      <w:bookmarkEnd w:id="158"/>
      <w:r w:rsidRPr="00C24ACA">
        <w:rPr>
          <w:rFonts w:ascii="Times New Roman" w:eastAsiaTheme="minorEastAsia" w:hAnsi="Times New Roman"/>
          <w:kern w:val="0"/>
          <w:sz w:val="21"/>
          <w:szCs w:val="21"/>
        </w:rPr>
        <w:t>说明</w:t>
      </w:r>
      <w:bookmarkEnd w:id="159"/>
      <w:bookmarkEnd w:id="160"/>
      <w:bookmarkEnd w:id="161"/>
      <w:bookmarkEnd w:id="162"/>
      <w:bookmarkEnd w:id="163"/>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招商银行根据法律法规、托管协议约定的投资监督条款，对托管产品的投资行为进行监督，并根据监管要求履行报告义务。</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招商银行按照托管协议约定的统一记账方法和会计处理原则，独立地设置、登录和保管本产品的全套账册，进行会计核算和资产估值并与管理人建立对账机制。</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本年度中期报告中利润分配情况真实、准确。</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64" w:name="_Toc225498266"/>
      <w:bookmarkStart w:id="165" w:name="_Toc352255985"/>
      <w:bookmarkStart w:id="166" w:name="_Toc352256053"/>
      <w:bookmarkStart w:id="167" w:name="_Toc352331231"/>
      <w:bookmarkStart w:id="168" w:name="_Toc390164814"/>
      <w:bookmarkStart w:id="169" w:name="_Toc48663857"/>
      <w:r w:rsidRPr="0087359D">
        <w:rPr>
          <w:rFonts w:ascii="宋体" w:hAnsi="宋体"/>
          <w:kern w:val="0"/>
          <w:sz w:val="21"/>
          <w:szCs w:val="21"/>
        </w:rPr>
        <w:t>5.3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托管人对本</w:t>
      </w:r>
      <w:r w:rsidR="00930E85">
        <w:rPr>
          <w:rFonts w:ascii="Times New Roman" w:eastAsiaTheme="minorEastAsia" w:hAnsi="Times New Roman"/>
          <w:kern w:val="0"/>
          <w:sz w:val="21"/>
          <w:szCs w:val="21"/>
        </w:rPr>
        <w:t>中期</w:t>
      </w:r>
      <w:r w:rsidRPr="00C24ACA">
        <w:rPr>
          <w:rFonts w:ascii="Times New Roman" w:eastAsiaTheme="minorEastAsia" w:hAnsi="Times New Roman"/>
          <w:kern w:val="0"/>
          <w:sz w:val="21"/>
          <w:szCs w:val="21"/>
        </w:rPr>
        <w:t>报告中财务信息等内容的真实、准确和完整发表意见</w:t>
      </w:r>
      <w:bookmarkEnd w:id="164"/>
      <w:bookmarkEnd w:id="165"/>
      <w:bookmarkEnd w:id="166"/>
      <w:bookmarkEnd w:id="167"/>
      <w:bookmarkEnd w:id="168"/>
      <w:bookmarkEnd w:id="169"/>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本年度中期报告中财务指标、净值表现、财务会计报告、投资组合报告内容真实、准确，不存在虚假记载、误导性陈述或者重大遗漏。</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70" w:name="_Toc331410096"/>
      <w:bookmarkStart w:id="171" w:name="_Toc390164815"/>
      <w:bookmarkStart w:id="172" w:name="_Toc48663858"/>
      <w:r w:rsidRPr="000C6CCD">
        <w:rPr>
          <w:rFonts w:ascii="宋体" w:hAnsi="宋体"/>
          <w:bCs w:val="0"/>
          <w:color w:val="000000"/>
          <w:sz w:val="21"/>
          <w:szCs w:val="21"/>
        </w:rPr>
        <w:t>6</w:t>
      </w:r>
      <w:bookmarkEnd w:id="170"/>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半年度财务会计报告（未经审计）</w:t>
      </w:r>
      <w:bookmarkEnd w:id="171"/>
      <w:bookmarkEnd w:id="172"/>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73" w:name="_Toc225498268"/>
      <w:bookmarkStart w:id="174" w:name="_Toc352255991"/>
      <w:bookmarkStart w:id="175" w:name="_Toc352256059"/>
      <w:bookmarkStart w:id="176" w:name="_Toc352331237"/>
      <w:bookmarkStart w:id="177" w:name="_Toc390164816"/>
      <w:bookmarkStart w:id="178" w:name="_Toc48663859"/>
      <w:r w:rsidRPr="0087359D">
        <w:rPr>
          <w:rFonts w:ascii="宋体" w:hAnsi="宋体"/>
          <w:kern w:val="0"/>
          <w:sz w:val="21"/>
          <w:szCs w:val="21"/>
        </w:rPr>
        <w:t>6.1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资产负债表</w:t>
      </w:r>
      <w:bookmarkEnd w:id="173"/>
      <w:bookmarkEnd w:id="174"/>
      <w:bookmarkEnd w:id="175"/>
      <w:bookmarkEnd w:id="176"/>
      <w:bookmarkEnd w:id="177"/>
      <w:bookmarkEnd w:id="178"/>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会计主体：易方达香港恒生综合小型股指数证券投资基金（</w:t>
      </w:r>
      <w:r w:rsidRPr="00C24ACA">
        <w:rPr>
          <w:rFonts w:eastAsiaTheme="minorEastAsia"/>
          <w:color w:val="000000"/>
          <w:szCs w:val="21"/>
        </w:rPr>
        <w:t>LOF</w:t>
      </w:r>
      <w:r w:rsidRPr="00C24ACA">
        <w:rPr>
          <w:rFonts w:eastAsiaTheme="minorEastAsia"/>
          <w:color w:val="000000"/>
          <w:szCs w:val="21"/>
        </w:rPr>
        <w:t>）</w:t>
      </w:r>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报告截止日：</w:t>
      </w:r>
      <w:r w:rsidR="00AC4A34" w:rsidRPr="00C24ACA">
        <w:rPr>
          <w:rFonts w:eastAsiaTheme="minorEastAsia"/>
          <w:color w:val="000000"/>
          <w:szCs w:val="21"/>
        </w:rPr>
        <w:t>2020</w:t>
      </w:r>
      <w:r w:rsidR="00AC4A34" w:rsidRPr="00C24ACA">
        <w:rPr>
          <w:rFonts w:eastAsiaTheme="minorEastAsia"/>
          <w:color w:val="000000"/>
          <w:szCs w:val="21"/>
        </w:rPr>
        <w:t>年</w:t>
      </w:r>
      <w:r w:rsidR="00AC4A34" w:rsidRPr="00C24ACA">
        <w:rPr>
          <w:rFonts w:eastAsiaTheme="minorEastAsia"/>
          <w:color w:val="000000"/>
          <w:szCs w:val="21"/>
        </w:rPr>
        <w:t>6</w:t>
      </w:r>
      <w:r w:rsidR="00AC4A34" w:rsidRPr="00C24ACA">
        <w:rPr>
          <w:rFonts w:eastAsiaTheme="minorEastAsia"/>
          <w:color w:val="000000"/>
          <w:szCs w:val="21"/>
        </w:rPr>
        <w:t>月</w:t>
      </w:r>
      <w:r w:rsidR="00AC4A34" w:rsidRPr="00C24ACA">
        <w:rPr>
          <w:rFonts w:eastAsiaTheme="minorEastAsia"/>
          <w:color w:val="000000"/>
          <w:szCs w:val="21"/>
        </w:rPr>
        <w:t>30</w:t>
      </w:r>
      <w:r w:rsidR="00AC4A34" w:rsidRPr="00C24ACA">
        <w:rPr>
          <w:rFonts w:eastAsiaTheme="minorEastAsia"/>
          <w:color w:val="00000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lastRenderedPageBreak/>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8A5A5D" w:rsidRPr="00C24ACA" w:rsidTr="006D141C">
        <w:tc>
          <w:tcPr>
            <w:tcW w:w="288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资产</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资产：</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银行存款</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r w:rsidRPr="00C24ACA">
              <w:rPr>
                <w:rFonts w:eastAsiaTheme="minorEastAsia"/>
                <w:color w:val="000000"/>
                <w:szCs w:val="21"/>
              </w:rPr>
              <w:t>6.4.7.1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1,845,662.72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2,126,316.97</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结算备付金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存出保证金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交易性金融资产</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21,826,559.71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30,896,286.47</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其中：股票投资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21,826,559.71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30,896,286.47</w:t>
            </w:r>
          </w:p>
        </w:tc>
      </w:tr>
      <w:tr w:rsidR="00AE103C" w:rsidRPr="00C24ACA" w:rsidTr="006D141C">
        <w:tc>
          <w:tcPr>
            <w:tcW w:w="2880" w:type="dxa"/>
            <w:vAlign w:val="center"/>
          </w:tcPr>
          <w:p w:rsidR="00AE103C" w:rsidRPr="00C24ACA" w:rsidRDefault="00AE103C" w:rsidP="008134C7">
            <w:pPr>
              <w:pStyle w:val="af6"/>
              <w:ind w:firstLineChars="300" w:firstLine="630"/>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基金投资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742218">
        <w:tc>
          <w:tcPr>
            <w:tcW w:w="2880" w:type="dxa"/>
            <w:vAlign w:val="center"/>
          </w:tcPr>
          <w:p w:rsidR="0076511D" w:rsidRPr="00390233" w:rsidRDefault="0076511D" w:rsidP="00742218">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6511D" w:rsidRPr="00390233" w:rsidRDefault="0076511D" w:rsidP="00742218">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衍生金融资产</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买入返售金融资产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6.4.7.4</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应收证券清算款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应收利息</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6.4.7.5</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80.47</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111.45</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应收股利</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194,185.82</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30,602.72</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应收申购款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85,404.50</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78,319.71</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递延所得税资产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其他资产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6.4.7.6</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b/>
                <w:color w:val="000000"/>
                <w:szCs w:val="21"/>
              </w:rPr>
            </w:pPr>
            <w:r w:rsidRPr="00C24ACA">
              <w:rPr>
                <w:rFonts w:eastAsiaTheme="minorEastAsia"/>
                <w:b/>
                <w:color w:val="000000"/>
                <w:szCs w:val="21"/>
              </w:rPr>
              <w:t>资产总计</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23,951,893.22</w:t>
            </w: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33,131,637.32</w:t>
            </w:r>
          </w:p>
        </w:tc>
      </w:tr>
      <w:tr w:rsidR="008A5A5D" w:rsidRPr="00C24ACA" w:rsidTr="006D141C">
        <w:tc>
          <w:tcPr>
            <w:tcW w:w="28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负债和所有者权益</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短期借款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衍生金融负债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卖出回购金融资产款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应付证券清算款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应付赎回款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300,758.96</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244,413.20</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应付管理人报酬</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15,462.92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21,928.14</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应付托管费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4,832.15</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6,852.55</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应付销售服务费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423.74</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459.96</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应付交易费用</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应交税费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应付利息</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递延所得税负债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其他负债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169,745.65</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124,079.21</w:t>
            </w:r>
          </w:p>
        </w:tc>
      </w:tr>
      <w:tr w:rsidR="00AE103C" w:rsidRPr="00C24ACA" w:rsidTr="006D141C">
        <w:tc>
          <w:tcPr>
            <w:tcW w:w="2880" w:type="dxa"/>
            <w:vAlign w:val="center"/>
          </w:tcPr>
          <w:p w:rsidR="00AE103C" w:rsidRPr="00C24ACA" w:rsidRDefault="00AE103C">
            <w:pPr>
              <w:pStyle w:val="af6"/>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491,223.42</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397,733.06</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lastRenderedPageBreak/>
              <w:t>实收基金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20,214,499.63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28,771,235.52</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未分配利润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3,246,170.17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3,962,668.74</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23,460,669.80</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32,733,904.26</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负债和所有者权益总计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23,951,893.22</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33,131,637.32</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注：报告截止日</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r w:rsidRPr="00C24ACA">
        <w:rPr>
          <w:rFonts w:eastAsiaTheme="minorEastAsia"/>
          <w:kern w:val="0"/>
          <w:szCs w:val="21"/>
        </w:rPr>
        <w:t>A</w:t>
      </w:r>
      <w:r w:rsidRPr="00C24ACA">
        <w:rPr>
          <w:rFonts w:eastAsiaTheme="minorEastAsia"/>
          <w:kern w:val="0"/>
          <w:szCs w:val="21"/>
        </w:rPr>
        <w:t>类基金份额净值</w:t>
      </w:r>
      <w:r w:rsidRPr="00C24ACA">
        <w:rPr>
          <w:rFonts w:eastAsiaTheme="minorEastAsia"/>
          <w:kern w:val="0"/>
          <w:szCs w:val="21"/>
        </w:rPr>
        <w:t>1.1609</w:t>
      </w:r>
      <w:r w:rsidRPr="00C24ACA">
        <w:rPr>
          <w:rFonts w:eastAsiaTheme="minorEastAsia"/>
          <w:kern w:val="0"/>
          <w:szCs w:val="21"/>
        </w:rPr>
        <w:t>元，</w:t>
      </w:r>
      <w:r w:rsidRPr="00C24ACA">
        <w:rPr>
          <w:rFonts w:eastAsiaTheme="minorEastAsia"/>
          <w:kern w:val="0"/>
          <w:szCs w:val="21"/>
        </w:rPr>
        <w:t>C</w:t>
      </w:r>
      <w:r w:rsidRPr="00C24ACA">
        <w:rPr>
          <w:rFonts w:eastAsiaTheme="minorEastAsia"/>
          <w:kern w:val="0"/>
          <w:szCs w:val="21"/>
        </w:rPr>
        <w:t>类基金份额净值</w:t>
      </w:r>
      <w:r w:rsidRPr="00C24ACA">
        <w:rPr>
          <w:rFonts w:eastAsiaTheme="minorEastAsia"/>
          <w:kern w:val="0"/>
          <w:szCs w:val="21"/>
        </w:rPr>
        <w:t>1.1577</w:t>
      </w:r>
      <w:r w:rsidRPr="00C24ACA">
        <w:rPr>
          <w:rFonts w:eastAsiaTheme="minorEastAsia"/>
          <w:kern w:val="0"/>
          <w:szCs w:val="21"/>
        </w:rPr>
        <w:t>元；基金份额总额</w:t>
      </w:r>
      <w:r w:rsidRPr="00C24ACA">
        <w:rPr>
          <w:rFonts w:eastAsiaTheme="minorEastAsia"/>
          <w:kern w:val="0"/>
          <w:szCs w:val="21"/>
        </w:rPr>
        <w:t>20,214,499.63</w:t>
      </w:r>
      <w:r w:rsidRPr="00C24ACA">
        <w:rPr>
          <w:rFonts w:eastAsiaTheme="minorEastAsia"/>
          <w:kern w:val="0"/>
          <w:szCs w:val="21"/>
        </w:rPr>
        <w:t>份，下属分级基金的份额总额分别为：</w:t>
      </w:r>
      <w:r w:rsidRPr="00C24ACA">
        <w:rPr>
          <w:rFonts w:eastAsiaTheme="minorEastAsia"/>
          <w:kern w:val="0"/>
          <w:szCs w:val="21"/>
        </w:rPr>
        <w:t>A</w:t>
      </w:r>
      <w:r w:rsidRPr="00C24ACA">
        <w:rPr>
          <w:rFonts w:eastAsiaTheme="minorEastAsia"/>
          <w:kern w:val="0"/>
          <w:szCs w:val="21"/>
        </w:rPr>
        <w:t>类基金份额总额</w:t>
      </w:r>
      <w:r w:rsidRPr="00C24ACA">
        <w:rPr>
          <w:rFonts w:eastAsiaTheme="minorEastAsia"/>
          <w:kern w:val="0"/>
          <w:szCs w:val="21"/>
        </w:rPr>
        <w:t>18,028,938.68</w:t>
      </w:r>
      <w:r w:rsidRPr="00C24ACA">
        <w:rPr>
          <w:rFonts w:eastAsiaTheme="minorEastAsia"/>
          <w:kern w:val="0"/>
          <w:szCs w:val="21"/>
        </w:rPr>
        <w:t>份，</w:t>
      </w:r>
      <w:r w:rsidRPr="00C24ACA">
        <w:rPr>
          <w:rFonts w:eastAsiaTheme="minorEastAsia"/>
          <w:kern w:val="0"/>
          <w:szCs w:val="21"/>
        </w:rPr>
        <w:t>C</w:t>
      </w:r>
      <w:r w:rsidRPr="00C24ACA">
        <w:rPr>
          <w:rFonts w:eastAsiaTheme="minorEastAsia"/>
          <w:kern w:val="0"/>
          <w:szCs w:val="21"/>
        </w:rPr>
        <w:t>类基金份额总额</w:t>
      </w:r>
      <w:r w:rsidRPr="00C24ACA">
        <w:rPr>
          <w:rFonts w:eastAsiaTheme="minorEastAsia"/>
          <w:kern w:val="0"/>
          <w:szCs w:val="21"/>
        </w:rPr>
        <w:t>2,185,560.95</w:t>
      </w:r>
      <w:r w:rsidRPr="00C24ACA">
        <w:rPr>
          <w:rFonts w:eastAsiaTheme="minorEastAsia"/>
          <w:kern w:val="0"/>
          <w:szCs w:val="21"/>
        </w:rPr>
        <w:t>份。</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79" w:name="_Toc225498269"/>
      <w:bookmarkStart w:id="180" w:name="_Toc352255992"/>
      <w:bookmarkStart w:id="181" w:name="_Toc352256060"/>
      <w:bookmarkStart w:id="182" w:name="_Toc352331238"/>
      <w:bookmarkStart w:id="183" w:name="_Toc390164817"/>
      <w:bookmarkStart w:id="184" w:name="_Toc48663860"/>
      <w:r w:rsidRPr="0087359D">
        <w:rPr>
          <w:rFonts w:ascii="宋体" w:hAnsi="宋体"/>
          <w:kern w:val="0"/>
          <w:sz w:val="21"/>
          <w:szCs w:val="21"/>
        </w:rPr>
        <w:t>6.2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利润表</w:t>
      </w:r>
      <w:bookmarkEnd w:id="179"/>
      <w:bookmarkEnd w:id="180"/>
      <w:bookmarkEnd w:id="181"/>
      <w:bookmarkEnd w:id="182"/>
      <w:bookmarkEnd w:id="183"/>
      <w:bookmarkEnd w:id="184"/>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易方达香港恒生综合小型股指数证券投资基金（</w:t>
      </w:r>
      <w:r w:rsidRPr="00C24ACA">
        <w:rPr>
          <w:rFonts w:eastAsiaTheme="minorEastAsia"/>
          <w:kern w:val="0"/>
          <w:szCs w:val="21"/>
        </w:rPr>
        <w:t>LOF</w:t>
      </w:r>
      <w:r w:rsidRPr="00C24ACA">
        <w:rPr>
          <w:rFonts w:eastAsiaTheme="minorEastAsia"/>
          <w:kern w:val="0"/>
          <w:szCs w:val="21"/>
        </w:rPr>
        <w:t>）</w:t>
      </w:r>
    </w:p>
    <w:p w:rsidR="008A5A5D" w:rsidRPr="00C24ACA" w:rsidRDefault="008A5A5D" w:rsidP="00316012">
      <w:pPr>
        <w:spacing w:line="360" w:lineRule="auto"/>
        <w:rPr>
          <w:rFonts w:eastAsiaTheme="minorEastAsia"/>
          <w:color w:val="000000"/>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8A5A5D" w:rsidRPr="00C24ACA" w:rsidTr="0014666D">
        <w:tc>
          <w:tcPr>
            <w:tcW w:w="342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项目</w:t>
            </w:r>
          </w:p>
        </w:tc>
        <w:tc>
          <w:tcPr>
            <w:tcW w:w="108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w:t>
            </w:r>
          </w:p>
          <w:p w:rsidR="008A5A5D" w:rsidRPr="00C24ACA" w:rsidRDefault="00AC4A34"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上年度可比期间</w:t>
            </w:r>
          </w:p>
          <w:p w:rsidR="008A5A5D" w:rsidRPr="00C24ACA" w:rsidRDefault="00BD0707"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AE103C" w:rsidRPr="00C24ACA" w:rsidTr="0014666D">
        <w:tc>
          <w:tcPr>
            <w:tcW w:w="3420" w:type="dxa"/>
          </w:tcPr>
          <w:p w:rsidR="00AE103C" w:rsidRPr="00C24ACA" w:rsidRDefault="00AE103C">
            <w:pPr>
              <w:rPr>
                <w:rFonts w:eastAsiaTheme="minorEastAsia"/>
                <w:b/>
                <w:color w:val="000000"/>
                <w:szCs w:val="21"/>
              </w:rPr>
            </w:pPr>
            <w:r w:rsidRPr="00C24ACA">
              <w:rPr>
                <w:rFonts w:eastAsiaTheme="minorEastAsia"/>
                <w:b/>
                <w:color w:val="000000"/>
                <w:szCs w:val="21"/>
              </w:rPr>
              <w:t>一、收入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440,235.29</w:t>
            </w: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3,966,691.32</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2,775.92</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4,509.97</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其中：存款利息收入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6.4.7.11</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2,775.92</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4,509.97</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买入返售金融资产收入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其他利息收入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投资收益（损失以</w:t>
            </w:r>
            <w:r w:rsidRPr="00C24ACA">
              <w:rPr>
                <w:rFonts w:eastAsiaTheme="minorEastAsia"/>
                <w:color w:val="000000"/>
                <w:szCs w:val="21"/>
              </w:rPr>
              <w:t>“-”</w:t>
            </w:r>
            <w:r w:rsidRPr="00C24ACA">
              <w:rPr>
                <w:rFonts w:eastAsiaTheme="minorEastAsia"/>
                <w:color w:val="000000"/>
                <w:szCs w:val="21"/>
              </w:rPr>
              <w:t>填列）</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-1,490,525.46</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2,565,804.72</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其中：股票投资收益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6.4.7.12</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-1,959,731.09</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1,737,197.20</w:t>
            </w:r>
          </w:p>
        </w:tc>
      </w:tr>
      <w:tr w:rsidR="00AE103C" w:rsidRPr="00C24ACA" w:rsidTr="0014666D">
        <w:tc>
          <w:tcPr>
            <w:tcW w:w="3420" w:type="dxa"/>
            <w:vAlign w:val="center"/>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基金投资收益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6.4.7.13</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224952">
              <w:rPr>
                <w:rFonts w:hint="eastAsia"/>
              </w:rPr>
              <w:t>贵金属投资收益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衍生工具收益</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13,620.02</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股利收益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6.4.7.16</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469,205.63</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814,987.50</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公允价值变动收益（损失以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6.4.7.17</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1,882,329.76</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1,459,902.03</w:t>
            </w:r>
          </w:p>
        </w:tc>
      </w:tr>
      <w:tr w:rsidR="0076511D" w:rsidRPr="00C24ACA" w:rsidTr="0014666D">
        <w:tc>
          <w:tcPr>
            <w:tcW w:w="3420" w:type="dxa"/>
            <w:vAlign w:val="center"/>
          </w:tcPr>
          <w:p w:rsidR="0076511D" w:rsidRPr="00C24ACA" w:rsidRDefault="0076511D">
            <w:pPr>
              <w:pStyle w:val="af6"/>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4.</w:t>
            </w:r>
            <w:r w:rsidRPr="00C24ACA">
              <w:rPr>
                <w:rFonts w:ascii="Times New Roman" w:eastAsiaTheme="minorEastAsia" w:hAnsi="Times New Roman"/>
                <w:color w:val="000000"/>
                <w:sz w:val="21"/>
                <w:szCs w:val="21"/>
              </w:rPr>
              <w:t>汇兑收益（损失以</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34,794.04</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-75,545.12</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其他收入（损失以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6.4.7.18</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10,861.03</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12,019.72</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减：二、费用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300,810.41</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358,342.48</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．管理人报酬</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106,776.62</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142,715.00</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．托管费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33,367.70</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44,598.48</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．销售服务费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2,838.99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449.56</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4</w:t>
            </w:r>
            <w:r w:rsidRPr="00C24ACA">
              <w:rPr>
                <w:rFonts w:eastAsiaTheme="minorEastAsia"/>
                <w:color w:val="000000"/>
                <w:szCs w:val="21"/>
              </w:rPr>
              <w:t>．交易费用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36,005.85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44,790.81</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．利息支出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lastRenderedPageBreak/>
              <w:t>其中：卖出回购金融资产支出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FB3D98" w:rsidRPr="00C24ACA" w:rsidTr="0014666D">
        <w:tc>
          <w:tcPr>
            <w:tcW w:w="3420" w:type="dxa"/>
          </w:tcPr>
          <w:p w:rsidR="00FB3D98" w:rsidRDefault="00FB3D98">
            <w:pPr>
              <w:rPr>
                <w:rFonts w:eastAsiaTheme="minorEastAsia"/>
                <w:color w:val="000000"/>
                <w:szCs w:val="21"/>
              </w:rPr>
            </w:pPr>
            <w:r>
              <w:rPr>
                <w:rFonts w:eastAsiaTheme="minorEastAsia"/>
                <w:color w:val="000000"/>
                <w:szCs w:val="21"/>
              </w:rPr>
              <w:t>6</w:t>
            </w:r>
            <w:r>
              <w:rPr>
                <w:rFonts w:eastAsiaTheme="minorEastAsia" w:hint="eastAsia"/>
                <w:color w:val="000000"/>
                <w:szCs w:val="21"/>
              </w:rPr>
              <w:t>．税金及附加</w:t>
            </w:r>
          </w:p>
        </w:tc>
        <w:tc>
          <w:tcPr>
            <w:tcW w:w="1080" w:type="dxa"/>
            <w:vAlign w:val="center"/>
          </w:tcPr>
          <w:p w:rsidR="00FB3D98" w:rsidRDefault="00FB3D98">
            <w:pPr>
              <w:pStyle w:val="af6"/>
              <w:jc w:val="center"/>
              <w:rPr>
                <w:rFonts w:ascii="Times New Roman" w:eastAsiaTheme="minorEastAsia" w:hAnsi="Times New Roman"/>
                <w:color w:val="000000"/>
                <w:sz w:val="21"/>
                <w:szCs w:val="21"/>
              </w:rPr>
            </w:pP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52.35</w:t>
            </w:r>
          </w:p>
        </w:tc>
      </w:tr>
      <w:tr w:rsidR="00FB3D98" w:rsidRPr="00C24ACA" w:rsidTr="0014666D">
        <w:tc>
          <w:tcPr>
            <w:tcW w:w="3420" w:type="dxa"/>
          </w:tcPr>
          <w:p w:rsidR="00FB3D98" w:rsidRDefault="00FB3D98">
            <w:pPr>
              <w:rPr>
                <w:rFonts w:eastAsiaTheme="minorEastAsia"/>
                <w:color w:val="000000"/>
                <w:szCs w:val="21"/>
              </w:rPr>
            </w:pPr>
            <w:r>
              <w:rPr>
                <w:rFonts w:eastAsiaTheme="minorEastAsia"/>
                <w:color w:val="000000"/>
                <w:szCs w:val="21"/>
              </w:rPr>
              <w:t>7</w:t>
            </w:r>
            <w:r>
              <w:rPr>
                <w:rFonts w:eastAsiaTheme="minorEastAsia" w:hint="eastAsia"/>
                <w:color w:val="000000"/>
                <w:szCs w:val="21"/>
              </w:rPr>
              <w:t>．其他费用</w:t>
            </w:r>
          </w:p>
        </w:tc>
        <w:tc>
          <w:tcPr>
            <w:tcW w:w="1080" w:type="dxa"/>
            <w:vAlign w:val="center"/>
          </w:tcPr>
          <w:p w:rsidR="00FB3D98" w:rsidRDefault="00FB3D98">
            <w:pPr>
              <w:pStyle w:val="af6"/>
              <w:jc w:val="center"/>
              <w:rPr>
                <w:rFonts w:ascii="Times New Roman" w:eastAsiaTheme="minorEastAsia" w:hAnsi="Times New Roman"/>
                <w:color w:val="000000"/>
                <w:sz w:val="21"/>
                <w:szCs w:val="21"/>
              </w:rPr>
            </w:pPr>
            <w:r>
              <w:rPr>
                <w:rFonts w:ascii="Times New Roman" w:eastAsiaTheme="minorEastAsia" w:hAnsi="Times New Roman"/>
                <w:color w:val="000000"/>
                <w:sz w:val="21"/>
                <w:szCs w:val="21"/>
              </w:rPr>
              <w:t>6.4.7.20</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121,821.25</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125,736.28</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三、利润总额（亏损总额以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139,424.88</w:t>
            </w: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3,608,348.84</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szCs w:val="21"/>
              </w:rPr>
              <w:t>减：所得税费用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四、净利润（净亏损以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139,424.88</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3,608,348.84</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85" w:name="_Toc225498270"/>
      <w:bookmarkStart w:id="186" w:name="_Toc352255993"/>
      <w:bookmarkStart w:id="187" w:name="_Toc352256061"/>
      <w:bookmarkStart w:id="188" w:name="_Toc352331239"/>
      <w:bookmarkStart w:id="189" w:name="_Toc390164818"/>
      <w:bookmarkStart w:id="190" w:name="_Toc48663861"/>
      <w:r w:rsidRPr="0087359D">
        <w:rPr>
          <w:rFonts w:ascii="宋体" w:hAnsi="宋体"/>
          <w:kern w:val="0"/>
          <w:sz w:val="21"/>
          <w:szCs w:val="21"/>
        </w:rPr>
        <w:t>6.3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所有者权益（基金净值）变动表</w:t>
      </w:r>
      <w:bookmarkEnd w:id="185"/>
      <w:bookmarkEnd w:id="186"/>
      <w:bookmarkEnd w:id="187"/>
      <w:bookmarkEnd w:id="188"/>
      <w:bookmarkEnd w:id="189"/>
      <w:bookmarkEnd w:id="190"/>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易方达香港恒生综合小型股指数证券投资基金（</w:t>
      </w:r>
      <w:r w:rsidRPr="00C24ACA">
        <w:rPr>
          <w:rFonts w:eastAsiaTheme="minorEastAsia"/>
          <w:kern w:val="0"/>
          <w:szCs w:val="21"/>
        </w:rPr>
        <w:t>LOF</w:t>
      </w:r>
      <w:r w:rsidRPr="00C24ACA">
        <w:rPr>
          <w:rFonts w:eastAsiaTheme="minorEastAsia"/>
          <w:kern w:val="0"/>
          <w:szCs w:val="21"/>
        </w:rPr>
        <w:t>）</w:t>
      </w:r>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8A5A5D" w:rsidRPr="00C24ACA" w:rsidTr="006D141C">
        <w:tc>
          <w:tcPr>
            <w:tcW w:w="2835" w:type="dxa"/>
            <w:vMerge w:val="restart"/>
            <w:vAlign w:val="center"/>
          </w:tcPr>
          <w:p w:rsidR="008A5A5D" w:rsidRPr="00C24ACA" w:rsidRDefault="008A5A5D" w:rsidP="00C96D24">
            <w:pPr>
              <w:jc w:val="center"/>
              <w:rPr>
                <w:rFonts w:eastAsiaTheme="minorEastAsia"/>
                <w:b/>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本期</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r>
      <w:tr w:rsidR="008A5A5D" w:rsidRPr="00C24ACA" w:rsidTr="006D141C">
        <w:tc>
          <w:tcPr>
            <w:tcW w:w="2835" w:type="dxa"/>
            <w:vMerge/>
            <w:vAlign w:val="center"/>
          </w:tcPr>
          <w:p w:rsidR="008A5A5D" w:rsidRPr="00C24ACA" w:rsidRDefault="008A5A5D">
            <w:pPr>
              <w:widowControl/>
              <w:jc w:val="left"/>
              <w:rPr>
                <w:rFonts w:eastAsiaTheme="minorEastAsia"/>
                <w:b/>
                <w:color w:val="000000"/>
                <w:szCs w:val="21"/>
              </w:rPr>
            </w:pPr>
          </w:p>
        </w:tc>
        <w:tc>
          <w:tcPr>
            <w:tcW w:w="2127"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28,771,235.52</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3,962,668.74</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32,733,904.26</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139,424.88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139,424.88</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-8,556,735.89</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-855,923.45</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-9,412,659.34</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8,302,222.67</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941,061.78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9,243,284.45</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-16,858,958.56</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-1,796,985.23</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-18,655,943.79</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20,214,499.63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3,246,170.17</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23,460,669.80</w:t>
            </w:r>
          </w:p>
        </w:tc>
      </w:tr>
      <w:tr w:rsidR="008A5A5D" w:rsidRPr="00C24ACA" w:rsidTr="006D141C">
        <w:tc>
          <w:tcPr>
            <w:tcW w:w="2835" w:type="dxa"/>
            <w:vMerge w:val="restart"/>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上年度可比期间</w:t>
            </w:r>
          </w:p>
          <w:p w:rsidR="008A5A5D" w:rsidRPr="00C24ACA" w:rsidRDefault="00BD0707">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8A5A5D" w:rsidRPr="00C24ACA" w:rsidTr="008964A8">
        <w:tc>
          <w:tcPr>
            <w:tcW w:w="2835" w:type="dxa"/>
            <w:vMerge/>
            <w:vAlign w:val="center"/>
          </w:tcPr>
          <w:p w:rsidR="008A5A5D" w:rsidRPr="00C24ACA" w:rsidRDefault="008A5A5D">
            <w:pPr>
              <w:widowControl/>
              <w:jc w:val="left"/>
              <w:rPr>
                <w:rFonts w:eastAsiaTheme="minorEastAsia"/>
                <w:color w:val="000000"/>
                <w:szCs w:val="21"/>
              </w:rPr>
            </w:pPr>
          </w:p>
        </w:tc>
        <w:tc>
          <w:tcPr>
            <w:tcW w:w="2127" w:type="dxa"/>
            <w:vAlign w:val="center"/>
          </w:tcPr>
          <w:p w:rsidR="008A5A5D" w:rsidRPr="00C24ACA" w:rsidRDefault="008A5A5D" w:rsidP="00E069E3">
            <w:pPr>
              <w:jc w:val="center"/>
              <w:rPr>
                <w:rFonts w:eastAsiaTheme="minorEastAsia"/>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rsidP="008964A8">
            <w:pPr>
              <w:jc w:val="center"/>
              <w:rPr>
                <w:rFonts w:eastAsiaTheme="minorEastAsia"/>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rsidP="008964A8">
            <w:pPr>
              <w:jc w:val="center"/>
              <w:rPr>
                <w:rFonts w:eastAsiaTheme="minorEastAsia"/>
                <w:b/>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41,112,371.74</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275,959.13</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41,388,330.87</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3,608,348.84</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3,608,348.84</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-12,506,461.91</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-1,010,410.64</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-13,516,872.55</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4,329,893.35</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428,021.49</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4,757,914.84</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-16,836,355.26</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-1,438,432.13</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-18,274,787.39</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w:t>
            </w:r>
            <w:r w:rsidRPr="00C24ACA">
              <w:rPr>
                <w:rFonts w:eastAsiaTheme="minorEastAsia"/>
                <w:color w:val="000000"/>
                <w:szCs w:val="21"/>
              </w:rPr>
              <w:lastRenderedPageBreak/>
              <w:t>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lastRenderedPageBreak/>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28,605,909.83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2,873,897.33</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31,479,807.16</w:t>
            </w:r>
          </w:p>
        </w:tc>
      </w:tr>
    </w:tbl>
    <w:p w:rsidR="0035753E" w:rsidRPr="00C24ACA" w:rsidRDefault="0035753E" w:rsidP="00732F5C">
      <w:pPr>
        <w:spacing w:beforeLines="100" w:before="312" w:line="360" w:lineRule="auto"/>
        <w:rPr>
          <w:rFonts w:eastAsiaTheme="minorEastAsia"/>
          <w:szCs w:val="21"/>
        </w:rPr>
      </w:pPr>
      <w:r w:rsidRPr="00C24ACA">
        <w:rPr>
          <w:rFonts w:eastAsiaTheme="minorEastAsia"/>
          <w:szCs w:val="21"/>
        </w:rPr>
        <w:t>报表附注为财务报表的组成部分。</w:t>
      </w:r>
    </w:p>
    <w:p w:rsidR="0035753E" w:rsidRPr="00C24ACA" w:rsidRDefault="0035753E" w:rsidP="00316012">
      <w:pPr>
        <w:spacing w:line="360" w:lineRule="auto"/>
        <w:rPr>
          <w:rFonts w:eastAsiaTheme="minorEastAsia"/>
          <w:szCs w:val="21"/>
        </w:rPr>
      </w:pPr>
      <w:r w:rsidRPr="00C24ACA">
        <w:rPr>
          <w:rFonts w:eastAsiaTheme="minorEastAsia"/>
          <w:szCs w:val="21"/>
        </w:rPr>
        <w:t>本报告</w:t>
      </w:r>
      <w:r w:rsidRPr="00C24ACA">
        <w:rPr>
          <w:rFonts w:eastAsiaTheme="minorEastAsia"/>
          <w:szCs w:val="21"/>
        </w:rPr>
        <w:t>6.1</w:t>
      </w:r>
      <w:r w:rsidRPr="00C24ACA">
        <w:rPr>
          <w:rFonts w:eastAsiaTheme="minorEastAsia"/>
          <w:szCs w:val="21"/>
        </w:rPr>
        <w:t>至</w:t>
      </w:r>
      <w:r w:rsidRPr="00C24ACA">
        <w:rPr>
          <w:rFonts w:eastAsiaTheme="minorEastAsia"/>
          <w:szCs w:val="21"/>
        </w:rPr>
        <w:t>6.4</w:t>
      </w:r>
      <w:r w:rsidRPr="00C24ACA">
        <w:rPr>
          <w:rFonts w:eastAsiaTheme="minorEastAsia"/>
          <w:szCs w:val="21"/>
        </w:rPr>
        <w:t>，财务报表由下列负责人签署：</w:t>
      </w:r>
    </w:p>
    <w:p w:rsidR="008A5A5D" w:rsidRPr="00C24ACA" w:rsidRDefault="00787FF8" w:rsidP="00862636">
      <w:pPr>
        <w:spacing w:line="360" w:lineRule="auto"/>
        <w:rPr>
          <w:rFonts w:eastAsiaTheme="minorEastAsia"/>
          <w:szCs w:val="21"/>
        </w:rPr>
      </w:pPr>
      <w:r w:rsidRPr="00C24ACA">
        <w:rPr>
          <w:rFonts w:eastAsiaTheme="minorEastAsia"/>
          <w:szCs w:val="21"/>
        </w:rPr>
        <w:t>基金管理人</w:t>
      </w:r>
      <w:r w:rsidR="0035753E" w:rsidRPr="00C24ACA">
        <w:rPr>
          <w:rFonts w:eastAsiaTheme="minorEastAsia"/>
          <w:szCs w:val="21"/>
        </w:rPr>
        <w:t>负责人：刘晓艳，主管会计工作负责人：陈荣，会计机构负责人：邱毅华</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91" w:name="_Toc225498271"/>
      <w:bookmarkStart w:id="192" w:name="_Toc352255994"/>
      <w:bookmarkStart w:id="193" w:name="_Toc352256062"/>
      <w:bookmarkStart w:id="194" w:name="_Toc352331240"/>
      <w:bookmarkStart w:id="195" w:name="_Toc390164819"/>
      <w:bookmarkStart w:id="196" w:name="_Toc48663862"/>
      <w:r w:rsidRPr="0087359D">
        <w:rPr>
          <w:rFonts w:ascii="宋体" w:hAnsi="宋体"/>
          <w:kern w:val="0"/>
          <w:sz w:val="21"/>
          <w:szCs w:val="21"/>
        </w:rPr>
        <w:t>6.4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报表附注</w:t>
      </w:r>
      <w:bookmarkEnd w:id="191"/>
      <w:bookmarkEnd w:id="192"/>
      <w:bookmarkEnd w:id="193"/>
      <w:bookmarkEnd w:id="194"/>
      <w:bookmarkEnd w:id="195"/>
      <w:bookmarkEnd w:id="196"/>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w:t>
      </w:r>
      <w:r w:rsidR="004F3E31" w:rsidRPr="00C24ACA">
        <w:rPr>
          <w:rFonts w:eastAsiaTheme="minorEastAsia"/>
          <w:b/>
          <w:bCs/>
          <w:color w:val="000000"/>
          <w:kern w:val="0"/>
          <w:szCs w:val="21"/>
        </w:rPr>
        <w:t xml:space="preserve"> </w:t>
      </w:r>
      <w:r w:rsidRPr="00C24ACA">
        <w:rPr>
          <w:rFonts w:eastAsiaTheme="minorEastAsia"/>
          <w:b/>
          <w:color w:val="000000"/>
          <w:kern w:val="0"/>
          <w:szCs w:val="21"/>
        </w:rPr>
        <w:t>基金基本情况</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易方达香港恒生综合小型股指数证券投资基金</w:t>
      </w:r>
      <w:r w:rsidRPr="00C24ACA">
        <w:rPr>
          <w:rFonts w:eastAsiaTheme="minorEastAsia"/>
          <w:kern w:val="0"/>
          <w:szCs w:val="21"/>
        </w:rPr>
        <w:t>(LOF)(</w:t>
      </w:r>
      <w:r w:rsidRPr="00C24ACA">
        <w:rPr>
          <w:rFonts w:eastAsiaTheme="minorEastAsia"/>
          <w:kern w:val="0"/>
          <w:szCs w:val="21"/>
        </w:rPr>
        <w:t>以下简称</w:t>
      </w:r>
      <w:r w:rsidRPr="00C24ACA">
        <w:rPr>
          <w:rFonts w:eastAsiaTheme="minorEastAsia"/>
          <w:kern w:val="0"/>
          <w:szCs w:val="21"/>
        </w:rPr>
        <w:t>“</w:t>
      </w:r>
      <w:r w:rsidRPr="00C24ACA">
        <w:rPr>
          <w:rFonts w:eastAsiaTheme="minorEastAsia"/>
          <w:kern w:val="0"/>
          <w:szCs w:val="21"/>
        </w:rPr>
        <w:t>本基金</w:t>
      </w:r>
      <w:r w:rsidRPr="00C24ACA">
        <w:rPr>
          <w:rFonts w:eastAsiaTheme="minorEastAsia"/>
          <w:kern w:val="0"/>
          <w:szCs w:val="21"/>
        </w:rPr>
        <w:t>”)</w:t>
      </w:r>
      <w:r w:rsidRPr="00C24ACA">
        <w:rPr>
          <w:rFonts w:eastAsiaTheme="minorEastAsia"/>
          <w:kern w:val="0"/>
          <w:szCs w:val="21"/>
        </w:rPr>
        <w:t>根据中国证券监督管理委员会</w:t>
      </w:r>
      <w:r w:rsidRPr="00C24ACA">
        <w:rPr>
          <w:rFonts w:eastAsiaTheme="minorEastAsia"/>
          <w:kern w:val="0"/>
          <w:szCs w:val="21"/>
        </w:rPr>
        <w:t>(</w:t>
      </w:r>
      <w:r w:rsidRPr="00C24ACA">
        <w:rPr>
          <w:rFonts w:eastAsiaTheme="minorEastAsia"/>
          <w:kern w:val="0"/>
          <w:szCs w:val="21"/>
        </w:rPr>
        <w:t>以下简称</w:t>
      </w:r>
      <w:r w:rsidRPr="00C24ACA">
        <w:rPr>
          <w:rFonts w:eastAsiaTheme="minorEastAsia"/>
          <w:kern w:val="0"/>
          <w:szCs w:val="21"/>
        </w:rPr>
        <w:t>“</w:t>
      </w:r>
      <w:r w:rsidRPr="00C24ACA">
        <w:rPr>
          <w:rFonts w:eastAsiaTheme="minorEastAsia"/>
          <w:kern w:val="0"/>
          <w:szCs w:val="21"/>
        </w:rPr>
        <w:t>中国证监会</w:t>
      </w:r>
      <w:r w:rsidRPr="00C24ACA">
        <w:rPr>
          <w:rFonts w:eastAsiaTheme="minorEastAsia"/>
          <w:kern w:val="0"/>
          <w:szCs w:val="21"/>
        </w:rPr>
        <w:t>”)</w:t>
      </w:r>
      <w:r w:rsidRPr="00C24ACA">
        <w:rPr>
          <w:rFonts w:eastAsiaTheme="minorEastAsia"/>
          <w:kern w:val="0"/>
          <w:szCs w:val="21"/>
        </w:rPr>
        <w:t>证监许可</w:t>
      </w:r>
      <w:r w:rsidRPr="00C24ACA">
        <w:rPr>
          <w:rFonts w:eastAsiaTheme="minorEastAsia"/>
          <w:kern w:val="0"/>
          <w:szCs w:val="21"/>
        </w:rPr>
        <w:t>[2015]2434</w:t>
      </w:r>
      <w:r w:rsidRPr="00C24ACA">
        <w:rPr>
          <w:rFonts w:eastAsiaTheme="minorEastAsia"/>
          <w:kern w:val="0"/>
          <w:szCs w:val="21"/>
        </w:rPr>
        <w:t>号《关于准予易方达香港恒生综合小型股指数证券投资基金</w:t>
      </w:r>
      <w:r w:rsidRPr="00C24ACA">
        <w:rPr>
          <w:rFonts w:eastAsiaTheme="minorEastAsia"/>
          <w:kern w:val="0"/>
          <w:szCs w:val="21"/>
        </w:rPr>
        <w:t>(LOF)</w:t>
      </w:r>
      <w:r w:rsidRPr="00C24ACA">
        <w:rPr>
          <w:rFonts w:eastAsiaTheme="minorEastAsia"/>
          <w:kern w:val="0"/>
          <w:szCs w:val="21"/>
        </w:rPr>
        <w:t>注册的批复》和证券基金机构监管部函</w:t>
      </w:r>
      <w:r w:rsidRPr="00C24ACA">
        <w:rPr>
          <w:rFonts w:eastAsiaTheme="minorEastAsia"/>
          <w:kern w:val="0"/>
          <w:szCs w:val="21"/>
        </w:rPr>
        <w:t>[2016]2193</w:t>
      </w:r>
      <w:r w:rsidRPr="00C24ACA">
        <w:rPr>
          <w:rFonts w:eastAsiaTheme="minorEastAsia"/>
          <w:kern w:val="0"/>
          <w:szCs w:val="21"/>
        </w:rPr>
        <w:t>号《关于易方达香港恒生综合小型股指数证券投资基金</w:t>
      </w:r>
      <w:r w:rsidRPr="00C24ACA">
        <w:rPr>
          <w:rFonts w:eastAsiaTheme="minorEastAsia"/>
          <w:kern w:val="0"/>
          <w:szCs w:val="21"/>
        </w:rPr>
        <w:t>(LOF)</w:t>
      </w:r>
      <w:r w:rsidRPr="00C24ACA">
        <w:rPr>
          <w:rFonts w:eastAsiaTheme="minorEastAsia"/>
          <w:kern w:val="0"/>
          <w:szCs w:val="21"/>
        </w:rPr>
        <w:t>延期募集备案的回函》进行募集，由易方达基金管理有限公司依照《中华人民共和国证券投资基金法》和《易方达香港恒生综合小型股指数证券投资基金</w:t>
      </w:r>
      <w:r w:rsidRPr="00C24ACA">
        <w:rPr>
          <w:rFonts w:eastAsiaTheme="minorEastAsia"/>
          <w:kern w:val="0"/>
          <w:szCs w:val="21"/>
        </w:rPr>
        <w:t>(LOF)</w:t>
      </w:r>
      <w:r w:rsidRPr="00C24ACA">
        <w:rPr>
          <w:rFonts w:eastAsiaTheme="minorEastAsia"/>
          <w:kern w:val="0"/>
          <w:szCs w:val="21"/>
        </w:rPr>
        <w:t>基金合同》公开募集。经向中国证监会备案，《易方达香港恒生综合小型股指数证券投资基金</w:t>
      </w:r>
      <w:r w:rsidRPr="00C24ACA">
        <w:rPr>
          <w:rFonts w:eastAsiaTheme="minorEastAsia"/>
          <w:kern w:val="0"/>
          <w:szCs w:val="21"/>
        </w:rPr>
        <w:t>(LOF)</w:t>
      </w:r>
      <w:r w:rsidRPr="00C24ACA">
        <w:rPr>
          <w:rFonts w:eastAsiaTheme="minorEastAsia"/>
          <w:kern w:val="0"/>
          <w:szCs w:val="21"/>
        </w:rPr>
        <w:t>基金合同》于</w:t>
      </w:r>
      <w:r w:rsidRPr="00C24ACA">
        <w:rPr>
          <w:rFonts w:eastAsiaTheme="minorEastAsia"/>
          <w:kern w:val="0"/>
          <w:szCs w:val="21"/>
        </w:rPr>
        <w:t>2016</w:t>
      </w:r>
      <w:r w:rsidRPr="00C24ACA">
        <w:rPr>
          <w:rFonts w:eastAsiaTheme="minorEastAsia"/>
          <w:kern w:val="0"/>
          <w:szCs w:val="21"/>
        </w:rPr>
        <w:t>年</w:t>
      </w:r>
      <w:r w:rsidRPr="00C24ACA">
        <w:rPr>
          <w:rFonts w:eastAsiaTheme="minorEastAsia"/>
          <w:kern w:val="0"/>
          <w:szCs w:val="21"/>
        </w:rPr>
        <w:t>11</w:t>
      </w:r>
      <w:r w:rsidRPr="00C24ACA">
        <w:rPr>
          <w:rFonts w:eastAsiaTheme="minorEastAsia"/>
          <w:kern w:val="0"/>
          <w:szCs w:val="21"/>
        </w:rPr>
        <w:t>月</w:t>
      </w:r>
      <w:r w:rsidRPr="00C24ACA">
        <w:rPr>
          <w:rFonts w:eastAsiaTheme="minorEastAsia"/>
          <w:kern w:val="0"/>
          <w:szCs w:val="21"/>
        </w:rPr>
        <w:t>2</w:t>
      </w:r>
      <w:r w:rsidRPr="00C24ACA">
        <w:rPr>
          <w:rFonts w:eastAsiaTheme="minorEastAsia"/>
          <w:kern w:val="0"/>
          <w:szCs w:val="21"/>
        </w:rPr>
        <w:t>日正式生效，基金合同生效日的基金份额总额为</w:t>
      </w:r>
      <w:r w:rsidRPr="00C24ACA">
        <w:rPr>
          <w:rFonts w:eastAsiaTheme="minorEastAsia"/>
          <w:kern w:val="0"/>
          <w:szCs w:val="21"/>
        </w:rPr>
        <w:t>399,318,394.11</w:t>
      </w:r>
      <w:r w:rsidRPr="00C24ACA">
        <w:rPr>
          <w:rFonts w:eastAsiaTheme="minorEastAsia"/>
          <w:kern w:val="0"/>
          <w:szCs w:val="21"/>
        </w:rPr>
        <w:t>份基金份额，其中认购资金利息折合</w:t>
      </w:r>
      <w:r w:rsidRPr="00C24ACA">
        <w:rPr>
          <w:rFonts w:eastAsiaTheme="minorEastAsia"/>
          <w:kern w:val="0"/>
          <w:szCs w:val="21"/>
        </w:rPr>
        <w:t>86,452.09</w:t>
      </w:r>
      <w:r w:rsidRPr="00C24ACA">
        <w:rPr>
          <w:rFonts w:eastAsiaTheme="minorEastAsia"/>
          <w:kern w:val="0"/>
          <w:szCs w:val="21"/>
        </w:rPr>
        <w:t>份基金份额。本基金为契约型、上市开放式型基金，存续期限不定。本基金的基金管理人为易方达基金管理有限公司，基金托管人为招商银行股份有限公司，境外资产托管人为香港上海汇丰银行有限公司。自</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8</w:t>
      </w:r>
      <w:r w:rsidRPr="00C24ACA">
        <w:rPr>
          <w:rFonts w:eastAsiaTheme="minorEastAsia"/>
          <w:kern w:val="0"/>
          <w:szCs w:val="21"/>
        </w:rPr>
        <w:t>月</w:t>
      </w:r>
      <w:r w:rsidRPr="00C24ACA">
        <w:rPr>
          <w:rFonts w:eastAsiaTheme="minorEastAsia"/>
          <w:kern w:val="0"/>
          <w:szCs w:val="21"/>
        </w:rPr>
        <w:t>13</w:t>
      </w:r>
      <w:r w:rsidRPr="00C24ACA">
        <w:rPr>
          <w:rFonts w:eastAsiaTheme="minorEastAsia"/>
          <w:kern w:val="0"/>
          <w:szCs w:val="21"/>
        </w:rPr>
        <w:t>日起</w:t>
      </w:r>
      <w:r w:rsidRPr="00C24ACA">
        <w:rPr>
          <w:rFonts w:eastAsiaTheme="minorEastAsia"/>
          <w:kern w:val="0"/>
          <w:szCs w:val="21"/>
        </w:rPr>
        <w:t>,</w:t>
      </w:r>
      <w:r w:rsidRPr="00C24ACA">
        <w:rPr>
          <w:rFonts w:eastAsiaTheme="minorEastAsia"/>
          <w:kern w:val="0"/>
          <w:szCs w:val="21"/>
        </w:rPr>
        <w:t>本基金增设</w:t>
      </w:r>
      <w:r w:rsidRPr="00C24ACA">
        <w:rPr>
          <w:rFonts w:eastAsiaTheme="minorEastAsia"/>
          <w:kern w:val="0"/>
          <w:szCs w:val="21"/>
        </w:rPr>
        <w:t>C</w:t>
      </w:r>
      <w:r w:rsidRPr="00C24ACA">
        <w:rPr>
          <w:rFonts w:eastAsiaTheme="minorEastAsia"/>
          <w:kern w:val="0"/>
          <w:szCs w:val="21"/>
        </w:rPr>
        <w:t>类份额类别</w:t>
      </w:r>
      <w:r w:rsidRPr="00C24ACA">
        <w:rPr>
          <w:rFonts w:eastAsiaTheme="minorEastAsia"/>
          <w:kern w:val="0"/>
          <w:szCs w:val="21"/>
        </w:rPr>
        <w:t>,</w:t>
      </w:r>
      <w:r w:rsidRPr="00C24ACA">
        <w:rPr>
          <w:rFonts w:eastAsiaTheme="minorEastAsia"/>
          <w:kern w:val="0"/>
          <w:szCs w:val="21"/>
        </w:rPr>
        <w:t>份额首次确认日为</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8</w:t>
      </w:r>
      <w:r w:rsidRPr="00C24ACA">
        <w:rPr>
          <w:rFonts w:eastAsiaTheme="minorEastAsia"/>
          <w:kern w:val="0"/>
          <w:szCs w:val="21"/>
        </w:rPr>
        <w:t>月</w:t>
      </w:r>
      <w:r w:rsidRPr="00C24ACA">
        <w:rPr>
          <w:rFonts w:eastAsiaTheme="minorEastAsia"/>
          <w:kern w:val="0"/>
          <w:szCs w:val="21"/>
        </w:rPr>
        <w:t>14</w:t>
      </w:r>
      <w:r w:rsidRPr="00C24ACA">
        <w:rPr>
          <w:rFonts w:eastAsiaTheme="minorEastAsia"/>
          <w:kern w:val="0"/>
          <w:szCs w:val="21"/>
        </w:rPr>
        <w:t>日。</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6.4.2</w:t>
      </w:r>
      <w:r w:rsidR="004F3E31" w:rsidRPr="00C24ACA">
        <w:rPr>
          <w:rFonts w:eastAsiaTheme="minorEastAsia"/>
          <w:b/>
          <w:bCs/>
          <w:color w:val="000000"/>
          <w:kern w:val="0"/>
          <w:szCs w:val="21"/>
        </w:rPr>
        <w:t xml:space="preserve"> </w:t>
      </w:r>
      <w:r w:rsidRPr="00C24ACA">
        <w:rPr>
          <w:rFonts w:eastAsiaTheme="minorEastAsia"/>
          <w:b/>
          <w:color w:val="000000"/>
          <w:kern w:val="0"/>
          <w:szCs w:val="21"/>
        </w:rPr>
        <w:t>会计报表的编制基础</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本基金的财务报表按照财政部于</w:t>
      </w:r>
      <w:r w:rsidRPr="00C24ACA">
        <w:rPr>
          <w:rFonts w:eastAsiaTheme="minorEastAsia"/>
          <w:kern w:val="0"/>
          <w:szCs w:val="21"/>
        </w:rPr>
        <w:t>2006</w:t>
      </w:r>
      <w:r w:rsidRPr="00C24ACA">
        <w:rPr>
          <w:rFonts w:eastAsiaTheme="minorEastAsia"/>
          <w:kern w:val="0"/>
          <w:szCs w:val="21"/>
        </w:rPr>
        <w:t>年</w:t>
      </w:r>
      <w:r w:rsidRPr="00C24ACA">
        <w:rPr>
          <w:rFonts w:eastAsiaTheme="minorEastAsia"/>
          <w:kern w:val="0"/>
          <w:szCs w:val="21"/>
        </w:rPr>
        <w:t>2</w:t>
      </w:r>
      <w:r w:rsidRPr="00C24ACA">
        <w:rPr>
          <w:rFonts w:eastAsiaTheme="minorEastAsia"/>
          <w:kern w:val="0"/>
          <w:szCs w:val="21"/>
        </w:rPr>
        <w:t>月</w:t>
      </w:r>
      <w:r w:rsidRPr="00C24ACA">
        <w:rPr>
          <w:rFonts w:eastAsiaTheme="minorEastAsia"/>
          <w:kern w:val="0"/>
          <w:szCs w:val="21"/>
        </w:rPr>
        <w:t>15</w:t>
      </w:r>
      <w:r w:rsidRPr="00C24ACA">
        <w:rPr>
          <w:rFonts w:eastAsiaTheme="minorEastAsia"/>
          <w:kern w:val="0"/>
          <w:szCs w:val="21"/>
        </w:rPr>
        <w:t>日及以后期间颁布的《企业会计准则－基本准则》、各项具体会计准则及相关规定</w:t>
      </w:r>
      <w:r w:rsidRPr="00C24ACA">
        <w:rPr>
          <w:rFonts w:eastAsiaTheme="minorEastAsia"/>
          <w:kern w:val="0"/>
          <w:szCs w:val="21"/>
        </w:rPr>
        <w:t>(</w:t>
      </w:r>
      <w:r w:rsidRPr="00C24ACA">
        <w:rPr>
          <w:rFonts w:eastAsiaTheme="minorEastAsia"/>
          <w:kern w:val="0"/>
          <w:szCs w:val="21"/>
        </w:rPr>
        <w:t>以下合称</w:t>
      </w:r>
      <w:r w:rsidRPr="00C24ACA">
        <w:rPr>
          <w:rFonts w:eastAsiaTheme="minorEastAsia"/>
          <w:kern w:val="0"/>
          <w:szCs w:val="21"/>
        </w:rPr>
        <w:t>“</w:t>
      </w:r>
      <w:r w:rsidRPr="00C24ACA">
        <w:rPr>
          <w:rFonts w:eastAsiaTheme="minorEastAsia"/>
          <w:kern w:val="0"/>
          <w:szCs w:val="21"/>
        </w:rPr>
        <w:t>企业会计准则</w:t>
      </w:r>
      <w:r w:rsidRPr="00C24ACA">
        <w:rPr>
          <w:rFonts w:eastAsiaTheme="minorEastAsia"/>
          <w:kern w:val="0"/>
          <w:szCs w:val="21"/>
        </w:rPr>
        <w:t>”)</w:t>
      </w:r>
      <w:r w:rsidRPr="00C24ACA">
        <w:rPr>
          <w:rFonts w:eastAsiaTheme="minorEastAsia"/>
          <w:kern w:val="0"/>
          <w:szCs w:val="21"/>
        </w:rPr>
        <w:t>、中国证监会颁布的《证券投资基金信息披露</w:t>
      </w:r>
      <w:r w:rsidRPr="00C24ACA">
        <w:rPr>
          <w:rFonts w:eastAsiaTheme="minorEastAsia"/>
          <w:kern w:val="0"/>
          <w:szCs w:val="21"/>
        </w:rPr>
        <w:t>XBRL</w:t>
      </w:r>
      <w:r w:rsidRPr="00C24ACA">
        <w:rPr>
          <w:rFonts w:eastAsiaTheme="minorEastAsia"/>
          <w:kern w:val="0"/>
          <w:szCs w:val="21"/>
        </w:rPr>
        <w:t>模板第</w:t>
      </w:r>
      <w:r w:rsidRPr="00C24ACA">
        <w:rPr>
          <w:rFonts w:eastAsiaTheme="minorEastAsia"/>
          <w:kern w:val="0"/>
          <w:szCs w:val="21"/>
        </w:rPr>
        <w:t>3</w:t>
      </w:r>
      <w:r w:rsidRPr="00C24ACA">
        <w:rPr>
          <w:rFonts w:eastAsiaTheme="minorEastAsia"/>
          <w:kern w:val="0"/>
          <w:szCs w:val="21"/>
        </w:rPr>
        <w:t>号</w:t>
      </w:r>
      <w:r w:rsidRPr="00C24ACA">
        <w:rPr>
          <w:rFonts w:eastAsiaTheme="minorEastAsia"/>
          <w:kern w:val="0"/>
          <w:szCs w:val="21"/>
        </w:rPr>
        <w:t>&lt;</w:t>
      </w:r>
      <w:r w:rsidRPr="00C24ACA">
        <w:rPr>
          <w:rFonts w:eastAsiaTheme="minorEastAsia"/>
          <w:kern w:val="0"/>
          <w:szCs w:val="21"/>
        </w:rPr>
        <w:t>年度报告和中期报告</w:t>
      </w:r>
      <w:r w:rsidRPr="00C24ACA">
        <w:rPr>
          <w:rFonts w:eastAsiaTheme="minorEastAsia"/>
          <w:kern w:val="0"/>
          <w:szCs w:val="21"/>
        </w:rPr>
        <w:t>&gt;</w:t>
      </w:r>
      <w:r w:rsidRPr="00C24ACA">
        <w:rPr>
          <w:rFonts w:eastAsiaTheme="minorEastAsia"/>
          <w:kern w:val="0"/>
          <w:szCs w:val="21"/>
        </w:rPr>
        <w:t>》、中国证券投资基金业协会</w:t>
      </w:r>
      <w:r w:rsidRPr="00C24ACA">
        <w:rPr>
          <w:rFonts w:eastAsiaTheme="minorEastAsia"/>
          <w:kern w:val="0"/>
          <w:szCs w:val="21"/>
        </w:rPr>
        <w:t>(</w:t>
      </w:r>
      <w:r w:rsidRPr="00C24ACA">
        <w:rPr>
          <w:rFonts w:eastAsiaTheme="minorEastAsia"/>
          <w:kern w:val="0"/>
          <w:szCs w:val="21"/>
        </w:rPr>
        <w:t>以下简称</w:t>
      </w:r>
      <w:r w:rsidRPr="00C24ACA">
        <w:rPr>
          <w:rFonts w:eastAsiaTheme="minorEastAsia"/>
          <w:kern w:val="0"/>
          <w:szCs w:val="21"/>
        </w:rPr>
        <w:t>“</w:t>
      </w:r>
      <w:r w:rsidRPr="00C24ACA">
        <w:rPr>
          <w:rFonts w:eastAsiaTheme="minorEastAsia"/>
          <w:kern w:val="0"/>
          <w:szCs w:val="21"/>
        </w:rPr>
        <w:t>中国基金业协会</w:t>
      </w:r>
      <w:r w:rsidRPr="00C24ACA">
        <w:rPr>
          <w:rFonts w:eastAsiaTheme="minorEastAsia"/>
          <w:kern w:val="0"/>
          <w:szCs w:val="21"/>
        </w:rPr>
        <w:t>”)</w:t>
      </w:r>
      <w:r w:rsidRPr="00C24ACA">
        <w:rPr>
          <w:rFonts w:eastAsiaTheme="minorEastAsia"/>
          <w:kern w:val="0"/>
          <w:szCs w:val="21"/>
        </w:rPr>
        <w:t>颁布的《证券投资基金会计核算业务指引》、《易方达香港恒生综合小型股指数证券投资基金</w:t>
      </w:r>
      <w:r w:rsidRPr="00C24ACA">
        <w:rPr>
          <w:rFonts w:eastAsiaTheme="minorEastAsia"/>
          <w:kern w:val="0"/>
          <w:szCs w:val="21"/>
        </w:rPr>
        <w:t>(LOF)</w:t>
      </w:r>
      <w:r w:rsidRPr="00C24ACA">
        <w:rPr>
          <w:rFonts w:eastAsiaTheme="minorEastAsia"/>
          <w:kern w:val="0"/>
          <w:szCs w:val="21"/>
        </w:rPr>
        <w:t>基金合同》和财务报表附注所列示的中国证监会、中国基金业协会发布的有关规定及允许的基金行业实务操作编制。本财务报表以持续经营为基础编制。</w:t>
      </w:r>
      <w:r w:rsidRPr="00C24ACA">
        <w:rPr>
          <w:rFonts w:eastAsiaTheme="minorEastAsia"/>
          <w:kern w:val="0"/>
          <w:szCs w:val="21"/>
        </w:rPr>
        <w:t xml:space="preserve"> </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6.4.3</w:t>
      </w:r>
      <w:r w:rsidR="004F3E31" w:rsidRPr="00C24ACA">
        <w:rPr>
          <w:rFonts w:eastAsiaTheme="minorEastAsia"/>
          <w:b/>
          <w:bCs/>
          <w:color w:val="000000"/>
          <w:kern w:val="0"/>
          <w:szCs w:val="21"/>
        </w:rPr>
        <w:t xml:space="preserve"> </w:t>
      </w:r>
      <w:r w:rsidRPr="00C24ACA">
        <w:rPr>
          <w:rFonts w:eastAsiaTheme="minorEastAsia"/>
          <w:b/>
          <w:color w:val="000000"/>
          <w:kern w:val="0"/>
          <w:szCs w:val="21"/>
        </w:rPr>
        <w:t>遵循企业会计准则及其他有关规定的声明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本财务报表符合企业会计准则的要求，真实、完整地反映了本基金本报告期末的财务状况以及</w:t>
      </w:r>
      <w:r w:rsidRPr="00C24ACA">
        <w:rPr>
          <w:rFonts w:eastAsiaTheme="minorEastAsia"/>
          <w:kern w:val="0"/>
          <w:szCs w:val="21"/>
        </w:rPr>
        <w:lastRenderedPageBreak/>
        <w:t>本报告期间的经营成果和基金净值变动情况等有关信息。</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6.4.4</w:t>
      </w:r>
      <w:r w:rsidR="004F3E31" w:rsidRPr="00C24ACA">
        <w:rPr>
          <w:rFonts w:eastAsiaTheme="minorEastAsia"/>
          <w:b/>
          <w:bCs/>
          <w:color w:val="000000"/>
          <w:kern w:val="0"/>
          <w:szCs w:val="21"/>
        </w:rPr>
        <w:t xml:space="preserve"> </w:t>
      </w:r>
      <w:r w:rsidR="004F3E31" w:rsidRPr="00C24ACA">
        <w:rPr>
          <w:rFonts w:eastAsiaTheme="minorEastAsia"/>
          <w:b/>
          <w:kern w:val="0"/>
          <w:szCs w:val="21"/>
        </w:rPr>
        <w:t>本报告期所采用的会计政策、会计估计与最近一期年度报告相一致的说明</w:t>
      </w:r>
    </w:p>
    <w:p w:rsidR="006E59EA"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本报告期所采用的会计政策、会计估计与最近一期年度报告相一致。</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6.4.5</w:t>
      </w:r>
      <w:r w:rsidRPr="00C24ACA">
        <w:rPr>
          <w:rFonts w:eastAsiaTheme="minorEastAsia"/>
          <w:b/>
          <w:color w:val="000000"/>
          <w:kern w:val="0"/>
          <w:szCs w:val="21"/>
        </w:rPr>
        <w:t xml:space="preserve"> </w:t>
      </w:r>
      <w:r w:rsidRPr="00C24ACA">
        <w:rPr>
          <w:rFonts w:eastAsiaTheme="minorEastAsia"/>
          <w:b/>
          <w:color w:val="000000"/>
          <w:kern w:val="0"/>
          <w:szCs w:val="21"/>
        </w:rPr>
        <w:t>差错更正的说明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本基金本报告期无会计差错更正。</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6.4.6</w:t>
      </w:r>
      <w:r w:rsidRPr="00C24ACA">
        <w:rPr>
          <w:rFonts w:eastAsiaTheme="minorEastAsia"/>
          <w:b/>
          <w:color w:val="000000"/>
          <w:kern w:val="0"/>
          <w:szCs w:val="21"/>
        </w:rPr>
        <w:t>税项</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根据财政部、国家税务总局财税</w:t>
      </w:r>
      <w:r>
        <w:rPr>
          <w:rFonts w:eastAsiaTheme="minorEastAsia"/>
          <w:kern w:val="0"/>
          <w:szCs w:val="21"/>
        </w:rPr>
        <w:t>[2002]128</w:t>
      </w:r>
      <w:r>
        <w:rPr>
          <w:rFonts w:eastAsiaTheme="minorEastAsia"/>
          <w:kern w:val="0"/>
          <w:szCs w:val="21"/>
        </w:rPr>
        <w:t>号《关于开放式证券投资基金有关税收问题的通知》、财税</w:t>
      </w:r>
      <w:r>
        <w:rPr>
          <w:rFonts w:eastAsiaTheme="minorEastAsia"/>
          <w:kern w:val="0"/>
          <w:szCs w:val="21"/>
        </w:rPr>
        <w:t>[2008]1</w:t>
      </w:r>
      <w:r>
        <w:rPr>
          <w:rFonts w:eastAsiaTheme="minorEastAsia"/>
          <w:kern w:val="0"/>
          <w:szCs w:val="21"/>
        </w:rPr>
        <w:t>号《关于企业所得税若干优惠政策的通知》、财税</w:t>
      </w:r>
      <w:r>
        <w:rPr>
          <w:rFonts w:eastAsiaTheme="minorEastAsia"/>
          <w:kern w:val="0"/>
          <w:szCs w:val="21"/>
        </w:rPr>
        <w:t>[2014]81</w:t>
      </w:r>
      <w:r>
        <w:rPr>
          <w:rFonts w:eastAsiaTheme="minorEastAsia"/>
          <w:kern w:val="0"/>
          <w:szCs w:val="21"/>
        </w:rPr>
        <w:t>号《财政部国家税务总局证监会关于沪港股票市场交易互联互通机制试点有关税收政策的通知》、财税</w:t>
      </w:r>
      <w:r>
        <w:rPr>
          <w:rFonts w:eastAsiaTheme="minorEastAsia"/>
          <w:kern w:val="0"/>
          <w:szCs w:val="21"/>
        </w:rPr>
        <w:t>[2016]36</w:t>
      </w:r>
      <w:r>
        <w:rPr>
          <w:rFonts w:eastAsiaTheme="minorEastAsia"/>
          <w:kern w:val="0"/>
          <w:szCs w:val="21"/>
        </w:rPr>
        <w:t>号《关于全面推开营业税改征增值税试点的通知》、财税</w:t>
      </w:r>
      <w:r>
        <w:rPr>
          <w:rFonts w:eastAsiaTheme="minorEastAsia"/>
          <w:kern w:val="0"/>
          <w:szCs w:val="21"/>
        </w:rPr>
        <w:t>[2016]46</w:t>
      </w:r>
      <w:r>
        <w:rPr>
          <w:rFonts w:eastAsiaTheme="minorEastAsia"/>
          <w:kern w:val="0"/>
          <w:szCs w:val="21"/>
        </w:rPr>
        <w:t>号《关于进一步明确全面推开营改增试点金融业有关政策的通知》、财税</w:t>
      </w:r>
      <w:r>
        <w:rPr>
          <w:rFonts w:eastAsiaTheme="minorEastAsia"/>
          <w:kern w:val="0"/>
          <w:szCs w:val="21"/>
        </w:rPr>
        <w:t>[2016]70</w:t>
      </w:r>
      <w:r>
        <w:rPr>
          <w:rFonts w:eastAsiaTheme="minorEastAsia"/>
          <w:kern w:val="0"/>
          <w:szCs w:val="21"/>
        </w:rPr>
        <w:t>号《关于金融机构同业往来等增值税政策的补充通知》、财税</w:t>
      </w:r>
      <w:r>
        <w:rPr>
          <w:rFonts w:eastAsiaTheme="minorEastAsia"/>
          <w:kern w:val="0"/>
          <w:szCs w:val="21"/>
        </w:rPr>
        <w:t>[2016]127</w:t>
      </w:r>
      <w:r>
        <w:rPr>
          <w:rFonts w:eastAsiaTheme="minorEastAsia"/>
          <w:kern w:val="0"/>
          <w:szCs w:val="21"/>
        </w:rPr>
        <w:t>号《财政部国家税务总局证监会关于深港股票市场交易互联互通机制试点有关税收政策的通知》、财税</w:t>
      </w:r>
      <w:r>
        <w:rPr>
          <w:rFonts w:eastAsiaTheme="minorEastAsia"/>
          <w:kern w:val="0"/>
          <w:szCs w:val="21"/>
        </w:rPr>
        <w:t>[2016]140</w:t>
      </w:r>
      <w:r>
        <w:rPr>
          <w:rFonts w:eastAsiaTheme="minorEastAsia"/>
          <w:kern w:val="0"/>
          <w:szCs w:val="21"/>
        </w:rPr>
        <w:t>号《关于明确金融房地产开发教育辅助服务等增值税政策的通知》、财税</w:t>
      </w:r>
      <w:r>
        <w:rPr>
          <w:rFonts w:eastAsiaTheme="minorEastAsia"/>
          <w:kern w:val="0"/>
          <w:szCs w:val="21"/>
        </w:rPr>
        <w:t>[2017]2</w:t>
      </w:r>
      <w:r>
        <w:rPr>
          <w:rFonts w:eastAsiaTheme="minorEastAsia"/>
          <w:kern w:val="0"/>
          <w:szCs w:val="21"/>
        </w:rPr>
        <w:t>号《关于资管产品增值税政策有关问题的补充通知》、财税</w:t>
      </w:r>
      <w:r>
        <w:rPr>
          <w:rFonts w:eastAsiaTheme="minorEastAsia"/>
          <w:kern w:val="0"/>
          <w:szCs w:val="21"/>
        </w:rPr>
        <w:t>[2017]56</w:t>
      </w:r>
      <w:r>
        <w:rPr>
          <w:rFonts w:eastAsiaTheme="minorEastAsia"/>
          <w:kern w:val="0"/>
          <w:szCs w:val="21"/>
        </w:rPr>
        <w:t>号《关于资管产品增值税有关问题的通知》、财税</w:t>
      </w:r>
      <w:r>
        <w:rPr>
          <w:rFonts w:eastAsiaTheme="minorEastAsia"/>
          <w:kern w:val="0"/>
          <w:szCs w:val="21"/>
        </w:rPr>
        <w:t>[2017]90</w:t>
      </w:r>
      <w:r>
        <w:rPr>
          <w:rFonts w:eastAsiaTheme="minorEastAsia"/>
          <w:kern w:val="0"/>
          <w:szCs w:val="21"/>
        </w:rPr>
        <w:t>号《关于租入固定资产进项税额抵扣等增值税政策的通知》及其他相关境内外财税法规和实务操作，主要税项列示如下：</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资管产品运营过程中发生的增值税应税行为，以资管产品管理人为增值税纳税人。资管产品管理人运营资管产品过程中发生的增值税应税行为，暂适用简易计税方法，按照</w:t>
      </w:r>
      <w:r>
        <w:rPr>
          <w:rFonts w:eastAsiaTheme="minorEastAsia"/>
          <w:kern w:val="0"/>
          <w:szCs w:val="21"/>
        </w:rPr>
        <w:t>3%</w:t>
      </w:r>
      <w:r>
        <w:rPr>
          <w:rFonts w:eastAsiaTheme="minorEastAsia"/>
          <w:kern w:val="0"/>
          <w:szCs w:val="21"/>
        </w:rPr>
        <w:t>的征收率缴纳增值税。对资管产品在</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日前运营过程中发生的增值税应税行为，未缴纳增值税的，不再缴纳；已缴纳增值税的，已纳税额从资管产品管理人以后月份的增值税应纳税额中抵减。</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对证券投资基金管理人运用基金买卖股票、债券的转让收入免征增值税，对国债、地方政府债以及金融同业往来利息收入亦免征增值税。资管产品管理人运营资管产品提供的贷款服务，以</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日起产生的利息及利息性质的收入为销售额。资管产品管理人运营资管产品转让</w:t>
      </w:r>
      <w:r>
        <w:rPr>
          <w:rFonts w:eastAsiaTheme="minorEastAsia"/>
          <w:kern w:val="0"/>
          <w:szCs w:val="21"/>
        </w:rPr>
        <w:t>2017</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日前取得的基金、非货物期货，可以选择按照实际买入价计算销售额，或者以</w:t>
      </w:r>
      <w:r>
        <w:rPr>
          <w:rFonts w:eastAsiaTheme="minorEastAsia"/>
          <w:kern w:val="0"/>
          <w:szCs w:val="21"/>
        </w:rPr>
        <w:t xml:space="preserve"> 2017</w:t>
      </w:r>
      <w:r>
        <w:rPr>
          <w:rFonts w:eastAsiaTheme="minorEastAsia"/>
          <w:kern w:val="0"/>
          <w:szCs w:val="21"/>
        </w:rPr>
        <w:t>年最后一个交易日的基金份额净值、非货物期货结算价格作为买入价计算销售额。</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(2)  </w:t>
      </w:r>
      <w:r>
        <w:rPr>
          <w:rFonts w:eastAsiaTheme="minorEastAsia"/>
          <w:kern w:val="0"/>
          <w:szCs w:val="21"/>
        </w:rPr>
        <w:t>目前基金取得的源自境外的差价收入，其涉及的境外所得税税收政策，按照相关国家或地区税收法律和法规执行，在境内暂不征收企业所得税。</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(3) </w:t>
      </w:r>
      <w:r>
        <w:rPr>
          <w:rFonts w:eastAsiaTheme="minorEastAsia"/>
          <w:kern w:val="0"/>
          <w:szCs w:val="21"/>
        </w:rPr>
        <w:t>目前基金取得的源自境外的股利收益，其涉及的境外所得税税收政策，按照相关国家或地区</w:t>
      </w:r>
      <w:r>
        <w:rPr>
          <w:rFonts w:eastAsiaTheme="minorEastAsia"/>
          <w:kern w:val="0"/>
          <w:szCs w:val="21"/>
        </w:rPr>
        <w:lastRenderedPageBreak/>
        <w:t>税收法律和法规执行，在境内暂不征收个人所得税和企业所得税。</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对基金通过沪港通</w:t>
      </w:r>
      <w:r>
        <w:rPr>
          <w:rFonts w:eastAsiaTheme="minorEastAsia"/>
          <w:kern w:val="0"/>
          <w:szCs w:val="21"/>
        </w:rPr>
        <w:t>/</w:t>
      </w:r>
      <w:r>
        <w:rPr>
          <w:rFonts w:eastAsiaTheme="minorEastAsia"/>
          <w:kern w:val="0"/>
          <w:szCs w:val="21"/>
        </w:rPr>
        <w:t>深港通投资香港联交所上市</w:t>
      </w:r>
      <w:r>
        <w:rPr>
          <w:rFonts w:eastAsiaTheme="minorEastAsia"/>
          <w:kern w:val="0"/>
          <w:szCs w:val="21"/>
        </w:rPr>
        <w:t>H</w:t>
      </w:r>
      <w:r>
        <w:rPr>
          <w:rFonts w:eastAsiaTheme="minorEastAsia"/>
          <w:kern w:val="0"/>
          <w:szCs w:val="21"/>
        </w:rPr>
        <w:t>股取得的股息红利，</w:t>
      </w:r>
      <w:r>
        <w:rPr>
          <w:rFonts w:eastAsiaTheme="minorEastAsia"/>
          <w:kern w:val="0"/>
          <w:szCs w:val="21"/>
        </w:rPr>
        <w:t>H</w:t>
      </w:r>
      <w:r>
        <w:rPr>
          <w:rFonts w:eastAsiaTheme="minorEastAsia"/>
          <w:kern w:val="0"/>
          <w:szCs w:val="21"/>
        </w:rPr>
        <w:t>股公司应向中国证券登记结算有限责任公司</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中国结算</w:t>
      </w:r>
      <w:r>
        <w:rPr>
          <w:rFonts w:eastAsiaTheme="minorEastAsia"/>
          <w:kern w:val="0"/>
          <w:szCs w:val="21"/>
        </w:rPr>
        <w:t>”)</w:t>
      </w:r>
      <w:r>
        <w:rPr>
          <w:rFonts w:eastAsiaTheme="minorEastAsia"/>
          <w:kern w:val="0"/>
          <w:szCs w:val="21"/>
        </w:rPr>
        <w:t>提出申请，由中国结算向</w:t>
      </w:r>
      <w:r>
        <w:rPr>
          <w:rFonts w:eastAsiaTheme="minorEastAsia"/>
          <w:kern w:val="0"/>
          <w:szCs w:val="21"/>
        </w:rPr>
        <w:t>H</w:t>
      </w:r>
      <w:r>
        <w:rPr>
          <w:rFonts w:eastAsiaTheme="minorEastAsia"/>
          <w:kern w:val="0"/>
          <w:szCs w:val="21"/>
        </w:rPr>
        <w:t>股公司提供内地个人投资者名册，</w:t>
      </w:r>
      <w:r>
        <w:rPr>
          <w:rFonts w:eastAsiaTheme="minorEastAsia"/>
          <w:kern w:val="0"/>
          <w:szCs w:val="21"/>
        </w:rPr>
        <w:t>H</w:t>
      </w:r>
      <w:r>
        <w:rPr>
          <w:rFonts w:eastAsiaTheme="minorEastAsia"/>
          <w:kern w:val="0"/>
          <w:szCs w:val="21"/>
        </w:rPr>
        <w:t>股公司按照</w:t>
      </w:r>
      <w:r>
        <w:rPr>
          <w:rFonts w:eastAsiaTheme="minorEastAsia"/>
          <w:kern w:val="0"/>
          <w:szCs w:val="21"/>
        </w:rPr>
        <w:t>20%</w:t>
      </w:r>
      <w:r>
        <w:rPr>
          <w:rFonts w:eastAsiaTheme="minorEastAsia"/>
          <w:kern w:val="0"/>
          <w:szCs w:val="21"/>
        </w:rPr>
        <w:t>的税率代扣个人所得税。基金通过沪港通</w:t>
      </w:r>
      <w:r>
        <w:rPr>
          <w:rFonts w:eastAsiaTheme="minorEastAsia"/>
          <w:kern w:val="0"/>
          <w:szCs w:val="21"/>
        </w:rPr>
        <w:t>/</w:t>
      </w:r>
      <w:r>
        <w:rPr>
          <w:rFonts w:eastAsiaTheme="minorEastAsia"/>
          <w:kern w:val="0"/>
          <w:szCs w:val="21"/>
        </w:rPr>
        <w:t>深港通投资香港联交所上市的非</w:t>
      </w:r>
      <w:r>
        <w:rPr>
          <w:rFonts w:eastAsiaTheme="minorEastAsia"/>
          <w:kern w:val="0"/>
          <w:szCs w:val="21"/>
        </w:rPr>
        <w:t>H</w:t>
      </w:r>
      <w:r>
        <w:rPr>
          <w:rFonts w:eastAsiaTheme="minorEastAsia"/>
          <w:kern w:val="0"/>
          <w:szCs w:val="21"/>
        </w:rPr>
        <w:t>股取得的股息红利，由中国结算按照</w:t>
      </w:r>
      <w:r>
        <w:rPr>
          <w:rFonts w:eastAsiaTheme="minorEastAsia"/>
          <w:kern w:val="0"/>
          <w:szCs w:val="21"/>
        </w:rPr>
        <w:t>20%</w:t>
      </w:r>
      <w:r>
        <w:rPr>
          <w:rFonts w:eastAsiaTheme="minorEastAsia"/>
          <w:kern w:val="0"/>
          <w:szCs w:val="21"/>
        </w:rPr>
        <w:t>的税率代扣个人所得税。</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(4) </w:t>
      </w:r>
      <w:r>
        <w:rPr>
          <w:rFonts w:eastAsiaTheme="minorEastAsia"/>
          <w:kern w:val="0"/>
          <w:szCs w:val="21"/>
        </w:rPr>
        <w:t>基金通过沪港通</w:t>
      </w:r>
      <w:r>
        <w:rPr>
          <w:rFonts w:eastAsiaTheme="minorEastAsia"/>
          <w:kern w:val="0"/>
          <w:szCs w:val="21"/>
        </w:rPr>
        <w:t>/</w:t>
      </w:r>
      <w:r>
        <w:rPr>
          <w:rFonts w:eastAsiaTheme="minorEastAsia"/>
          <w:kern w:val="0"/>
          <w:szCs w:val="21"/>
        </w:rPr>
        <w:t>深港通买卖、继承、赠与联交所上市股票，按照香港特别行政区现行税法规定缴纳印花税。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 xml:space="preserve">(5) </w:t>
      </w:r>
      <w:r w:rsidRPr="00C24ACA">
        <w:rPr>
          <w:rFonts w:eastAsiaTheme="minorEastAsia"/>
          <w:kern w:val="0"/>
          <w:szCs w:val="21"/>
        </w:rPr>
        <w:t>本基金的城市维护建设税、教育费附加和地方教育附加等税费按照实际缴纳增值税额的适用比例计算缴纳。</w:t>
      </w:r>
      <w:r w:rsidRPr="00C24ACA">
        <w:rPr>
          <w:rFonts w:eastAsiaTheme="minorEastAsia"/>
          <w:kern w:val="0"/>
          <w:szCs w:val="21"/>
        </w:rPr>
        <w:t xml:space="preserve"> </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6.4.7</w:t>
      </w:r>
      <w:r w:rsidRPr="00C24ACA">
        <w:rPr>
          <w:rFonts w:eastAsiaTheme="minorEastAsia"/>
          <w:b/>
          <w:color w:val="000000"/>
          <w:kern w:val="0"/>
          <w:szCs w:val="21"/>
        </w:rPr>
        <w:t>重要财务报表项目的说明</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6.4.7.1</w:t>
      </w:r>
      <w:r w:rsidRPr="00C24ACA">
        <w:rPr>
          <w:rFonts w:eastAsiaTheme="minorEastAsia"/>
          <w:b/>
          <w:color w:val="000000"/>
          <w:szCs w:val="21"/>
        </w:rPr>
        <w:t>银行存款</w:t>
      </w:r>
    </w:p>
    <w:p w:rsidR="00FB3D98" w:rsidRDefault="00FB3D98" w:rsidP="00FB3D9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FB3D98" w:rsidTr="00AD6EE3">
        <w:trPr>
          <w:trHeight w:val="345"/>
          <w:jc w:val="center"/>
        </w:trPr>
        <w:tc>
          <w:tcPr>
            <w:tcW w:w="3766" w:type="dxa"/>
            <w:tcMar>
              <w:top w:w="15" w:type="dxa"/>
              <w:left w:w="15" w:type="dxa"/>
              <w:bottom w:w="0" w:type="dxa"/>
              <w:right w:w="15" w:type="dxa"/>
            </w:tcMar>
            <w:vAlign w:val="center"/>
            <w:hideMark/>
          </w:tcPr>
          <w:p w:rsidR="00FB3D98" w:rsidRDefault="00FB3D9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FB3D98" w:rsidRDefault="00FB3D98">
            <w:pPr>
              <w:jc w:val="center"/>
              <w:rPr>
                <w:kern w:val="0"/>
                <w:szCs w:val="21"/>
              </w:rPr>
            </w:pPr>
            <w:r>
              <w:rPr>
                <w:rFonts w:hAnsi="宋体" w:hint="eastAsia"/>
                <w:kern w:val="0"/>
                <w:szCs w:val="21"/>
              </w:rPr>
              <w:t>本期末</w:t>
            </w:r>
          </w:p>
          <w:p w:rsidR="00FB3D98" w:rsidRDefault="00FB3D9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1,845,662.72</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1,845,662.72</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6.4.7.2</w:t>
      </w:r>
      <w:r w:rsidRPr="00C24ACA">
        <w:rPr>
          <w:rFonts w:eastAsiaTheme="minorEastAsia"/>
          <w:b/>
          <w:color w:val="000000"/>
          <w:szCs w:val="21"/>
        </w:rPr>
        <w:t>交易性金融资产</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bCs/>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8A5A5D" w:rsidRPr="00C24ACA" w:rsidTr="00614C5C">
        <w:trPr>
          <w:trHeight w:val="255"/>
        </w:trPr>
        <w:tc>
          <w:tcPr>
            <w:tcW w:w="2268" w:type="dxa"/>
            <w:gridSpan w:val="2"/>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项目</w:t>
            </w:r>
          </w:p>
        </w:tc>
        <w:tc>
          <w:tcPr>
            <w:tcW w:w="7018" w:type="dxa"/>
            <w:gridSpan w:val="3"/>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本期末</w:t>
            </w:r>
          </w:p>
          <w:p w:rsidR="008A5A5D" w:rsidRPr="00C24ACA" w:rsidRDefault="00AC4A34" w:rsidP="004A4847">
            <w:pPr>
              <w:jc w:val="center"/>
              <w:rPr>
                <w:rFonts w:eastAsiaTheme="minorEastAsia"/>
                <w:color w:val="000000"/>
                <w:kern w:val="0"/>
                <w:szCs w:val="21"/>
              </w:rPr>
            </w:pPr>
            <w:r w:rsidRPr="00C24ACA">
              <w:rPr>
                <w:rFonts w:eastAsiaTheme="minorEastAsia"/>
                <w:color w:val="000000"/>
                <w:kern w:val="0"/>
                <w:szCs w:val="21"/>
              </w:rPr>
              <w:t>2020</w:t>
            </w:r>
            <w:r w:rsidRPr="00C24ACA">
              <w:rPr>
                <w:rFonts w:eastAsiaTheme="minorEastAsia"/>
                <w:color w:val="000000"/>
                <w:kern w:val="0"/>
                <w:szCs w:val="21"/>
              </w:rPr>
              <w:t>年</w:t>
            </w:r>
            <w:r w:rsidRPr="00C24ACA">
              <w:rPr>
                <w:rFonts w:eastAsiaTheme="minorEastAsia"/>
                <w:color w:val="000000"/>
                <w:kern w:val="0"/>
                <w:szCs w:val="21"/>
              </w:rPr>
              <w:t>6</w:t>
            </w:r>
            <w:r w:rsidRPr="00C24ACA">
              <w:rPr>
                <w:rFonts w:eastAsiaTheme="minorEastAsia"/>
                <w:color w:val="000000"/>
                <w:kern w:val="0"/>
                <w:szCs w:val="21"/>
              </w:rPr>
              <w:t>月</w:t>
            </w:r>
            <w:r w:rsidRPr="00C24ACA">
              <w:rPr>
                <w:rFonts w:eastAsiaTheme="minorEastAsia"/>
                <w:color w:val="000000"/>
                <w:kern w:val="0"/>
                <w:szCs w:val="21"/>
              </w:rPr>
              <w:t>30</w:t>
            </w:r>
            <w:r w:rsidRPr="00C24ACA">
              <w:rPr>
                <w:rFonts w:eastAsiaTheme="minorEastAsia"/>
                <w:color w:val="000000"/>
                <w:kern w:val="0"/>
                <w:szCs w:val="21"/>
              </w:rPr>
              <w:t>日</w:t>
            </w:r>
          </w:p>
        </w:tc>
      </w:tr>
      <w:tr w:rsidR="008A5A5D" w:rsidRPr="00C24ACA" w:rsidTr="00614C5C">
        <w:trPr>
          <w:trHeight w:val="270"/>
        </w:trPr>
        <w:tc>
          <w:tcPr>
            <w:tcW w:w="2268" w:type="dxa"/>
            <w:gridSpan w:val="2"/>
            <w:vMerge/>
            <w:vAlign w:val="center"/>
          </w:tcPr>
          <w:p w:rsidR="008A5A5D" w:rsidRPr="00C24ACA" w:rsidRDefault="008A5A5D" w:rsidP="004A4847">
            <w:pPr>
              <w:widowControl/>
              <w:jc w:val="left"/>
              <w:rPr>
                <w:rFonts w:eastAsiaTheme="minorEastAsia"/>
                <w:color w:val="000000"/>
                <w:kern w:val="0"/>
                <w:szCs w:val="21"/>
              </w:rPr>
            </w:pP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成本</w:t>
            </w: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w:t>
            </w:r>
          </w:p>
        </w:tc>
        <w:tc>
          <w:tcPr>
            <w:tcW w:w="234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公允价值变动</w:t>
            </w:r>
          </w:p>
        </w:tc>
      </w:tr>
      <w:tr w:rsidR="008A5A5D" w:rsidRPr="00C24ACA" w:rsidTr="00614C5C">
        <w:trPr>
          <w:trHeight w:val="270"/>
        </w:trPr>
        <w:tc>
          <w:tcPr>
            <w:tcW w:w="2268" w:type="dxa"/>
            <w:gridSpan w:val="2"/>
            <w:vAlign w:val="center"/>
          </w:tcPr>
          <w:p w:rsidR="008A5A5D" w:rsidRPr="00C24ACA" w:rsidRDefault="008A5A5D" w:rsidP="004A4847">
            <w:pPr>
              <w:widowControl/>
              <w:rPr>
                <w:rFonts w:eastAsiaTheme="minorEastAsia"/>
                <w:color w:val="000000"/>
                <w:kern w:val="0"/>
                <w:szCs w:val="21"/>
              </w:rPr>
            </w:pPr>
            <w:r w:rsidRPr="00C24ACA">
              <w:rPr>
                <w:rFonts w:eastAsiaTheme="minorEastAsia"/>
                <w:color w:val="000000"/>
                <w:kern w:val="0"/>
                <w:szCs w:val="21"/>
              </w:rPr>
              <w:t>股票</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21,110,387.53</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21,826,559.71</w:t>
            </w:r>
          </w:p>
        </w:tc>
        <w:tc>
          <w:tcPr>
            <w:tcW w:w="2340"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716,172.18</w:t>
            </w:r>
          </w:p>
        </w:tc>
      </w:tr>
      <w:tr w:rsidR="00614C5C" w:rsidRPr="00C24ACA" w:rsidTr="00614C5C">
        <w:trPr>
          <w:trHeight w:val="270"/>
        </w:trPr>
        <w:tc>
          <w:tcPr>
            <w:tcW w:w="2268" w:type="dxa"/>
            <w:gridSpan w:val="2"/>
            <w:vAlign w:val="center"/>
          </w:tcPr>
          <w:p w:rsidR="00614C5C" w:rsidRPr="00224952" w:rsidRDefault="00614C5C" w:rsidP="00614C5C">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40"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r>
      <w:tr w:rsidR="00614C5C" w:rsidRPr="00C24ACA" w:rsidTr="00614C5C">
        <w:trPr>
          <w:trHeight w:val="285"/>
        </w:trPr>
        <w:tc>
          <w:tcPr>
            <w:tcW w:w="828" w:type="dxa"/>
            <w:vMerge w:val="restart"/>
            <w:vAlign w:val="center"/>
          </w:tcPr>
          <w:p w:rsidR="00614C5C" w:rsidRPr="00C24ACA" w:rsidRDefault="00614C5C" w:rsidP="00614C5C">
            <w:pPr>
              <w:jc w:val="center"/>
              <w:rPr>
                <w:rFonts w:eastAsiaTheme="minorEastAsia"/>
                <w:color w:val="000000"/>
                <w:kern w:val="0"/>
                <w:szCs w:val="21"/>
              </w:rPr>
            </w:pPr>
            <w:r w:rsidRPr="00C24ACA">
              <w:rPr>
                <w:rFonts w:eastAsiaTheme="minorEastAsia"/>
                <w:color w:val="000000"/>
                <w:kern w:val="0"/>
                <w:szCs w:val="21"/>
              </w:rPr>
              <w:t>债券</w:t>
            </w:r>
          </w:p>
        </w:tc>
        <w:tc>
          <w:tcPr>
            <w:tcW w:w="1440" w:type="dxa"/>
            <w:vAlign w:val="center"/>
          </w:tcPr>
          <w:p w:rsidR="00614C5C" w:rsidRPr="00C24ACA" w:rsidRDefault="00614C5C" w:rsidP="00614C5C">
            <w:pPr>
              <w:jc w:val="left"/>
              <w:rPr>
                <w:rFonts w:eastAsiaTheme="minorEastAsia"/>
                <w:color w:val="000000"/>
                <w:kern w:val="0"/>
                <w:szCs w:val="21"/>
              </w:rPr>
            </w:pPr>
            <w:r w:rsidRPr="00C24ACA">
              <w:rPr>
                <w:rFonts w:eastAsiaTheme="minorEastAsia"/>
                <w:color w:val="000000"/>
                <w:kern w:val="0"/>
                <w:szCs w:val="21"/>
              </w:rPr>
              <w:t>交易所市场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jc w:val="left"/>
              <w:rPr>
                <w:rFonts w:eastAsiaTheme="minorEastAsia"/>
                <w:color w:val="000000"/>
                <w:kern w:val="0"/>
                <w:szCs w:val="21"/>
              </w:rPr>
            </w:pPr>
            <w:r w:rsidRPr="00C24ACA">
              <w:rPr>
                <w:rFonts w:eastAsiaTheme="minorEastAsia"/>
                <w:color w:val="000000"/>
                <w:kern w:val="0"/>
                <w:szCs w:val="21"/>
              </w:rPr>
              <w:t>银行间市场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合计</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40"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资产支持证券</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基金</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lastRenderedPageBreak/>
              <w:t>其他</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jc w:val="center"/>
              <w:rPr>
                <w:rFonts w:eastAsiaTheme="minorEastAsia"/>
                <w:color w:val="000000"/>
                <w:kern w:val="0"/>
                <w:szCs w:val="21"/>
              </w:rPr>
            </w:pPr>
            <w:r w:rsidRPr="00C24ACA">
              <w:rPr>
                <w:rFonts w:eastAsiaTheme="minorEastAsia"/>
                <w:color w:val="000000"/>
                <w:kern w:val="0"/>
                <w:szCs w:val="21"/>
              </w:rPr>
              <w:t>合计</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21,110,387.53</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21,826,559.71</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716,172.18</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w:t>
      </w:r>
      <w:r w:rsidRPr="00C24ACA">
        <w:rPr>
          <w:rFonts w:eastAsiaTheme="minorEastAsia"/>
          <w:kern w:val="0"/>
          <w:szCs w:val="21"/>
        </w:rPr>
        <w:t>“</w:t>
      </w:r>
      <w:r w:rsidRPr="00C24ACA">
        <w:rPr>
          <w:rFonts w:eastAsiaTheme="minorEastAsia"/>
          <w:kern w:val="0"/>
          <w:szCs w:val="21"/>
        </w:rPr>
        <w:t>股票</w:t>
      </w:r>
      <w:r w:rsidRPr="00C24ACA">
        <w:rPr>
          <w:rFonts w:eastAsiaTheme="minorEastAsia"/>
          <w:kern w:val="0"/>
          <w:szCs w:val="21"/>
        </w:rPr>
        <w:t>”</w:t>
      </w:r>
      <w:r w:rsidRPr="00C24ACA">
        <w:rPr>
          <w:rFonts w:eastAsiaTheme="minorEastAsia"/>
          <w:kern w:val="0"/>
          <w:szCs w:val="21"/>
        </w:rPr>
        <w:t>包括普通股、存托凭证和优先股等。</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6.4.7.3</w:t>
      </w:r>
      <w:r w:rsidRPr="00C24ACA">
        <w:rPr>
          <w:rFonts w:eastAsiaTheme="minorEastAsia"/>
          <w:b/>
          <w:color w:val="000000"/>
          <w:szCs w:val="21"/>
        </w:rPr>
        <w:t>衍生金融资产</w:t>
      </w:r>
      <w:r w:rsidRPr="00C24ACA">
        <w:rPr>
          <w:rFonts w:eastAsiaTheme="minorEastAsia"/>
          <w:b/>
          <w:color w:val="000000"/>
          <w:szCs w:val="21"/>
        </w:rPr>
        <w:t>/</w:t>
      </w:r>
      <w:r w:rsidRPr="00C24ACA">
        <w:rPr>
          <w:rFonts w:eastAsiaTheme="minorEastAsia"/>
          <w:b/>
          <w:color w:val="000000"/>
          <w:szCs w:val="21"/>
        </w:rPr>
        <w:t>负债</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本基金本报告期末无衍生金融资产</w:t>
      </w:r>
      <w:r w:rsidRPr="00C24ACA">
        <w:rPr>
          <w:rFonts w:eastAsiaTheme="minorEastAsia"/>
          <w:kern w:val="0"/>
          <w:szCs w:val="21"/>
        </w:rPr>
        <w:t>/</w:t>
      </w:r>
      <w:r w:rsidRPr="00C24ACA">
        <w:rPr>
          <w:rFonts w:eastAsiaTheme="minorEastAsia"/>
          <w:kern w:val="0"/>
          <w:szCs w:val="21"/>
        </w:rPr>
        <w:t>负债。</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6.4.7.4</w:t>
      </w:r>
      <w:r w:rsidRPr="00C24ACA">
        <w:rPr>
          <w:rFonts w:eastAsiaTheme="minorEastAsia"/>
          <w:b/>
          <w:color w:val="000000"/>
          <w:szCs w:val="21"/>
        </w:rPr>
        <w:t>买入返售金融资产</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6.4.7.4.1</w:t>
      </w:r>
      <w:r w:rsidRPr="00C24ACA">
        <w:rPr>
          <w:rFonts w:eastAsiaTheme="minorEastAsia"/>
          <w:b/>
          <w:color w:val="000000"/>
          <w:szCs w:val="21"/>
        </w:rPr>
        <w:t>各项买入返售金融资产期末余额</w:t>
      </w:r>
    </w:p>
    <w:p w:rsidR="00245F01" w:rsidRDefault="00245F01" w:rsidP="00245F01">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6.4.7.4.2</w:t>
      </w:r>
      <w:r w:rsidRPr="00C24ACA">
        <w:rPr>
          <w:rFonts w:eastAsiaTheme="minorEastAsia"/>
          <w:b/>
          <w:color w:val="000000"/>
          <w:szCs w:val="21"/>
        </w:rPr>
        <w:t>期末买断式逆回购交易中取得的债券</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本基金本报告期末无买断式逆回购交易中取得的债券。</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6.4.7.5</w:t>
      </w:r>
      <w:r w:rsidRPr="00C24ACA">
        <w:rPr>
          <w:rFonts w:eastAsiaTheme="minorEastAsia"/>
          <w:b/>
          <w:color w:val="000000"/>
          <w:szCs w:val="21"/>
        </w:rPr>
        <w:t>应收利息</w:t>
      </w:r>
    </w:p>
    <w:p w:rsidR="008D191C" w:rsidRDefault="008D191C" w:rsidP="008D191C">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8D191C" w:rsidTr="00AD6EE3">
        <w:trPr>
          <w:trHeight w:val="330"/>
        </w:trPr>
        <w:tc>
          <w:tcPr>
            <w:tcW w:w="3701" w:type="dxa"/>
            <w:vAlign w:val="center"/>
            <w:hideMark/>
          </w:tcPr>
          <w:p w:rsidR="008D191C" w:rsidRDefault="008D191C">
            <w:pPr>
              <w:jc w:val="center"/>
              <w:rPr>
                <w:szCs w:val="21"/>
              </w:rPr>
            </w:pPr>
            <w:r>
              <w:rPr>
                <w:rFonts w:hint="eastAsia"/>
                <w:szCs w:val="21"/>
              </w:rPr>
              <w:t>项目</w:t>
            </w:r>
          </w:p>
        </w:tc>
        <w:tc>
          <w:tcPr>
            <w:tcW w:w="5528" w:type="dxa"/>
            <w:vAlign w:val="center"/>
            <w:hideMark/>
          </w:tcPr>
          <w:p w:rsidR="008D191C" w:rsidRDefault="008D191C">
            <w:pPr>
              <w:jc w:val="center"/>
              <w:rPr>
                <w:kern w:val="0"/>
                <w:szCs w:val="21"/>
              </w:rPr>
            </w:pPr>
            <w:r>
              <w:rPr>
                <w:rFonts w:hint="eastAsia"/>
                <w:kern w:val="0"/>
                <w:szCs w:val="21"/>
              </w:rPr>
              <w:t>本期末</w:t>
            </w:r>
          </w:p>
          <w:p w:rsidR="008D191C" w:rsidRDefault="008D191C">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8D191C" w:rsidTr="00AD6EE3">
        <w:trPr>
          <w:trHeight w:val="257"/>
        </w:trPr>
        <w:tc>
          <w:tcPr>
            <w:tcW w:w="3701" w:type="dxa"/>
            <w:vAlign w:val="center"/>
            <w:hideMark/>
          </w:tcPr>
          <w:p w:rsidR="008D191C" w:rsidRDefault="008D191C">
            <w:pPr>
              <w:rPr>
                <w:szCs w:val="21"/>
              </w:rPr>
            </w:pPr>
            <w:r>
              <w:rPr>
                <w:rFonts w:hint="eastAsia"/>
                <w:szCs w:val="21"/>
              </w:rPr>
              <w:t>应收活期存款利息</w:t>
            </w:r>
          </w:p>
        </w:tc>
        <w:tc>
          <w:tcPr>
            <w:tcW w:w="5528" w:type="dxa"/>
            <w:vAlign w:val="center"/>
            <w:hideMark/>
          </w:tcPr>
          <w:p w:rsidR="008D191C" w:rsidRDefault="008D191C">
            <w:pPr>
              <w:jc w:val="right"/>
              <w:rPr>
                <w:szCs w:val="21"/>
              </w:rPr>
            </w:pPr>
            <w:r>
              <w:rPr>
                <w:szCs w:val="21"/>
              </w:rPr>
              <w:t>80.47</w:t>
            </w:r>
          </w:p>
        </w:tc>
      </w:tr>
      <w:tr w:rsidR="008D191C" w:rsidTr="00AD6EE3">
        <w:trPr>
          <w:trHeight w:val="223"/>
        </w:trPr>
        <w:tc>
          <w:tcPr>
            <w:tcW w:w="3701" w:type="dxa"/>
            <w:vAlign w:val="center"/>
            <w:hideMark/>
          </w:tcPr>
          <w:p w:rsidR="008D191C" w:rsidRDefault="008D191C">
            <w:pPr>
              <w:rPr>
                <w:szCs w:val="21"/>
              </w:rPr>
            </w:pPr>
            <w:r>
              <w:rPr>
                <w:rFonts w:hint="eastAsia"/>
                <w:szCs w:val="21"/>
              </w:rPr>
              <w:t>应收定期存款利息</w:t>
            </w:r>
          </w:p>
        </w:tc>
        <w:tc>
          <w:tcPr>
            <w:tcW w:w="5528" w:type="dxa"/>
            <w:vAlign w:val="center"/>
            <w:hideMark/>
          </w:tcPr>
          <w:p w:rsidR="008D191C" w:rsidRDefault="008D191C">
            <w:pPr>
              <w:jc w:val="right"/>
              <w:rPr>
                <w:szCs w:val="21"/>
              </w:rPr>
            </w:pPr>
            <w:r>
              <w:rPr>
                <w:szCs w:val="21"/>
              </w:rPr>
              <w:t>-</w:t>
            </w:r>
          </w:p>
        </w:tc>
      </w:tr>
      <w:tr w:rsidR="008D191C" w:rsidTr="00AD6EE3">
        <w:trPr>
          <w:trHeight w:val="223"/>
        </w:trPr>
        <w:tc>
          <w:tcPr>
            <w:tcW w:w="3701" w:type="dxa"/>
            <w:vAlign w:val="center"/>
            <w:hideMark/>
          </w:tcPr>
          <w:p w:rsidR="008D191C" w:rsidRDefault="008D191C">
            <w:pPr>
              <w:rPr>
                <w:szCs w:val="21"/>
              </w:rPr>
            </w:pPr>
            <w:r>
              <w:rPr>
                <w:rFonts w:hint="eastAsia"/>
                <w:szCs w:val="21"/>
              </w:rPr>
              <w:t>应收其他存款利息</w:t>
            </w:r>
          </w:p>
        </w:tc>
        <w:tc>
          <w:tcPr>
            <w:tcW w:w="5528" w:type="dxa"/>
            <w:vAlign w:val="center"/>
            <w:hideMark/>
          </w:tcPr>
          <w:p w:rsidR="008D191C" w:rsidRDefault="008D191C">
            <w:pPr>
              <w:jc w:val="right"/>
              <w:rPr>
                <w:szCs w:val="21"/>
              </w:rPr>
            </w:pPr>
            <w:r>
              <w:rPr>
                <w:szCs w:val="21"/>
              </w:rPr>
              <w:t>-</w:t>
            </w:r>
          </w:p>
        </w:tc>
      </w:tr>
      <w:tr w:rsidR="008D191C" w:rsidTr="00AD6EE3">
        <w:trPr>
          <w:trHeight w:val="223"/>
        </w:trPr>
        <w:tc>
          <w:tcPr>
            <w:tcW w:w="3701" w:type="dxa"/>
            <w:vAlign w:val="center"/>
            <w:hideMark/>
          </w:tcPr>
          <w:p w:rsidR="008D191C" w:rsidRDefault="008D191C">
            <w:pPr>
              <w:rPr>
                <w:szCs w:val="21"/>
              </w:rPr>
            </w:pPr>
            <w:r>
              <w:rPr>
                <w:rFonts w:hint="eastAsia"/>
                <w:szCs w:val="21"/>
              </w:rPr>
              <w:t>应收结算备付金利息</w:t>
            </w:r>
          </w:p>
        </w:tc>
        <w:tc>
          <w:tcPr>
            <w:tcW w:w="5528" w:type="dxa"/>
            <w:vAlign w:val="center"/>
            <w:hideMark/>
          </w:tcPr>
          <w:p w:rsidR="008D191C" w:rsidRDefault="008D191C">
            <w:pPr>
              <w:jc w:val="right"/>
              <w:rPr>
                <w:szCs w:val="21"/>
              </w:rPr>
            </w:pPr>
            <w:r>
              <w:rPr>
                <w:szCs w:val="21"/>
              </w:rPr>
              <w:t>-</w:t>
            </w:r>
          </w:p>
        </w:tc>
      </w:tr>
      <w:tr w:rsidR="008D191C" w:rsidTr="00AD6EE3">
        <w:trPr>
          <w:trHeight w:val="269"/>
        </w:trPr>
        <w:tc>
          <w:tcPr>
            <w:tcW w:w="3701" w:type="dxa"/>
            <w:vAlign w:val="center"/>
            <w:hideMark/>
          </w:tcPr>
          <w:p w:rsidR="008D191C" w:rsidRDefault="008D191C">
            <w:pPr>
              <w:rPr>
                <w:szCs w:val="21"/>
              </w:rPr>
            </w:pPr>
            <w:r>
              <w:rPr>
                <w:rFonts w:hint="eastAsia"/>
                <w:szCs w:val="21"/>
              </w:rPr>
              <w:t>应收债券利息</w:t>
            </w:r>
          </w:p>
        </w:tc>
        <w:tc>
          <w:tcPr>
            <w:tcW w:w="5528" w:type="dxa"/>
            <w:vAlign w:val="center"/>
            <w:hideMark/>
          </w:tcPr>
          <w:p w:rsidR="008D191C" w:rsidRDefault="008D191C">
            <w:pPr>
              <w:jc w:val="right"/>
              <w:rPr>
                <w:szCs w:val="21"/>
              </w:rPr>
            </w:pPr>
            <w:r>
              <w:rPr>
                <w:szCs w:val="21"/>
              </w:rPr>
              <w:t>-</w:t>
            </w:r>
          </w:p>
        </w:tc>
      </w:tr>
      <w:tr w:rsidR="008D191C" w:rsidTr="00AD6EE3">
        <w:trPr>
          <w:trHeight w:val="287"/>
        </w:trPr>
        <w:tc>
          <w:tcPr>
            <w:tcW w:w="3701" w:type="dxa"/>
            <w:vAlign w:val="bottom"/>
            <w:hideMark/>
          </w:tcPr>
          <w:p w:rsidR="008D191C" w:rsidRDefault="008D191C">
            <w:pPr>
              <w:rPr>
                <w:rFonts w:eastAsiaTheme="minorEastAsia"/>
                <w:szCs w:val="21"/>
              </w:rPr>
            </w:pPr>
            <w:r>
              <w:rPr>
                <w:rFonts w:eastAsiaTheme="minorEastAsia" w:hint="eastAsia"/>
                <w:szCs w:val="21"/>
              </w:rPr>
              <w:t>应收资产支持证券利息</w:t>
            </w:r>
          </w:p>
        </w:tc>
        <w:tc>
          <w:tcPr>
            <w:tcW w:w="5528" w:type="dxa"/>
            <w:hideMark/>
          </w:tcPr>
          <w:p w:rsidR="008D191C" w:rsidRDefault="008D191C">
            <w:pPr>
              <w:jc w:val="right"/>
              <w:rPr>
                <w:rFonts w:eastAsiaTheme="minorEastAsia"/>
                <w:szCs w:val="21"/>
              </w:rPr>
            </w:pPr>
            <w:r>
              <w:rPr>
                <w:rFonts w:eastAsiaTheme="minorEastAsia"/>
                <w:szCs w:val="21"/>
              </w:rPr>
              <w:t>-</w:t>
            </w:r>
          </w:p>
        </w:tc>
      </w:tr>
      <w:tr w:rsidR="008D191C" w:rsidTr="00AD6EE3">
        <w:trPr>
          <w:trHeight w:val="287"/>
        </w:trPr>
        <w:tc>
          <w:tcPr>
            <w:tcW w:w="3701" w:type="dxa"/>
            <w:vAlign w:val="center"/>
            <w:hideMark/>
          </w:tcPr>
          <w:p w:rsidR="008D191C" w:rsidRDefault="008D191C">
            <w:pPr>
              <w:rPr>
                <w:szCs w:val="21"/>
              </w:rPr>
            </w:pPr>
            <w:r>
              <w:rPr>
                <w:rFonts w:hint="eastAsia"/>
                <w:szCs w:val="21"/>
              </w:rPr>
              <w:t>应收买入返售证券利息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应收申购款利息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应收黄金合约拆借孳息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其他</w:t>
            </w:r>
          </w:p>
        </w:tc>
        <w:tc>
          <w:tcPr>
            <w:tcW w:w="5528" w:type="dxa"/>
            <w:vAlign w:val="center"/>
            <w:hideMark/>
          </w:tcPr>
          <w:p w:rsidR="008D191C" w:rsidRDefault="008D191C">
            <w:pPr>
              <w:jc w:val="right"/>
              <w:rPr>
                <w:szCs w:val="21"/>
              </w:rPr>
            </w:pPr>
            <w:r>
              <w:rPr>
                <w:szCs w:val="21"/>
              </w:rPr>
              <w:t>-</w:t>
            </w:r>
          </w:p>
        </w:tc>
      </w:tr>
      <w:tr w:rsidR="008D191C" w:rsidTr="00AD6EE3">
        <w:trPr>
          <w:trHeight w:val="330"/>
        </w:trPr>
        <w:tc>
          <w:tcPr>
            <w:tcW w:w="3701" w:type="dxa"/>
            <w:vAlign w:val="center"/>
            <w:hideMark/>
          </w:tcPr>
          <w:p w:rsidR="008D191C" w:rsidRDefault="008D191C">
            <w:pPr>
              <w:jc w:val="center"/>
              <w:rPr>
                <w:szCs w:val="21"/>
              </w:rPr>
            </w:pPr>
            <w:r>
              <w:rPr>
                <w:rFonts w:hint="eastAsia"/>
                <w:szCs w:val="21"/>
              </w:rPr>
              <w:t>合计</w:t>
            </w:r>
          </w:p>
        </w:tc>
        <w:tc>
          <w:tcPr>
            <w:tcW w:w="5528" w:type="dxa"/>
            <w:vAlign w:val="center"/>
            <w:hideMark/>
          </w:tcPr>
          <w:p w:rsidR="008D191C" w:rsidRDefault="008D191C">
            <w:pPr>
              <w:jc w:val="right"/>
              <w:rPr>
                <w:szCs w:val="21"/>
              </w:rPr>
            </w:pPr>
            <w:r>
              <w:rPr>
                <w:szCs w:val="21"/>
              </w:rPr>
              <w:t>80.47</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6.4.7.6</w:t>
      </w:r>
      <w:r w:rsidRPr="00C24ACA">
        <w:rPr>
          <w:rFonts w:eastAsiaTheme="minorEastAsia"/>
          <w:b/>
          <w:color w:val="000000"/>
          <w:szCs w:val="21"/>
        </w:rPr>
        <w:t>其他资产</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本基金本报告期末无其他资产。</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6.4.7.7</w:t>
      </w:r>
      <w:r w:rsidRPr="00C24ACA">
        <w:rPr>
          <w:rFonts w:eastAsiaTheme="minorEastAsia"/>
          <w:b/>
          <w:color w:val="000000"/>
          <w:szCs w:val="21"/>
        </w:rPr>
        <w:t>应付交易费用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本基金本报告期末无应付交易费用。</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6.4.7.8</w:t>
      </w:r>
      <w:r w:rsidRPr="00C24ACA">
        <w:rPr>
          <w:rFonts w:eastAsiaTheme="minorEastAsia"/>
          <w:b/>
          <w:color w:val="000000"/>
          <w:szCs w:val="21"/>
        </w:rPr>
        <w:t>其他负债</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lastRenderedPageBreak/>
        <w:t>单位：人民币元</w:t>
      </w:r>
    </w:p>
    <w:tbl>
      <w:tblPr>
        <w:tblW w:w="92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8A5A5D" w:rsidRPr="00C24ACA" w:rsidTr="00862636">
        <w:trPr>
          <w:trHeight w:val="330"/>
        </w:trPr>
        <w:tc>
          <w:tcPr>
            <w:tcW w:w="3701"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28" w:type="dxa"/>
            <w:vAlign w:val="center"/>
          </w:tcPr>
          <w:p w:rsidR="008A5A5D" w:rsidRPr="00C24ACA" w:rsidRDefault="008A5A5D" w:rsidP="004A4847">
            <w:pPr>
              <w:jc w:val="center"/>
              <w:rPr>
                <w:rFonts w:eastAsiaTheme="minorEastAsia"/>
                <w:kern w:val="0"/>
                <w:szCs w:val="21"/>
              </w:rPr>
            </w:pPr>
            <w:r w:rsidRPr="00C24ACA">
              <w:rPr>
                <w:rFonts w:eastAsiaTheme="minorEastAsia"/>
                <w:kern w:val="0"/>
                <w:szCs w:val="21"/>
              </w:rPr>
              <w:t>本期末</w:t>
            </w:r>
          </w:p>
          <w:p w:rsidR="008A5A5D" w:rsidRPr="00C24ACA" w:rsidRDefault="00AC4A34" w:rsidP="004A4847">
            <w:pPr>
              <w:jc w:val="center"/>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应付券商交易单元保证金</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应付赎回费</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288.69</w:t>
            </w:r>
          </w:p>
        </w:tc>
      </w:tr>
      <w:tr w:rsidR="007B4EE4">
        <w:tc>
          <w:tcPr>
            <w:tcW w:w="3701" w:type="dxa"/>
            <w:vAlign w:val="center"/>
          </w:tcPr>
          <w:p w:rsidR="007B4EE4" w:rsidRDefault="00B833D5">
            <w:pPr>
              <w:jc w:val="left"/>
            </w:pPr>
            <w:r>
              <w:rPr>
                <w:rFonts w:eastAsiaTheme="minorEastAsia"/>
                <w:szCs w:val="21"/>
              </w:rPr>
              <w:t>预提费用</w:t>
            </w:r>
          </w:p>
        </w:tc>
        <w:tc>
          <w:tcPr>
            <w:tcW w:w="5528" w:type="dxa"/>
            <w:vAlign w:val="center"/>
          </w:tcPr>
          <w:p w:rsidR="007B4EE4" w:rsidRDefault="00B833D5">
            <w:pPr>
              <w:jc w:val="right"/>
            </w:pPr>
            <w:r>
              <w:rPr>
                <w:rFonts w:eastAsiaTheme="minorEastAsia"/>
                <w:szCs w:val="21"/>
              </w:rPr>
              <w:t>114,642.76</w:t>
            </w:r>
          </w:p>
        </w:tc>
      </w:tr>
      <w:tr w:rsidR="007B4EE4">
        <w:tc>
          <w:tcPr>
            <w:tcW w:w="3701" w:type="dxa"/>
            <w:vAlign w:val="center"/>
          </w:tcPr>
          <w:p w:rsidR="007B4EE4" w:rsidRDefault="00B833D5">
            <w:pPr>
              <w:jc w:val="left"/>
            </w:pPr>
            <w:r>
              <w:rPr>
                <w:rFonts w:eastAsiaTheme="minorEastAsia"/>
                <w:szCs w:val="21"/>
              </w:rPr>
              <w:t>其他应付款</w:t>
            </w:r>
          </w:p>
        </w:tc>
        <w:tc>
          <w:tcPr>
            <w:tcW w:w="5528" w:type="dxa"/>
            <w:vAlign w:val="center"/>
          </w:tcPr>
          <w:p w:rsidR="007B4EE4" w:rsidRDefault="00B833D5">
            <w:pPr>
              <w:jc w:val="right"/>
            </w:pPr>
            <w:r>
              <w:rPr>
                <w:rFonts w:eastAsiaTheme="minorEastAsia"/>
                <w:szCs w:val="21"/>
              </w:rPr>
              <w:t>54,814.20</w:t>
            </w:r>
          </w:p>
        </w:tc>
      </w:tr>
      <w:tr w:rsidR="008A5A5D" w:rsidRPr="00C24ACA" w:rsidTr="00862636">
        <w:trPr>
          <w:trHeight w:val="325"/>
        </w:trPr>
        <w:tc>
          <w:tcPr>
            <w:tcW w:w="3701" w:type="dxa"/>
            <w:vAlign w:val="center"/>
          </w:tcPr>
          <w:p w:rsidR="008A5A5D" w:rsidRPr="00C24ACA" w:rsidRDefault="008A5A5D" w:rsidP="00052E9B">
            <w:pPr>
              <w:rPr>
                <w:rFonts w:eastAsiaTheme="minorEastAsia"/>
                <w:szCs w:val="21"/>
              </w:rPr>
            </w:pPr>
            <w:r w:rsidRPr="00C24ACA">
              <w:rPr>
                <w:rFonts w:eastAsiaTheme="minorEastAsia"/>
                <w:szCs w:val="21"/>
              </w:rPr>
              <w:t>合计</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169,745.65</w:t>
            </w:r>
          </w:p>
        </w:tc>
      </w:tr>
    </w:tbl>
    <w:p w:rsidR="00471935" w:rsidRDefault="008A5A5D" w:rsidP="00471935">
      <w:pPr>
        <w:spacing w:beforeLines="100" w:before="312" w:line="360" w:lineRule="auto"/>
        <w:rPr>
          <w:rFonts w:eastAsiaTheme="minorEastAsia"/>
          <w:b/>
          <w:color w:val="000000"/>
          <w:szCs w:val="21"/>
        </w:rPr>
      </w:pPr>
      <w:r w:rsidRPr="00C24ACA">
        <w:rPr>
          <w:rFonts w:eastAsiaTheme="minorEastAsia"/>
          <w:b/>
          <w:bCs/>
          <w:color w:val="000000"/>
          <w:kern w:val="0"/>
          <w:szCs w:val="21"/>
        </w:rPr>
        <w:t>6.4.7.9</w:t>
      </w:r>
      <w:r w:rsidRPr="00C24ACA">
        <w:rPr>
          <w:rFonts w:eastAsiaTheme="minorEastAsia"/>
          <w:b/>
          <w:color w:val="000000"/>
          <w:szCs w:val="21"/>
        </w:rPr>
        <w:t>实收基金</w:t>
      </w:r>
    </w:p>
    <w:p w:rsidR="00471935" w:rsidRPr="00896265" w:rsidRDefault="00471935" w:rsidP="00471935">
      <w:pPr>
        <w:adjustRightInd w:val="0"/>
        <w:snapToGrid w:val="0"/>
        <w:spacing w:line="360" w:lineRule="auto"/>
        <w:rPr>
          <w:rFonts w:eastAsiaTheme="minorEastAsia"/>
          <w:b/>
          <w:color w:val="000000"/>
          <w:szCs w:val="21"/>
        </w:rPr>
      </w:pPr>
      <w:r w:rsidRPr="00896265">
        <w:rPr>
          <w:rFonts w:eastAsiaTheme="minorEastAsia"/>
          <w:szCs w:val="21"/>
        </w:rPr>
        <w:t>易方达香港恒生综合小型股指数（</w:t>
      </w:r>
      <w:r w:rsidRPr="00896265">
        <w:rPr>
          <w:rFonts w:eastAsiaTheme="minorEastAsia"/>
          <w:szCs w:val="21"/>
        </w:rPr>
        <w:t>QDII-LOF</w:t>
      </w:r>
      <w:r w:rsidRPr="00896265">
        <w:rPr>
          <w:rFonts w:eastAsiaTheme="minorEastAsia"/>
          <w:szCs w:val="21"/>
        </w:rPr>
        <w:t>）</w:t>
      </w:r>
      <w:r w:rsidRPr="00896265">
        <w:rPr>
          <w:rFonts w:eastAsiaTheme="minorEastAsia"/>
          <w:szCs w:val="21"/>
        </w:rPr>
        <w:t>A</w:t>
      </w:r>
    </w:p>
    <w:p w:rsidR="00471935" w:rsidRPr="00C24ACA" w:rsidRDefault="00471935" w:rsidP="00471935">
      <w:pPr>
        <w:wordWrap w:val="0"/>
        <w:spacing w:line="360" w:lineRule="auto"/>
        <w:jc w:val="right"/>
        <w:rPr>
          <w:rFonts w:eastAsiaTheme="minorEastAsia"/>
          <w:szCs w:val="21"/>
        </w:rPr>
      </w:pPr>
      <w:r w:rsidRPr="00C24ACA">
        <w:rPr>
          <w:rFonts w:eastAsiaTheme="minorEastAsia"/>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471935" w:rsidRPr="00C24ACA" w:rsidTr="00CC7CAD">
        <w:tc>
          <w:tcPr>
            <w:tcW w:w="3120" w:type="dxa"/>
            <w:vMerge w:val="restart"/>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471935" w:rsidRPr="00C24ACA" w:rsidRDefault="00471935" w:rsidP="00CC7CAD">
            <w:pPr>
              <w:spacing w:line="360" w:lineRule="auto"/>
              <w:jc w:val="center"/>
              <w:rPr>
                <w:rFonts w:eastAsiaTheme="minorEastAsia"/>
                <w:color w:val="000000"/>
                <w:szCs w:val="21"/>
              </w:rPr>
            </w:pPr>
            <w:r w:rsidRPr="00C24ACA">
              <w:rPr>
                <w:rFonts w:eastAsiaTheme="minorEastAsia"/>
                <w:color w:val="000000"/>
                <w:szCs w:val="21"/>
              </w:rPr>
              <w:t>本期</w:t>
            </w:r>
          </w:p>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71935" w:rsidRPr="00C24ACA" w:rsidTr="00CC7CAD">
        <w:tc>
          <w:tcPr>
            <w:tcW w:w="3120" w:type="dxa"/>
            <w:vMerge/>
            <w:vAlign w:val="center"/>
          </w:tcPr>
          <w:p w:rsidR="00471935" w:rsidRPr="00C24ACA" w:rsidRDefault="00471935" w:rsidP="00CC7CAD">
            <w:pPr>
              <w:widowControl/>
              <w:spacing w:line="360" w:lineRule="auto"/>
              <w:jc w:val="left"/>
              <w:rPr>
                <w:rFonts w:eastAsiaTheme="minorEastAsia"/>
                <w:color w:val="000000"/>
                <w:szCs w:val="21"/>
              </w:rPr>
            </w:pP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26,398,272.12</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26,398,272.12</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4,340,709.75</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4,340,709.75</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-12,710,043.19</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-12,710,043.19</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18,028,938.68</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18,028,938.68</w:t>
            </w:r>
          </w:p>
        </w:tc>
      </w:tr>
    </w:tbl>
    <w:p w:rsidR="00471935" w:rsidRPr="00896265" w:rsidRDefault="00471935" w:rsidP="00471935">
      <w:pPr>
        <w:adjustRightInd w:val="0"/>
        <w:snapToGrid w:val="0"/>
        <w:spacing w:line="360" w:lineRule="auto"/>
        <w:rPr>
          <w:rFonts w:eastAsiaTheme="minorEastAsia"/>
          <w:szCs w:val="21"/>
        </w:rPr>
      </w:pPr>
      <w:r w:rsidRPr="00896265">
        <w:rPr>
          <w:rFonts w:eastAsiaTheme="minorEastAsia"/>
          <w:szCs w:val="21"/>
        </w:rPr>
        <w:t>易方达香港恒生综合小型股指数（</w:t>
      </w:r>
      <w:r w:rsidRPr="00896265">
        <w:rPr>
          <w:rFonts w:eastAsiaTheme="minorEastAsia"/>
          <w:szCs w:val="21"/>
        </w:rPr>
        <w:t>QDII-LOF</w:t>
      </w:r>
      <w:r w:rsidRPr="00896265">
        <w:rPr>
          <w:rFonts w:eastAsiaTheme="minorEastAsia"/>
          <w:szCs w:val="21"/>
        </w:rPr>
        <w:t>）</w:t>
      </w:r>
      <w:r w:rsidRPr="00896265">
        <w:rPr>
          <w:rFonts w:eastAsiaTheme="minorEastAsia"/>
          <w:szCs w:val="21"/>
        </w:rPr>
        <w:t>C</w:t>
      </w:r>
    </w:p>
    <w:p w:rsidR="00471935" w:rsidRPr="00C24ACA" w:rsidRDefault="00471935" w:rsidP="00471935">
      <w:pPr>
        <w:adjustRightInd w:val="0"/>
        <w:snapToGrid w:val="0"/>
        <w:spacing w:line="360" w:lineRule="auto"/>
        <w:jc w:val="right"/>
        <w:rPr>
          <w:rFonts w:eastAsiaTheme="minorEastAsia"/>
          <w:color w:val="000000"/>
          <w:szCs w:val="21"/>
        </w:rPr>
      </w:pPr>
      <w:r w:rsidRPr="00C24ACA">
        <w:rPr>
          <w:rFonts w:eastAsiaTheme="minorEastAsia"/>
          <w:color w:val="000000"/>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471935" w:rsidRPr="00C24ACA" w:rsidTr="00CC7CAD">
        <w:tc>
          <w:tcPr>
            <w:tcW w:w="3120" w:type="dxa"/>
            <w:vMerge w:val="restart"/>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本期</w:t>
            </w:r>
          </w:p>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71935" w:rsidRPr="00C24ACA" w:rsidTr="00CC7CAD">
        <w:tc>
          <w:tcPr>
            <w:tcW w:w="3120" w:type="dxa"/>
            <w:vMerge/>
            <w:vAlign w:val="center"/>
          </w:tcPr>
          <w:p w:rsidR="00471935" w:rsidRPr="00C24ACA" w:rsidRDefault="00471935" w:rsidP="00CC7CAD">
            <w:pPr>
              <w:widowControl/>
              <w:spacing w:line="360" w:lineRule="auto"/>
              <w:jc w:val="left"/>
              <w:rPr>
                <w:rFonts w:eastAsiaTheme="minorEastAsia"/>
                <w:color w:val="000000"/>
                <w:szCs w:val="21"/>
              </w:rPr>
            </w:pP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2,372,963.40</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2,372,963.40</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3,961,512.92</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3,961,512.92</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-4,148,915.37</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-4,148,915.37</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2,185,560.95</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2,185,560.95</w:t>
            </w:r>
          </w:p>
        </w:tc>
      </w:tr>
    </w:tbl>
    <w:p w:rsidR="008A5A5D" w:rsidRPr="00C24ACA" w:rsidRDefault="008A5A5D" w:rsidP="00471935">
      <w:pPr>
        <w:spacing w:beforeLines="100" w:before="312" w:line="360" w:lineRule="auto"/>
        <w:rPr>
          <w:rFonts w:eastAsiaTheme="minorEastAsia"/>
          <w:b/>
          <w:color w:val="000000"/>
          <w:szCs w:val="21"/>
        </w:rPr>
      </w:pPr>
      <w:r w:rsidRPr="00C24ACA">
        <w:rPr>
          <w:rFonts w:eastAsiaTheme="minorEastAsia"/>
          <w:b/>
          <w:bCs/>
          <w:color w:val="000000"/>
          <w:kern w:val="0"/>
          <w:szCs w:val="21"/>
        </w:rPr>
        <w:t>6.4.7.10</w:t>
      </w:r>
      <w:r w:rsidRPr="00C24ACA">
        <w:rPr>
          <w:rFonts w:eastAsiaTheme="minorEastAsia"/>
          <w:b/>
          <w:color w:val="000000"/>
          <w:szCs w:val="21"/>
        </w:rPr>
        <w:t>未分配利润</w:t>
      </w:r>
    </w:p>
    <w:p w:rsidR="008A5A5D" w:rsidRPr="00C24ACA" w:rsidRDefault="008A5A5D" w:rsidP="002116B9">
      <w:pPr>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2915FE" w:rsidRPr="00C24ACA" w:rsidTr="005C3575">
        <w:tc>
          <w:tcPr>
            <w:tcW w:w="9415" w:type="dxa"/>
            <w:gridSpan w:val="4"/>
          </w:tcPr>
          <w:p w:rsidR="002915FE" w:rsidRPr="00C24ACA" w:rsidRDefault="002915FE" w:rsidP="002915FE">
            <w:pPr>
              <w:tabs>
                <w:tab w:val="left" w:pos="3015"/>
              </w:tabs>
              <w:jc w:val="center"/>
              <w:rPr>
                <w:rFonts w:eastAsiaTheme="minorEastAsia"/>
                <w:color w:val="000000"/>
                <w:szCs w:val="21"/>
              </w:rPr>
            </w:pPr>
            <w:r w:rsidRPr="00C24ACA">
              <w:rPr>
                <w:rFonts w:eastAsiaTheme="minorEastAsia"/>
                <w:color w:val="000000"/>
                <w:szCs w:val="21"/>
              </w:rPr>
              <w:t>易方达香港恒生综合小型股指数（</w:t>
            </w:r>
            <w:r w:rsidRPr="00C24ACA">
              <w:rPr>
                <w:rFonts w:eastAsiaTheme="minorEastAsia"/>
                <w:color w:val="000000"/>
                <w:szCs w:val="21"/>
              </w:rPr>
              <w:t>QDII-LOF</w:t>
            </w:r>
            <w:r w:rsidRPr="00C24ACA">
              <w:rPr>
                <w:rFonts w:eastAsiaTheme="minorEastAsia"/>
                <w:color w:val="000000"/>
                <w:szCs w:val="21"/>
              </w:rPr>
              <w:t>）</w:t>
            </w:r>
            <w:r w:rsidRPr="00C24ACA">
              <w:rPr>
                <w:rFonts w:eastAsiaTheme="minorEastAsia"/>
                <w:color w:val="000000"/>
                <w:szCs w:val="21"/>
              </w:rPr>
              <w:t>A</w:t>
            </w:r>
          </w:p>
        </w:tc>
      </w:tr>
      <w:tr w:rsidR="002915FE" w:rsidRPr="00C24ACA" w:rsidTr="002915FE">
        <w:tc>
          <w:tcPr>
            <w:tcW w:w="2706" w:type="dxa"/>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未分配利润合计</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9,632,445.83</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-5,987,690.38</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3,644,755.45</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lastRenderedPageBreak/>
              <w:t>本期利润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-1,544,649.94</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1,640,815.03</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96,165.09</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-2,838,485.06</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1,999,073.19</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-839,411.87</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1,517,528.71</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-1,029,757.31</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487,771.40</w:t>
            </w:r>
          </w:p>
        </w:tc>
      </w:tr>
      <w:tr w:rsidR="002915FE" w:rsidRPr="00C24ACA" w:rsidTr="002915FE">
        <w:tc>
          <w:tcPr>
            <w:tcW w:w="2706" w:type="dxa"/>
            <w:vAlign w:val="center"/>
          </w:tcPr>
          <w:p w:rsidR="002915FE" w:rsidRPr="00C24ACA" w:rsidRDefault="002915FE"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-4,356,013.77</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3,028,830.50</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-1,327,183.27</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5,249,310.83</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-2,347,802.16</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2,901,508.67</w:t>
            </w:r>
          </w:p>
        </w:tc>
      </w:tr>
    </w:tbl>
    <w:p w:rsidR="0057216B" w:rsidRPr="00C24ACA" w:rsidRDefault="0057216B" w:rsidP="002915FE">
      <w:pPr>
        <w:adjustRightInd w:val="0"/>
        <w:snapToGrid w:val="0"/>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57216B" w:rsidRPr="00C24ACA" w:rsidTr="005C3575">
        <w:tc>
          <w:tcPr>
            <w:tcW w:w="9415" w:type="dxa"/>
            <w:gridSpan w:val="4"/>
          </w:tcPr>
          <w:p w:rsidR="002915FE" w:rsidRPr="00C24ACA" w:rsidRDefault="002915FE" w:rsidP="002915FE">
            <w:pPr>
              <w:jc w:val="center"/>
              <w:rPr>
                <w:rFonts w:eastAsiaTheme="minorEastAsia"/>
                <w:color w:val="000000"/>
                <w:szCs w:val="21"/>
              </w:rPr>
            </w:pPr>
            <w:r w:rsidRPr="00C24ACA">
              <w:rPr>
                <w:rFonts w:eastAsiaTheme="minorEastAsia"/>
                <w:color w:val="000000"/>
                <w:szCs w:val="21"/>
              </w:rPr>
              <w:t>易方达香港恒生综合小型股指数（</w:t>
            </w:r>
            <w:r w:rsidRPr="00C24ACA">
              <w:rPr>
                <w:rFonts w:eastAsiaTheme="minorEastAsia"/>
                <w:color w:val="000000"/>
                <w:szCs w:val="21"/>
              </w:rPr>
              <w:t>QDII-LOF</w:t>
            </w:r>
            <w:r w:rsidRPr="00C24ACA">
              <w:rPr>
                <w:rFonts w:eastAsiaTheme="minorEastAsia"/>
                <w:color w:val="000000"/>
                <w:szCs w:val="21"/>
              </w:rPr>
              <w:t>）</w:t>
            </w:r>
            <w:r w:rsidRPr="00C24ACA">
              <w:rPr>
                <w:rFonts w:eastAsiaTheme="minorEastAsia"/>
                <w:color w:val="000000"/>
                <w:szCs w:val="21"/>
              </w:rPr>
              <w:t>C</w:t>
            </w:r>
          </w:p>
        </w:tc>
      </w:tr>
      <w:tr w:rsidR="0057216B" w:rsidRPr="00C24ACA" w:rsidTr="00AD6EE3">
        <w:tc>
          <w:tcPr>
            <w:tcW w:w="2706" w:type="dxa"/>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未分配利润合计</w:t>
            </w:r>
          </w:p>
        </w:tc>
      </w:tr>
      <w:tr w:rsidR="0057216B" w:rsidRPr="00C24ACA" w:rsidTr="00AD6EE3">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484,000.43</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-166,087.14</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317,913.29</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-198,254.94</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241,514.73</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43,259.79</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-3,021.66</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-13,489.92</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-16,511.58</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739,419.03</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-286,128.65</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453,290.38</w:t>
            </w:r>
          </w:p>
        </w:tc>
      </w:tr>
      <w:tr w:rsidR="0057216B" w:rsidRPr="00C24ACA" w:rsidTr="0057216B">
        <w:tc>
          <w:tcPr>
            <w:tcW w:w="2706" w:type="dxa"/>
            <w:vAlign w:val="center"/>
          </w:tcPr>
          <w:p w:rsidR="0057216B" w:rsidRPr="00C24ACA" w:rsidRDefault="0057216B"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-742,440.69</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272,638.73</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-469,801.96</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282,723.83</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61,937.67</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344,661.50</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6.4.7.11</w:t>
      </w:r>
      <w:r w:rsidRPr="00C24ACA">
        <w:rPr>
          <w:rFonts w:eastAsiaTheme="minorEastAsia"/>
          <w:b/>
          <w:color w:val="000000"/>
          <w:szCs w:val="21"/>
        </w:rPr>
        <w:t>存款利息收入</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8A5A5D" w:rsidRPr="00C24ACA" w:rsidTr="000869C6">
        <w:tc>
          <w:tcPr>
            <w:tcW w:w="3828"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86" w:type="dxa"/>
            <w:vAlign w:val="center"/>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jc w:val="center"/>
              <w:rPr>
                <w:rFonts w:eastAsiaTheme="minorEastAsia"/>
                <w:b/>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活期存款利息收入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2,660.44</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定期存款利息收入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结算备付金利息收入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115.48</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2,775.92</w:t>
            </w:r>
          </w:p>
        </w:tc>
      </w:tr>
    </w:tbl>
    <w:p w:rsidR="004D0FA5" w:rsidRPr="00C24ACA" w:rsidRDefault="004D0FA5" w:rsidP="004D0FA5">
      <w:pPr>
        <w:spacing w:line="360" w:lineRule="auto"/>
        <w:rPr>
          <w:rFonts w:eastAsiaTheme="minorEastAsia"/>
          <w:b/>
          <w:bCs/>
          <w:color w:val="000000"/>
          <w:szCs w:val="21"/>
        </w:rPr>
      </w:pPr>
      <w:r w:rsidRPr="00C24ACA">
        <w:rPr>
          <w:rFonts w:eastAsiaTheme="minorEastAsia"/>
          <w:b/>
          <w:bCs/>
          <w:color w:val="000000"/>
          <w:kern w:val="0"/>
          <w:szCs w:val="21"/>
        </w:rPr>
        <w:t xml:space="preserve">6.4.7.12 </w:t>
      </w:r>
      <w:r w:rsidR="00601974" w:rsidRPr="00C24ACA">
        <w:rPr>
          <w:rFonts w:eastAsiaTheme="minorEastAsia"/>
          <w:b/>
          <w:color w:val="000000"/>
          <w:szCs w:val="21"/>
        </w:rPr>
        <w:t>股票投资收益</w:t>
      </w:r>
      <w:r w:rsidRPr="00C24ACA">
        <w:rPr>
          <w:rFonts w:eastAsiaTheme="minorEastAsia"/>
          <w:b/>
          <w:color w:val="000000"/>
          <w:szCs w:val="21"/>
        </w:rPr>
        <w:t>——</w:t>
      </w:r>
      <w:r w:rsidRPr="00C24ACA">
        <w:rPr>
          <w:rFonts w:eastAsiaTheme="minorEastAsia"/>
          <w:b/>
          <w:color w:val="000000"/>
          <w:szCs w:val="21"/>
        </w:rPr>
        <w:t>买卖股票差价收入</w:t>
      </w:r>
    </w:p>
    <w:p w:rsidR="004D0FA5" w:rsidRPr="00C24ACA" w:rsidRDefault="004D0FA5" w:rsidP="004D0FA5">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jc w:val="center"/>
              <w:rPr>
                <w:rFonts w:eastAsiaTheme="minorEastAsia"/>
                <w:szCs w:val="21"/>
              </w:rPr>
            </w:pPr>
            <w:r w:rsidRPr="00C24ACA">
              <w:rPr>
                <w:rFonts w:eastAsiaTheme="minorEastAsia"/>
                <w:szCs w:val="21"/>
              </w:rPr>
              <w:t>项目</w:t>
            </w:r>
          </w:p>
        </w:tc>
        <w:tc>
          <w:tcPr>
            <w:tcW w:w="5452" w:type="dxa"/>
            <w:tcMar>
              <w:top w:w="15" w:type="dxa"/>
              <w:left w:w="15" w:type="dxa"/>
              <w:bottom w:w="0" w:type="dxa"/>
              <w:right w:w="15" w:type="dxa"/>
            </w:tcMar>
            <w:vAlign w:val="center"/>
          </w:tcPr>
          <w:p w:rsidR="004D0FA5" w:rsidRPr="00C24ACA" w:rsidRDefault="004D0FA5" w:rsidP="008C69DE">
            <w:pPr>
              <w:jc w:val="center"/>
              <w:rPr>
                <w:rFonts w:eastAsiaTheme="minorEastAsia"/>
                <w:szCs w:val="21"/>
              </w:rPr>
            </w:pPr>
            <w:r w:rsidRPr="00C24ACA">
              <w:rPr>
                <w:rFonts w:eastAsiaTheme="minorEastAsia"/>
                <w:szCs w:val="21"/>
              </w:rPr>
              <w:t>本期</w:t>
            </w:r>
          </w:p>
          <w:p w:rsidR="004D0FA5" w:rsidRPr="00C24ACA" w:rsidRDefault="004D0FA5" w:rsidP="008C69DE">
            <w:pPr>
              <w:jc w:val="center"/>
              <w:rPr>
                <w:rFonts w:eastAsiaTheme="minorEastAsia"/>
                <w:b/>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rPr>
                <w:rFonts w:eastAsiaTheme="minorEastAsia"/>
                <w:szCs w:val="21"/>
              </w:rPr>
            </w:pPr>
            <w:r w:rsidRPr="00C24ACA">
              <w:rPr>
                <w:rFonts w:eastAsiaTheme="minorEastAsia"/>
                <w:szCs w:val="21"/>
              </w:rPr>
              <w:t>卖出股票成交总额</w:t>
            </w:r>
          </w:p>
        </w:tc>
        <w:tc>
          <w:tcPr>
            <w:tcW w:w="5452" w:type="dxa"/>
            <w:tcMar>
              <w:top w:w="15" w:type="dxa"/>
              <w:left w:w="15" w:type="dxa"/>
              <w:bottom w:w="0" w:type="dxa"/>
              <w:right w:w="15" w:type="dxa"/>
            </w:tcMar>
            <w:vAlign w:val="bottom"/>
          </w:tcPr>
          <w:p w:rsidR="004D0FA5" w:rsidRPr="00C24ACA" w:rsidRDefault="004D0FA5" w:rsidP="008C69DE">
            <w:pPr>
              <w:jc w:val="right"/>
              <w:rPr>
                <w:rFonts w:eastAsiaTheme="minorEastAsia"/>
                <w:szCs w:val="21"/>
              </w:rPr>
            </w:pPr>
            <w:r w:rsidRPr="00C24ACA">
              <w:rPr>
                <w:rFonts w:eastAsiaTheme="minorEastAsia"/>
                <w:szCs w:val="21"/>
              </w:rPr>
              <w:t>14,537,053.04</w:t>
            </w:r>
          </w:p>
        </w:tc>
      </w:tr>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rPr>
                <w:rFonts w:eastAsiaTheme="minorEastAsia"/>
                <w:szCs w:val="21"/>
              </w:rPr>
            </w:pPr>
            <w:r w:rsidRPr="00C24ACA">
              <w:rPr>
                <w:rFonts w:eastAsiaTheme="minorEastAsia"/>
                <w:szCs w:val="21"/>
              </w:rPr>
              <w:t>减：卖出股票成本总额</w:t>
            </w:r>
          </w:p>
        </w:tc>
        <w:tc>
          <w:tcPr>
            <w:tcW w:w="5452" w:type="dxa"/>
            <w:tcMar>
              <w:top w:w="15" w:type="dxa"/>
              <w:left w:w="15" w:type="dxa"/>
              <w:bottom w:w="0" w:type="dxa"/>
              <w:right w:w="15" w:type="dxa"/>
            </w:tcMar>
            <w:vAlign w:val="bottom"/>
          </w:tcPr>
          <w:p w:rsidR="004D0FA5" w:rsidRPr="00C24ACA" w:rsidRDefault="004D0FA5" w:rsidP="008C69DE">
            <w:pPr>
              <w:jc w:val="right"/>
              <w:rPr>
                <w:rFonts w:eastAsiaTheme="minorEastAsia"/>
                <w:szCs w:val="21"/>
              </w:rPr>
            </w:pPr>
            <w:r w:rsidRPr="00C24ACA">
              <w:rPr>
                <w:rFonts w:eastAsiaTheme="minorEastAsia"/>
                <w:szCs w:val="21"/>
              </w:rPr>
              <w:t>16,496,784.13</w:t>
            </w:r>
          </w:p>
        </w:tc>
      </w:tr>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rPr>
                <w:rFonts w:eastAsiaTheme="minorEastAsia"/>
                <w:szCs w:val="21"/>
              </w:rPr>
            </w:pPr>
            <w:r w:rsidRPr="00C24ACA">
              <w:rPr>
                <w:rFonts w:eastAsiaTheme="minorEastAsia"/>
                <w:szCs w:val="21"/>
              </w:rPr>
              <w:t>买卖股票差价收入</w:t>
            </w:r>
          </w:p>
        </w:tc>
        <w:tc>
          <w:tcPr>
            <w:tcW w:w="5452" w:type="dxa"/>
            <w:tcMar>
              <w:top w:w="15" w:type="dxa"/>
              <w:left w:w="15" w:type="dxa"/>
              <w:bottom w:w="0" w:type="dxa"/>
              <w:right w:w="15" w:type="dxa"/>
            </w:tcMar>
            <w:vAlign w:val="bottom"/>
          </w:tcPr>
          <w:p w:rsidR="004D0FA5" w:rsidRPr="00C24ACA" w:rsidRDefault="004D0FA5" w:rsidP="008C69DE">
            <w:pPr>
              <w:jc w:val="right"/>
              <w:rPr>
                <w:rFonts w:eastAsiaTheme="minorEastAsia"/>
                <w:szCs w:val="21"/>
              </w:rPr>
            </w:pPr>
            <w:r w:rsidRPr="00C24ACA">
              <w:rPr>
                <w:rFonts w:eastAsiaTheme="minorEastAsia"/>
                <w:szCs w:val="21"/>
              </w:rPr>
              <w:t>-1,959,731.09</w:t>
            </w:r>
          </w:p>
        </w:tc>
      </w:tr>
    </w:tbl>
    <w:p w:rsidR="00D85D98" w:rsidRPr="00C24ACA" w:rsidRDefault="00D85D98"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 xml:space="preserve">6.4.7.13 </w:t>
      </w:r>
      <w:r w:rsidRPr="00C24ACA">
        <w:rPr>
          <w:rFonts w:eastAsiaTheme="minorEastAsia"/>
          <w:b/>
          <w:color w:val="000000"/>
          <w:szCs w:val="21"/>
        </w:rPr>
        <w:t>基金投资收益</w:t>
      </w:r>
    </w:p>
    <w:p w:rsidR="00D85D98" w:rsidRPr="00C24ACA" w:rsidRDefault="00D85D98"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本基金本报告期无基金投资收益。</w:t>
      </w:r>
    </w:p>
    <w:p w:rsidR="00005C09" w:rsidRPr="00C24ACA" w:rsidRDefault="00005C09" w:rsidP="00005C09">
      <w:pPr>
        <w:spacing w:line="360" w:lineRule="auto"/>
        <w:rPr>
          <w:rFonts w:eastAsiaTheme="minorEastAsia"/>
          <w:b/>
          <w:color w:val="000000" w:themeColor="text1"/>
          <w:szCs w:val="21"/>
        </w:rPr>
      </w:pPr>
      <w:r w:rsidRPr="00C24ACA">
        <w:rPr>
          <w:rFonts w:eastAsiaTheme="minorEastAsia"/>
          <w:b/>
          <w:bCs/>
          <w:color w:val="000000" w:themeColor="text1"/>
          <w:kern w:val="0"/>
          <w:szCs w:val="21"/>
        </w:rPr>
        <w:t>6.4.7.14</w:t>
      </w:r>
      <w:r w:rsidRPr="00C24ACA">
        <w:rPr>
          <w:rFonts w:eastAsiaTheme="minorEastAsia"/>
          <w:b/>
          <w:color w:val="000000" w:themeColor="text1"/>
          <w:szCs w:val="21"/>
        </w:rPr>
        <w:t>债券投资收益</w:t>
      </w:r>
      <w:r w:rsidRPr="00C24ACA">
        <w:rPr>
          <w:rFonts w:eastAsiaTheme="minorEastAsia"/>
          <w:b/>
          <w:color w:val="000000" w:themeColor="text1"/>
          <w:szCs w:val="21"/>
        </w:rPr>
        <w:t>——</w:t>
      </w:r>
      <w:r w:rsidRPr="00C24ACA">
        <w:rPr>
          <w:rFonts w:eastAsiaTheme="minorEastAsia"/>
          <w:b/>
          <w:color w:val="000000" w:themeColor="text1"/>
          <w:szCs w:val="21"/>
        </w:rPr>
        <w:t>买卖债券差价收入</w:t>
      </w:r>
    </w:p>
    <w:p w:rsidR="00005C09" w:rsidRPr="001412CA" w:rsidRDefault="00005C09"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lastRenderedPageBreak/>
        <w:t>本基金本报告期无债券投资收益。</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6.4.7.15</w:t>
      </w:r>
      <w:r w:rsidRPr="00C24ACA">
        <w:rPr>
          <w:rFonts w:eastAsiaTheme="minorEastAsia"/>
          <w:b/>
          <w:color w:val="000000"/>
          <w:szCs w:val="21"/>
        </w:rPr>
        <w:t>衍生工具收益</w:t>
      </w:r>
    </w:p>
    <w:p w:rsidR="00806635" w:rsidRDefault="00806635" w:rsidP="00806635">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本基金本报告期无衍生工具收益。</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6.4.7.16</w:t>
      </w:r>
      <w:r w:rsidRPr="00C24ACA">
        <w:rPr>
          <w:rFonts w:eastAsiaTheme="minorEastAsia"/>
          <w:b/>
          <w:color w:val="000000"/>
          <w:szCs w:val="21"/>
        </w:rPr>
        <w:t>股利收益</w:t>
      </w:r>
    </w:p>
    <w:p w:rsidR="008A5A5D" w:rsidRPr="00C24ACA" w:rsidRDefault="008A5A5D" w:rsidP="003955D3">
      <w:pPr>
        <w:tabs>
          <w:tab w:val="left" w:pos="7200"/>
          <w:tab w:val="left" w:pos="8280"/>
        </w:tabs>
        <w:ind w:rightChars="33" w:right="69"/>
        <w:jc w:val="right"/>
        <w:rPr>
          <w:rFonts w:eastAsiaTheme="minorEastAsia"/>
          <w:color w:val="000000"/>
          <w:szCs w:val="21"/>
        </w:rPr>
      </w:pPr>
      <w:r w:rsidRPr="00C24ACA">
        <w:rPr>
          <w:rFonts w:eastAsiaTheme="minorEastAsia"/>
          <w:color w:val="000000"/>
          <w:szCs w:val="21"/>
        </w:rPr>
        <w:t>单位：人民币元</w:t>
      </w:r>
    </w:p>
    <w:tbl>
      <w:tblPr>
        <w:tblW w:w="93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8A5A5D" w:rsidRPr="00C24ACA" w:rsidTr="00862636">
        <w:tc>
          <w:tcPr>
            <w:tcW w:w="3794"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41"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股票投资产生的股利收益</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469,205.63</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基金投资产生的股利收益</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469,205.63</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6.4.7.17</w:t>
      </w:r>
      <w:r w:rsidRPr="00C24ACA">
        <w:rPr>
          <w:rFonts w:eastAsiaTheme="minorEastAsia"/>
          <w:b/>
          <w:color w:val="000000"/>
          <w:szCs w:val="21"/>
        </w:rPr>
        <w:t>公允价值变动收益</w:t>
      </w:r>
    </w:p>
    <w:p w:rsidR="008F7328" w:rsidRDefault="008F7328" w:rsidP="008F7328">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F7328" w:rsidTr="00AD6EE3">
        <w:trPr>
          <w:trHeight w:val="285"/>
        </w:trPr>
        <w:tc>
          <w:tcPr>
            <w:tcW w:w="3794" w:type="dxa"/>
            <w:vAlign w:val="center"/>
            <w:hideMark/>
          </w:tcPr>
          <w:p w:rsidR="008F7328" w:rsidRDefault="008F7328">
            <w:pPr>
              <w:jc w:val="center"/>
              <w:rPr>
                <w:szCs w:val="21"/>
              </w:rPr>
            </w:pPr>
            <w:r>
              <w:rPr>
                <w:rFonts w:hint="eastAsia"/>
                <w:kern w:val="0"/>
                <w:szCs w:val="21"/>
              </w:rPr>
              <w:t>项目名称</w:t>
            </w:r>
          </w:p>
        </w:tc>
        <w:tc>
          <w:tcPr>
            <w:tcW w:w="5528" w:type="dxa"/>
            <w:vAlign w:val="center"/>
            <w:hideMark/>
          </w:tcPr>
          <w:p w:rsidR="008F7328" w:rsidRDefault="008F7328">
            <w:pPr>
              <w:jc w:val="center"/>
              <w:rPr>
                <w:szCs w:val="21"/>
              </w:rPr>
            </w:pPr>
            <w:r>
              <w:rPr>
                <w:rFonts w:hint="eastAsia"/>
                <w:szCs w:val="21"/>
              </w:rPr>
              <w:t>本期</w:t>
            </w:r>
          </w:p>
          <w:p w:rsidR="008F7328" w:rsidRDefault="008F7328">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F7328" w:rsidRDefault="008F7328">
            <w:pPr>
              <w:jc w:val="right"/>
              <w:rPr>
                <w:szCs w:val="21"/>
              </w:rPr>
            </w:pPr>
            <w:r>
              <w:rPr>
                <w:szCs w:val="21"/>
              </w:rPr>
              <w:t>1,882,329.76</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w:t>
            </w:r>
            <w:r>
              <w:rPr>
                <w:rFonts w:hint="eastAsia"/>
                <w:kern w:val="0"/>
                <w:szCs w:val="21"/>
              </w:rPr>
              <w:t>股票投资</w:t>
            </w:r>
          </w:p>
        </w:tc>
        <w:tc>
          <w:tcPr>
            <w:tcW w:w="5528" w:type="dxa"/>
            <w:vAlign w:val="center"/>
            <w:hideMark/>
          </w:tcPr>
          <w:p w:rsidR="008F7328" w:rsidRDefault="008F7328">
            <w:pPr>
              <w:jc w:val="right"/>
              <w:rPr>
                <w:szCs w:val="21"/>
              </w:rPr>
            </w:pPr>
            <w:r>
              <w:rPr>
                <w:szCs w:val="21"/>
              </w:rPr>
              <w:t>1,882,329.76</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w:t>
            </w:r>
            <w:r>
              <w:rPr>
                <w:rFonts w:hint="eastAsia"/>
                <w:kern w:val="0"/>
                <w:szCs w:val="21"/>
              </w:rPr>
              <w:t>债券投资</w:t>
            </w:r>
          </w:p>
        </w:tc>
        <w:tc>
          <w:tcPr>
            <w:tcW w:w="5528" w:type="dxa"/>
            <w:vAlign w:val="center"/>
            <w:hideMark/>
          </w:tcPr>
          <w:p w:rsidR="008F7328" w:rsidRDefault="008F7328">
            <w:pPr>
              <w:jc w:val="right"/>
              <w:rPr>
                <w:szCs w:val="21"/>
              </w:rPr>
            </w:pPr>
            <w:r>
              <w:rPr>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F7328" w:rsidRDefault="008F7328">
            <w:pPr>
              <w:widowControl/>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F7328" w:rsidRDefault="008F7328">
            <w:pPr>
              <w:widowControl/>
              <w:jc w:val="right"/>
              <w:rPr>
                <w:kern w:val="0"/>
                <w:szCs w:val="21"/>
              </w:rPr>
            </w:pPr>
            <w:r>
              <w:rPr>
                <w:rFonts w:eastAsiaTheme="minorEastAsia"/>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F7328" w:rsidRDefault="008F7328">
            <w:pPr>
              <w:jc w:val="right"/>
              <w:rPr>
                <w:kern w:val="0"/>
                <w:szCs w:val="21"/>
              </w:rPr>
            </w:pPr>
            <w:r>
              <w:rPr>
                <w:kern w:val="0"/>
                <w:szCs w:val="21"/>
              </w:rPr>
              <w:t>-</w:t>
            </w:r>
          </w:p>
        </w:tc>
      </w:tr>
      <w:tr w:rsidR="007B4EE4">
        <w:tc>
          <w:tcPr>
            <w:tcW w:w="3794" w:type="dxa"/>
            <w:vAlign w:val="center"/>
          </w:tcPr>
          <w:p w:rsidR="007B4EE4" w:rsidRDefault="00B833D5">
            <w:pPr>
              <w:jc w:val="left"/>
            </w:pPr>
            <w:r>
              <w:rPr>
                <w:kern w:val="0"/>
                <w:szCs w:val="21"/>
              </w:rPr>
              <w:t>——</w:t>
            </w:r>
            <w:r>
              <w:rPr>
                <w:kern w:val="0"/>
                <w:szCs w:val="21"/>
              </w:rPr>
              <w:t>期货投资</w:t>
            </w:r>
          </w:p>
        </w:tc>
        <w:tc>
          <w:tcPr>
            <w:tcW w:w="5529" w:type="dxa"/>
            <w:vAlign w:val="center"/>
          </w:tcPr>
          <w:p w:rsidR="007B4EE4" w:rsidRDefault="00B833D5">
            <w:pPr>
              <w:jc w:val="right"/>
            </w:pPr>
            <w:r>
              <w:rPr>
                <w:kern w:val="0"/>
                <w:szCs w:val="21"/>
              </w:rPr>
              <w:t>-</w:t>
            </w:r>
          </w:p>
        </w:tc>
      </w:tr>
      <w:tr w:rsidR="007B4EE4">
        <w:tc>
          <w:tcPr>
            <w:tcW w:w="3794" w:type="dxa"/>
            <w:vAlign w:val="center"/>
          </w:tcPr>
          <w:p w:rsidR="007B4EE4" w:rsidRDefault="00B833D5">
            <w:pPr>
              <w:jc w:val="left"/>
            </w:pPr>
            <w:r>
              <w:rPr>
                <w:kern w:val="0"/>
                <w:szCs w:val="21"/>
              </w:rPr>
              <w:t>——</w:t>
            </w:r>
            <w:r>
              <w:rPr>
                <w:kern w:val="0"/>
                <w:szCs w:val="21"/>
              </w:rPr>
              <w:t>期权投资</w:t>
            </w:r>
          </w:p>
        </w:tc>
        <w:tc>
          <w:tcPr>
            <w:tcW w:w="5529" w:type="dxa"/>
            <w:vAlign w:val="center"/>
          </w:tcPr>
          <w:p w:rsidR="007B4EE4" w:rsidRDefault="00B833D5">
            <w:pPr>
              <w:jc w:val="right"/>
            </w:pPr>
            <w:r>
              <w:rPr>
                <w:kern w:val="0"/>
                <w:szCs w:val="21"/>
              </w:rPr>
              <w:t>-</w:t>
            </w:r>
          </w:p>
        </w:tc>
      </w:tr>
      <w:tr w:rsidR="008F7328" w:rsidTr="00AD6EE3">
        <w:trPr>
          <w:trHeight w:val="285"/>
        </w:trPr>
        <w:tc>
          <w:tcPr>
            <w:tcW w:w="3794" w:type="dxa"/>
            <w:vAlign w:val="center"/>
            <w:hideMark/>
          </w:tcPr>
          <w:p w:rsidR="008F7328" w:rsidRDefault="008F7328">
            <w:pPr>
              <w:widowControl/>
              <w:rPr>
                <w:szCs w:val="21"/>
              </w:rPr>
            </w:pPr>
            <w:r>
              <w:rPr>
                <w:kern w:val="0"/>
                <w:szCs w:val="21"/>
              </w:rPr>
              <w:t>3.</w:t>
            </w:r>
            <w:r>
              <w:rPr>
                <w:rFonts w:hint="eastAsia"/>
                <w:kern w:val="0"/>
                <w:szCs w:val="21"/>
              </w:rPr>
              <w:t>其他</w:t>
            </w:r>
          </w:p>
        </w:tc>
        <w:tc>
          <w:tcPr>
            <w:tcW w:w="5528" w:type="dxa"/>
            <w:vAlign w:val="center"/>
            <w:hideMark/>
          </w:tcPr>
          <w:p w:rsidR="008F7328" w:rsidRDefault="008F7328">
            <w:pPr>
              <w:jc w:val="right"/>
              <w:rPr>
                <w:szCs w:val="21"/>
              </w:rPr>
            </w:pPr>
            <w:r>
              <w:rPr>
                <w:szCs w:val="21"/>
              </w:rPr>
              <w:t>-</w:t>
            </w:r>
          </w:p>
        </w:tc>
      </w:tr>
      <w:tr w:rsidR="008F7328" w:rsidTr="00AD6EE3">
        <w:trPr>
          <w:trHeight w:val="285"/>
        </w:trPr>
        <w:tc>
          <w:tcPr>
            <w:tcW w:w="3794" w:type="dxa"/>
            <w:vAlign w:val="center"/>
            <w:hideMark/>
          </w:tcPr>
          <w:p w:rsidR="008F7328" w:rsidRDefault="008F7328">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F7328" w:rsidRDefault="008F7328">
            <w:pPr>
              <w:jc w:val="right"/>
              <w:rPr>
                <w:rFonts w:eastAsiaTheme="minorEastAsia"/>
                <w:szCs w:val="21"/>
              </w:rPr>
            </w:pPr>
            <w:r>
              <w:rPr>
                <w:rFonts w:eastAsiaTheme="minorEastAsia"/>
                <w:szCs w:val="21"/>
              </w:rPr>
              <w:t>-</w:t>
            </w:r>
          </w:p>
        </w:tc>
      </w:tr>
      <w:tr w:rsidR="008F7328" w:rsidTr="00AD6EE3">
        <w:trPr>
          <w:trHeight w:val="285"/>
        </w:trPr>
        <w:tc>
          <w:tcPr>
            <w:tcW w:w="3794" w:type="dxa"/>
            <w:vAlign w:val="center"/>
            <w:hideMark/>
          </w:tcPr>
          <w:p w:rsidR="008F7328" w:rsidRDefault="008F7328">
            <w:pPr>
              <w:widowControl/>
              <w:rPr>
                <w:szCs w:val="21"/>
              </w:rPr>
            </w:pPr>
            <w:r>
              <w:rPr>
                <w:rFonts w:hint="eastAsia"/>
                <w:kern w:val="0"/>
                <w:szCs w:val="21"/>
              </w:rPr>
              <w:t>合计</w:t>
            </w:r>
          </w:p>
        </w:tc>
        <w:tc>
          <w:tcPr>
            <w:tcW w:w="5528" w:type="dxa"/>
            <w:vAlign w:val="center"/>
            <w:hideMark/>
          </w:tcPr>
          <w:p w:rsidR="008F7328" w:rsidRDefault="008F7328">
            <w:pPr>
              <w:jc w:val="right"/>
              <w:rPr>
                <w:szCs w:val="21"/>
              </w:rPr>
            </w:pPr>
            <w:r>
              <w:rPr>
                <w:szCs w:val="21"/>
              </w:rPr>
              <w:t>1,882,329.76</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6.4.7.18</w:t>
      </w:r>
      <w:r w:rsidRPr="00C24ACA">
        <w:rPr>
          <w:rFonts w:eastAsiaTheme="minorEastAsia"/>
          <w:b/>
          <w:color w:val="000000"/>
          <w:szCs w:val="21"/>
        </w:rPr>
        <w:t>其他收入</w:t>
      </w:r>
    </w:p>
    <w:p w:rsidR="008A5A5D" w:rsidRPr="00C24ACA" w:rsidRDefault="008A5A5D" w:rsidP="003955D3">
      <w:pPr>
        <w:tabs>
          <w:tab w:val="left" w:pos="7200"/>
          <w:tab w:val="left" w:pos="8280"/>
        </w:tabs>
        <w:ind w:rightChars="-52" w:right="-109"/>
        <w:jc w:val="right"/>
        <w:rPr>
          <w:rFonts w:eastAsiaTheme="minorEastAsia"/>
          <w:szCs w:val="21"/>
          <w:lang w:val="en-AU"/>
        </w:rPr>
      </w:pPr>
      <w:r w:rsidRPr="00C24ACA">
        <w:rPr>
          <w:rFonts w:eastAsiaTheme="minorEastAsia"/>
          <w:color w:val="000000"/>
          <w:szCs w:val="21"/>
        </w:rPr>
        <w:t>单位：人民币元</w:t>
      </w:r>
    </w:p>
    <w:tbl>
      <w:tblPr>
        <w:tblW w:w="90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8A5A5D" w:rsidRPr="00C24ACA" w:rsidTr="00862636">
        <w:trPr>
          <w:trHeight w:val="255"/>
        </w:trPr>
        <w:tc>
          <w:tcPr>
            <w:tcW w:w="3833"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242"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基金赎回费收入</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10,861.03</w:t>
            </w:r>
          </w:p>
        </w:tc>
      </w:tr>
      <w:tr w:rsidR="007B4EE4">
        <w:tc>
          <w:tcPr>
            <w:tcW w:w="3833" w:type="dxa"/>
            <w:vAlign w:val="center"/>
          </w:tcPr>
          <w:p w:rsidR="007B4EE4" w:rsidRDefault="00B833D5">
            <w:pPr>
              <w:jc w:val="left"/>
            </w:pPr>
            <w:r>
              <w:rPr>
                <w:rFonts w:eastAsiaTheme="minorEastAsia"/>
                <w:szCs w:val="21"/>
              </w:rPr>
              <w:t>其他</w:t>
            </w:r>
          </w:p>
        </w:tc>
        <w:tc>
          <w:tcPr>
            <w:tcW w:w="5242" w:type="dxa"/>
            <w:vAlign w:val="center"/>
          </w:tcPr>
          <w:p w:rsidR="007B4EE4" w:rsidRDefault="00B833D5">
            <w:pPr>
              <w:jc w:val="right"/>
            </w:pPr>
            <w:r>
              <w:rPr>
                <w:rFonts w:eastAsiaTheme="minorEastAsia"/>
                <w:szCs w:val="21"/>
              </w:rPr>
              <w:t>-</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10,861.03</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lastRenderedPageBreak/>
        <w:t>6.4.7.19</w:t>
      </w:r>
      <w:r w:rsidRPr="00C24ACA">
        <w:rPr>
          <w:rFonts w:eastAsiaTheme="minorEastAsia"/>
          <w:b/>
          <w:color w:val="000000"/>
          <w:szCs w:val="21"/>
        </w:rPr>
        <w:t>交易费用</w:t>
      </w:r>
    </w:p>
    <w:p w:rsidR="004D679F" w:rsidRDefault="004D679F" w:rsidP="004D679F">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7"/>
        <w:gridCol w:w="5249"/>
      </w:tblGrid>
      <w:tr w:rsidR="004D679F" w:rsidTr="00AD6EE3">
        <w:trPr>
          <w:trHeight w:val="285"/>
        </w:trPr>
        <w:tc>
          <w:tcPr>
            <w:tcW w:w="3827"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9"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4D679F" w:rsidRDefault="004D679F" w:rsidP="00F0322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36,005.85</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7B4EE4">
        <w:tc>
          <w:tcPr>
            <w:tcW w:w="3827" w:type="dxa"/>
            <w:vAlign w:val="center"/>
          </w:tcPr>
          <w:p w:rsidR="007B4EE4" w:rsidRDefault="00B833D5">
            <w:pPr>
              <w:jc w:val="center"/>
            </w:pPr>
            <w:r>
              <w:rPr>
                <w:rFonts w:eastAsiaTheme="minorEastAsia"/>
                <w:color w:val="000000" w:themeColor="text1"/>
                <w:kern w:val="0"/>
                <w:szCs w:val="21"/>
              </w:rPr>
              <w:t>其他</w:t>
            </w:r>
          </w:p>
        </w:tc>
        <w:tc>
          <w:tcPr>
            <w:tcW w:w="5249" w:type="dxa"/>
            <w:vAlign w:val="center"/>
          </w:tcPr>
          <w:p w:rsidR="007B4EE4" w:rsidRDefault="00B833D5">
            <w:pPr>
              <w:jc w:val="right"/>
            </w:pPr>
            <w:r>
              <w:rPr>
                <w:rFonts w:eastAsiaTheme="minorEastAsia"/>
                <w:color w:val="000000" w:themeColor="text1"/>
                <w:kern w:val="0"/>
                <w:szCs w:val="21"/>
              </w:rPr>
              <w:t>-</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36,005.85</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6.4.7.20</w:t>
      </w:r>
      <w:r w:rsidRPr="00C24ACA">
        <w:rPr>
          <w:rFonts w:eastAsiaTheme="minorEastAsia"/>
          <w:b/>
          <w:color w:val="000000"/>
          <w:szCs w:val="21"/>
        </w:rPr>
        <w:t>其他费用</w:t>
      </w:r>
    </w:p>
    <w:p w:rsidR="008A5A5D" w:rsidRPr="00C24ACA" w:rsidRDefault="008A5A5D" w:rsidP="003955D3">
      <w:pPr>
        <w:tabs>
          <w:tab w:val="left" w:pos="7200"/>
          <w:tab w:val="left" w:pos="8280"/>
          <w:tab w:val="left" w:pos="9000"/>
        </w:tabs>
        <w:ind w:rightChars="-52" w:right="-109"/>
        <w:jc w:val="right"/>
        <w:rPr>
          <w:rFonts w:eastAsiaTheme="minorEastAsia"/>
          <w:bCs/>
          <w:szCs w:val="21"/>
        </w:rPr>
      </w:pPr>
      <w:r w:rsidRPr="00C24ACA">
        <w:rPr>
          <w:rFonts w:eastAsiaTheme="minorEastAsia"/>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8A5A5D" w:rsidRPr="00C24ACA" w:rsidTr="00862636">
        <w:tc>
          <w:tcPr>
            <w:tcW w:w="3936"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50"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审计费用</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9,944.48</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信息披露费</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24,863.02</w:t>
            </w:r>
          </w:p>
        </w:tc>
      </w:tr>
      <w:tr w:rsidR="007B4EE4">
        <w:tc>
          <w:tcPr>
            <w:tcW w:w="3936" w:type="dxa"/>
            <w:vAlign w:val="center"/>
          </w:tcPr>
          <w:p w:rsidR="007B4EE4" w:rsidRDefault="00B833D5">
            <w:pPr>
              <w:jc w:val="left"/>
            </w:pPr>
            <w:r>
              <w:rPr>
                <w:rFonts w:eastAsiaTheme="minorEastAsia"/>
                <w:szCs w:val="21"/>
              </w:rPr>
              <w:t>银行汇划费</w:t>
            </w:r>
          </w:p>
        </w:tc>
        <w:tc>
          <w:tcPr>
            <w:tcW w:w="5350" w:type="dxa"/>
            <w:vAlign w:val="center"/>
          </w:tcPr>
          <w:p w:rsidR="007B4EE4" w:rsidRDefault="00B833D5">
            <w:pPr>
              <w:jc w:val="right"/>
            </w:pPr>
            <w:r>
              <w:rPr>
                <w:rFonts w:eastAsiaTheme="minorEastAsia"/>
                <w:szCs w:val="21"/>
              </w:rPr>
              <w:t>1,694.45</w:t>
            </w:r>
          </w:p>
        </w:tc>
      </w:tr>
      <w:tr w:rsidR="007B4EE4">
        <w:tc>
          <w:tcPr>
            <w:tcW w:w="3936" w:type="dxa"/>
            <w:vAlign w:val="center"/>
          </w:tcPr>
          <w:p w:rsidR="007B4EE4" w:rsidRDefault="00B833D5">
            <w:pPr>
              <w:jc w:val="left"/>
            </w:pPr>
            <w:r>
              <w:rPr>
                <w:rFonts w:eastAsiaTheme="minorEastAsia"/>
                <w:szCs w:val="21"/>
              </w:rPr>
              <w:t>上市费</w:t>
            </w:r>
          </w:p>
        </w:tc>
        <w:tc>
          <w:tcPr>
            <w:tcW w:w="5350" w:type="dxa"/>
            <w:vAlign w:val="center"/>
          </w:tcPr>
          <w:p w:rsidR="007B4EE4" w:rsidRDefault="00B833D5">
            <w:pPr>
              <w:jc w:val="right"/>
            </w:pPr>
            <w:r>
              <w:rPr>
                <w:rFonts w:eastAsiaTheme="minorEastAsia"/>
                <w:szCs w:val="21"/>
              </w:rPr>
              <w:t>29,835.26</w:t>
            </w:r>
          </w:p>
        </w:tc>
      </w:tr>
      <w:tr w:rsidR="007B4EE4">
        <w:tc>
          <w:tcPr>
            <w:tcW w:w="3936" w:type="dxa"/>
            <w:vAlign w:val="center"/>
          </w:tcPr>
          <w:p w:rsidR="007B4EE4" w:rsidRDefault="00B833D5">
            <w:pPr>
              <w:jc w:val="left"/>
            </w:pPr>
            <w:r>
              <w:rPr>
                <w:rFonts w:eastAsiaTheme="minorEastAsia"/>
                <w:szCs w:val="21"/>
              </w:rPr>
              <w:t>指数使用费</w:t>
            </w:r>
          </w:p>
        </w:tc>
        <w:tc>
          <w:tcPr>
            <w:tcW w:w="5350" w:type="dxa"/>
            <w:vAlign w:val="center"/>
          </w:tcPr>
          <w:p w:rsidR="007B4EE4" w:rsidRDefault="00B833D5">
            <w:pPr>
              <w:jc w:val="right"/>
            </w:pPr>
            <w:r>
              <w:rPr>
                <w:rFonts w:eastAsiaTheme="minorEastAsia"/>
                <w:szCs w:val="21"/>
              </w:rPr>
              <w:t>54,814.20</w:t>
            </w:r>
          </w:p>
        </w:tc>
      </w:tr>
      <w:tr w:rsidR="007B4EE4">
        <w:tc>
          <w:tcPr>
            <w:tcW w:w="3936" w:type="dxa"/>
            <w:vAlign w:val="center"/>
          </w:tcPr>
          <w:p w:rsidR="007B4EE4" w:rsidRDefault="00B833D5">
            <w:pPr>
              <w:jc w:val="left"/>
            </w:pPr>
            <w:r>
              <w:rPr>
                <w:rFonts w:eastAsiaTheme="minorEastAsia"/>
                <w:szCs w:val="21"/>
              </w:rPr>
              <w:t>其他</w:t>
            </w:r>
          </w:p>
        </w:tc>
        <w:tc>
          <w:tcPr>
            <w:tcW w:w="5350" w:type="dxa"/>
            <w:vAlign w:val="center"/>
          </w:tcPr>
          <w:p w:rsidR="007B4EE4" w:rsidRDefault="00B833D5">
            <w:pPr>
              <w:jc w:val="right"/>
            </w:pPr>
            <w:r>
              <w:rPr>
                <w:rFonts w:eastAsiaTheme="minorEastAsia"/>
                <w:szCs w:val="21"/>
              </w:rPr>
              <w:t>669.84</w:t>
            </w:r>
          </w:p>
        </w:tc>
      </w:tr>
      <w:tr w:rsidR="008A5A5D" w:rsidRPr="00C24ACA" w:rsidTr="00862636">
        <w:tc>
          <w:tcPr>
            <w:tcW w:w="3936"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121,821.25</w:t>
            </w:r>
          </w:p>
        </w:tc>
      </w:tr>
    </w:tbl>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6.4.8 </w:t>
      </w:r>
      <w:r w:rsidRPr="00C24ACA">
        <w:rPr>
          <w:rFonts w:eastAsiaTheme="minorEastAsia"/>
          <w:b/>
          <w:color w:val="000000"/>
          <w:kern w:val="0"/>
          <w:szCs w:val="21"/>
        </w:rPr>
        <w:t>或有事项、资产负债表日后事项的说明</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6.4.8.1</w:t>
      </w:r>
      <w:r w:rsidRPr="00C24ACA">
        <w:rPr>
          <w:rFonts w:eastAsiaTheme="minorEastAsia"/>
          <w:b/>
          <w:color w:val="000000"/>
          <w:kern w:val="0"/>
          <w:szCs w:val="21"/>
        </w:rPr>
        <w:t xml:space="preserve"> </w:t>
      </w:r>
      <w:r w:rsidRPr="00C24ACA">
        <w:rPr>
          <w:rFonts w:eastAsiaTheme="minorEastAsia"/>
          <w:b/>
          <w:color w:val="000000"/>
          <w:kern w:val="0"/>
          <w:szCs w:val="21"/>
        </w:rPr>
        <w:t>或有事项</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截至资产负债表日，本基金无须作披露的或有事项。</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6.4.8.2</w:t>
      </w:r>
      <w:r w:rsidRPr="00C24ACA">
        <w:rPr>
          <w:rFonts w:eastAsiaTheme="minorEastAsia"/>
          <w:b/>
          <w:color w:val="000000"/>
          <w:kern w:val="0"/>
          <w:szCs w:val="21"/>
        </w:rPr>
        <w:t xml:space="preserve"> </w:t>
      </w:r>
      <w:r w:rsidRPr="00C24ACA">
        <w:rPr>
          <w:rFonts w:eastAsiaTheme="minorEastAsia"/>
          <w:b/>
          <w:color w:val="000000"/>
          <w:kern w:val="0"/>
          <w:szCs w:val="21"/>
        </w:rPr>
        <w:t>资产负债表日后事项</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截至本会计报表批准报出日，本基金无须作披露的资产负债表日后事项。</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6.4.9</w:t>
      </w:r>
      <w:r w:rsidRPr="00C24ACA">
        <w:rPr>
          <w:rFonts w:eastAsiaTheme="minorEastAsia"/>
          <w:b/>
          <w:color w:val="000000"/>
          <w:kern w:val="0"/>
          <w:szCs w:val="21"/>
        </w:rPr>
        <w:t>关联方关系</w:t>
      </w:r>
    </w:p>
    <w:p w:rsidR="008A5A5D" w:rsidRPr="00C24ACA" w:rsidRDefault="008A5A5D" w:rsidP="009967D7">
      <w:pPr>
        <w:spacing w:line="360" w:lineRule="auto"/>
        <w:rPr>
          <w:rFonts w:eastAsiaTheme="minorEastAsia"/>
          <w:b/>
          <w:kern w:val="0"/>
          <w:szCs w:val="21"/>
        </w:rPr>
      </w:pPr>
      <w:r w:rsidRPr="00C24ACA">
        <w:rPr>
          <w:rFonts w:eastAsiaTheme="minorEastAsia"/>
          <w:b/>
          <w:bCs/>
          <w:color w:val="000000"/>
          <w:kern w:val="0"/>
          <w:szCs w:val="21"/>
        </w:rPr>
        <w:t>6.4.9.1</w:t>
      </w:r>
      <w:r w:rsidRPr="00C24ACA">
        <w:rPr>
          <w:rFonts w:eastAsiaTheme="minorEastAsia"/>
          <w:b/>
          <w:kern w:val="0"/>
          <w:szCs w:val="21"/>
        </w:rPr>
        <w:t xml:space="preserve"> </w:t>
      </w:r>
      <w:r w:rsidRPr="00C24ACA">
        <w:rPr>
          <w:rFonts w:eastAsiaTheme="minorEastAsia"/>
          <w:b/>
          <w:kern w:val="0"/>
          <w:szCs w:val="21"/>
        </w:rPr>
        <w:t>本报告期存在控制关系或其他重大利害关系的关联方发生变化的情况</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本报告期内存在控制关系或其他重大利害关系的关联方未发生变化。</w:t>
      </w:r>
    </w:p>
    <w:p w:rsidR="008A5A5D" w:rsidRPr="00C24ACA" w:rsidRDefault="008A5A5D" w:rsidP="00732F5C">
      <w:pPr>
        <w:spacing w:beforeLines="100" w:before="312" w:line="360" w:lineRule="auto"/>
        <w:rPr>
          <w:rFonts w:eastAsiaTheme="minorEastAsia"/>
          <w:b/>
          <w:kern w:val="0"/>
          <w:szCs w:val="21"/>
        </w:rPr>
      </w:pPr>
      <w:r w:rsidRPr="00C24ACA">
        <w:rPr>
          <w:rFonts w:eastAsiaTheme="minorEastAsia"/>
          <w:b/>
          <w:bCs/>
          <w:color w:val="000000"/>
          <w:kern w:val="0"/>
          <w:szCs w:val="21"/>
        </w:rPr>
        <w:t>6.4.9.2</w:t>
      </w:r>
      <w:r w:rsidRPr="00C24ACA">
        <w:rPr>
          <w:rFonts w:eastAsiaTheme="minor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8A5A5D" w:rsidRPr="00C24ACA" w:rsidTr="004A4847">
        <w:tc>
          <w:tcPr>
            <w:tcW w:w="522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关联方名称</w:t>
            </w:r>
          </w:p>
        </w:tc>
        <w:tc>
          <w:tcPr>
            <w:tcW w:w="378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与本基金的关系</w:t>
            </w:r>
          </w:p>
        </w:tc>
      </w:tr>
      <w:tr w:rsidR="007B4EE4">
        <w:tc>
          <w:tcPr>
            <w:tcW w:w="5220" w:type="dxa"/>
            <w:vAlign w:val="center"/>
          </w:tcPr>
          <w:p w:rsidR="007B4EE4" w:rsidRDefault="00B833D5">
            <w:pPr>
              <w:jc w:val="left"/>
            </w:pPr>
            <w:r>
              <w:rPr>
                <w:rFonts w:eastAsiaTheme="minorEastAsia"/>
                <w:color w:val="000000"/>
                <w:szCs w:val="21"/>
              </w:rPr>
              <w:t>易方达基金管理有限公司</w:t>
            </w:r>
          </w:p>
        </w:tc>
        <w:tc>
          <w:tcPr>
            <w:tcW w:w="3780" w:type="dxa"/>
            <w:vAlign w:val="center"/>
          </w:tcPr>
          <w:p w:rsidR="007B4EE4" w:rsidRDefault="00B833D5">
            <w:pPr>
              <w:jc w:val="left"/>
            </w:pPr>
            <w:r>
              <w:rPr>
                <w:rFonts w:eastAsiaTheme="minorEastAsia"/>
                <w:color w:val="000000"/>
                <w:szCs w:val="21"/>
              </w:rPr>
              <w:t>基金管理人、注册登记机构、基金销售机构</w:t>
            </w:r>
          </w:p>
        </w:tc>
      </w:tr>
      <w:tr w:rsidR="007B4EE4">
        <w:tc>
          <w:tcPr>
            <w:tcW w:w="5220" w:type="dxa"/>
            <w:vAlign w:val="center"/>
          </w:tcPr>
          <w:p w:rsidR="007B4EE4" w:rsidRDefault="00B833D5">
            <w:pPr>
              <w:jc w:val="left"/>
            </w:pPr>
            <w:r>
              <w:rPr>
                <w:rFonts w:eastAsiaTheme="minorEastAsia"/>
                <w:color w:val="000000"/>
                <w:szCs w:val="21"/>
              </w:rPr>
              <w:lastRenderedPageBreak/>
              <w:t>招商银行股份有限公司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招商银行</w:t>
            </w:r>
            <w:r>
              <w:rPr>
                <w:rFonts w:eastAsiaTheme="minorEastAsia"/>
                <w:color w:val="000000"/>
                <w:szCs w:val="21"/>
              </w:rPr>
              <w:t>”)</w:t>
            </w:r>
          </w:p>
        </w:tc>
        <w:tc>
          <w:tcPr>
            <w:tcW w:w="3780" w:type="dxa"/>
            <w:vAlign w:val="center"/>
          </w:tcPr>
          <w:p w:rsidR="007B4EE4" w:rsidRDefault="00B833D5">
            <w:pPr>
              <w:jc w:val="left"/>
            </w:pPr>
            <w:r>
              <w:rPr>
                <w:rFonts w:eastAsiaTheme="minorEastAsia"/>
                <w:color w:val="000000"/>
                <w:szCs w:val="21"/>
              </w:rPr>
              <w:t>基金托管人、基金销售机构</w:t>
            </w:r>
          </w:p>
        </w:tc>
      </w:tr>
      <w:tr w:rsidR="007B4EE4">
        <w:tc>
          <w:tcPr>
            <w:tcW w:w="5220" w:type="dxa"/>
            <w:vAlign w:val="center"/>
          </w:tcPr>
          <w:p w:rsidR="007B4EE4" w:rsidRDefault="00B833D5">
            <w:pPr>
              <w:jc w:val="left"/>
            </w:pPr>
            <w:r>
              <w:rPr>
                <w:rFonts w:eastAsiaTheme="minorEastAsia"/>
                <w:color w:val="000000"/>
                <w:szCs w:val="21"/>
              </w:rPr>
              <w:t>香港上海汇丰银行有限公司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汇丰银行</w:t>
            </w:r>
            <w:r>
              <w:rPr>
                <w:rFonts w:eastAsiaTheme="minorEastAsia"/>
                <w:color w:val="000000"/>
                <w:szCs w:val="21"/>
              </w:rPr>
              <w:t>")</w:t>
            </w:r>
          </w:p>
        </w:tc>
        <w:tc>
          <w:tcPr>
            <w:tcW w:w="3780" w:type="dxa"/>
            <w:vAlign w:val="center"/>
          </w:tcPr>
          <w:p w:rsidR="007B4EE4" w:rsidRDefault="00B833D5">
            <w:pPr>
              <w:jc w:val="left"/>
            </w:pPr>
            <w:r>
              <w:rPr>
                <w:rFonts w:eastAsiaTheme="minorEastAsia"/>
                <w:color w:val="000000"/>
                <w:szCs w:val="21"/>
              </w:rPr>
              <w:t>境外资产托管人</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注：以下关联交易均在正常业务范围内按一般商业条款订立。</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6.4.10 </w:t>
      </w:r>
      <w:r w:rsidRPr="00C24ACA">
        <w:rPr>
          <w:rFonts w:eastAsiaTheme="minorEastAsia"/>
          <w:b/>
          <w:color w:val="000000"/>
          <w:kern w:val="0"/>
          <w:szCs w:val="21"/>
        </w:rPr>
        <w:t>本报告期及上年度可比期间的关联方交易</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6.4.10.1</w:t>
      </w:r>
      <w:r w:rsidRPr="00C24ACA">
        <w:rPr>
          <w:rFonts w:eastAsiaTheme="minorEastAsia"/>
          <w:b/>
          <w:color w:val="000000"/>
          <w:kern w:val="0"/>
          <w:szCs w:val="21"/>
        </w:rPr>
        <w:t xml:space="preserve"> </w:t>
      </w:r>
      <w:r w:rsidRPr="00C24ACA">
        <w:rPr>
          <w:rFonts w:eastAsiaTheme="minorEastAsia"/>
          <w:b/>
          <w:color w:val="000000"/>
          <w:kern w:val="0"/>
          <w:szCs w:val="21"/>
        </w:rPr>
        <w:t>通过关联方交易单元进行的交易</w:t>
      </w:r>
    </w:p>
    <w:p w:rsidR="008A5A5D" w:rsidRPr="00C24ACA" w:rsidRDefault="008A5A5D" w:rsidP="009967D7">
      <w:pPr>
        <w:spacing w:line="360" w:lineRule="auto"/>
        <w:rPr>
          <w:rFonts w:eastAsiaTheme="minorEastAsia"/>
          <w:color w:val="000000"/>
          <w:szCs w:val="21"/>
        </w:rPr>
      </w:pPr>
      <w:r w:rsidRPr="00C24ACA">
        <w:rPr>
          <w:rFonts w:eastAsiaTheme="minorEastAsia"/>
          <w:b/>
          <w:bCs/>
          <w:color w:val="000000"/>
          <w:kern w:val="0"/>
          <w:szCs w:val="21"/>
        </w:rPr>
        <w:t>6.4.10.1.1</w:t>
      </w:r>
      <w:r w:rsidRPr="00C24ACA">
        <w:rPr>
          <w:rFonts w:eastAsiaTheme="minorEastAsia"/>
          <w:b/>
          <w:color w:val="000000"/>
          <w:szCs w:val="21"/>
        </w:rPr>
        <w:t>股票交易</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本基金本报告期及上年度可比期间未发生通过关联方交易单元进行的股票交易。</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6.4.10.1.2</w:t>
      </w:r>
      <w:r w:rsidRPr="00C24ACA">
        <w:rPr>
          <w:rFonts w:eastAsiaTheme="minorEastAsia"/>
          <w:b/>
          <w:color w:val="000000"/>
          <w:szCs w:val="21"/>
        </w:rPr>
        <w:t>权证交易</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本基金本报告期及上年度可比期间未发生通过关联方交易单元进行的权证交易。</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6.4.10.1.3</w:t>
      </w:r>
      <w:r w:rsidRPr="00C24ACA">
        <w:rPr>
          <w:rFonts w:eastAsiaTheme="minorEastAsia"/>
          <w:b/>
          <w:color w:val="000000"/>
          <w:szCs w:val="21"/>
        </w:rPr>
        <w:t>应支付关联方的佣金</w:t>
      </w:r>
    </w:p>
    <w:p w:rsidR="008A5A5D" w:rsidRPr="00C24ACA" w:rsidRDefault="00A97A4E"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本基金本报告期及上年度可比期间无应支付关联方的佣金。</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w:t>
      </w:r>
      <w:r w:rsidRPr="00C24ACA">
        <w:rPr>
          <w:rFonts w:eastAsiaTheme="minorEastAsia"/>
          <w:b/>
          <w:color w:val="000000"/>
          <w:kern w:val="0"/>
          <w:szCs w:val="21"/>
        </w:rPr>
        <w:t>关联方报酬</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6.4.10.2.1</w:t>
      </w:r>
      <w:r w:rsidRPr="00C24ACA">
        <w:rPr>
          <w:rFonts w:eastAsiaTheme="minorEastAsia"/>
          <w:b/>
          <w:color w:val="000000"/>
          <w:kern w:val="0"/>
          <w:szCs w:val="21"/>
        </w:rPr>
        <w:t>基金管理费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当期发生的基金应支付的管理费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106,776.62</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142,715.00</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其中：支付销售机构的客户维护费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24,842.32</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32,191.72</w:t>
            </w:r>
          </w:p>
        </w:tc>
      </w:tr>
    </w:tbl>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注：本基金的管理费按前一日基金资产净值的</w:t>
      </w:r>
      <w:r>
        <w:rPr>
          <w:rFonts w:eastAsiaTheme="minorEastAsia"/>
          <w:kern w:val="0"/>
          <w:szCs w:val="21"/>
        </w:rPr>
        <w:t>0.80%</w:t>
      </w:r>
      <w:r>
        <w:rPr>
          <w:rFonts w:eastAsiaTheme="minorEastAsia"/>
          <w:kern w:val="0"/>
          <w:szCs w:val="21"/>
        </w:rPr>
        <w:t>年费率计提。管理费的计算方法如下：</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E×0.80%÷</w:t>
      </w:r>
      <w:r>
        <w:rPr>
          <w:rFonts w:eastAsiaTheme="minorEastAsia"/>
          <w:kern w:val="0"/>
          <w:szCs w:val="21"/>
        </w:rPr>
        <w:t>当年天数</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为每日应计提的基金管理费</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E</w:t>
      </w:r>
      <w:r>
        <w:rPr>
          <w:rFonts w:eastAsiaTheme="minorEastAsia"/>
          <w:kern w:val="0"/>
          <w:szCs w:val="21"/>
        </w:rPr>
        <w:t>为前一日的基金资产净值</w:t>
      </w:r>
    </w:p>
    <w:p w:rsidR="00A97A4E" w:rsidRPr="00C24ACA" w:rsidRDefault="00A97A4E"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基金管理费每日计提，按月支付。由基金管理人在次月初</w:t>
      </w:r>
      <w:r w:rsidRPr="00C24ACA">
        <w:rPr>
          <w:rFonts w:eastAsiaTheme="minorEastAsia"/>
          <w:kern w:val="0"/>
          <w:szCs w:val="21"/>
        </w:rPr>
        <w:t>3</w:t>
      </w:r>
      <w:r w:rsidRPr="00C24ACA">
        <w:rPr>
          <w:rFonts w:eastAsiaTheme="minorEastAsia"/>
          <w:kern w:val="0"/>
          <w:szCs w:val="21"/>
        </w:rPr>
        <w:t>个工作日内出具资金划拨指令，基金托管人复核无误后于</w:t>
      </w:r>
      <w:r w:rsidRPr="00C24ACA">
        <w:rPr>
          <w:rFonts w:eastAsiaTheme="minorEastAsia"/>
          <w:kern w:val="0"/>
          <w:szCs w:val="21"/>
        </w:rPr>
        <w:t>2</w:t>
      </w:r>
      <w:r w:rsidRPr="00C24ACA">
        <w:rPr>
          <w:rFonts w:eastAsiaTheme="minorEastAsia"/>
          <w:kern w:val="0"/>
          <w:szCs w:val="21"/>
        </w:rPr>
        <w:t>个工作日内进行支付。若遇法定节假日、休息日等，支付日期顺延。</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6.4.10.2.2</w:t>
      </w:r>
      <w:r w:rsidRPr="00C24ACA">
        <w:rPr>
          <w:rFonts w:eastAsiaTheme="minorEastAsia"/>
          <w:b/>
          <w:color w:val="000000"/>
          <w:kern w:val="0"/>
          <w:szCs w:val="21"/>
        </w:rPr>
        <w:t>基金托管费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lastRenderedPageBreak/>
              <w:t>当期发生的基金应支付的托管费</w:t>
            </w:r>
          </w:p>
        </w:tc>
        <w:tc>
          <w:tcPr>
            <w:tcW w:w="2657" w:type="dxa"/>
            <w:vAlign w:val="center"/>
          </w:tcPr>
          <w:p w:rsidR="00A97A4E" w:rsidRPr="00C24ACA" w:rsidRDefault="00A97A4E" w:rsidP="00A97A4E">
            <w:pPr>
              <w:jc w:val="right"/>
              <w:rPr>
                <w:rFonts w:eastAsiaTheme="minorEastAsia"/>
                <w:color w:val="000000"/>
                <w:kern w:val="0"/>
                <w:szCs w:val="21"/>
              </w:rPr>
            </w:pPr>
            <w:r w:rsidRPr="00C24ACA">
              <w:rPr>
                <w:rFonts w:eastAsiaTheme="minorEastAsia"/>
                <w:szCs w:val="21"/>
              </w:rPr>
              <w:t>33,367.70</w:t>
            </w:r>
          </w:p>
        </w:tc>
        <w:tc>
          <w:tcPr>
            <w:tcW w:w="2588" w:type="dxa"/>
            <w:vAlign w:val="center"/>
          </w:tcPr>
          <w:p w:rsidR="00A97A4E" w:rsidRPr="00C24ACA" w:rsidRDefault="00A97A4E" w:rsidP="00A97A4E">
            <w:pPr>
              <w:jc w:val="right"/>
              <w:rPr>
                <w:rFonts w:eastAsiaTheme="minorEastAsia"/>
                <w:color w:val="000000"/>
                <w:szCs w:val="21"/>
              </w:rPr>
            </w:pPr>
            <w:r w:rsidRPr="00C24ACA">
              <w:rPr>
                <w:rFonts w:eastAsiaTheme="minorEastAsia"/>
                <w:szCs w:val="21"/>
              </w:rPr>
              <w:t>44,598.48</w:t>
            </w:r>
          </w:p>
        </w:tc>
      </w:tr>
    </w:tbl>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注：本基金的托管费按前一日基金资产净值的</w:t>
      </w:r>
      <w:r>
        <w:rPr>
          <w:rFonts w:eastAsiaTheme="minorEastAsia"/>
          <w:kern w:val="0"/>
          <w:szCs w:val="21"/>
        </w:rPr>
        <w:t>0.25%</w:t>
      </w:r>
      <w:r>
        <w:rPr>
          <w:rFonts w:eastAsiaTheme="minorEastAsia"/>
          <w:kern w:val="0"/>
          <w:szCs w:val="21"/>
        </w:rPr>
        <w:t>的年费率计提。托管费的计算方法如下：</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E×0.25%÷</w:t>
      </w:r>
      <w:r>
        <w:rPr>
          <w:rFonts w:eastAsiaTheme="minorEastAsia"/>
          <w:kern w:val="0"/>
          <w:szCs w:val="21"/>
        </w:rPr>
        <w:t>当年天数</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为每日应计提的基金托管费</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E</w:t>
      </w:r>
      <w:r>
        <w:rPr>
          <w:rFonts w:eastAsiaTheme="minorEastAsia"/>
          <w:kern w:val="0"/>
          <w:szCs w:val="21"/>
        </w:rPr>
        <w:t>为前一日的基金资产净值</w:t>
      </w:r>
    </w:p>
    <w:p w:rsidR="00A97A4E" w:rsidRPr="00C24ACA" w:rsidRDefault="00A97A4E"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基金托管费每日计提，按月支付。由基金管理人在次月初</w:t>
      </w:r>
      <w:r w:rsidRPr="00C24ACA">
        <w:rPr>
          <w:rFonts w:eastAsiaTheme="minorEastAsia"/>
          <w:kern w:val="0"/>
          <w:szCs w:val="21"/>
        </w:rPr>
        <w:t>3</w:t>
      </w:r>
      <w:r w:rsidRPr="00C24ACA">
        <w:rPr>
          <w:rFonts w:eastAsiaTheme="minorEastAsia"/>
          <w:kern w:val="0"/>
          <w:szCs w:val="21"/>
        </w:rPr>
        <w:t>个工作日内出具资金划拨指令，基金托管人复核无误后于</w:t>
      </w:r>
      <w:r w:rsidRPr="00C24ACA">
        <w:rPr>
          <w:rFonts w:eastAsiaTheme="minorEastAsia"/>
          <w:kern w:val="0"/>
          <w:szCs w:val="21"/>
        </w:rPr>
        <w:t>2</w:t>
      </w:r>
      <w:r w:rsidRPr="00C24ACA">
        <w:rPr>
          <w:rFonts w:eastAsiaTheme="minorEastAsia"/>
          <w:kern w:val="0"/>
          <w:szCs w:val="21"/>
        </w:rPr>
        <w:t>个工作日内进行支付。若遇法定节假日、休息日等，支付日期顺延。</w:t>
      </w:r>
    </w:p>
    <w:p w:rsidR="00871B95" w:rsidRPr="00C24ACA" w:rsidRDefault="00871B95"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6.4.10.2.3 </w:t>
      </w:r>
      <w:r w:rsidRPr="00C24ACA">
        <w:rPr>
          <w:rFonts w:eastAsiaTheme="minorEastAsia"/>
          <w:b/>
          <w:color w:val="000000"/>
          <w:kern w:val="0"/>
          <w:szCs w:val="21"/>
        </w:rPr>
        <w:t>销售服务费</w:t>
      </w:r>
    </w:p>
    <w:p w:rsidR="003921B9" w:rsidRPr="00325F8A" w:rsidRDefault="003921B9" w:rsidP="003921B9">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2287"/>
        <w:gridCol w:w="2409"/>
        <w:gridCol w:w="2691"/>
      </w:tblGrid>
      <w:tr w:rsidR="003921B9" w:rsidRPr="00325F8A" w:rsidTr="00A218AC">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A218AC">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A218AC">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易方达香港恒生综合小型股指数（</w:t>
            </w:r>
            <w:r w:rsidRPr="00325F8A">
              <w:rPr>
                <w:rFonts w:eastAsiaTheme="minorEastAsia"/>
                <w:szCs w:val="21"/>
              </w:rPr>
              <w:t>QDII-LOF</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易方达香港恒生综合小型股指数（</w:t>
            </w:r>
            <w:r w:rsidRPr="00325F8A">
              <w:rPr>
                <w:rFonts w:eastAsiaTheme="minorEastAsia"/>
                <w:szCs w:val="21"/>
              </w:rPr>
              <w:t>QDII-LOF</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7B4EE4">
        <w:tc>
          <w:tcPr>
            <w:tcW w:w="2108" w:type="dxa"/>
            <w:vAlign w:val="center"/>
          </w:tcPr>
          <w:p w:rsidR="007B4EE4" w:rsidRDefault="00B833D5">
            <w:pPr>
              <w:jc w:val="left"/>
            </w:pPr>
            <w:r>
              <w:rPr>
                <w:rFonts w:eastAsiaTheme="minorEastAsia"/>
                <w:szCs w:val="21"/>
              </w:rPr>
              <w:t>易方达基金管理有限公司</w:t>
            </w:r>
          </w:p>
        </w:tc>
        <w:tc>
          <w:tcPr>
            <w:tcW w:w="2287" w:type="dxa"/>
            <w:vAlign w:val="center"/>
          </w:tcPr>
          <w:p w:rsidR="007B4EE4" w:rsidRDefault="00B833D5">
            <w:pPr>
              <w:jc w:val="right"/>
            </w:pPr>
            <w:r>
              <w:rPr>
                <w:rFonts w:eastAsiaTheme="minorEastAsia"/>
                <w:szCs w:val="21"/>
              </w:rPr>
              <w:t>-</w:t>
            </w:r>
          </w:p>
        </w:tc>
        <w:tc>
          <w:tcPr>
            <w:tcW w:w="2409" w:type="dxa"/>
            <w:vAlign w:val="center"/>
          </w:tcPr>
          <w:p w:rsidR="007B4EE4" w:rsidRDefault="00B833D5">
            <w:pPr>
              <w:jc w:val="right"/>
            </w:pPr>
            <w:r>
              <w:rPr>
                <w:rFonts w:eastAsiaTheme="minorEastAsia"/>
                <w:szCs w:val="21"/>
              </w:rPr>
              <w:t>1,373.51</w:t>
            </w:r>
          </w:p>
        </w:tc>
        <w:tc>
          <w:tcPr>
            <w:tcW w:w="2691" w:type="dxa"/>
            <w:vAlign w:val="center"/>
          </w:tcPr>
          <w:p w:rsidR="007B4EE4" w:rsidRDefault="00B833D5">
            <w:pPr>
              <w:jc w:val="right"/>
            </w:pPr>
            <w:r>
              <w:rPr>
                <w:rFonts w:eastAsiaTheme="minorEastAsia"/>
                <w:szCs w:val="21"/>
              </w:rPr>
              <w:t>1,373.51</w:t>
            </w:r>
          </w:p>
        </w:tc>
      </w:tr>
      <w:tr w:rsidR="003921B9" w:rsidRPr="00325F8A" w:rsidTr="00A218AC">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1,373.51</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1,373.51</w:t>
            </w:r>
          </w:p>
        </w:tc>
      </w:tr>
      <w:tr w:rsidR="003921B9" w:rsidRPr="00325F8A" w:rsidTr="00A218AC">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A218AC">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A218AC">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易方达香港恒生综合小型股指数（</w:t>
            </w:r>
            <w:r w:rsidRPr="00325F8A">
              <w:rPr>
                <w:rFonts w:eastAsiaTheme="minorEastAsia"/>
                <w:szCs w:val="21"/>
              </w:rPr>
              <w:t>QDII-LOF</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易方达香港恒生综合小型股指数（</w:t>
            </w:r>
            <w:r w:rsidRPr="00325F8A">
              <w:rPr>
                <w:rFonts w:eastAsiaTheme="minorEastAsia"/>
                <w:szCs w:val="21"/>
              </w:rPr>
              <w:t>QDII-LOF</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7B4EE4">
        <w:tc>
          <w:tcPr>
            <w:tcW w:w="2108" w:type="dxa"/>
            <w:vAlign w:val="center"/>
          </w:tcPr>
          <w:p w:rsidR="007B4EE4" w:rsidRDefault="00B833D5">
            <w:pPr>
              <w:jc w:val="left"/>
            </w:pPr>
            <w:r>
              <w:rPr>
                <w:rFonts w:eastAsiaTheme="minorEastAsia"/>
                <w:szCs w:val="21"/>
              </w:rPr>
              <w:t>易方达基金管理有限公司</w:t>
            </w:r>
          </w:p>
        </w:tc>
        <w:tc>
          <w:tcPr>
            <w:tcW w:w="2287" w:type="dxa"/>
            <w:vAlign w:val="center"/>
          </w:tcPr>
          <w:p w:rsidR="007B4EE4" w:rsidRDefault="00B833D5">
            <w:pPr>
              <w:jc w:val="right"/>
            </w:pPr>
            <w:r>
              <w:rPr>
                <w:rFonts w:eastAsiaTheme="minorEastAsia"/>
                <w:szCs w:val="21"/>
              </w:rPr>
              <w:t>-</w:t>
            </w:r>
          </w:p>
        </w:tc>
        <w:tc>
          <w:tcPr>
            <w:tcW w:w="2409" w:type="dxa"/>
            <w:vAlign w:val="center"/>
          </w:tcPr>
          <w:p w:rsidR="007B4EE4" w:rsidRDefault="00B833D5">
            <w:pPr>
              <w:jc w:val="right"/>
            </w:pPr>
            <w:r>
              <w:rPr>
                <w:rFonts w:eastAsiaTheme="minorEastAsia"/>
                <w:szCs w:val="21"/>
              </w:rPr>
              <w:t>449.56</w:t>
            </w:r>
          </w:p>
        </w:tc>
        <w:tc>
          <w:tcPr>
            <w:tcW w:w="2691" w:type="dxa"/>
            <w:vAlign w:val="center"/>
          </w:tcPr>
          <w:p w:rsidR="007B4EE4" w:rsidRDefault="00B833D5">
            <w:pPr>
              <w:jc w:val="right"/>
            </w:pPr>
            <w:r>
              <w:rPr>
                <w:rFonts w:eastAsiaTheme="minorEastAsia"/>
                <w:szCs w:val="21"/>
              </w:rPr>
              <w:t>449.56</w:t>
            </w:r>
          </w:p>
        </w:tc>
      </w:tr>
      <w:tr w:rsidR="003921B9" w:rsidRPr="00325F8A" w:rsidTr="00A218AC">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449.56</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449.56</w:t>
            </w:r>
          </w:p>
        </w:tc>
      </w:tr>
    </w:tbl>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w:t>
      </w:r>
      <w:r>
        <w:rPr>
          <w:rFonts w:eastAsiaTheme="minorEastAsia"/>
          <w:kern w:val="0"/>
          <w:szCs w:val="21"/>
        </w:rPr>
        <w:t>A</w:t>
      </w:r>
      <w:r>
        <w:rPr>
          <w:rFonts w:eastAsiaTheme="minorEastAsia"/>
          <w:kern w:val="0"/>
          <w:szCs w:val="21"/>
        </w:rPr>
        <w:t>类基金份额不收取销售服务费</w:t>
      </w:r>
      <w:r>
        <w:rPr>
          <w:rFonts w:eastAsiaTheme="minorEastAsia"/>
          <w:kern w:val="0"/>
          <w:szCs w:val="21"/>
        </w:rPr>
        <w:t>,C</w:t>
      </w:r>
      <w:r>
        <w:rPr>
          <w:rFonts w:eastAsiaTheme="minorEastAsia"/>
          <w:kern w:val="0"/>
          <w:szCs w:val="21"/>
        </w:rPr>
        <w:t>类基金份额的销售服务费年费率为</w:t>
      </w:r>
      <w:r>
        <w:rPr>
          <w:rFonts w:eastAsiaTheme="minorEastAsia"/>
          <w:kern w:val="0"/>
          <w:szCs w:val="21"/>
        </w:rPr>
        <w:t>0.20%,</w:t>
      </w:r>
      <w:r>
        <w:rPr>
          <w:rFonts w:eastAsiaTheme="minorEastAsia"/>
          <w:kern w:val="0"/>
          <w:szCs w:val="21"/>
        </w:rPr>
        <w:t>按</w:t>
      </w:r>
      <w:r>
        <w:rPr>
          <w:rFonts w:eastAsiaTheme="minorEastAsia"/>
          <w:kern w:val="0"/>
          <w:szCs w:val="21"/>
        </w:rPr>
        <w:t>C</w:t>
      </w:r>
      <w:r>
        <w:rPr>
          <w:rFonts w:eastAsiaTheme="minorEastAsia"/>
          <w:kern w:val="0"/>
          <w:szCs w:val="21"/>
        </w:rPr>
        <w:t>类份额前一日基金资产净值的</w:t>
      </w:r>
      <w:r>
        <w:rPr>
          <w:rFonts w:eastAsiaTheme="minorEastAsia"/>
          <w:kern w:val="0"/>
          <w:szCs w:val="21"/>
        </w:rPr>
        <w:t>0.20%</w:t>
      </w:r>
      <w:r>
        <w:rPr>
          <w:rFonts w:eastAsiaTheme="minorEastAsia"/>
          <w:kern w:val="0"/>
          <w:szCs w:val="21"/>
        </w:rPr>
        <w:t>年费率计提。销售服务费的计算方法如下</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:H=E×0.20%÷</w:t>
      </w:r>
      <w:r>
        <w:rPr>
          <w:rFonts w:eastAsiaTheme="minorEastAsia"/>
          <w:kern w:val="0"/>
          <w:szCs w:val="21"/>
        </w:rPr>
        <w:t>当年天数</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为</w:t>
      </w:r>
      <w:r>
        <w:rPr>
          <w:rFonts w:eastAsiaTheme="minorEastAsia"/>
          <w:kern w:val="0"/>
          <w:szCs w:val="21"/>
        </w:rPr>
        <w:t>C</w:t>
      </w:r>
      <w:r>
        <w:rPr>
          <w:rFonts w:eastAsiaTheme="minorEastAsia"/>
          <w:kern w:val="0"/>
          <w:szCs w:val="21"/>
        </w:rPr>
        <w:t>类基金份额每日应计提的销售服务费</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E</w:t>
      </w:r>
      <w:r>
        <w:rPr>
          <w:rFonts w:eastAsiaTheme="minorEastAsia"/>
          <w:kern w:val="0"/>
          <w:szCs w:val="21"/>
        </w:rPr>
        <w:t>为</w:t>
      </w:r>
      <w:r>
        <w:rPr>
          <w:rFonts w:eastAsiaTheme="minorEastAsia"/>
          <w:kern w:val="0"/>
          <w:szCs w:val="21"/>
        </w:rPr>
        <w:t>C</w:t>
      </w:r>
      <w:r>
        <w:rPr>
          <w:rFonts w:eastAsiaTheme="minorEastAsia"/>
          <w:kern w:val="0"/>
          <w:szCs w:val="21"/>
        </w:rPr>
        <w:t>类基金份额前一日基金资产净值</w:t>
      </w:r>
    </w:p>
    <w:p w:rsidR="008A5A5D" w:rsidRPr="00C24ACA" w:rsidRDefault="003921B9" w:rsidP="008134C7">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基金销售服务费每日计提</w:t>
      </w:r>
      <w:r w:rsidRPr="001412CA">
        <w:rPr>
          <w:rFonts w:eastAsiaTheme="minorEastAsia"/>
          <w:kern w:val="0"/>
          <w:szCs w:val="21"/>
        </w:rPr>
        <w:t>,</w:t>
      </w:r>
      <w:r w:rsidRPr="001412CA">
        <w:rPr>
          <w:rFonts w:eastAsiaTheme="minorEastAsia"/>
          <w:kern w:val="0"/>
          <w:szCs w:val="21"/>
        </w:rPr>
        <w:t>按月支付。经基金管理人与基金托管人核对一致后</w:t>
      </w:r>
      <w:r w:rsidRPr="001412CA">
        <w:rPr>
          <w:rFonts w:eastAsiaTheme="minorEastAsia"/>
          <w:kern w:val="0"/>
          <w:szCs w:val="21"/>
        </w:rPr>
        <w:t>,</w:t>
      </w:r>
      <w:r w:rsidRPr="001412CA">
        <w:rPr>
          <w:rFonts w:eastAsiaTheme="minorEastAsia"/>
          <w:kern w:val="0"/>
          <w:szCs w:val="21"/>
        </w:rPr>
        <w:t>基金托管人按照与基金管理人协商一致的方式于次月前</w:t>
      </w:r>
      <w:r w:rsidRPr="001412CA">
        <w:rPr>
          <w:rFonts w:eastAsiaTheme="minorEastAsia"/>
          <w:kern w:val="0"/>
          <w:szCs w:val="21"/>
        </w:rPr>
        <w:t>3</w:t>
      </w:r>
      <w:r w:rsidRPr="001412CA">
        <w:rPr>
          <w:rFonts w:eastAsiaTheme="minorEastAsia"/>
          <w:kern w:val="0"/>
          <w:szCs w:val="21"/>
        </w:rPr>
        <w:t>个工作日内从基金财产中一次性支付。若遇法定节假日、公休假等</w:t>
      </w:r>
      <w:r w:rsidRPr="001412CA">
        <w:rPr>
          <w:rFonts w:eastAsiaTheme="minorEastAsia"/>
          <w:kern w:val="0"/>
          <w:szCs w:val="21"/>
        </w:rPr>
        <w:t>,</w:t>
      </w:r>
      <w:r w:rsidRPr="001412CA">
        <w:rPr>
          <w:rFonts w:eastAsiaTheme="minorEastAsia"/>
          <w:kern w:val="0"/>
          <w:szCs w:val="21"/>
        </w:rPr>
        <w:t>支付日期顺延。</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lastRenderedPageBreak/>
        <w:t>6.4.10.3</w:t>
      </w:r>
      <w:r w:rsidRPr="00C24ACA">
        <w:rPr>
          <w:rFonts w:eastAsiaTheme="minorEastAsia"/>
          <w:b/>
          <w:bCs/>
          <w:color w:val="000000"/>
          <w:szCs w:val="21"/>
        </w:rPr>
        <w:t>与关联方进行银行间同业市场的债券</w:t>
      </w:r>
      <w:r w:rsidRPr="00C24ACA">
        <w:rPr>
          <w:rFonts w:eastAsiaTheme="minorEastAsia"/>
          <w:b/>
          <w:bCs/>
          <w:color w:val="000000"/>
          <w:szCs w:val="21"/>
        </w:rPr>
        <w:t>(</w:t>
      </w:r>
      <w:r w:rsidRPr="00C24ACA">
        <w:rPr>
          <w:rFonts w:eastAsiaTheme="minorEastAsia"/>
          <w:b/>
          <w:bCs/>
          <w:color w:val="000000"/>
          <w:szCs w:val="21"/>
        </w:rPr>
        <w:t>含回购</w:t>
      </w:r>
      <w:r w:rsidRPr="00C24ACA">
        <w:rPr>
          <w:rFonts w:eastAsiaTheme="minorEastAsia"/>
          <w:b/>
          <w:bCs/>
          <w:color w:val="000000"/>
          <w:szCs w:val="21"/>
        </w:rPr>
        <w:t>)</w:t>
      </w:r>
      <w:r w:rsidRPr="00C24ACA">
        <w:rPr>
          <w:rFonts w:eastAsiaTheme="minorEastAsia"/>
          <w:b/>
          <w:bCs/>
          <w:color w:val="000000"/>
          <w:szCs w:val="21"/>
        </w:rPr>
        <w:t>交易</w:t>
      </w:r>
    </w:p>
    <w:p w:rsidR="0096290F" w:rsidRPr="00C24ACA" w:rsidRDefault="0096290F"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本基金本报告期及上年度可比期间未与关联方进行银行间同业市场债券（含回购）交易。</w:t>
      </w:r>
    </w:p>
    <w:p w:rsidR="008A5A5D" w:rsidRPr="00C24ACA" w:rsidRDefault="008A5A5D" w:rsidP="00EC68BF">
      <w:pPr>
        <w:spacing w:line="360" w:lineRule="auto"/>
        <w:rPr>
          <w:rFonts w:eastAsiaTheme="minorEastAsia"/>
          <w:b/>
          <w:bCs/>
          <w:color w:val="000000"/>
          <w:szCs w:val="21"/>
        </w:rPr>
      </w:pPr>
      <w:r w:rsidRPr="00C24ACA">
        <w:rPr>
          <w:rFonts w:eastAsiaTheme="minorEastAsia"/>
          <w:b/>
          <w:bCs/>
          <w:color w:val="000000"/>
          <w:kern w:val="0"/>
          <w:szCs w:val="21"/>
        </w:rPr>
        <w:t>6.4.10.4</w:t>
      </w:r>
      <w:r w:rsidRPr="00C24ACA">
        <w:rPr>
          <w:rFonts w:eastAsiaTheme="minorEastAsia"/>
          <w:b/>
          <w:bCs/>
          <w:color w:val="000000"/>
          <w:szCs w:val="21"/>
        </w:rPr>
        <w:t>各关联方投资本基金的情况</w:t>
      </w:r>
    </w:p>
    <w:p w:rsidR="008A5A5D" w:rsidRPr="00C24ACA" w:rsidRDefault="008A5A5D" w:rsidP="00EC68BF">
      <w:pPr>
        <w:adjustRightInd w:val="0"/>
        <w:snapToGrid w:val="0"/>
        <w:spacing w:line="360" w:lineRule="auto"/>
        <w:rPr>
          <w:rFonts w:eastAsiaTheme="minorEastAsia"/>
          <w:b/>
          <w:bCs/>
          <w:color w:val="000000"/>
          <w:szCs w:val="21"/>
        </w:rPr>
      </w:pPr>
      <w:r w:rsidRPr="00C24ACA">
        <w:rPr>
          <w:rFonts w:eastAsiaTheme="minorEastAsia"/>
          <w:b/>
          <w:bCs/>
          <w:color w:val="000000"/>
          <w:kern w:val="0"/>
          <w:szCs w:val="21"/>
        </w:rPr>
        <w:t>6.4.10.4.1</w:t>
      </w:r>
      <w:r w:rsidRPr="00C24ACA">
        <w:rPr>
          <w:rFonts w:eastAsiaTheme="minorEastAsia"/>
          <w:b/>
          <w:bCs/>
          <w:color w:val="000000"/>
          <w:szCs w:val="21"/>
        </w:rPr>
        <w:t>报告期内基金管理人运用固有资金投资本基金的情况</w:t>
      </w:r>
    </w:p>
    <w:p w:rsidR="00732F5C" w:rsidRPr="00D77452" w:rsidRDefault="00732F5C" w:rsidP="00732F5C">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9B7B09" w:rsidRPr="007F6A4B" w:rsidRDefault="008A5A5D" w:rsidP="007F6A4B">
      <w:pPr>
        <w:adjustRightInd w:val="0"/>
        <w:snapToGrid w:val="0"/>
        <w:spacing w:line="360" w:lineRule="auto"/>
        <w:rPr>
          <w:rFonts w:eastAsiaTheme="minorEastAsia"/>
          <w:b/>
          <w:bCs/>
          <w:color w:val="000000"/>
          <w:kern w:val="0"/>
          <w:szCs w:val="21"/>
        </w:rPr>
      </w:pPr>
      <w:r w:rsidRPr="00C24ACA">
        <w:rPr>
          <w:rFonts w:eastAsiaTheme="minorEastAsia"/>
          <w:b/>
          <w:bCs/>
          <w:color w:val="000000"/>
          <w:kern w:val="0"/>
          <w:szCs w:val="21"/>
        </w:rPr>
        <w:t>6.4.10.4.2</w:t>
      </w:r>
      <w:r w:rsidRPr="007F6A4B">
        <w:rPr>
          <w:rFonts w:eastAsiaTheme="minorEastAsia"/>
          <w:b/>
          <w:bCs/>
          <w:color w:val="000000"/>
          <w:kern w:val="0"/>
          <w:szCs w:val="21"/>
        </w:rPr>
        <w:t>报告期末除基金管理人之外的其他关联方投资本基金的情况</w:t>
      </w:r>
    </w:p>
    <w:p w:rsidR="009B7B09" w:rsidRPr="003560D2" w:rsidRDefault="009B7B09" w:rsidP="009B7B09">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易方达香港恒生综合小型股指数（</w:t>
      </w:r>
      <w:r w:rsidRPr="003560D2">
        <w:rPr>
          <w:rFonts w:eastAsiaTheme="minorEastAsia" w:hint="eastAsia"/>
          <w:b/>
          <w:color w:val="000000"/>
          <w:szCs w:val="21"/>
        </w:rPr>
        <w:t>QDII-LOF</w:t>
      </w:r>
      <w:r w:rsidRPr="003560D2">
        <w:rPr>
          <w:rFonts w:eastAsiaTheme="minorEastAsia" w:hint="eastAsia"/>
          <w:b/>
          <w:color w:val="000000"/>
          <w:szCs w:val="21"/>
        </w:rPr>
        <w:t>）</w:t>
      </w:r>
      <w:r w:rsidRPr="003560D2">
        <w:rPr>
          <w:rFonts w:eastAsiaTheme="minorEastAsia" w:hint="eastAsia"/>
          <w:b/>
          <w:color w:val="000000"/>
          <w:szCs w:val="21"/>
        </w:rPr>
        <w:t>A</w:t>
      </w:r>
    </w:p>
    <w:p w:rsidR="009B7B09" w:rsidRPr="00325F8A" w:rsidRDefault="009B7B09" w:rsidP="009B7B09">
      <w:pPr>
        <w:tabs>
          <w:tab w:val="left" w:pos="426"/>
        </w:tabs>
        <w:spacing w:line="360" w:lineRule="auto"/>
        <w:ind w:firstLineChars="200" w:firstLine="420"/>
        <w:jc w:val="left"/>
        <w:rPr>
          <w:kern w:val="0"/>
          <w:szCs w:val="21"/>
        </w:rPr>
      </w:pPr>
      <w:r w:rsidRPr="00325F8A">
        <w:rPr>
          <w:kern w:val="0"/>
          <w:szCs w:val="21"/>
        </w:rPr>
        <w:t>无。</w:t>
      </w:r>
    </w:p>
    <w:p w:rsidR="009B7B09" w:rsidRPr="00325F8A" w:rsidRDefault="009B7B09" w:rsidP="009B7B09">
      <w:pPr>
        <w:adjustRightInd w:val="0"/>
        <w:snapToGrid w:val="0"/>
        <w:spacing w:line="288" w:lineRule="auto"/>
        <w:ind w:firstLineChars="200" w:firstLine="422"/>
        <w:rPr>
          <w:b/>
          <w:bCs/>
          <w:color w:val="000000"/>
          <w:szCs w:val="21"/>
        </w:rPr>
      </w:pPr>
      <w:r w:rsidRPr="00325F8A">
        <w:rPr>
          <w:rFonts w:eastAsiaTheme="minorEastAsia"/>
          <w:b/>
          <w:szCs w:val="21"/>
        </w:rPr>
        <w:t>易方达香港恒生综合小型股指数（</w:t>
      </w:r>
      <w:r w:rsidRPr="00325F8A">
        <w:rPr>
          <w:rFonts w:eastAsiaTheme="minorEastAsia"/>
          <w:b/>
          <w:szCs w:val="21"/>
        </w:rPr>
        <w:t>QDII-LOF</w:t>
      </w:r>
      <w:r w:rsidRPr="00325F8A">
        <w:rPr>
          <w:rFonts w:eastAsiaTheme="minorEastAsia"/>
          <w:b/>
          <w:szCs w:val="21"/>
        </w:rPr>
        <w:t>）</w:t>
      </w:r>
      <w:r w:rsidRPr="00325F8A">
        <w:rPr>
          <w:rFonts w:eastAsiaTheme="minorEastAsia"/>
          <w:b/>
          <w:szCs w:val="21"/>
        </w:rPr>
        <w:t>C</w:t>
      </w:r>
    </w:p>
    <w:p w:rsidR="009B7B09" w:rsidRPr="00683042" w:rsidRDefault="009B7B09" w:rsidP="009B7B09">
      <w:pPr>
        <w:tabs>
          <w:tab w:val="left" w:pos="426"/>
        </w:tabs>
        <w:spacing w:line="360" w:lineRule="auto"/>
        <w:ind w:firstLineChars="200" w:firstLine="420"/>
        <w:jc w:val="left"/>
        <w:rPr>
          <w:kern w:val="0"/>
          <w:szCs w:val="21"/>
        </w:rPr>
      </w:pPr>
      <w:r w:rsidRPr="00683042">
        <w:rPr>
          <w:rFonts w:hint="eastAsia"/>
          <w:kern w:val="0"/>
          <w:szCs w:val="21"/>
        </w:rPr>
        <w:t>无。</w:t>
      </w:r>
    </w:p>
    <w:p w:rsidR="008A5A5D" w:rsidRPr="00C24ACA" w:rsidRDefault="008A5A5D" w:rsidP="009B7B09">
      <w:pPr>
        <w:adjustRightInd w:val="0"/>
        <w:snapToGrid w:val="0"/>
        <w:spacing w:beforeLines="100" w:before="312" w:line="360" w:lineRule="auto"/>
        <w:rPr>
          <w:rFonts w:eastAsiaTheme="minorEastAsia"/>
          <w:b/>
          <w:bCs/>
          <w:color w:val="000000"/>
          <w:szCs w:val="21"/>
        </w:rPr>
      </w:pPr>
      <w:r w:rsidRPr="00C24ACA">
        <w:rPr>
          <w:rFonts w:eastAsiaTheme="minorEastAsia"/>
          <w:b/>
          <w:bCs/>
          <w:color w:val="000000"/>
          <w:kern w:val="0"/>
          <w:szCs w:val="21"/>
        </w:rPr>
        <w:t>6.4.10.5</w:t>
      </w:r>
      <w:r w:rsidRPr="00C24ACA">
        <w:rPr>
          <w:rFonts w:eastAsiaTheme="minorEastAsia"/>
          <w:b/>
          <w:bCs/>
          <w:color w:val="000000"/>
          <w:szCs w:val="21"/>
        </w:rPr>
        <w:t>由关联方保管的银行存款余额及当期产生的利息收入</w:t>
      </w:r>
    </w:p>
    <w:p w:rsidR="008A5A5D" w:rsidRPr="00C24ACA" w:rsidRDefault="008A5A5D" w:rsidP="002116B9">
      <w:pPr>
        <w:autoSpaceDE w:val="0"/>
        <w:autoSpaceDN w:val="0"/>
        <w:adjustRightInd w:val="0"/>
        <w:spacing w:before="29" w:line="288" w:lineRule="auto"/>
        <w:ind w:left="15" w:right="210"/>
        <w:jc w:val="right"/>
        <w:rPr>
          <w:rFonts w:eastAsiaTheme="minorEastAsia"/>
          <w:bCs/>
          <w:color w:val="000000"/>
          <w:szCs w:val="21"/>
        </w:rPr>
      </w:pPr>
      <w:r w:rsidRPr="00C24ACA">
        <w:rPr>
          <w:rFonts w:eastAsiaTheme="minorEastAsia"/>
          <w:bCs/>
          <w:color w:val="000000"/>
          <w:szCs w:val="21"/>
        </w:rPr>
        <w:t>单位：人民币元</w:t>
      </w:r>
    </w:p>
    <w:tbl>
      <w:tblPr>
        <w:tblStyle w:val="af7"/>
        <w:tblW w:w="0" w:type="auto"/>
        <w:tblInd w:w="108" w:type="dxa"/>
        <w:tblLayout w:type="fixed"/>
        <w:tblLook w:val="04A0" w:firstRow="1" w:lastRow="0" w:firstColumn="1" w:lastColumn="0" w:noHBand="0" w:noVBand="1"/>
      </w:tblPr>
      <w:tblGrid>
        <w:gridCol w:w="1526"/>
        <w:gridCol w:w="1851"/>
        <w:gridCol w:w="1851"/>
        <w:gridCol w:w="1851"/>
        <w:gridCol w:w="1851"/>
      </w:tblGrid>
      <w:tr w:rsidR="00B01102" w:rsidRPr="00C24ACA" w:rsidTr="004C02E0">
        <w:tc>
          <w:tcPr>
            <w:tcW w:w="1526" w:type="dxa"/>
            <w:vMerge w:val="restart"/>
            <w:vAlign w:val="center"/>
          </w:tcPr>
          <w:p w:rsidR="00B01102" w:rsidRPr="00C24ACA" w:rsidRDefault="00B01102" w:rsidP="00145CAE">
            <w:pPr>
              <w:jc w:val="center"/>
              <w:rPr>
                <w:rFonts w:eastAsiaTheme="minorEastAsia"/>
                <w:kern w:val="0"/>
                <w:szCs w:val="21"/>
              </w:rPr>
            </w:pPr>
            <w:r w:rsidRPr="00C24ACA">
              <w:rPr>
                <w:rFonts w:eastAsiaTheme="minorEastAsia"/>
                <w:color w:val="000000"/>
                <w:szCs w:val="21"/>
              </w:rPr>
              <w:t>关联方名称</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本期</w:t>
            </w:r>
          </w:p>
          <w:p w:rsidR="00B01102" w:rsidRPr="00C24ACA" w:rsidRDefault="00B01102" w:rsidP="00B01102">
            <w:pPr>
              <w:jc w:val="left"/>
              <w:rPr>
                <w:rFonts w:eastAsiaTheme="minorEastAsia"/>
                <w:kern w:val="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上年度可比期间</w:t>
            </w:r>
          </w:p>
          <w:p w:rsidR="00B01102" w:rsidRPr="00C24ACA" w:rsidRDefault="00B01102" w:rsidP="000E28C9">
            <w:pPr>
              <w:jc w:val="left"/>
              <w:rPr>
                <w:rFonts w:eastAsiaTheme="minorEastAsia"/>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B01102" w:rsidRPr="00C24ACA" w:rsidTr="004C02E0">
        <w:tc>
          <w:tcPr>
            <w:tcW w:w="1526" w:type="dxa"/>
            <w:vMerge/>
          </w:tcPr>
          <w:p w:rsidR="00B01102" w:rsidRPr="00C24ACA" w:rsidRDefault="00B01102" w:rsidP="002116B9">
            <w:pPr>
              <w:jc w:val="left"/>
              <w:rPr>
                <w:rFonts w:eastAsiaTheme="minorEastAsia"/>
                <w:kern w:val="0"/>
                <w:szCs w:val="21"/>
              </w:rPr>
            </w:pP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r>
      <w:tr w:rsidR="007B4EE4">
        <w:tc>
          <w:tcPr>
            <w:tcW w:w="1526" w:type="dxa"/>
            <w:vAlign w:val="center"/>
          </w:tcPr>
          <w:p w:rsidR="007B4EE4" w:rsidRDefault="00B833D5">
            <w:pPr>
              <w:jc w:val="left"/>
            </w:pPr>
            <w:r>
              <w:rPr>
                <w:rFonts w:eastAsiaTheme="minorEastAsia"/>
                <w:szCs w:val="21"/>
              </w:rPr>
              <w:t>招商银行</w:t>
            </w:r>
            <w:r>
              <w:rPr>
                <w:rFonts w:eastAsiaTheme="minorEastAsia"/>
                <w:szCs w:val="21"/>
              </w:rPr>
              <w:t>-</w:t>
            </w:r>
            <w:r>
              <w:rPr>
                <w:rFonts w:eastAsiaTheme="minorEastAsia"/>
                <w:szCs w:val="21"/>
              </w:rPr>
              <w:t>活期存款</w:t>
            </w:r>
          </w:p>
        </w:tc>
        <w:tc>
          <w:tcPr>
            <w:tcW w:w="1851" w:type="dxa"/>
            <w:vAlign w:val="center"/>
          </w:tcPr>
          <w:p w:rsidR="007B4EE4" w:rsidRDefault="00B833D5">
            <w:pPr>
              <w:jc w:val="right"/>
            </w:pPr>
            <w:r>
              <w:rPr>
                <w:rFonts w:eastAsiaTheme="minorEastAsia"/>
                <w:szCs w:val="21"/>
              </w:rPr>
              <w:t>655,609.00</w:t>
            </w:r>
          </w:p>
        </w:tc>
        <w:tc>
          <w:tcPr>
            <w:tcW w:w="1851" w:type="dxa"/>
            <w:vAlign w:val="center"/>
          </w:tcPr>
          <w:p w:rsidR="007B4EE4" w:rsidRDefault="00B833D5">
            <w:pPr>
              <w:jc w:val="right"/>
            </w:pPr>
            <w:r>
              <w:rPr>
                <w:rFonts w:eastAsiaTheme="minorEastAsia"/>
                <w:szCs w:val="21"/>
              </w:rPr>
              <w:t>2,653.05</w:t>
            </w:r>
          </w:p>
        </w:tc>
        <w:tc>
          <w:tcPr>
            <w:tcW w:w="1851" w:type="dxa"/>
            <w:vAlign w:val="center"/>
          </w:tcPr>
          <w:p w:rsidR="007B4EE4" w:rsidRDefault="00B833D5">
            <w:pPr>
              <w:jc w:val="right"/>
            </w:pPr>
            <w:r>
              <w:rPr>
                <w:rFonts w:eastAsiaTheme="minorEastAsia"/>
                <w:szCs w:val="21"/>
              </w:rPr>
              <w:t>464,791.08</w:t>
            </w:r>
          </w:p>
        </w:tc>
        <w:tc>
          <w:tcPr>
            <w:tcW w:w="1851" w:type="dxa"/>
            <w:vAlign w:val="center"/>
          </w:tcPr>
          <w:p w:rsidR="007B4EE4" w:rsidRDefault="00B833D5">
            <w:pPr>
              <w:jc w:val="right"/>
            </w:pPr>
            <w:r>
              <w:rPr>
                <w:rFonts w:eastAsiaTheme="minorEastAsia"/>
                <w:szCs w:val="21"/>
              </w:rPr>
              <w:t>3,526.80</w:t>
            </w:r>
          </w:p>
        </w:tc>
      </w:tr>
      <w:tr w:rsidR="007B4EE4">
        <w:tc>
          <w:tcPr>
            <w:tcW w:w="1526" w:type="dxa"/>
            <w:vAlign w:val="center"/>
          </w:tcPr>
          <w:p w:rsidR="007B4EE4" w:rsidRDefault="00B833D5">
            <w:pPr>
              <w:jc w:val="left"/>
            </w:pPr>
            <w:r>
              <w:rPr>
                <w:rFonts w:eastAsiaTheme="minorEastAsia"/>
                <w:szCs w:val="21"/>
              </w:rPr>
              <w:t>汇丰银行</w:t>
            </w:r>
            <w:r>
              <w:rPr>
                <w:rFonts w:eastAsiaTheme="minorEastAsia"/>
                <w:szCs w:val="21"/>
              </w:rPr>
              <w:t>-</w:t>
            </w:r>
            <w:r>
              <w:rPr>
                <w:rFonts w:eastAsiaTheme="minorEastAsia"/>
                <w:szCs w:val="21"/>
              </w:rPr>
              <w:t>活期存款</w:t>
            </w:r>
          </w:p>
        </w:tc>
        <w:tc>
          <w:tcPr>
            <w:tcW w:w="1851" w:type="dxa"/>
            <w:vAlign w:val="center"/>
          </w:tcPr>
          <w:p w:rsidR="007B4EE4" w:rsidRDefault="00B833D5">
            <w:pPr>
              <w:jc w:val="right"/>
            </w:pPr>
            <w:r>
              <w:rPr>
                <w:rFonts w:eastAsiaTheme="minorEastAsia"/>
                <w:szCs w:val="21"/>
              </w:rPr>
              <w:t>1,190,053.72</w:t>
            </w:r>
          </w:p>
        </w:tc>
        <w:tc>
          <w:tcPr>
            <w:tcW w:w="1851" w:type="dxa"/>
            <w:vAlign w:val="center"/>
          </w:tcPr>
          <w:p w:rsidR="007B4EE4" w:rsidRDefault="00B833D5">
            <w:pPr>
              <w:jc w:val="right"/>
            </w:pPr>
            <w:r>
              <w:rPr>
                <w:rFonts w:eastAsiaTheme="minorEastAsia"/>
                <w:szCs w:val="21"/>
              </w:rPr>
              <w:t>7.39</w:t>
            </w:r>
          </w:p>
        </w:tc>
        <w:tc>
          <w:tcPr>
            <w:tcW w:w="1851" w:type="dxa"/>
            <w:vAlign w:val="center"/>
          </w:tcPr>
          <w:p w:rsidR="007B4EE4" w:rsidRDefault="00B833D5">
            <w:pPr>
              <w:jc w:val="right"/>
            </w:pPr>
            <w:r>
              <w:rPr>
                <w:rFonts w:eastAsiaTheme="minorEastAsia"/>
                <w:szCs w:val="21"/>
              </w:rPr>
              <w:t>1,520,276.54</w:t>
            </w:r>
          </w:p>
        </w:tc>
        <w:tc>
          <w:tcPr>
            <w:tcW w:w="1851" w:type="dxa"/>
            <w:vAlign w:val="center"/>
          </w:tcPr>
          <w:p w:rsidR="007B4EE4" w:rsidRDefault="00B833D5">
            <w:pPr>
              <w:jc w:val="right"/>
            </w:pPr>
            <w:r>
              <w:rPr>
                <w:rFonts w:eastAsiaTheme="minorEastAsia"/>
                <w:szCs w:val="21"/>
              </w:rPr>
              <w:t>946.84</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注：本基金的上述银行存款由基金托管人招商银行股份有限公司和香港上海汇丰银行有限公司保管，按银行同业利率或约定利率计息。</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6.4.10.6</w:t>
      </w:r>
      <w:r w:rsidRPr="00C24ACA">
        <w:rPr>
          <w:rFonts w:eastAsiaTheme="minorEastAsia"/>
          <w:b/>
          <w:bCs/>
          <w:color w:val="000000"/>
          <w:szCs w:val="21"/>
        </w:rPr>
        <w:t>本基金在承销期内参与关联方承销证券的情况</w:t>
      </w:r>
    </w:p>
    <w:p w:rsidR="008A5A5D" w:rsidRPr="00C24ACA" w:rsidRDefault="00EF6CFA"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本基金本报告期及上年度可比期间未在承销期内参与关联方承销证券。</w:t>
      </w:r>
    </w:p>
    <w:p w:rsidR="00AE3215" w:rsidRPr="00A73188" w:rsidRDefault="00AE3215" w:rsidP="00732F5C">
      <w:pPr>
        <w:adjustRightInd w:val="0"/>
        <w:snapToGrid w:val="0"/>
        <w:spacing w:beforeLines="100" w:before="312" w:line="360" w:lineRule="auto"/>
        <w:rPr>
          <w:rFonts w:eastAsiaTheme="minorEastAsia"/>
          <w:b/>
          <w:color w:val="000000" w:themeColor="text1"/>
          <w:szCs w:val="21"/>
        </w:rPr>
      </w:pPr>
      <w:r w:rsidRPr="00A73188">
        <w:rPr>
          <w:rFonts w:eastAsiaTheme="minorEastAsia"/>
          <w:b/>
          <w:bCs/>
          <w:color w:val="000000" w:themeColor="text1"/>
          <w:kern w:val="0"/>
          <w:szCs w:val="21"/>
        </w:rPr>
        <w:t xml:space="preserve">6.4.10.7 </w:t>
      </w:r>
      <w:r w:rsidRPr="00A73188">
        <w:rPr>
          <w:rFonts w:eastAsiaTheme="minorEastAsia"/>
          <w:b/>
          <w:color w:val="000000" w:themeColor="text1"/>
          <w:szCs w:val="21"/>
        </w:rPr>
        <w:t>其他关联交易事项的说明</w:t>
      </w:r>
    </w:p>
    <w:p w:rsidR="00AE3215" w:rsidRPr="00A73188" w:rsidRDefault="00AE3215" w:rsidP="00AE3215">
      <w:pPr>
        <w:adjustRightInd w:val="0"/>
        <w:snapToGrid w:val="0"/>
        <w:spacing w:line="360" w:lineRule="auto"/>
        <w:rPr>
          <w:rFonts w:eastAsiaTheme="minorEastAsia"/>
          <w:b/>
          <w:color w:val="000000" w:themeColor="text1"/>
          <w:szCs w:val="21"/>
        </w:rPr>
      </w:pPr>
      <w:r w:rsidRPr="00A73188">
        <w:rPr>
          <w:rFonts w:eastAsiaTheme="minorEastAsia"/>
          <w:b/>
          <w:bCs/>
          <w:color w:val="000000" w:themeColor="text1"/>
          <w:kern w:val="0"/>
          <w:szCs w:val="21"/>
        </w:rPr>
        <w:t>6.4.10.7</w:t>
      </w:r>
      <w:r w:rsidRPr="00A73188">
        <w:rPr>
          <w:rFonts w:eastAsiaTheme="minorEastAsia" w:hint="eastAsia"/>
          <w:b/>
          <w:bCs/>
          <w:color w:val="000000" w:themeColor="text1"/>
          <w:kern w:val="0"/>
          <w:szCs w:val="21"/>
        </w:rPr>
        <w:t xml:space="preserve">.1 </w:t>
      </w:r>
      <w:r w:rsidRPr="00A73188">
        <w:rPr>
          <w:rFonts w:eastAsiaTheme="minorEastAsia"/>
          <w:b/>
          <w:color w:val="000000" w:themeColor="text1"/>
          <w:szCs w:val="21"/>
        </w:rPr>
        <w:t>其他关联交易事项的说明</w:t>
      </w:r>
    </w:p>
    <w:p w:rsidR="00AE3215" w:rsidRPr="001412CA" w:rsidRDefault="00AE3215"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无。</w:t>
      </w:r>
    </w:p>
    <w:p w:rsidR="00CC3588" w:rsidRDefault="008A5A5D" w:rsidP="00CC3588">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6.4.11</w:t>
      </w:r>
      <w:r w:rsidRPr="00C24ACA">
        <w:rPr>
          <w:rFonts w:eastAsiaTheme="minorEastAsia"/>
          <w:b/>
          <w:bCs/>
          <w:color w:val="000000"/>
          <w:szCs w:val="21"/>
        </w:rPr>
        <w:t>利润分配情况</w:t>
      </w:r>
    </w:p>
    <w:p w:rsidR="00CC3588" w:rsidRDefault="00CC3588" w:rsidP="00CC3588">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易方达香港恒生综合小型股指数（</w:t>
      </w:r>
      <w:r>
        <w:rPr>
          <w:rFonts w:eastAsiaTheme="minorEastAsia"/>
          <w:b/>
          <w:color w:val="000000"/>
          <w:szCs w:val="21"/>
        </w:rPr>
        <w:t>QDII-LOF</w:t>
      </w:r>
      <w:r>
        <w:rPr>
          <w:rFonts w:eastAsiaTheme="minorEastAsia"/>
          <w:b/>
          <w:color w:val="000000"/>
          <w:szCs w:val="21"/>
        </w:rPr>
        <w:t>）</w:t>
      </w:r>
      <w:r>
        <w:rPr>
          <w:rFonts w:eastAsiaTheme="minorEastAsia"/>
          <w:b/>
          <w:color w:val="000000"/>
          <w:szCs w:val="21"/>
        </w:rPr>
        <w:t>A</w:t>
      </w:r>
    </w:p>
    <w:p w:rsidR="00CC3588" w:rsidRDefault="00CC3588" w:rsidP="00CC3588">
      <w:pPr>
        <w:tabs>
          <w:tab w:val="left" w:pos="426"/>
        </w:tabs>
        <w:spacing w:line="360" w:lineRule="auto"/>
        <w:ind w:firstLineChars="200" w:firstLine="420"/>
        <w:jc w:val="left"/>
        <w:rPr>
          <w:kern w:val="0"/>
          <w:szCs w:val="21"/>
        </w:rPr>
      </w:pPr>
      <w:r>
        <w:rPr>
          <w:kern w:val="0"/>
          <w:szCs w:val="21"/>
        </w:rPr>
        <w:t>本报告期内未发生利润分配。</w:t>
      </w:r>
    </w:p>
    <w:p w:rsidR="00CC3588" w:rsidRDefault="00CC3588" w:rsidP="00CC3588">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易方达香港恒生综合小型股指数（</w:t>
      </w:r>
      <w:r>
        <w:rPr>
          <w:rFonts w:eastAsiaTheme="minorEastAsia"/>
          <w:b/>
          <w:color w:val="000000"/>
          <w:szCs w:val="21"/>
        </w:rPr>
        <w:t>QDII-LOF</w:t>
      </w:r>
      <w:r>
        <w:rPr>
          <w:rFonts w:eastAsiaTheme="minorEastAsia"/>
          <w:b/>
          <w:color w:val="000000"/>
          <w:szCs w:val="21"/>
        </w:rPr>
        <w:t>）</w:t>
      </w:r>
      <w:r>
        <w:rPr>
          <w:rFonts w:eastAsiaTheme="minorEastAsia"/>
          <w:b/>
          <w:color w:val="000000"/>
          <w:szCs w:val="21"/>
        </w:rPr>
        <w:t>C</w:t>
      </w:r>
    </w:p>
    <w:p w:rsidR="00CC3588" w:rsidRDefault="00CC3588" w:rsidP="00CC3588">
      <w:pPr>
        <w:tabs>
          <w:tab w:val="left" w:pos="426"/>
        </w:tabs>
        <w:spacing w:line="360" w:lineRule="auto"/>
        <w:ind w:firstLineChars="200" w:firstLine="420"/>
        <w:rPr>
          <w:rFonts w:eastAsiaTheme="minorEastAsia"/>
          <w:kern w:val="0"/>
          <w:szCs w:val="21"/>
        </w:rPr>
      </w:pPr>
      <w:r>
        <w:rPr>
          <w:kern w:val="0"/>
          <w:szCs w:val="21"/>
        </w:rPr>
        <w:t>本报告期内未发生利润分配。</w:t>
      </w:r>
    </w:p>
    <w:p w:rsidR="008A5A5D" w:rsidRPr="00C24ACA" w:rsidRDefault="008A5A5D" w:rsidP="00CC3588">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6.4.12</w:t>
      </w:r>
      <w:r w:rsidRPr="00C24ACA">
        <w:rPr>
          <w:rFonts w:eastAsiaTheme="minorEastAsia"/>
          <w:b/>
          <w:bCs/>
          <w:color w:val="000000"/>
          <w:szCs w:val="21"/>
        </w:rPr>
        <w:t>期末（</w:t>
      </w:r>
      <w:r w:rsidR="00AC4A34" w:rsidRPr="00C24ACA">
        <w:rPr>
          <w:rFonts w:eastAsiaTheme="minorEastAsia"/>
          <w:b/>
          <w:bCs/>
          <w:color w:val="000000"/>
          <w:szCs w:val="21"/>
        </w:rPr>
        <w:t>2020</w:t>
      </w:r>
      <w:r w:rsidR="00AC4A34" w:rsidRPr="00C24ACA">
        <w:rPr>
          <w:rFonts w:eastAsiaTheme="minorEastAsia"/>
          <w:b/>
          <w:bCs/>
          <w:color w:val="000000"/>
          <w:szCs w:val="21"/>
        </w:rPr>
        <w:t>年</w:t>
      </w:r>
      <w:r w:rsidR="00AC4A34" w:rsidRPr="00C24ACA">
        <w:rPr>
          <w:rFonts w:eastAsiaTheme="minorEastAsia"/>
          <w:b/>
          <w:bCs/>
          <w:color w:val="000000"/>
          <w:szCs w:val="21"/>
        </w:rPr>
        <w:t>6</w:t>
      </w:r>
      <w:r w:rsidR="00AC4A34" w:rsidRPr="00C24ACA">
        <w:rPr>
          <w:rFonts w:eastAsiaTheme="minorEastAsia"/>
          <w:b/>
          <w:bCs/>
          <w:color w:val="000000"/>
          <w:szCs w:val="21"/>
        </w:rPr>
        <w:t>月</w:t>
      </w:r>
      <w:r w:rsidR="00AC4A34" w:rsidRPr="00C24ACA">
        <w:rPr>
          <w:rFonts w:eastAsiaTheme="minorEastAsia"/>
          <w:b/>
          <w:bCs/>
          <w:color w:val="000000"/>
          <w:szCs w:val="21"/>
        </w:rPr>
        <w:t>30</w:t>
      </w:r>
      <w:r w:rsidR="00AC4A34" w:rsidRPr="00C24ACA">
        <w:rPr>
          <w:rFonts w:eastAsiaTheme="minorEastAsia"/>
          <w:b/>
          <w:bCs/>
          <w:color w:val="000000"/>
          <w:szCs w:val="21"/>
        </w:rPr>
        <w:t>日</w:t>
      </w:r>
      <w:r w:rsidRPr="00C24ACA">
        <w:rPr>
          <w:rFonts w:eastAsiaTheme="minorEastAsia"/>
          <w:b/>
          <w:bCs/>
          <w:color w:val="000000"/>
          <w:szCs w:val="21"/>
        </w:rPr>
        <w:t>）本基金持有的流通受限证券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lastRenderedPageBreak/>
        <w:t>6.4.12.1</w:t>
      </w:r>
      <w:r w:rsidRPr="00C24ACA">
        <w:rPr>
          <w:rFonts w:eastAsiaTheme="minorEastAsia"/>
          <w:b/>
          <w:bCs/>
          <w:color w:val="000000"/>
          <w:szCs w:val="21"/>
        </w:rPr>
        <w:t>因认购新发</w:t>
      </w:r>
      <w:r w:rsidRPr="00C24ACA">
        <w:rPr>
          <w:rFonts w:eastAsiaTheme="minorEastAsia"/>
          <w:b/>
          <w:bCs/>
          <w:color w:val="000000"/>
          <w:szCs w:val="21"/>
        </w:rPr>
        <w:t>/</w:t>
      </w:r>
      <w:r w:rsidRPr="00C24ACA">
        <w:rPr>
          <w:rFonts w:eastAsiaTheme="minorEastAsia"/>
          <w:b/>
          <w:bCs/>
          <w:color w:val="000000"/>
          <w:szCs w:val="21"/>
        </w:rPr>
        <w:t>增发证券而于期末持有的流通受限证券</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本基金无因认购新发</w:t>
      </w:r>
      <w:r w:rsidRPr="00C24ACA">
        <w:rPr>
          <w:rFonts w:eastAsiaTheme="minorEastAsia"/>
          <w:kern w:val="0"/>
          <w:szCs w:val="21"/>
        </w:rPr>
        <w:t>/</w:t>
      </w:r>
      <w:r w:rsidRPr="00C24ACA">
        <w:rPr>
          <w:rFonts w:eastAsiaTheme="minorEastAsia"/>
          <w:kern w:val="0"/>
          <w:szCs w:val="21"/>
        </w:rPr>
        <w:t>增发证券而于期末持有的流通受限证券。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6.4.12.2</w:t>
      </w:r>
      <w:r w:rsidRPr="00C24ACA">
        <w:rPr>
          <w:rFonts w:eastAsiaTheme="minorEastAsia"/>
          <w:b/>
          <w:bCs/>
          <w:color w:val="000000"/>
          <w:szCs w:val="21"/>
        </w:rPr>
        <w:t>期末持有的暂时停牌等流通受限股票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本基金本报告期末未持有暂时停牌等流通受限股票。</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6.4.12.3</w:t>
      </w:r>
      <w:r w:rsidRPr="00C24ACA">
        <w:rPr>
          <w:rFonts w:eastAsiaTheme="minorEastAsia"/>
          <w:b/>
          <w:bCs/>
          <w:color w:val="000000"/>
          <w:szCs w:val="21"/>
        </w:rPr>
        <w:t>期末债券正回购交易中作为抵押的债券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6.4.12.3.1</w:t>
      </w:r>
      <w:r w:rsidRPr="00C24ACA">
        <w:rPr>
          <w:rFonts w:eastAsiaTheme="minorEastAsia"/>
          <w:b/>
          <w:bCs/>
          <w:color w:val="000000"/>
          <w:szCs w:val="21"/>
        </w:rPr>
        <w:t>银行间市场债券正回购</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日止，本基金从事银行间市场债券正回购交易形成的卖出回购证券款余额为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6.4.12.3.2</w:t>
      </w:r>
      <w:r w:rsidRPr="00C24ACA">
        <w:rPr>
          <w:rFonts w:eastAsiaTheme="minorEastAsia"/>
          <w:b/>
          <w:bCs/>
          <w:color w:val="000000"/>
          <w:szCs w:val="21"/>
        </w:rPr>
        <w:t>交易所市场债券正回购</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日止，本基金从事证券交易所债券正回购交易形成的卖出回购证券款余额为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w:t>
      </w:r>
      <w:r w:rsidRPr="00C24ACA">
        <w:rPr>
          <w:rFonts w:eastAsiaTheme="minorEastAsia"/>
          <w:b/>
          <w:bCs/>
          <w:color w:val="000000"/>
          <w:szCs w:val="21"/>
        </w:rPr>
        <w:t>金融工具风险及管理</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6.4.13.1</w:t>
      </w:r>
      <w:r w:rsidRPr="00C24ACA">
        <w:rPr>
          <w:rFonts w:eastAsiaTheme="minorEastAsia"/>
          <w:b/>
          <w:bCs/>
          <w:color w:val="000000"/>
          <w:szCs w:val="21"/>
        </w:rPr>
        <w:t>风险管理政策和组织架构</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本基金管理人按照</w:t>
      </w:r>
      <w:r>
        <w:rPr>
          <w:rFonts w:eastAsiaTheme="minorEastAsia"/>
          <w:kern w:val="0"/>
          <w:szCs w:val="21"/>
        </w:rPr>
        <w:t>“</w:t>
      </w:r>
      <w:r>
        <w:rPr>
          <w:rFonts w:eastAsiaTheme="minorEastAsia"/>
          <w:kern w:val="0"/>
          <w:szCs w:val="21"/>
        </w:rPr>
        <w:t>自上而下与自下而上相结合，全面管理、专业分工</w:t>
      </w:r>
      <w:r>
        <w:rPr>
          <w:rFonts w:eastAsiaTheme="minorEastAsia"/>
          <w:kern w:val="0"/>
          <w:szCs w:val="21"/>
        </w:rPr>
        <w:t>”</w:t>
      </w:r>
      <w:r>
        <w:rPr>
          <w:rFonts w:eastAsiaTheme="minorEastAsia"/>
          <w:kern w:val="0"/>
          <w:szCs w:val="21"/>
        </w:rPr>
        <w:t>的思路，将风险控制嵌入到全公司的组织架构中，对风险实行多层次、多角度、全方位的管理。</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rFonts w:eastAsiaTheme="minorEastAsia"/>
          <w:kern w:val="0"/>
          <w:szCs w:val="21"/>
        </w:rPr>
        <w:t>“</w:t>
      </w:r>
      <w:r>
        <w:rPr>
          <w:rFonts w:eastAsiaTheme="minorEastAsia"/>
          <w:kern w:val="0"/>
          <w:szCs w:val="21"/>
        </w:rPr>
        <w:t>事前的风险定位、事中的风险管理和事后的风险评估</w:t>
      </w:r>
      <w:r>
        <w:rPr>
          <w:rFonts w:eastAsiaTheme="minorEastAsia"/>
          <w:kern w:val="0"/>
          <w:szCs w:val="21"/>
        </w:rPr>
        <w:t>”</w:t>
      </w:r>
      <w:r>
        <w:rPr>
          <w:rFonts w:eastAsiaTheme="minorEastAsia"/>
          <w:kern w:val="0"/>
          <w:szCs w:val="21"/>
        </w:rPr>
        <w:t>的健全的风险监控体系。</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属股票指数基金，预期风险与收益水平高于混合基金、债券基金与货币市场基金。本基金主要采用完全复制法跟踪恒生综合小型股指数的表现，具有与标的指数相似的风险收益特征。本基金主要投资香港证券市场上市企业，需承担汇率风险以及境外市场的风险。</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6.4.13.2</w:t>
      </w:r>
      <w:r w:rsidRPr="00C24ACA">
        <w:rPr>
          <w:rFonts w:eastAsiaTheme="minorEastAsia"/>
          <w:b/>
          <w:bCs/>
          <w:color w:val="000000"/>
          <w:szCs w:val="21"/>
        </w:rPr>
        <w:t>信用风险</w:t>
      </w:r>
    </w:p>
    <w:p w:rsidR="007B4EE4" w:rsidRDefault="00B833D5">
      <w:pPr>
        <w:tabs>
          <w:tab w:val="left" w:pos="426"/>
        </w:tabs>
        <w:spacing w:line="360" w:lineRule="auto"/>
        <w:ind w:firstLineChars="200" w:firstLine="420"/>
        <w:rPr>
          <w:kern w:val="0"/>
          <w:szCs w:val="21"/>
        </w:rPr>
      </w:pPr>
      <w:r>
        <w:rPr>
          <w:rFonts w:eastAsiaTheme="minorEastAsia"/>
          <w:kern w:val="0"/>
          <w:szCs w:val="21"/>
        </w:rPr>
        <w:t>信用风险是指基金在交易过程中因交易对手未履行合约责任，或者基金所投资证券之发行人出现违约、拒绝支付到期本息，导致基金资产损失和收益变化的风险。本基金管理人通过严格的备选</w:t>
      </w:r>
      <w:r>
        <w:rPr>
          <w:rFonts w:eastAsiaTheme="minorEastAsia"/>
          <w:kern w:val="0"/>
          <w:szCs w:val="21"/>
        </w:rPr>
        <w:lastRenderedPageBreak/>
        <w:t>库制度、对交易对手（包括存款银行）、证券发行人的信用评级进行跟踪，和分散化投资方式防范信用风险。</w:t>
      </w:r>
    </w:p>
    <w:p w:rsidR="00831CAC" w:rsidRDefault="008A5A5D" w:rsidP="00831CAC">
      <w:pPr>
        <w:tabs>
          <w:tab w:val="left" w:pos="426"/>
        </w:tabs>
        <w:spacing w:line="360" w:lineRule="auto"/>
        <w:ind w:firstLineChars="200" w:firstLine="420"/>
        <w:rPr>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日，本基金持有的除国债、央行票据和政策性金融债以外的债券占基金资产净值的比例为</w:t>
      </w:r>
      <w:r w:rsidRPr="00C24ACA">
        <w:rPr>
          <w:rFonts w:eastAsiaTheme="minorEastAsia"/>
          <w:kern w:val="0"/>
          <w:szCs w:val="21"/>
        </w:rPr>
        <w:t>0.00%(2019</w:t>
      </w:r>
      <w:r w:rsidRPr="00C24ACA">
        <w:rPr>
          <w:rFonts w:eastAsiaTheme="minorEastAsia"/>
          <w:kern w:val="0"/>
          <w:szCs w:val="21"/>
        </w:rPr>
        <w:t>年</w:t>
      </w:r>
      <w:r w:rsidRPr="00C24ACA">
        <w:rPr>
          <w:rFonts w:eastAsiaTheme="minorEastAsia"/>
          <w:kern w:val="0"/>
          <w:szCs w:val="21"/>
        </w:rPr>
        <w:t>12</w:t>
      </w:r>
      <w:r w:rsidRPr="00C24ACA">
        <w:rPr>
          <w:rFonts w:eastAsiaTheme="minorEastAsia"/>
          <w:kern w:val="0"/>
          <w:szCs w:val="21"/>
        </w:rPr>
        <w:t>月</w:t>
      </w:r>
      <w:r w:rsidRPr="00C24ACA">
        <w:rPr>
          <w:rFonts w:eastAsiaTheme="minorEastAsia"/>
          <w:kern w:val="0"/>
          <w:szCs w:val="21"/>
        </w:rPr>
        <w:t>31</w:t>
      </w:r>
      <w:r w:rsidRPr="00C24ACA">
        <w:rPr>
          <w:rFonts w:eastAsiaTheme="minorEastAsia"/>
          <w:kern w:val="0"/>
          <w:szCs w:val="21"/>
        </w:rPr>
        <w:t>日：</w:t>
      </w:r>
      <w:r w:rsidRPr="00C24ACA">
        <w:rPr>
          <w:rFonts w:eastAsiaTheme="minorEastAsia"/>
          <w:kern w:val="0"/>
          <w:szCs w:val="21"/>
        </w:rPr>
        <w:t>0.00%)</w:t>
      </w:r>
      <w:r w:rsidRPr="00C24ACA">
        <w:rPr>
          <w:rFonts w:eastAsiaTheme="minorEastAsia"/>
          <w:kern w:val="0"/>
          <w:szCs w:val="21"/>
        </w:rPr>
        <w:t>。</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6.4.13.2.1 </w:t>
      </w:r>
      <w:r w:rsidRPr="00BD7906">
        <w:rPr>
          <w:rFonts w:eastAsiaTheme="minorEastAsia" w:hint="eastAsia"/>
          <w:b/>
          <w:color w:val="000000"/>
          <w:szCs w:val="21"/>
        </w:rPr>
        <w:t>按短期信用评级列示的债券投资</w:t>
      </w:r>
    </w:p>
    <w:p w:rsidR="00831CAC" w:rsidRDefault="00831CAC" w:rsidP="00831CAC">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31CAC" w:rsidTr="00A218AC">
        <w:trPr>
          <w:jc w:val="center"/>
        </w:trPr>
        <w:tc>
          <w:tcPr>
            <w:tcW w:w="2552" w:type="dxa"/>
            <w:vAlign w:val="center"/>
            <w:hideMark/>
          </w:tcPr>
          <w:p w:rsidR="00831CAC" w:rsidRDefault="00831CAC">
            <w:pPr>
              <w:jc w:val="center"/>
              <w:rPr>
                <w:szCs w:val="21"/>
              </w:rPr>
            </w:pPr>
            <w:r>
              <w:rPr>
                <w:rFonts w:hint="eastAsia"/>
                <w:szCs w:val="21"/>
              </w:rPr>
              <w:t>短期信用评级</w:t>
            </w:r>
          </w:p>
        </w:tc>
        <w:tc>
          <w:tcPr>
            <w:tcW w:w="3045" w:type="dxa"/>
            <w:vAlign w:val="center"/>
            <w:hideMark/>
          </w:tcPr>
          <w:p w:rsidR="00831CAC" w:rsidRDefault="00831CAC">
            <w:pPr>
              <w:widowControl/>
              <w:autoSpaceDE w:val="0"/>
              <w:autoSpaceDN w:val="0"/>
              <w:ind w:right="-15"/>
              <w:jc w:val="center"/>
              <w:textAlignment w:val="bottom"/>
              <w:rPr>
                <w:szCs w:val="21"/>
              </w:rPr>
            </w:pPr>
            <w:r>
              <w:rPr>
                <w:rFonts w:hint="eastAsia"/>
                <w:szCs w:val="21"/>
              </w:rPr>
              <w:t>本期末</w:t>
            </w:r>
          </w:p>
          <w:p w:rsidR="00831CAC" w:rsidRDefault="00831CAC">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31CAC" w:rsidRDefault="00831CAC">
            <w:pPr>
              <w:widowControl/>
              <w:autoSpaceDE w:val="0"/>
              <w:autoSpaceDN w:val="0"/>
              <w:ind w:right="-15"/>
              <w:jc w:val="center"/>
              <w:textAlignment w:val="bottom"/>
              <w:rPr>
                <w:szCs w:val="21"/>
              </w:rPr>
            </w:pPr>
            <w:r>
              <w:rPr>
                <w:rFonts w:hint="eastAsia"/>
                <w:szCs w:val="21"/>
              </w:rPr>
              <w:t>上年度末</w:t>
            </w:r>
          </w:p>
          <w:p w:rsidR="00831CAC" w:rsidRDefault="00831CAC">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31CAC" w:rsidTr="00A218AC">
        <w:trPr>
          <w:jc w:val="center"/>
        </w:trPr>
        <w:tc>
          <w:tcPr>
            <w:tcW w:w="2552" w:type="dxa"/>
            <w:vAlign w:val="center"/>
            <w:hideMark/>
          </w:tcPr>
          <w:p w:rsidR="00831CAC" w:rsidRDefault="00831CAC">
            <w:pPr>
              <w:rPr>
                <w:szCs w:val="21"/>
              </w:rPr>
            </w:pPr>
            <w:r>
              <w:rPr>
                <w:szCs w:val="21"/>
              </w:rPr>
              <w:t>A-1</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szCs w:val="21"/>
              </w:rPr>
              <w:t>A-1</w:t>
            </w:r>
            <w:r>
              <w:rPr>
                <w:rFonts w:hint="eastAsia"/>
                <w:szCs w:val="21"/>
              </w:rPr>
              <w:t>以下</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rFonts w:hint="eastAsia"/>
                <w:kern w:val="0"/>
                <w:szCs w:val="21"/>
              </w:rPr>
              <w:t>未评级</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rFonts w:hint="eastAsia"/>
                <w:kern w:val="0"/>
                <w:szCs w:val="21"/>
              </w:rPr>
              <w:t>合计</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bl>
    <w:p w:rsidR="007B4EE4" w:rsidRDefault="00B833D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B4EE4" w:rsidRDefault="00B833D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31CAC" w:rsidRDefault="00831CAC" w:rsidP="00831CAC">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6.4.13.2.2 </w:t>
      </w:r>
      <w:r w:rsidRPr="00BD7906">
        <w:rPr>
          <w:rFonts w:eastAsiaTheme="minorEastAsia" w:hint="eastAsia"/>
          <w:b/>
          <w:color w:val="000000"/>
          <w:szCs w:val="21"/>
        </w:rPr>
        <w:t>按短期信用评级列示的资产支持证券投资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31CAC" w:rsidTr="00A218AC">
        <w:trPr>
          <w:jc w:val="center"/>
        </w:trPr>
        <w:tc>
          <w:tcPr>
            <w:tcW w:w="2552" w:type="dxa"/>
            <w:vAlign w:val="center"/>
            <w:hideMark/>
          </w:tcPr>
          <w:p w:rsidR="00831CAC" w:rsidRDefault="00831CAC">
            <w:pPr>
              <w:jc w:val="center"/>
              <w:rPr>
                <w:rFonts w:eastAsiaTheme="minorEastAsia"/>
                <w:szCs w:val="21"/>
              </w:rPr>
            </w:pPr>
            <w:r>
              <w:rPr>
                <w:rFonts w:eastAsiaTheme="minorEastAsia" w:hint="eastAsia"/>
                <w:szCs w:val="21"/>
              </w:rPr>
              <w:t>短期信用评级</w:t>
            </w:r>
          </w:p>
        </w:tc>
        <w:tc>
          <w:tcPr>
            <w:tcW w:w="3049"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552" w:type="dxa"/>
            <w:hideMark/>
          </w:tcPr>
          <w:p w:rsidR="00831CAC" w:rsidRDefault="00831CAC">
            <w:pPr>
              <w:rPr>
                <w:rFonts w:eastAsiaTheme="minorEastAsia"/>
                <w:szCs w:val="21"/>
              </w:rPr>
            </w:pPr>
            <w:r>
              <w:rPr>
                <w:rFonts w:eastAsiaTheme="minorEastAsia"/>
                <w:szCs w:val="21"/>
              </w:rPr>
              <w:t>A-1</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hideMark/>
          </w:tcPr>
          <w:p w:rsidR="00831CAC" w:rsidRDefault="00831CAC">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vAlign w:val="center"/>
            <w:hideMark/>
          </w:tcPr>
          <w:p w:rsidR="00831CAC" w:rsidRDefault="00831CAC">
            <w:pPr>
              <w:rPr>
                <w:rFonts w:eastAsiaTheme="minorEastAsia"/>
                <w:szCs w:val="21"/>
              </w:rPr>
            </w:pPr>
            <w:r>
              <w:rPr>
                <w:rFonts w:eastAsiaTheme="minorEastAsia" w:hint="eastAsia"/>
                <w:kern w:val="0"/>
                <w:szCs w:val="21"/>
              </w:rPr>
              <w:t>合计</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6.4.13.2.3 </w:t>
      </w:r>
      <w:r w:rsidRPr="00BD7906">
        <w:rPr>
          <w:rFonts w:eastAsiaTheme="minorEastAsia" w:hint="eastAsia"/>
          <w:b/>
          <w:color w:val="000000"/>
          <w:szCs w:val="21"/>
        </w:rPr>
        <w:t>按短期信用评级列示的同业存单投资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短期信用评级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A-1</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合计</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6.4.13.2.4 </w:t>
      </w:r>
      <w:r w:rsidRPr="00BD7906">
        <w:rPr>
          <w:rFonts w:eastAsiaTheme="minorEastAsia" w:hint="eastAsia"/>
          <w:b/>
          <w:color w:val="000000"/>
          <w:szCs w:val="21"/>
        </w:rPr>
        <w:t>按长期信用评级列示的债券投资</w:t>
      </w:r>
    </w:p>
    <w:p w:rsidR="00831CAC" w:rsidRDefault="00831CAC" w:rsidP="00831CAC">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31CAC" w:rsidTr="00A218AC">
        <w:tc>
          <w:tcPr>
            <w:tcW w:w="2655" w:type="dxa"/>
            <w:vAlign w:val="center"/>
            <w:hideMark/>
          </w:tcPr>
          <w:p w:rsidR="00831CAC" w:rsidRDefault="00831CAC">
            <w:pPr>
              <w:jc w:val="center"/>
              <w:rPr>
                <w:szCs w:val="21"/>
              </w:rPr>
            </w:pPr>
            <w:r>
              <w:rPr>
                <w:rFonts w:hint="eastAsia"/>
                <w:szCs w:val="21"/>
              </w:rPr>
              <w:lastRenderedPageBreak/>
              <w:t>长期信用评级</w:t>
            </w:r>
          </w:p>
        </w:tc>
        <w:tc>
          <w:tcPr>
            <w:tcW w:w="2977" w:type="dxa"/>
            <w:vAlign w:val="center"/>
            <w:hideMark/>
          </w:tcPr>
          <w:p w:rsidR="00831CAC" w:rsidRDefault="00831CAC">
            <w:pPr>
              <w:widowControl/>
              <w:autoSpaceDE w:val="0"/>
              <w:autoSpaceDN w:val="0"/>
              <w:ind w:right="-15"/>
              <w:jc w:val="center"/>
              <w:textAlignment w:val="bottom"/>
              <w:rPr>
                <w:szCs w:val="21"/>
              </w:rPr>
            </w:pPr>
            <w:r>
              <w:rPr>
                <w:rFonts w:hint="eastAsia"/>
                <w:szCs w:val="21"/>
              </w:rPr>
              <w:t>本期末</w:t>
            </w:r>
          </w:p>
          <w:p w:rsidR="00831CAC" w:rsidRDefault="00831CAC">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31CAC" w:rsidRDefault="00831CAC">
            <w:pPr>
              <w:widowControl/>
              <w:autoSpaceDE w:val="0"/>
              <w:autoSpaceDN w:val="0"/>
              <w:ind w:right="-15"/>
              <w:jc w:val="center"/>
              <w:textAlignment w:val="bottom"/>
              <w:rPr>
                <w:szCs w:val="21"/>
              </w:rPr>
            </w:pPr>
            <w:r>
              <w:rPr>
                <w:rFonts w:hint="eastAsia"/>
                <w:szCs w:val="21"/>
              </w:rPr>
              <w:t>上年度末</w:t>
            </w:r>
          </w:p>
          <w:p w:rsidR="00831CAC" w:rsidRDefault="00831CAC">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31CAC" w:rsidTr="00A218AC">
        <w:tc>
          <w:tcPr>
            <w:tcW w:w="2655" w:type="dxa"/>
            <w:vAlign w:val="center"/>
            <w:hideMark/>
          </w:tcPr>
          <w:p w:rsidR="00831CAC" w:rsidRDefault="00831CAC">
            <w:pPr>
              <w:rPr>
                <w:szCs w:val="21"/>
              </w:rPr>
            </w:pPr>
            <w:r>
              <w:rPr>
                <w:szCs w:val="21"/>
              </w:rPr>
              <w:t>AAA</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szCs w:val="21"/>
              </w:rPr>
            </w:pPr>
            <w:r>
              <w:rPr>
                <w:szCs w:val="21"/>
              </w:rPr>
              <w:t>AAA</w:t>
            </w:r>
            <w:r>
              <w:rPr>
                <w:rFonts w:hint="eastAsia"/>
                <w:szCs w:val="21"/>
              </w:rPr>
              <w:t>以下</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szCs w:val="21"/>
              </w:rPr>
            </w:pPr>
            <w:r>
              <w:rPr>
                <w:rFonts w:hint="eastAsia"/>
                <w:kern w:val="0"/>
                <w:szCs w:val="21"/>
              </w:rPr>
              <w:t>未评级</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kern w:val="0"/>
                <w:szCs w:val="21"/>
              </w:rPr>
            </w:pPr>
            <w:r>
              <w:rPr>
                <w:rFonts w:hint="eastAsia"/>
                <w:kern w:val="0"/>
                <w:szCs w:val="21"/>
              </w:rPr>
              <w:t>合计</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bl>
    <w:p w:rsidR="007B4EE4" w:rsidRDefault="00B833D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B4EE4" w:rsidRDefault="00B833D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31CAC" w:rsidRDefault="00831CAC" w:rsidP="00831CAC">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6.4.13.2.5 </w:t>
      </w:r>
      <w:r w:rsidRPr="00BD7906">
        <w:rPr>
          <w:rFonts w:eastAsiaTheme="minorEastAsia" w:hint="eastAsia"/>
          <w:b/>
          <w:color w:val="000000"/>
          <w:szCs w:val="21"/>
        </w:rPr>
        <w:t>按长期信用评级列示的资产支持证券投资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长期信用评级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kern w:val="0"/>
                <w:szCs w:val="21"/>
              </w:rPr>
            </w:pPr>
            <w:r>
              <w:rPr>
                <w:rFonts w:eastAsiaTheme="minorEastAsia" w:hint="eastAsia"/>
                <w:kern w:val="0"/>
                <w:szCs w:val="21"/>
              </w:rPr>
              <w:t>合计</w:t>
            </w:r>
          </w:p>
        </w:tc>
        <w:tc>
          <w:tcPr>
            <w:tcW w:w="2977" w:type="dxa"/>
            <w:vAlign w:val="center"/>
            <w:hideMark/>
          </w:tcPr>
          <w:p w:rsidR="00831CAC" w:rsidRDefault="00831CAC">
            <w:pPr>
              <w:jc w:val="right"/>
              <w:rPr>
                <w:rFonts w:eastAsiaTheme="minorEastAsia"/>
                <w:szCs w:val="21"/>
              </w:rPr>
            </w:pPr>
            <w:r>
              <w:rPr>
                <w:rFonts w:eastAsiaTheme="minorEastAsia"/>
                <w:szCs w:val="21"/>
              </w:rPr>
              <w:t>0.00</w:t>
            </w:r>
          </w:p>
        </w:tc>
        <w:tc>
          <w:tcPr>
            <w:tcW w:w="3046" w:type="dxa"/>
            <w:vAlign w:val="center"/>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6.4.13.2.6</w:t>
      </w:r>
      <w:r w:rsidRPr="00BD7906">
        <w:rPr>
          <w:rFonts w:eastAsiaTheme="minorEastAsia" w:hint="eastAsia"/>
          <w:b/>
          <w:color w:val="000000"/>
          <w:szCs w:val="21"/>
        </w:rPr>
        <w:t>按长期信用评级列示的同业存单投资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长期信用评级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kern w:val="0"/>
                <w:szCs w:val="21"/>
              </w:rPr>
            </w:pPr>
            <w:r>
              <w:rPr>
                <w:rFonts w:eastAsiaTheme="minorEastAsia" w:hint="eastAsia"/>
                <w:kern w:val="0"/>
                <w:szCs w:val="21"/>
              </w:rPr>
              <w:t>合计</w:t>
            </w:r>
          </w:p>
        </w:tc>
        <w:tc>
          <w:tcPr>
            <w:tcW w:w="2977" w:type="dxa"/>
            <w:vAlign w:val="center"/>
            <w:hideMark/>
          </w:tcPr>
          <w:p w:rsidR="00831CAC" w:rsidRDefault="00831CAC">
            <w:pPr>
              <w:jc w:val="right"/>
              <w:rPr>
                <w:rFonts w:eastAsiaTheme="minorEastAsia"/>
                <w:szCs w:val="21"/>
              </w:rPr>
            </w:pPr>
            <w:r>
              <w:rPr>
                <w:rFonts w:eastAsiaTheme="minorEastAsia"/>
                <w:szCs w:val="21"/>
              </w:rPr>
              <w:t>0.00</w:t>
            </w:r>
          </w:p>
        </w:tc>
        <w:tc>
          <w:tcPr>
            <w:tcW w:w="3046" w:type="dxa"/>
            <w:vAlign w:val="center"/>
            <w:hideMark/>
          </w:tcPr>
          <w:p w:rsidR="00831CAC" w:rsidRDefault="00831CAC">
            <w:pPr>
              <w:jc w:val="right"/>
              <w:rPr>
                <w:rFonts w:eastAsiaTheme="minorEastAsia"/>
                <w:szCs w:val="21"/>
              </w:rPr>
            </w:pPr>
            <w:r>
              <w:rPr>
                <w:rFonts w:eastAsiaTheme="minorEastAsia"/>
                <w:szCs w:val="21"/>
              </w:rPr>
              <w:t>0.00</w:t>
            </w:r>
          </w:p>
        </w:tc>
      </w:tr>
    </w:tbl>
    <w:p w:rsidR="008A5A5D" w:rsidRPr="00C24ACA" w:rsidRDefault="008A5A5D" w:rsidP="00831CAC">
      <w:pPr>
        <w:tabs>
          <w:tab w:val="left" w:pos="426"/>
        </w:tabs>
        <w:spacing w:line="360" w:lineRule="auto"/>
        <w:ind w:firstLineChars="200" w:firstLine="422"/>
        <w:jc w:val="left"/>
        <w:rPr>
          <w:rFonts w:eastAsiaTheme="minorEastAsia"/>
          <w:b/>
          <w:bCs/>
          <w:color w:val="000000"/>
          <w:szCs w:val="21"/>
        </w:rPr>
      </w:pPr>
      <w:r w:rsidRPr="00C24ACA">
        <w:rPr>
          <w:rFonts w:eastAsiaTheme="minorEastAsia"/>
          <w:b/>
          <w:bCs/>
          <w:color w:val="000000"/>
          <w:kern w:val="0"/>
          <w:szCs w:val="21"/>
        </w:rPr>
        <w:t>6.4.13.3</w:t>
      </w:r>
      <w:r w:rsidRPr="00C24ACA">
        <w:rPr>
          <w:rFonts w:eastAsiaTheme="minorEastAsia"/>
          <w:b/>
          <w:bCs/>
          <w:color w:val="000000"/>
          <w:szCs w:val="21"/>
        </w:rPr>
        <w:t>流动性风险</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日，除卖出回购金融资产款余额</w:t>
      </w:r>
      <w:r w:rsidRPr="00C24ACA">
        <w:rPr>
          <w:rFonts w:eastAsiaTheme="minorEastAsia"/>
          <w:kern w:val="0"/>
          <w:szCs w:val="21"/>
        </w:rPr>
        <w:t>(</w:t>
      </w:r>
      <w:r w:rsidRPr="00C24ACA">
        <w:rPr>
          <w:rFonts w:eastAsiaTheme="minorEastAsia"/>
          <w:kern w:val="0"/>
          <w:szCs w:val="21"/>
        </w:rPr>
        <w:t>计息但该利息金额不重大</w:t>
      </w:r>
      <w:r w:rsidRPr="00C24ACA">
        <w:rPr>
          <w:rFonts w:eastAsiaTheme="minorEastAsia"/>
          <w:kern w:val="0"/>
          <w:szCs w:val="21"/>
        </w:rPr>
        <w:t>)</w:t>
      </w:r>
      <w:r w:rsidRPr="00C24ACA">
        <w:rPr>
          <w:rFonts w:eastAsiaTheme="minorEastAsia"/>
          <w:kern w:val="0"/>
          <w:szCs w:val="21"/>
        </w:rPr>
        <w:t>以外，本基金承担的其他金融负债的合约约定到期日均为一年以内且不计息，可赎回基金份额净值</w:t>
      </w:r>
      <w:r w:rsidRPr="00C24ACA">
        <w:rPr>
          <w:rFonts w:eastAsiaTheme="minorEastAsia"/>
          <w:kern w:val="0"/>
          <w:szCs w:val="21"/>
        </w:rPr>
        <w:t>(</w:t>
      </w:r>
      <w:r w:rsidRPr="00C24ACA">
        <w:rPr>
          <w:rFonts w:eastAsiaTheme="minorEastAsia"/>
          <w:kern w:val="0"/>
          <w:szCs w:val="21"/>
        </w:rPr>
        <w:t>所有者权益</w:t>
      </w:r>
      <w:r w:rsidRPr="00C24ACA">
        <w:rPr>
          <w:rFonts w:eastAsiaTheme="minorEastAsia"/>
          <w:kern w:val="0"/>
          <w:szCs w:val="21"/>
        </w:rPr>
        <w:t>)</w:t>
      </w:r>
      <w:r w:rsidRPr="00C24ACA">
        <w:rPr>
          <w:rFonts w:eastAsiaTheme="minorEastAsia"/>
          <w:kern w:val="0"/>
          <w:szCs w:val="21"/>
        </w:rPr>
        <w:t>无固定到期日且不计息，因此账面余额约为未折现的合约到期现金流量。</w:t>
      </w:r>
    </w:p>
    <w:p w:rsidR="00206D74" w:rsidRPr="00A73188" w:rsidRDefault="00206D74" w:rsidP="00732F5C">
      <w:pPr>
        <w:spacing w:beforeLines="50" w:before="156" w:line="360" w:lineRule="auto"/>
        <w:rPr>
          <w:rFonts w:eastAsiaTheme="minorEastAsia"/>
          <w:b/>
          <w:bCs/>
          <w:color w:val="000000" w:themeColor="text1"/>
          <w:szCs w:val="21"/>
        </w:rPr>
      </w:pPr>
      <w:r w:rsidRPr="00A73188">
        <w:rPr>
          <w:rFonts w:eastAsiaTheme="minorEastAsia"/>
          <w:b/>
          <w:bCs/>
          <w:color w:val="000000" w:themeColor="text1"/>
          <w:kern w:val="0"/>
          <w:szCs w:val="21"/>
        </w:rPr>
        <w:t>6.4.13.3</w:t>
      </w:r>
      <w:r w:rsidRPr="00A73188">
        <w:rPr>
          <w:rFonts w:eastAsiaTheme="minorEastAsia" w:hint="eastAsia"/>
          <w:b/>
          <w:bCs/>
          <w:color w:val="000000" w:themeColor="text1"/>
          <w:kern w:val="0"/>
          <w:szCs w:val="21"/>
        </w:rPr>
        <w:t>.1</w:t>
      </w:r>
      <w:r w:rsidRPr="00A73188">
        <w:rPr>
          <w:rFonts w:eastAsiaTheme="minorEastAsia"/>
          <w:b/>
          <w:bCs/>
          <w:color w:val="000000" w:themeColor="text1"/>
          <w:kern w:val="0"/>
          <w:szCs w:val="21"/>
        </w:rPr>
        <w:t xml:space="preserve"> </w:t>
      </w:r>
      <w:r w:rsidRPr="00A73188">
        <w:rPr>
          <w:rFonts w:eastAsiaTheme="minorEastAsia" w:hint="eastAsia"/>
          <w:b/>
          <w:bCs/>
          <w:color w:val="000000" w:themeColor="text1"/>
          <w:szCs w:val="21"/>
        </w:rPr>
        <w:t>报告期内本基金组合资产的流动性风险分析</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本基金的基金管理人在基金运作过程中按照《公开募集证券投资基金运作管理办法》、《公开</w:t>
      </w:r>
      <w:r>
        <w:rPr>
          <w:rFonts w:eastAsiaTheme="minorEastAsia"/>
          <w:kern w:val="0"/>
          <w:szCs w:val="21"/>
        </w:rPr>
        <w:lastRenderedPageBreak/>
        <w:t>募集开放式证券投资基金流动性风险管理规定》等法规的要求对本基金组合资产的流动性风险进行管理，通过独立的风险管理部门对本基金组合的流动性指标进行持续的监测和分析。</w:t>
      </w:r>
    </w:p>
    <w:p w:rsidR="00206D74" w:rsidRPr="00C24ACA" w:rsidRDefault="00206D74" w:rsidP="00206D74">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本基金的投资范围为具有良好流动性的金融工具，所持大部分证券在流动性良好的证券交易所或者银行间同业市场交易，期末除本报告</w:t>
      </w:r>
      <w:r w:rsidRPr="001412CA">
        <w:rPr>
          <w:rFonts w:eastAsiaTheme="minorEastAsia"/>
          <w:kern w:val="0"/>
          <w:szCs w:val="21"/>
        </w:rPr>
        <w:t>“</w:t>
      </w:r>
      <w:r w:rsidRPr="001412CA">
        <w:rPr>
          <w:rFonts w:eastAsiaTheme="minorEastAsia"/>
          <w:kern w:val="0"/>
          <w:szCs w:val="21"/>
        </w:rPr>
        <w:t>期末本基金持有的流通受限证券</w:t>
      </w:r>
      <w:r w:rsidRPr="001412CA">
        <w:rPr>
          <w:rFonts w:eastAsiaTheme="minorEastAsia"/>
          <w:kern w:val="0"/>
          <w:szCs w:val="21"/>
        </w:rPr>
        <w:t>”</w:t>
      </w:r>
      <w:r w:rsidRPr="001412CA">
        <w:rPr>
          <w:rFonts w:eastAsiaTheme="minorEastAsia"/>
          <w:kern w:val="0"/>
          <w:szCs w:val="21"/>
        </w:rPr>
        <w:t>章节中所列示券种流通暂时受限制不能自由转让外，其余均能及时变现。评估结果显示组合高流动性资产比重较高，组合变现比例能力较好。</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w:t>
      </w:r>
      <w:r w:rsidRPr="00C24ACA">
        <w:rPr>
          <w:rFonts w:eastAsiaTheme="minorEastAsia"/>
          <w:b/>
          <w:bCs/>
          <w:color w:val="000000"/>
          <w:szCs w:val="21"/>
        </w:rPr>
        <w:t>市场风险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投资于海外市场，面临海外市场波动带来的风险。影响金融市场波动的因素比较复杂，包括经济发展、政策变化、资金供求、公司盈利的变化、利率汇率波动等，都将影响基金净值的升跌。此外，本基金主要投资的香港证券市场对每日证券交易价格并无涨跌幅上下限的规定，因此香港证券市场证券的每日涨跌幅空间相对较大。这一因素可能会带来市场的急剧下跌，从而带来投资风险的增加。</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w:t>
      </w:r>
      <w:r w:rsidRPr="00C24ACA">
        <w:rPr>
          <w:rFonts w:eastAsiaTheme="minorEastAsia"/>
          <w:b/>
          <w:bCs/>
          <w:color w:val="000000"/>
          <w:szCs w:val="21"/>
        </w:rPr>
        <w:t>利率风险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利率风险是指基金的财务状况和现金流量受市场利率变动而发生波动的风险。投资管理人通过久期、凸度、</w:t>
      </w:r>
      <w:r w:rsidRPr="00C24ACA">
        <w:rPr>
          <w:rFonts w:eastAsiaTheme="minorEastAsia"/>
          <w:kern w:val="0"/>
          <w:szCs w:val="21"/>
        </w:rPr>
        <w:t>VAR</w:t>
      </w:r>
      <w:r w:rsidRPr="00C24ACA">
        <w:rPr>
          <w:rFonts w:eastAsiaTheme="minorEastAsia"/>
          <w:kern w:val="0"/>
          <w:szCs w:val="21"/>
        </w:rPr>
        <w:t>等方法评估组合面临的利率风险敞口，并通过调整投资组合的久期等方法对上述利率风险进行管理。</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6.4.13.4.1.1</w:t>
      </w:r>
      <w:r w:rsidRPr="00C24ACA">
        <w:rPr>
          <w:rFonts w:eastAsiaTheme="minorEastAsia"/>
          <w:b/>
          <w:bCs/>
          <w:color w:val="000000"/>
          <w:szCs w:val="21"/>
        </w:rPr>
        <w:t>利率风险敞口</w:t>
      </w:r>
    </w:p>
    <w:p w:rsidR="00A10C6C" w:rsidRPr="00C24ACA" w:rsidRDefault="00A10C6C" w:rsidP="00A10C6C">
      <w:pPr>
        <w:autoSpaceDE w:val="0"/>
        <w:autoSpaceDN w:val="0"/>
        <w:adjustRightInd w:val="0"/>
        <w:spacing w:before="29" w:line="360" w:lineRule="auto"/>
        <w:ind w:left="15"/>
        <w:jc w:val="right"/>
        <w:rPr>
          <w:rFonts w:eastAsiaTheme="minorEastAsia"/>
          <w:color w:val="000000"/>
          <w:szCs w:val="21"/>
        </w:rPr>
      </w:pPr>
      <w:r w:rsidRPr="00C24ACA">
        <w:rPr>
          <w:rFonts w:eastAsiaTheme="minorEastAsia"/>
          <w:color w:val="000000"/>
          <w:szCs w:val="21"/>
        </w:rPr>
        <w:t>单位：人民币元</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本期末</w:t>
            </w:r>
          </w:p>
          <w:p w:rsidR="00A10C6C" w:rsidRPr="00C24ACA" w:rsidRDefault="00A10C6C" w:rsidP="00427BFF">
            <w:pPr>
              <w:spacing w:line="360" w:lineRule="auto"/>
              <w:jc w:val="center"/>
              <w:rPr>
                <w:rFonts w:eastAsiaTheme="minorEastAsia"/>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7B4EE4">
        <w:tc>
          <w:tcPr>
            <w:tcW w:w="1588" w:type="dxa"/>
            <w:vAlign w:val="center"/>
          </w:tcPr>
          <w:p w:rsidR="007B4EE4" w:rsidRDefault="00B833D5">
            <w:pPr>
              <w:jc w:val="center"/>
            </w:pPr>
            <w:r>
              <w:rPr>
                <w:rFonts w:eastAsiaTheme="minorEastAsia"/>
                <w:color w:val="000000"/>
                <w:szCs w:val="21"/>
              </w:rPr>
              <w:t>银行存款</w:t>
            </w:r>
          </w:p>
        </w:tc>
        <w:tc>
          <w:tcPr>
            <w:tcW w:w="1701" w:type="dxa"/>
            <w:vAlign w:val="center"/>
          </w:tcPr>
          <w:p w:rsidR="007B4EE4" w:rsidRDefault="00B833D5">
            <w:pPr>
              <w:jc w:val="right"/>
            </w:pPr>
            <w:r>
              <w:rPr>
                <w:rFonts w:eastAsiaTheme="minorEastAsia"/>
                <w:color w:val="000000"/>
                <w:szCs w:val="21"/>
              </w:rPr>
              <w:t>1,845,662.72</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1,845,662.72</w:t>
            </w:r>
          </w:p>
        </w:tc>
      </w:tr>
      <w:tr w:rsidR="007B4EE4">
        <w:tc>
          <w:tcPr>
            <w:tcW w:w="1588" w:type="dxa"/>
            <w:vAlign w:val="center"/>
          </w:tcPr>
          <w:p w:rsidR="007B4EE4" w:rsidRDefault="00B833D5">
            <w:pPr>
              <w:jc w:val="center"/>
            </w:pPr>
            <w:r>
              <w:rPr>
                <w:rFonts w:eastAsiaTheme="minorEastAsia"/>
                <w:color w:val="000000"/>
                <w:szCs w:val="21"/>
              </w:rPr>
              <w:t>结算备付金</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存出保证金</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交易性金融资产</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21,826,559.71</w:t>
            </w:r>
          </w:p>
        </w:tc>
        <w:tc>
          <w:tcPr>
            <w:tcW w:w="1301" w:type="dxa"/>
            <w:vAlign w:val="center"/>
          </w:tcPr>
          <w:p w:rsidR="007B4EE4" w:rsidRDefault="00B833D5">
            <w:pPr>
              <w:jc w:val="right"/>
            </w:pPr>
            <w:r>
              <w:rPr>
                <w:rFonts w:eastAsiaTheme="minorEastAsia"/>
                <w:color w:val="000000"/>
                <w:szCs w:val="21"/>
              </w:rPr>
              <w:t>21,826,559.71</w:t>
            </w:r>
          </w:p>
        </w:tc>
      </w:tr>
      <w:tr w:rsidR="007B4EE4">
        <w:tc>
          <w:tcPr>
            <w:tcW w:w="1588" w:type="dxa"/>
            <w:vAlign w:val="center"/>
          </w:tcPr>
          <w:p w:rsidR="007B4EE4" w:rsidRDefault="00B833D5">
            <w:pPr>
              <w:jc w:val="center"/>
            </w:pPr>
            <w:r>
              <w:rPr>
                <w:rFonts w:eastAsiaTheme="minorEastAsia"/>
                <w:color w:val="000000"/>
                <w:szCs w:val="21"/>
              </w:rPr>
              <w:t>衍生金融资产</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买入返售金融资产</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应收证券清算款</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应收利息</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80.47</w:t>
            </w:r>
          </w:p>
        </w:tc>
        <w:tc>
          <w:tcPr>
            <w:tcW w:w="1301" w:type="dxa"/>
            <w:vAlign w:val="center"/>
          </w:tcPr>
          <w:p w:rsidR="007B4EE4" w:rsidRDefault="00B833D5">
            <w:pPr>
              <w:jc w:val="right"/>
            </w:pPr>
            <w:r>
              <w:rPr>
                <w:rFonts w:eastAsiaTheme="minorEastAsia"/>
                <w:color w:val="000000"/>
                <w:szCs w:val="21"/>
              </w:rPr>
              <w:t>80.47</w:t>
            </w:r>
          </w:p>
        </w:tc>
      </w:tr>
      <w:tr w:rsidR="007B4EE4">
        <w:tc>
          <w:tcPr>
            <w:tcW w:w="1588" w:type="dxa"/>
            <w:vAlign w:val="center"/>
          </w:tcPr>
          <w:p w:rsidR="007B4EE4" w:rsidRDefault="00B833D5">
            <w:pPr>
              <w:jc w:val="center"/>
            </w:pPr>
            <w:r>
              <w:rPr>
                <w:rFonts w:eastAsiaTheme="minorEastAsia"/>
                <w:color w:val="000000"/>
                <w:szCs w:val="21"/>
              </w:rPr>
              <w:t>应收股利</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194,185.82</w:t>
            </w:r>
          </w:p>
        </w:tc>
        <w:tc>
          <w:tcPr>
            <w:tcW w:w="1301" w:type="dxa"/>
            <w:vAlign w:val="center"/>
          </w:tcPr>
          <w:p w:rsidR="007B4EE4" w:rsidRDefault="00B833D5">
            <w:pPr>
              <w:jc w:val="right"/>
            </w:pPr>
            <w:r>
              <w:rPr>
                <w:rFonts w:eastAsiaTheme="minorEastAsia"/>
                <w:color w:val="000000"/>
                <w:szCs w:val="21"/>
              </w:rPr>
              <w:t>194,185.82</w:t>
            </w:r>
          </w:p>
        </w:tc>
      </w:tr>
      <w:tr w:rsidR="007B4EE4">
        <w:tc>
          <w:tcPr>
            <w:tcW w:w="1588" w:type="dxa"/>
            <w:vAlign w:val="center"/>
          </w:tcPr>
          <w:p w:rsidR="007B4EE4" w:rsidRDefault="00B833D5">
            <w:pPr>
              <w:jc w:val="center"/>
            </w:pPr>
            <w:r>
              <w:rPr>
                <w:rFonts w:eastAsiaTheme="minorEastAsia"/>
                <w:color w:val="000000"/>
                <w:szCs w:val="21"/>
              </w:rPr>
              <w:lastRenderedPageBreak/>
              <w:t>应收申购款</w:t>
            </w:r>
          </w:p>
        </w:tc>
        <w:tc>
          <w:tcPr>
            <w:tcW w:w="1701" w:type="dxa"/>
            <w:vAlign w:val="center"/>
          </w:tcPr>
          <w:p w:rsidR="007B4EE4" w:rsidRDefault="00B833D5">
            <w:pPr>
              <w:jc w:val="right"/>
            </w:pPr>
            <w:r>
              <w:rPr>
                <w:rFonts w:eastAsiaTheme="minorEastAsia"/>
                <w:color w:val="000000"/>
                <w:szCs w:val="21"/>
              </w:rPr>
              <w:t>13,261.28</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72,143.22</w:t>
            </w:r>
          </w:p>
        </w:tc>
        <w:tc>
          <w:tcPr>
            <w:tcW w:w="1301" w:type="dxa"/>
            <w:vAlign w:val="center"/>
          </w:tcPr>
          <w:p w:rsidR="007B4EE4" w:rsidRDefault="00B833D5">
            <w:pPr>
              <w:jc w:val="right"/>
            </w:pPr>
            <w:r>
              <w:rPr>
                <w:rFonts w:eastAsiaTheme="minorEastAsia"/>
                <w:color w:val="000000"/>
                <w:szCs w:val="21"/>
              </w:rPr>
              <w:t>85,404.50</w:t>
            </w:r>
          </w:p>
        </w:tc>
      </w:tr>
      <w:tr w:rsidR="007B4EE4">
        <w:tc>
          <w:tcPr>
            <w:tcW w:w="1588" w:type="dxa"/>
            <w:vAlign w:val="center"/>
          </w:tcPr>
          <w:p w:rsidR="007B4EE4" w:rsidRDefault="00B833D5">
            <w:pPr>
              <w:jc w:val="center"/>
            </w:pPr>
            <w:r>
              <w:rPr>
                <w:rFonts w:eastAsiaTheme="minorEastAsia"/>
                <w:color w:val="000000"/>
                <w:szCs w:val="21"/>
              </w:rPr>
              <w:t>递延所得税资产</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其他资产</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autoSpaceDE w:val="0"/>
              <w:autoSpaceDN w:val="0"/>
              <w:adjustRightInd w:val="0"/>
              <w:spacing w:before="29"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1,858,924.00</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22,092,969.22</w:t>
            </w:r>
          </w:p>
        </w:tc>
        <w:tc>
          <w:tcPr>
            <w:tcW w:w="13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23,951,893.22</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center"/>
          </w:tcPr>
          <w:p w:rsidR="00A10C6C" w:rsidRPr="00C24ACA" w:rsidRDefault="00A10C6C" w:rsidP="00427BFF">
            <w:pPr>
              <w:spacing w:line="360" w:lineRule="auto"/>
              <w:jc w:val="right"/>
              <w:rPr>
                <w:rFonts w:eastAsiaTheme="minorEastAsia"/>
                <w:color w:val="0000FF"/>
                <w:kern w:val="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color w:val="000000"/>
                <w:szCs w:val="21"/>
              </w:rPr>
            </w:pPr>
          </w:p>
        </w:tc>
      </w:tr>
      <w:tr w:rsidR="007B4EE4">
        <w:tc>
          <w:tcPr>
            <w:tcW w:w="1588" w:type="dxa"/>
            <w:vAlign w:val="center"/>
          </w:tcPr>
          <w:p w:rsidR="007B4EE4" w:rsidRDefault="00B833D5">
            <w:pPr>
              <w:jc w:val="center"/>
            </w:pPr>
            <w:r>
              <w:rPr>
                <w:rFonts w:eastAsiaTheme="minorEastAsia"/>
                <w:color w:val="000000"/>
                <w:szCs w:val="21"/>
              </w:rPr>
              <w:t>短期借款</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交易性金融负债</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衍生金融负债</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卖出回购金融资产款</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应付证券清算款</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应付赎回款</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300,758.96</w:t>
            </w:r>
          </w:p>
        </w:tc>
        <w:tc>
          <w:tcPr>
            <w:tcW w:w="1301" w:type="dxa"/>
            <w:vAlign w:val="center"/>
          </w:tcPr>
          <w:p w:rsidR="007B4EE4" w:rsidRDefault="00B833D5">
            <w:pPr>
              <w:jc w:val="right"/>
            </w:pPr>
            <w:r>
              <w:rPr>
                <w:rFonts w:eastAsiaTheme="minorEastAsia"/>
                <w:color w:val="000000"/>
                <w:szCs w:val="21"/>
              </w:rPr>
              <w:t>300,758.96</w:t>
            </w:r>
          </w:p>
        </w:tc>
      </w:tr>
      <w:tr w:rsidR="007B4EE4">
        <w:tc>
          <w:tcPr>
            <w:tcW w:w="1588" w:type="dxa"/>
            <w:vAlign w:val="center"/>
          </w:tcPr>
          <w:p w:rsidR="007B4EE4" w:rsidRDefault="00B833D5">
            <w:pPr>
              <w:jc w:val="center"/>
            </w:pPr>
            <w:r>
              <w:rPr>
                <w:rFonts w:eastAsiaTheme="minorEastAsia"/>
                <w:color w:val="000000"/>
                <w:szCs w:val="21"/>
              </w:rPr>
              <w:t>应付管理人报酬</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15,462.92</w:t>
            </w:r>
          </w:p>
        </w:tc>
        <w:tc>
          <w:tcPr>
            <w:tcW w:w="1301" w:type="dxa"/>
            <w:vAlign w:val="center"/>
          </w:tcPr>
          <w:p w:rsidR="007B4EE4" w:rsidRDefault="00B833D5">
            <w:pPr>
              <w:jc w:val="right"/>
            </w:pPr>
            <w:r>
              <w:rPr>
                <w:rFonts w:eastAsiaTheme="minorEastAsia"/>
                <w:color w:val="000000"/>
                <w:szCs w:val="21"/>
              </w:rPr>
              <w:t>15,462.92</w:t>
            </w:r>
          </w:p>
        </w:tc>
      </w:tr>
      <w:tr w:rsidR="007B4EE4">
        <w:tc>
          <w:tcPr>
            <w:tcW w:w="1588" w:type="dxa"/>
            <w:vAlign w:val="center"/>
          </w:tcPr>
          <w:p w:rsidR="007B4EE4" w:rsidRDefault="00B833D5">
            <w:pPr>
              <w:jc w:val="center"/>
            </w:pPr>
            <w:r>
              <w:rPr>
                <w:rFonts w:eastAsiaTheme="minorEastAsia"/>
                <w:color w:val="000000"/>
                <w:szCs w:val="21"/>
              </w:rPr>
              <w:t>应付托管费</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4,832.15</w:t>
            </w:r>
          </w:p>
        </w:tc>
        <w:tc>
          <w:tcPr>
            <w:tcW w:w="1301" w:type="dxa"/>
            <w:vAlign w:val="center"/>
          </w:tcPr>
          <w:p w:rsidR="007B4EE4" w:rsidRDefault="00B833D5">
            <w:pPr>
              <w:jc w:val="right"/>
            </w:pPr>
            <w:r>
              <w:rPr>
                <w:rFonts w:eastAsiaTheme="minorEastAsia"/>
                <w:color w:val="000000"/>
                <w:szCs w:val="21"/>
              </w:rPr>
              <w:t>4,832.15</w:t>
            </w:r>
          </w:p>
        </w:tc>
      </w:tr>
      <w:tr w:rsidR="007B4EE4">
        <w:tc>
          <w:tcPr>
            <w:tcW w:w="1588" w:type="dxa"/>
            <w:vAlign w:val="center"/>
          </w:tcPr>
          <w:p w:rsidR="007B4EE4" w:rsidRDefault="00B833D5">
            <w:pPr>
              <w:jc w:val="center"/>
            </w:pPr>
            <w:r>
              <w:rPr>
                <w:rFonts w:eastAsiaTheme="minorEastAsia"/>
                <w:color w:val="000000"/>
                <w:szCs w:val="21"/>
              </w:rPr>
              <w:t>应付销售服务费</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423.74</w:t>
            </w:r>
          </w:p>
        </w:tc>
        <w:tc>
          <w:tcPr>
            <w:tcW w:w="1301" w:type="dxa"/>
            <w:vAlign w:val="center"/>
          </w:tcPr>
          <w:p w:rsidR="007B4EE4" w:rsidRDefault="00B833D5">
            <w:pPr>
              <w:jc w:val="right"/>
            </w:pPr>
            <w:r>
              <w:rPr>
                <w:rFonts w:eastAsiaTheme="minorEastAsia"/>
                <w:color w:val="000000"/>
                <w:szCs w:val="21"/>
              </w:rPr>
              <w:t>423.74</w:t>
            </w:r>
          </w:p>
        </w:tc>
      </w:tr>
      <w:tr w:rsidR="007B4EE4">
        <w:tc>
          <w:tcPr>
            <w:tcW w:w="1588" w:type="dxa"/>
            <w:vAlign w:val="center"/>
          </w:tcPr>
          <w:p w:rsidR="007B4EE4" w:rsidRDefault="00B833D5">
            <w:pPr>
              <w:jc w:val="center"/>
            </w:pPr>
            <w:r>
              <w:rPr>
                <w:rFonts w:eastAsiaTheme="minorEastAsia"/>
                <w:color w:val="000000"/>
                <w:szCs w:val="21"/>
              </w:rPr>
              <w:t>应付交易费用</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应交税费</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应付利息</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应付利润</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递延所得税负债</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其他负债</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169,745.65</w:t>
            </w:r>
          </w:p>
        </w:tc>
        <w:tc>
          <w:tcPr>
            <w:tcW w:w="1301" w:type="dxa"/>
            <w:vAlign w:val="center"/>
          </w:tcPr>
          <w:p w:rsidR="007B4EE4" w:rsidRDefault="00B833D5">
            <w:pPr>
              <w:jc w:val="right"/>
            </w:pPr>
            <w:r>
              <w:rPr>
                <w:rFonts w:eastAsiaTheme="minorEastAsia"/>
                <w:color w:val="000000"/>
                <w:szCs w:val="21"/>
              </w:rPr>
              <w:t>169,745.65</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491,223.42</w:t>
            </w:r>
          </w:p>
        </w:tc>
        <w:tc>
          <w:tcPr>
            <w:tcW w:w="1301" w:type="dxa"/>
            <w:vAlign w:val="center"/>
          </w:tcPr>
          <w:p w:rsidR="00A10C6C" w:rsidRPr="00C24ACA" w:rsidRDefault="00A10C6C" w:rsidP="00C903E7">
            <w:pPr>
              <w:spacing w:line="360" w:lineRule="auto"/>
              <w:ind w:right="210"/>
              <w:jc w:val="right"/>
              <w:rPr>
                <w:rFonts w:eastAsiaTheme="minorEastAsia"/>
                <w:szCs w:val="21"/>
              </w:rPr>
            </w:pPr>
            <w:r w:rsidRPr="00C24ACA">
              <w:rPr>
                <w:rFonts w:eastAsiaTheme="minorEastAsia"/>
                <w:szCs w:val="21"/>
              </w:rPr>
              <w:t>491,223.42</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1,858,924.00</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21,601,745.80</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23,460,669.80</w:t>
            </w:r>
          </w:p>
        </w:tc>
      </w:tr>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上年度末</w:t>
            </w:r>
          </w:p>
          <w:p w:rsidR="00A10C6C" w:rsidRPr="00C24ACA" w:rsidRDefault="00A10C6C" w:rsidP="00427BFF">
            <w:pPr>
              <w:spacing w:line="360" w:lineRule="auto"/>
              <w:jc w:val="center"/>
              <w:rPr>
                <w:rFonts w:eastAsiaTheme="minorEastAsia"/>
                <w:color w:val="000000"/>
                <w:szCs w:val="21"/>
              </w:rPr>
            </w:pPr>
            <w:r w:rsidRPr="00C24ACA">
              <w:rPr>
                <w:rFonts w:eastAsiaTheme="minorEastAsia"/>
                <w:szCs w:val="21"/>
              </w:rPr>
              <w:t>2019</w:t>
            </w:r>
            <w:r w:rsidRPr="00C24ACA">
              <w:rPr>
                <w:rFonts w:eastAsiaTheme="minorEastAsia"/>
                <w:szCs w:val="21"/>
              </w:rPr>
              <w:t>年</w:t>
            </w:r>
            <w:r w:rsidRPr="00C24ACA">
              <w:rPr>
                <w:rFonts w:eastAsiaTheme="minorEastAsia"/>
                <w:szCs w:val="21"/>
              </w:rPr>
              <w:t>12</w:t>
            </w:r>
            <w:r w:rsidRPr="00C24ACA">
              <w:rPr>
                <w:rFonts w:eastAsiaTheme="minorEastAsia"/>
                <w:szCs w:val="21"/>
              </w:rPr>
              <w:t>月</w:t>
            </w:r>
            <w:r w:rsidRPr="00C24ACA">
              <w:rPr>
                <w:rFonts w:eastAsiaTheme="minorEastAsia"/>
                <w:szCs w:val="21"/>
              </w:rPr>
              <w:t>31</w:t>
            </w:r>
            <w:r w:rsidRPr="00C24ACA">
              <w:rPr>
                <w:rFonts w:eastAsiaTheme="minorEastAsia"/>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7B4EE4">
        <w:tc>
          <w:tcPr>
            <w:tcW w:w="1588" w:type="dxa"/>
            <w:vAlign w:val="center"/>
          </w:tcPr>
          <w:p w:rsidR="007B4EE4" w:rsidRDefault="00B833D5">
            <w:pPr>
              <w:jc w:val="center"/>
            </w:pPr>
            <w:r>
              <w:rPr>
                <w:rFonts w:eastAsiaTheme="minorEastAsia"/>
                <w:color w:val="000000"/>
                <w:szCs w:val="21"/>
              </w:rPr>
              <w:t>银行存款</w:t>
            </w:r>
          </w:p>
        </w:tc>
        <w:tc>
          <w:tcPr>
            <w:tcW w:w="1701" w:type="dxa"/>
            <w:vAlign w:val="center"/>
          </w:tcPr>
          <w:p w:rsidR="007B4EE4" w:rsidRDefault="00B833D5">
            <w:pPr>
              <w:jc w:val="right"/>
            </w:pPr>
            <w:r>
              <w:rPr>
                <w:rFonts w:eastAsiaTheme="minorEastAsia"/>
                <w:color w:val="000000"/>
                <w:szCs w:val="21"/>
              </w:rPr>
              <w:t>2,126,316.97</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2,126,316.97</w:t>
            </w:r>
          </w:p>
        </w:tc>
      </w:tr>
      <w:tr w:rsidR="007B4EE4">
        <w:tc>
          <w:tcPr>
            <w:tcW w:w="1588" w:type="dxa"/>
            <w:vAlign w:val="center"/>
          </w:tcPr>
          <w:p w:rsidR="007B4EE4" w:rsidRDefault="00B833D5">
            <w:pPr>
              <w:jc w:val="center"/>
            </w:pPr>
            <w:r>
              <w:rPr>
                <w:rFonts w:eastAsiaTheme="minorEastAsia"/>
                <w:color w:val="000000"/>
                <w:szCs w:val="21"/>
              </w:rPr>
              <w:t>结算备付金</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存出保证金</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交易性金融资产</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30,896,286.47</w:t>
            </w:r>
          </w:p>
        </w:tc>
        <w:tc>
          <w:tcPr>
            <w:tcW w:w="1301" w:type="dxa"/>
            <w:vAlign w:val="center"/>
          </w:tcPr>
          <w:p w:rsidR="007B4EE4" w:rsidRDefault="00B833D5">
            <w:pPr>
              <w:jc w:val="right"/>
            </w:pPr>
            <w:r>
              <w:rPr>
                <w:rFonts w:eastAsiaTheme="minorEastAsia"/>
                <w:color w:val="000000"/>
                <w:szCs w:val="21"/>
              </w:rPr>
              <w:t>30,896,286.47</w:t>
            </w:r>
          </w:p>
        </w:tc>
      </w:tr>
      <w:tr w:rsidR="007B4EE4">
        <w:tc>
          <w:tcPr>
            <w:tcW w:w="1588" w:type="dxa"/>
            <w:vAlign w:val="center"/>
          </w:tcPr>
          <w:p w:rsidR="007B4EE4" w:rsidRDefault="00B833D5">
            <w:pPr>
              <w:jc w:val="center"/>
            </w:pPr>
            <w:r>
              <w:rPr>
                <w:rFonts w:eastAsiaTheme="minorEastAsia"/>
                <w:color w:val="000000"/>
                <w:szCs w:val="21"/>
              </w:rPr>
              <w:t>衍生金融资产</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买入返售金融资产</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应收证券清算款</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应收利息</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111.45</w:t>
            </w:r>
          </w:p>
        </w:tc>
        <w:tc>
          <w:tcPr>
            <w:tcW w:w="1301" w:type="dxa"/>
            <w:vAlign w:val="center"/>
          </w:tcPr>
          <w:p w:rsidR="007B4EE4" w:rsidRDefault="00B833D5">
            <w:pPr>
              <w:jc w:val="right"/>
            </w:pPr>
            <w:r>
              <w:rPr>
                <w:rFonts w:eastAsiaTheme="minorEastAsia"/>
                <w:color w:val="000000"/>
                <w:szCs w:val="21"/>
              </w:rPr>
              <w:t>111.45</w:t>
            </w:r>
          </w:p>
        </w:tc>
      </w:tr>
      <w:tr w:rsidR="007B4EE4">
        <w:tc>
          <w:tcPr>
            <w:tcW w:w="1588" w:type="dxa"/>
            <w:vAlign w:val="center"/>
          </w:tcPr>
          <w:p w:rsidR="007B4EE4" w:rsidRDefault="00B833D5">
            <w:pPr>
              <w:jc w:val="center"/>
            </w:pPr>
            <w:r>
              <w:rPr>
                <w:rFonts w:eastAsiaTheme="minorEastAsia"/>
                <w:color w:val="000000"/>
                <w:szCs w:val="21"/>
              </w:rPr>
              <w:t>应收股利</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30,602.72</w:t>
            </w:r>
          </w:p>
        </w:tc>
        <w:tc>
          <w:tcPr>
            <w:tcW w:w="1301" w:type="dxa"/>
            <w:vAlign w:val="center"/>
          </w:tcPr>
          <w:p w:rsidR="007B4EE4" w:rsidRDefault="00B833D5">
            <w:pPr>
              <w:jc w:val="right"/>
            </w:pPr>
            <w:r>
              <w:rPr>
                <w:rFonts w:eastAsiaTheme="minorEastAsia"/>
                <w:color w:val="000000"/>
                <w:szCs w:val="21"/>
              </w:rPr>
              <w:t>30,602.72</w:t>
            </w:r>
          </w:p>
        </w:tc>
      </w:tr>
      <w:tr w:rsidR="007B4EE4">
        <w:tc>
          <w:tcPr>
            <w:tcW w:w="1588" w:type="dxa"/>
            <w:vAlign w:val="center"/>
          </w:tcPr>
          <w:p w:rsidR="007B4EE4" w:rsidRDefault="00B833D5">
            <w:pPr>
              <w:jc w:val="center"/>
            </w:pPr>
            <w:r>
              <w:rPr>
                <w:rFonts w:eastAsiaTheme="minorEastAsia"/>
                <w:color w:val="000000"/>
                <w:szCs w:val="21"/>
              </w:rPr>
              <w:t>应收申购款</w:t>
            </w:r>
          </w:p>
        </w:tc>
        <w:tc>
          <w:tcPr>
            <w:tcW w:w="1701" w:type="dxa"/>
            <w:vAlign w:val="center"/>
          </w:tcPr>
          <w:p w:rsidR="007B4EE4" w:rsidRDefault="00B833D5">
            <w:pPr>
              <w:jc w:val="right"/>
            </w:pPr>
            <w:r>
              <w:rPr>
                <w:rFonts w:eastAsiaTheme="minorEastAsia"/>
                <w:color w:val="000000"/>
                <w:szCs w:val="21"/>
              </w:rPr>
              <w:t>529.00</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77,790.71</w:t>
            </w:r>
          </w:p>
        </w:tc>
        <w:tc>
          <w:tcPr>
            <w:tcW w:w="1301" w:type="dxa"/>
            <w:vAlign w:val="center"/>
          </w:tcPr>
          <w:p w:rsidR="007B4EE4" w:rsidRDefault="00B833D5">
            <w:pPr>
              <w:jc w:val="right"/>
            </w:pPr>
            <w:r>
              <w:rPr>
                <w:rFonts w:eastAsiaTheme="minorEastAsia"/>
                <w:color w:val="000000"/>
                <w:szCs w:val="21"/>
              </w:rPr>
              <w:t>78,319.71</w:t>
            </w:r>
          </w:p>
        </w:tc>
      </w:tr>
      <w:tr w:rsidR="007B4EE4">
        <w:tc>
          <w:tcPr>
            <w:tcW w:w="1588" w:type="dxa"/>
            <w:vAlign w:val="center"/>
          </w:tcPr>
          <w:p w:rsidR="007B4EE4" w:rsidRDefault="00B833D5">
            <w:pPr>
              <w:jc w:val="center"/>
            </w:pPr>
            <w:r>
              <w:rPr>
                <w:rFonts w:eastAsiaTheme="minorEastAsia"/>
                <w:color w:val="000000"/>
                <w:szCs w:val="21"/>
              </w:rPr>
              <w:t>递延所得税资产</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其他资产</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lastRenderedPageBreak/>
              <w:t>资产总计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2,126,845.97</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31,004,791.35</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33,131,637.32</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bottom"/>
          </w:tcPr>
          <w:p w:rsidR="00A10C6C" w:rsidRPr="00C24ACA" w:rsidRDefault="00A10C6C" w:rsidP="00427BFF">
            <w:pPr>
              <w:spacing w:line="360" w:lineRule="auto"/>
              <w:jc w:val="right"/>
              <w:rPr>
                <w:rFonts w:eastAsiaTheme="minorEastAsia"/>
                <w:color w:val="0000FF"/>
                <w:kern w:val="0"/>
                <w:szCs w:val="21"/>
              </w:rPr>
            </w:pPr>
          </w:p>
        </w:tc>
        <w:tc>
          <w:tcPr>
            <w:tcW w:w="1701"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301" w:type="dxa"/>
            <w:vAlign w:val="bottom"/>
          </w:tcPr>
          <w:p w:rsidR="00A10C6C" w:rsidRPr="00C24ACA" w:rsidRDefault="00A10C6C" w:rsidP="00427BFF">
            <w:pPr>
              <w:spacing w:line="360" w:lineRule="auto"/>
              <w:jc w:val="right"/>
              <w:rPr>
                <w:rFonts w:eastAsiaTheme="minorEastAsia"/>
                <w:color w:val="000000"/>
                <w:szCs w:val="21"/>
              </w:rPr>
            </w:pPr>
          </w:p>
        </w:tc>
      </w:tr>
      <w:tr w:rsidR="007B4EE4">
        <w:tc>
          <w:tcPr>
            <w:tcW w:w="1588" w:type="dxa"/>
            <w:vAlign w:val="center"/>
          </w:tcPr>
          <w:p w:rsidR="007B4EE4" w:rsidRDefault="00B833D5">
            <w:pPr>
              <w:jc w:val="center"/>
            </w:pPr>
            <w:r>
              <w:rPr>
                <w:rFonts w:eastAsiaTheme="minorEastAsia"/>
                <w:color w:val="000000"/>
                <w:szCs w:val="21"/>
              </w:rPr>
              <w:t>短期借款</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交易性金融负债</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衍生金融负债</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卖出回购金融资产款</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应付证券清算款</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应付赎回款</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244,413.20</w:t>
            </w:r>
          </w:p>
        </w:tc>
        <w:tc>
          <w:tcPr>
            <w:tcW w:w="1301" w:type="dxa"/>
            <w:vAlign w:val="center"/>
          </w:tcPr>
          <w:p w:rsidR="007B4EE4" w:rsidRDefault="00B833D5">
            <w:pPr>
              <w:jc w:val="right"/>
            </w:pPr>
            <w:r>
              <w:rPr>
                <w:rFonts w:eastAsiaTheme="minorEastAsia"/>
                <w:color w:val="000000"/>
                <w:szCs w:val="21"/>
              </w:rPr>
              <w:t>244,413.20</w:t>
            </w:r>
          </w:p>
        </w:tc>
      </w:tr>
      <w:tr w:rsidR="007B4EE4">
        <w:tc>
          <w:tcPr>
            <w:tcW w:w="1588" w:type="dxa"/>
            <w:vAlign w:val="center"/>
          </w:tcPr>
          <w:p w:rsidR="007B4EE4" w:rsidRDefault="00B833D5">
            <w:pPr>
              <w:jc w:val="center"/>
            </w:pPr>
            <w:r>
              <w:rPr>
                <w:rFonts w:eastAsiaTheme="minorEastAsia"/>
                <w:color w:val="000000"/>
                <w:szCs w:val="21"/>
              </w:rPr>
              <w:t>应付管理人报酬</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21,928.14</w:t>
            </w:r>
          </w:p>
        </w:tc>
        <w:tc>
          <w:tcPr>
            <w:tcW w:w="1301" w:type="dxa"/>
            <w:vAlign w:val="center"/>
          </w:tcPr>
          <w:p w:rsidR="007B4EE4" w:rsidRDefault="00B833D5">
            <w:pPr>
              <w:jc w:val="right"/>
            </w:pPr>
            <w:r>
              <w:rPr>
                <w:rFonts w:eastAsiaTheme="minorEastAsia"/>
                <w:color w:val="000000"/>
                <w:szCs w:val="21"/>
              </w:rPr>
              <w:t>21,928.14</w:t>
            </w:r>
          </w:p>
        </w:tc>
      </w:tr>
      <w:tr w:rsidR="007B4EE4">
        <w:tc>
          <w:tcPr>
            <w:tcW w:w="1588" w:type="dxa"/>
            <w:vAlign w:val="center"/>
          </w:tcPr>
          <w:p w:rsidR="007B4EE4" w:rsidRDefault="00B833D5">
            <w:pPr>
              <w:jc w:val="center"/>
            </w:pPr>
            <w:r>
              <w:rPr>
                <w:rFonts w:eastAsiaTheme="minorEastAsia"/>
                <w:color w:val="000000"/>
                <w:szCs w:val="21"/>
              </w:rPr>
              <w:t>应付托管费</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6,852.55</w:t>
            </w:r>
          </w:p>
        </w:tc>
        <w:tc>
          <w:tcPr>
            <w:tcW w:w="1301" w:type="dxa"/>
            <w:vAlign w:val="center"/>
          </w:tcPr>
          <w:p w:rsidR="007B4EE4" w:rsidRDefault="00B833D5">
            <w:pPr>
              <w:jc w:val="right"/>
            </w:pPr>
            <w:r>
              <w:rPr>
                <w:rFonts w:eastAsiaTheme="minorEastAsia"/>
                <w:color w:val="000000"/>
                <w:szCs w:val="21"/>
              </w:rPr>
              <w:t>6,852.55</w:t>
            </w:r>
          </w:p>
        </w:tc>
      </w:tr>
      <w:tr w:rsidR="007B4EE4">
        <w:tc>
          <w:tcPr>
            <w:tcW w:w="1588" w:type="dxa"/>
            <w:vAlign w:val="center"/>
          </w:tcPr>
          <w:p w:rsidR="007B4EE4" w:rsidRDefault="00B833D5">
            <w:pPr>
              <w:jc w:val="center"/>
            </w:pPr>
            <w:r>
              <w:rPr>
                <w:rFonts w:eastAsiaTheme="minorEastAsia"/>
                <w:color w:val="000000"/>
                <w:szCs w:val="21"/>
              </w:rPr>
              <w:t>应付销售服务费</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459.96</w:t>
            </w:r>
          </w:p>
        </w:tc>
        <w:tc>
          <w:tcPr>
            <w:tcW w:w="1301" w:type="dxa"/>
            <w:vAlign w:val="center"/>
          </w:tcPr>
          <w:p w:rsidR="007B4EE4" w:rsidRDefault="00B833D5">
            <w:pPr>
              <w:jc w:val="right"/>
            </w:pPr>
            <w:r>
              <w:rPr>
                <w:rFonts w:eastAsiaTheme="minorEastAsia"/>
                <w:color w:val="000000"/>
                <w:szCs w:val="21"/>
              </w:rPr>
              <w:t>459.96</w:t>
            </w:r>
          </w:p>
        </w:tc>
      </w:tr>
      <w:tr w:rsidR="007B4EE4">
        <w:tc>
          <w:tcPr>
            <w:tcW w:w="1588" w:type="dxa"/>
            <w:vAlign w:val="center"/>
          </w:tcPr>
          <w:p w:rsidR="007B4EE4" w:rsidRDefault="00B833D5">
            <w:pPr>
              <w:jc w:val="center"/>
            </w:pPr>
            <w:r>
              <w:rPr>
                <w:rFonts w:eastAsiaTheme="minorEastAsia"/>
                <w:color w:val="000000"/>
                <w:szCs w:val="21"/>
              </w:rPr>
              <w:t>应付交易费用</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应交税费</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应付利息</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应付利润</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递延所得税负债</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w:t>
            </w:r>
          </w:p>
        </w:tc>
        <w:tc>
          <w:tcPr>
            <w:tcW w:w="1301" w:type="dxa"/>
            <w:vAlign w:val="center"/>
          </w:tcPr>
          <w:p w:rsidR="007B4EE4" w:rsidRDefault="00B833D5">
            <w:pPr>
              <w:jc w:val="right"/>
            </w:pPr>
            <w:r>
              <w:rPr>
                <w:rFonts w:eastAsiaTheme="minorEastAsia"/>
                <w:color w:val="000000"/>
                <w:szCs w:val="21"/>
              </w:rPr>
              <w:t>-</w:t>
            </w:r>
          </w:p>
        </w:tc>
      </w:tr>
      <w:tr w:rsidR="007B4EE4">
        <w:tc>
          <w:tcPr>
            <w:tcW w:w="1588" w:type="dxa"/>
            <w:vAlign w:val="center"/>
          </w:tcPr>
          <w:p w:rsidR="007B4EE4" w:rsidRDefault="00B833D5">
            <w:pPr>
              <w:jc w:val="center"/>
            </w:pPr>
            <w:r>
              <w:rPr>
                <w:rFonts w:eastAsiaTheme="minorEastAsia"/>
                <w:color w:val="000000"/>
                <w:szCs w:val="21"/>
              </w:rPr>
              <w:t>其他负债</w:t>
            </w:r>
          </w:p>
        </w:tc>
        <w:tc>
          <w:tcPr>
            <w:tcW w:w="1701" w:type="dxa"/>
            <w:vAlign w:val="center"/>
          </w:tcPr>
          <w:p w:rsidR="007B4EE4" w:rsidRDefault="00B833D5">
            <w:pPr>
              <w:jc w:val="right"/>
            </w:pPr>
            <w:r>
              <w:rPr>
                <w:rFonts w:eastAsiaTheme="minorEastAsia"/>
                <w:color w:val="000000"/>
                <w:szCs w:val="21"/>
              </w:rPr>
              <w:t>-</w:t>
            </w:r>
          </w:p>
        </w:tc>
        <w:tc>
          <w:tcPr>
            <w:tcW w:w="1701"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right"/>
            </w:pPr>
            <w:r>
              <w:rPr>
                <w:rFonts w:eastAsiaTheme="minorEastAsia"/>
                <w:color w:val="000000"/>
                <w:szCs w:val="21"/>
              </w:rPr>
              <w:t>-</w:t>
            </w:r>
          </w:p>
        </w:tc>
        <w:tc>
          <w:tcPr>
            <w:tcW w:w="1559" w:type="dxa"/>
            <w:vAlign w:val="center"/>
          </w:tcPr>
          <w:p w:rsidR="007B4EE4" w:rsidRDefault="00B833D5">
            <w:pPr>
              <w:jc w:val="center"/>
            </w:pPr>
            <w:r>
              <w:rPr>
                <w:rFonts w:eastAsiaTheme="minorEastAsia"/>
                <w:color w:val="000000"/>
                <w:szCs w:val="21"/>
              </w:rPr>
              <w:t>124,079.21</w:t>
            </w:r>
          </w:p>
        </w:tc>
        <w:tc>
          <w:tcPr>
            <w:tcW w:w="1301" w:type="dxa"/>
            <w:vAlign w:val="center"/>
          </w:tcPr>
          <w:p w:rsidR="007B4EE4" w:rsidRDefault="00B833D5">
            <w:pPr>
              <w:jc w:val="right"/>
            </w:pPr>
            <w:r>
              <w:rPr>
                <w:rFonts w:eastAsiaTheme="minorEastAsia"/>
                <w:color w:val="000000"/>
                <w:szCs w:val="21"/>
              </w:rPr>
              <w:t>124,079.21</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397,733.06</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397,733.06</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2,126,845.97</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30,607,058.29</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32,733,904.26</w:t>
            </w:r>
          </w:p>
        </w:tc>
      </w:tr>
    </w:tbl>
    <w:p w:rsidR="008A5A5D" w:rsidRPr="00C24ACA" w:rsidRDefault="00A10C6C"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注：各期限分类的标准为按金融资产或金融负债的重新定价日或到期日孰早者进行分类。</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6.4.13.4.1.2</w:t>
      </w:r>
      <w:r w:rsidRPr="00C24ACA">
        <w:rPr>
          <w:rFonts w:eastAsiaTheme="minorEastAsia"/>
          <w:b/>
          <w:bCs/>
          <w:color w:val="000000"/>
          <w:szCs w:val="21"/>
        </w:rPr>
        <w:t>利率风险的敏感性分析</w:t>
      </w:r>
    </w:p>
    <w:p w:rsidR="008A5A5D" w:rsidRPr="00C24ACA" w:rsidRDefault="00022F8F"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本期末本基金未持有交易性债券投资</w:t>
      </w:r>
      <w:r w:rsidRPr="00C24ACA">
        <w:rPr>
          <w:rFonts w:eastAsiaTheme="minorEastAsia"/>
          <w:kern w:val="0"/>
          <w:szCs w:val="21"/>
        </w:rPr>
        <w:t>(</w:t>
      </w:r>
      <w:r w:rsidRPr="00C24ACA">
        <w:rPr>
          <w:rFonts w:eastAsiaTheme="minorEastAsia"/>
          <w:kern w:val="0"/>
          <w:szCs w:val="21"/>
        </w:rPr>
        <w:t>不包括可转债），因此市场利率的变动对于本基金资产净值无重大影响。</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w:t>
      </w:r>
      <w:r w:rsidRPr="00C24ACA">
        <w:rPr>
          <w:rFonts w:eastAsiaTheme="minorEastAsia"/>
          <w:b/>
          <w:bCs/>
          <w:color w:val="000000"/>
          <w:szCs w:val="21"/>
        </w:rPr>
        <w:t>外汇风险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6.4.13.4.2.1</w:t>
      </w:r>
      <w:r w:rsidRPr="00C24ACA">
        <w:rPr>
          <w:rFonts w:eastAsiaTheme="minorEastAsia"/>
          <w:b/>
          <w:bCs/>
          <w:color w:val="000000"/>
          <w:szCs w:val="21"/>
        </w:rPr>
        <w:t>外汇风险敞口</w:t>
      </w:r>
    </w:p>
    <w:p w:rsidR="0056101E" w:rsidRPr="00C24ACA" w:rsidRDefault="0056101E" w:rsidP="0056101E">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400"/>
        <w:gridCol w:w="2020"/>
        <w:gridCol w:w="2160"/>
      </w:tblGrid>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本期末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美元</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港币</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其他币种</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lastRenderedPageBreak/>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7B4EE4">
        <w:tc>
          <w:tcPr>
            <w:tcW w:w="1477" w:type="dxa"/>
            <w:vAlign w:val="center"/>
          </w:tcPr>
          <w:p w:rsidR="007B4EE4" w:rsidRDefault="00B833D5">
            <w:pPr>
              <w:jc w:val="left"/>
            </w:pPr>
            <w:r>
              <w:rPr>
                <w:rFonts w:eastAsiaTheme="minorEastAsia"/>
                <w:color w:val="000000"/>
                <w:kern w:val="0"/>
                <w:szCs w:val="21"/>
              </w:rPr>
              <w:t>银行存款</w:t>
            </w:r>
          </w:p>
        </w:tc>
        <w:tc>
          <w:tcPr>
            <w:tcW w:w="1943" w:type="dxa"/>
            <w:vAlign w:val="center"/>
          </w:tcPr>
          <w:p w:rsidR="007B4EE4" w:rsidRDefault="00B833D5">
            <w:pPr>
              <w:jc w:val="right"/>
            </w:pPr>
            <w:r>
              <w:rPr>
                <w:rFonts w:eastAsiaTheme="minorEastAsia"/>
                <w:color w:val="000000"/>
                <w:kern w:val="0"/>
                <w:szCs w:val="21"/>
              </w:rPr>
              <w:t>-</w:t>
            </w:r>
          </w:p>
        </w:tc>
        <w:tc>
          <w:tcPr>
            <w:tcW w:w="1400" w:type="dxa"/>
            <w:vAlign w:val="center"/>
          </w:tcPr>
          <w:p w:rsidR="007B4EE4" w:rsidRDefault="00B833D5">
            <w:pPr>
              <w:jc w:val="right"/>
            </w:pPr>
            <w:r>
              <w:rPr>
                <w:rFonts w:eastAsiaTheme="minorEastAsia"/>
                <w:color w:val="000000"/>
                <w:kern w:val="0"/>
                <w:szCs w:val="21"/>
              </w:rPr>
              <w:t>1,281,549.57</w:t>
            </w:r>
          </w:p>
        </w:tc>
        <w:tc>
          <w:tcPr>
            <w:tcW w:w="2020" w:type="dxa"/>
            <w:vAlign w:val="center"/>
          </w:tcPr>
          <w:p w:rsidR="007B4EE4" w:rsidRDefault="00B833D5">
            <w:pPr>
              <w:jc w:val="right"/>
            </w:pPr>
            <w:r>
              <w:rPr>
                <w:rFonts w:eastAsiaTheme="minorEastAsia"/>
                <w:color w:val="000000"/>
                <w:kern w:val="0"/>
                <w:szCs w:val="21"/>
              </w:rPr>
              <w:t>-</w:t>
            </w:r>
          </w:p>
        </w:tc>
        <w:tc>
          <w:tcPr>
            <w:tcW w:w="2160" w:type="dxa"/>
            <w:vAlign w:val="center"/>
          </w:tcPr>
          <w:p w:rsidR="007B4EE4" w:rsidRDefault="00B833D5">
            <w:pPr>
              <w:jc w:val="right"/>
            </w:pPr>
            <w:r>
              <w:rPr>
                <w:rFonts w:eastAsiaTheme="minorEastAsia"/>
                <w:color w:val="000000"/>
                <w:kern w:val="0"/>
                <w:szCs w:val="21"/>
              </w:rPr>
              <w:t>1,281,549.57</w:t>
            </w:r>
          </w:p>
        </w:tc>
      </w:tr>
      <w:tr w:rsidR="007B4EE4">
        <w:tc>
          <w:tcPr>
            <w:tcW w:w="1477" w:type="dxa"/>
            <w:vAlign w:val="center"/>
          </w:tcPr>
          <w:p w:rsidR="007B4EE4" w:rsidRDefault="00B833D5">
            <w:pPr>
              <w:jc w:val="left"/>
            </w:pPr>
            <w:r>
              <w:rPr>
                <w:rFonts w:eastAsiaTheme="minorEastAsia"/>
                <w:color w:val="000000"/>
                <w:kern w:val="0"/>
                <w:szCs w:val="21"/>
              </w:rPr>
              <w:t>结算备付金</w:t>
            </w:r>
          </w:p>
        </w:tc>
        <w:tc>
          <w:tcPr>
            <w:tcW w:w="1943" w:type="dxa"/>
            <w:vAlign w:val="center"/>
          </w:tcPr>
          <w:p w:rsidR="007B4EE4" w:rsidRDefault="00B833D5">
            <w:pPr>
              <w:jc w:val="right"/>
            </w:pPr>
            <w:r>
              <w:rPr>
                <w:rFonts w:eastAsiaTheme="minorEastAsia"/>
                <w:color w:val="000000"/>
                <w:kern w:val="0"/>
                <w:szCs w:val="21"/>
              </w:rPr>
              <w:t>-</w:t>
            </w:r>
          </w:p>
        </w:tc>
        <w:tc>
          <w:tcPr>
            <w:tcW w:w="1400" w:type="dxa"/>
            <w:vAlign w:val="center"/>
          </w:tcPr>
          <w:p w:rsidR="007B4EE4" w:rsidRDefault="00B833D5">
            <w:pPr>
              <w:jc w:val="right"/>
            </w:pPr>
            <w:r>
              <w:rPr>
                <w:rFonts w:eastAsiaTheme="minorEastAsia"/>
                <w:color w:val="000000"/>
                <w:kern w:val="0"/>
                <w:szCs w:val="21"/>
              </w:rPr>
              <w:t>-</w:t>
            </w:r>
          </w:p>
        </w:tc>
        <w:tc>
          <w:tcPr>
            <w:tcW w:w="2020" w:type="dxa"/>
            <w:vAlign w:val="center"/>
          </w:tcPr>
          <w:p w:rsidR="007B4EE4" w:rsidRDefault="00B833D5">
            <w:pPr>
              <w:jc w:val="right"/>
            </w:pPr>
            <w:r>
              <w:rPr>
                <w:rFonts w:eastAsiaTheme="minorEastAsia"/>
                <w:color w:val="000000"/>
                <w:kern w:val="0"/>
                <w:szCs w:val="21"/>
              </w:rPr>
              <w:t>-</w:t>
            </w:r>
          </w:p>
        </w:tc>
        <w:tc>
          <w:tcPr>
            <w:tcW w:w="2160" w:type="dxa"/>
            <w:vAlign w:val="center"/>
          </w:tcPr>
          <w:p w:rsidR="007B4EE4" w:rsidRDefault="00B833D5">
            <w:pPr>
              <w:jc w:val="right"/>
            </w:pPr>
            <w:r>
              <w:rPr>
                <w:rFonts w:eastAsiaTheme="minorEastAsia"/>
                <w:color w:val="000000"/>
                <w:kern w:val="0"/>
                <w:szCs w:val="21"/>
              </w:rPr>
              <w:t>-</w:t>
            </w:r>
          </w:p>
        </w:tc>
      </w:tr>
      <w:tr w:rsidR="007B4EE4">
        <w:tc>
          <w:tcPr>
            <w:tcW w:w="1477" w:type="dxa"/>
            <w:vAlign w:val="center"/>
          </w:tcPr>
          <w:p w:rsidR="007B4EE4" w:rsidRDefault="00B833D5">
            <w:pPr>
              <w:jc w:val="left"/>
            </w:pPr>
            <w:r>
              <w:rPr>
                <w:rFonts w:eastAsiaTheme="minorEastAsia"/>
                <w:color w:val="000000"/>
                <w:kern w:val="0"/>
                <w:szCs w:val="21"/>
              </w:rPr>
              <w:t>交易性金融资产</w:t>
            </w:r>
          </w:p>
        </w:tc>
        <w:tc>
          <w:tcPr>
            <w:tcW w:w="1943" w:type="dxa"/>
            <w:vAlign w:val="center"/>
          </w:tcPr>
          <w:p w:rsidR="007B4EE4" w:rsidRDefault="00B833D5">
            <w:pPr>
              <w:jc w:val="right"/>
            </w:pPr>
            <w:r>
              <w:rPr>
                <w:rFonts w:eastAsiaTheme="minorEastAsia"/>
                <w:color w:val="000000"/>
                <w:kern w:val="0"/>
                <w:szCs w:val="21"/>
              </w:rPr>
              <w:t>-</w:t>
            </w:r>
          </w:p>
        </w:tc>
        <w:tc>
          <w:tcPr>
            <w:tcW w:w="1400" w:type="dxa"/>
            <w:vAlign w:val="center"/>
          </w:tcPr>
          <w:p w:rsidR="007B4EE4" w:rsidRDefault="00B833D5">
            <w:pPr>
              <w:jc w:val="right"/>
            </w:pPr>
            <w:r>
              <w:rPr>
                <w:rFonts w:eastAsiaTheme="minorEastAsia"/>
                <w:color w:val="000000"/>
                <w:kern w:val="0"/>
                <w:szCs w:val="21"/>
              </w:rPr>
              <w:t>21,826,559.71</w:t>
            </w:r>
          </w:p>
        </w:tc>
        <w:tc>
          <w:tcPr>
            <w:tcW w:w="2020" w:type="dxa"/>
            <w:vAlign w:val="center"/>
          </w:tcPr>
          <w:p w:rsidR="007B4EE4" w:rsidRDefault="00B833D5">
            <w:pPr>
              <w:jc w:val="right"/>
            </w:pPr>
            <w:r>
              <w:rPr>
                <w:rFonts w:eastAsiaTheme="minorEastAsia"/>
                <w:color w:val="000000"/>
                <w:kern w:val="0"/>
                <w:szCs w:val="21"/>
              </w:rPr>
              <w:t>-</w:t>
            </w:r>
          </w:p>
        </w:tc>
        <w:tc>
          <w:tcPr>
            <w:tcW w:w="2160" w:type="dxa"/>
            <w:vAlign w:val="center"/>
          </w:tcPr>
          <w:p w:rsidR="007B4EE4" w:rsidRDefault="00B833D5">
            <w:pPr>
              <w:jc w:val="right"/>
            </w:pPr>
            <w:r>
              <w:rPr>
                <w:rFonts w:eastAsiaTheme="minorEastAsia"/>
                <w:color w:val="000000"/>
                <w:kern w:val="0"/>
                <w:szCs w:val="21"/>
              </w:rPr>
              <w:t>21,826,559.71</w:t>
            </w:r>
          </w:p>
        </w:tc>
      </w:tr>
      <w:tr w:rsidR="007B4EE4">
        <w:tc>
          <w:tcPr>
            <w:tcW w:w="1477" w:type="dxa"/>
            <w:vAlign w:val="center"/>
          </w:tcPr>
          <w:p w:rsidR="007B4EE4" w:rsidRDefault="00B833D5">
            <w:pPr>
              <w:jc w:val="left"/>
            </w:pPr>
            <w:r>
              <w:rPr>
                <w:rFonts w:eastAsiaTheme="minorEastAsia"/>
                <w:color w:val="000000"/>
                <w:kern w:val="0"/>
                <w:szCs w:val="21"/>
              </w:rPr>
              <w:t>衍生金融资产</w:t>
            </w:r>
          </w:p>
        </w:tc>
        <w:tc>
          <w:tcPr>
            <w:tcW w:w="1943" w:type="dxa"/>
            <w:vAlign w:val="center"/>
          </w:tcPr>
          <w:p w:rsidR="007B4EE4" w:rsidRDefault="00B833D5">
            <w:pPr>
              <w:jc w:val="right"/>
            </w:pPr>
            <w:r>
              <w:rPr>
                <w:rFonts w:eastAsiaTheme="minorEastAsia"/>
                <w:color w:val="000000"/>
                <w:kern w:val="0"/>
                <w:szCs w:val="21"/>
              </w:rPr>
              <w:t>-</w:t>
            </w:r>
          </w:p>
        </w:tc>
        <w:tc>
          <w:tcPr>
            <w:tcW w:w="1400" w:type="dxa"/>
            <w:vAlign w:val="center"/>
          </w:tcPr>
          <w:p w:rsidR="007B4EE4" w:rsidRDefault="00B833D5">
            <w:pPr>
              <w:jc w:val="right"/>
            </w:pPr>
            <w:r>
              <w:rPr>
                <w:rFonts w:eastAsiaTheme="minorEastAsia"/>
                <w:color w:val="000000"/>
                <w:kern w:val="0"/>
                <w:szCs w:val="21"/>
              </w:rPr>
              <w:t>-</w:t>
            </w:r>
          </w:p>
        </w:tc>
        <w:tc>
          <w:tcPr>
            <w:tcW w:w="2020" w:type="dxa"/>
            <w:vAlign w:val="center"/>
          </w:tcPr>
          <w:p w:rsidR="007B4EE4" w:rsidRDefault="00B833D5">
            <w:pPr>
              <w:jc w:val="right"/>
            </w:pPr>
            <w:r>
              <w:rPr>
                <w:rFonts w:eastAsiaTheme="minorEastAsia"/>
                <w:color w:val="000000"/>
                <w:kern w:val="0"/>
                <w:szCs w:val="21"/>
              </w:rPr>
              <w:t>-</w:t>
            </w:r>
          </w:p>
        </w:tc>
        <w:tc>
          <w:tcPr>
            <w:tcW w:w="2160" w:type="dxa"/>
            <w:vAlign w:val="center"/>
          </w:tcPr>
          <w:p w:rsidR="007B4EE4" w:rsidRDefault="00B833D5">
            <w:pPr>
              <w:jc w:val="right"/>
            </w:pPr>
            <w:r>
              <w:rPr>
                <w:rFonts w:eastAsiaTheme="minorEastAsia"/>
                <w:color w:val="000000"/>
                <w:kern w:val="0"/>
                <w:szCs w:val="21"/>
              </w:rPr>
              <w:t>-</w:t>
            </w:r>
          </w:p>
        </w:tc>
      </w:tr>
      <w:tr w:rsidR="007B4EE4">
        <w:tc>
          <w:tcPr>
            <w:tcW w:w="1477" w:type="dxa"/>
            <w:vAlign w:val="center"/>
          </w:tcPr>
          <w:p w:rsidR="007B4EE4" w:rsidRDefault="00B833D5">
            <w:pPr>
              <w:jc w:val="left"/>
            </w:pPr>
            <w:r>
              <w:rPr>
                <w:rFonts w:eastAsiaTheme="minorEastAsia"/>
                <w:color w:val="000000"/>
                <w:kern w:val="0"/>
                <w:szCs w:val="21"/>
              </w:rPr>
              <w:t>应收证券清算款</w:t>
            </w:r>
          </w:p>
        </w:tc>
        <w:tc>
          <w:tcPr>
            <w:tcW w:w="1943" w:type="dxa"/>
            <w:vAlign w:val="center"/>
          </w:tcPr>
          <w:p w:rsidR="007B4EE4" w:rsidRDefault="00B833D5">
            <w:pPr>
              <w:jc w:val="right"/>
            </w:pPr>
            <w:r>
              <w:rPr>
                <w:rFonts w:eastAsiaTheme="minorEastAsia"/>
                <w:color w:val="000000"/>
                <w:kern w:val="0"/>
                <w:szCs w:val="21"/>
              </w:rPr>
              <w:t>-</w:t>
            </w:r>
          </w:p>
        </w:tc>
        <w:tc>
          <w:tcPr>
            <w:tcW w:w="1400" w:type="dxa"/>
            <w:vAlign w:val="center"/>
          </w:tcPr>
          <w:p w:rsidR="007B4EE4" w:rsidRDefault="00B833D5">
            <w:pPr>
              <w:jc w:val="right"/>
            </w:pPr>
            <w:r>
              <w:rPr>
                <w:rFonts w:eastAsiaTheme="minorEastAsia"/>
                <w:color w:val="000000"/>
                <w:kern w:val="0"/>
                <w:szCs w:val="21"/>
              </w:rPr>
              <w:t>-</w:t>
            </w:r>
          </w:p>
        </w:tc>
        <w:tc>
          <w:tcPr>
            <w:tcW w:w="2020" w:type="dxa"/>
            <w:vAlign w:val="center"/>
          </w:tcPr>
          <w:p w:rsidR="007B4EE4" w:rsidRDefault="00B833D5">
            <w:pPr>
              <w:jc w:val="right"/>
            </w:pPr>
            <w:r>
              <w:rPr>
                <w:rFonts w:eastAsiaTheme="minorEastAsia"/>
                <w:color w:val="000000"/>
                <w:kern w:val="0"/>
                <w:szCs w:val="21"/>
              </w:rPr>
              <w:t>-</w:t>
            </w:r>
          </w:p>
        </w:tc>
        <w:tc>
          <w:tcPr>
            <w:tcW w:w="2160" w:type="dxa"/>
            <w:vAlign w:val="center"/>
          </w:tcPr>
          <w:p w:rsidR="007B4EE4" w:rsidRDefault="00B833D5">
            <w:pPr>
              <w:jc w:val="right"/>
            </w:pPr>
            <w:r>
              <w:rPr>
                <w:rFonts w:eastAsiaTheme="minorEastAsia"/>
                <w:color w:val="000000"/>
                <w:kern w:val="0"/>
                <w:szCs w:val="21"/>
              </w:rPr>
              <w:t>-</w:t>
            </w:r>
          </w:p>
        </w:tc>
      </w:tr>
      <w:tr w:rsidR="007B4EE4">
        <w:tc>
          <w:tcPr>
            <w:tcW w:w="1477" w:type="dxa"/>
            <w:vAlign w:val="center"/>
          </w:tcPr>
          <w:p w:rsidR="007B4EE4" w:rsidRDefault="00B833D5">
            <w:pPr>
              <w:jc w:val="left"/>
            </w:pPr>
            <w:r>
              <w:rPr>
                <w:rFonts w:eastAsiaTheme="minorEastAsia"/>
                <w:color w:val="000000"/>
                <w:kern w:val="0"/>
                <w:szCs w:val="21"/>
              </w:rPr>
              <w:t>应收利息</w:t>
            </w:r>
          </w:p>
        </w:tc>
        <w:tc>
          <w:tcPr>
            <w:tcW w:w="1943" w:type="dxa"/>
            <w:vAlign w:val="center"/>
          </w:tcPr>
          <w:p w:rsidR="007B4EE4" w:rsidRDefault="00B833D5">
            <w:pPr>
              <w:jc w:val="right"/>
            </w:pPr>
            <w:r>
              <w:rPr>
                <w:rFonts w:eastAsiaTheme="minorEastAsia"/>
                <w:color w:val="000000"/>
                <w:kern w:val="0"/>
                <w:szCs w:val="21"/>
              </w:rPr>
              <w:t>-</w:t>
            </w:r>
          </w:p>
        </w:tc>
        <w:tc>
          <w:tcPr>
            <w:tcW w:w="1400" w:type="dxa"/>
            <w:vAlign w:val="center"/>
          </w:tcPr>
          <w:p w:rsidR="007B4EE4" w:rsidRDefault="00B833D5">
            <w:pPr>
              <w:jc w:val="right"/>
            </w:pPr>
            <w:r>
              <w:rPr>
                <w:rFonts w:eastAsiaTheme="minorEastAsia"/>
                <w:color w:val="000000"/>
                <w:kern w:val="0"/>
                <w:szCs w:val="21"/>
              </w:rPr>
              <w:t>1.04</w:t>
            </w:r>
          </w:p>
        </w:tc>
        <w:tc>
          <w:tcPr>
            <w:tcW w:w="2020" w:type="dxa"/>
            <w:vAlign w:val="center"/>
          </w:tcPr>
          <w:p w:rsidR="007B4EE4" w:rsidRDefault="00B833D5">
            <w:pPr>
              <w:jc w:val="right"/>
            </w:pPr>
            <w:r>
              <w:rPr>
                <w:rFonts w:eastAsiaTheme="minorEastAsia"/>
                <w:color w:val="000000"/>
                <w:kern w:val="0"/>
                <w:szCs w:val="21"/>
              </w:rPr>
              <w:t>-</w:t>
            </w:r>
          </w:p>
        </w:tc>
        <w:tc>
          <w:tcPr>
            <w:tcW w:w="2160" w:type="dxa"/>
            <w:vAlign w:val="center"/>
          </w:tcPr>
          <w:p w:rsidR="007B4EE4" w:rsidRDefault="00B833D5">
            <w:pPr>
              <w:jc w:val="right"/>
            </w:pPr>
            <w:r>
              <w:rPr>
                <w:rFonts w:eastAsiaTheme="minorEastAsia"/>
                <w:color w:val="000000"/>
                <w:kern w:val="0"/>
                <w:szCs w:val="21"/>
              </w:rPr>
              <w:t>1.04</w:t>
            </w:r>
          </w:p>
        </w:tc>
      </w:tr>
      <w:tr w:rsidR="007B4EE4">
        <w:tc>
          <w:tcPr>
            <w:tcW w:w="1477" w:type="dxa"/>
            <w:vAlign w:val="center"/>
          </w:tcPr>
          <w:p w:rsidR="007B4EE4" w:rsidRDefault="00B833D5">
            <w:pPr>
              <w:jc w:val="left"/>
            </w:pPr>
            <w:r>
              <w:rPr>
                <w:rFonts w:eastAsiaTheme="minorEastAsia"/>
                <w:color w:val="000000"/>
                <w:kern w:val="0"/>
                <w:szCs w:val="21"/>
              </w:rPr>
              <w:t>应收股利</w:t>
            </w:r>
          </w:p>
        </w:tc>
        <w:tc>
          <w:tcPr>
            <w:tcW w:w="1943" w:type="dxa"/>
            <w:vAlign w:val="center"/>
          </w:tcPr>
          <w:p w:rsidR="007B4EE4" w:rsidRDefault="00B833D5">
            <w:pPr>
              <w:jc w:val="right"/>
            </w:pPr>
            <w:r>
              <w:rPr>
                <w:rFonts w:eastAsiaTheme="minorEastAsia"/>
                <w:color w:val="000000"/>
                <w:kern w:val="0"/>
                <w:szCs w:val="21"/>
              </w:rPr>
              <w:t>-</w:t>
            </w:r>
          </w:p>
        </w:tc>
        <w:tc>
          <w:tcPr>
            <w:tcW w:w="1400" w:type="dxa"/>
            <w:vAlign w:val="center"/>
          </w:tcPr>
          <w:p w:rsidR="007B4EE4" w:rsidRDefault="00B833D5">
            <w:pPr>
              <w:jc w:val="right"/>
            </w:pPr>
            <w:r>
              <w:rPr>
                <w:rFonts w:eastAsiaTheme="minorEastAsia"/>
                <w:color w:val="000000"/>
                <w:kern w:val="0"/>
                <w:szCs w:val="21"/>
              </w:rPr>
              <w:t>194,185.82</w:t>
            </w:r>
          </w:p>
        </w:tc>
        <w:tc>
          <w:tcPr>
            <w:tcW w:w="2020" w:type="dxa"/>
            <w:vAlign w:val="center"/>
          </w:tcPr>
          <w:p w:rsidR="007B4EE4" w:rsidRDefault="00B833D5">
            <w:pPr>
              <w:jc w:val="right"/>
            </w:pPr>
            <w:r>
              <w:rPr>
                <w:rFonts w:eastAsiaTheme="minorEastAsia"/>
                <w:color w:val="000000"/>
                <w:kern w:val="0"/>
                <w:szCs w:val="21"/>
              </w:rPr>
              <w:t>-</w:t>
            </w:r>
          </w:p>
        </w:tc>
        <w:tc>
          <w:tcPr>
            <w:tcW w:w="2160" w:type="dxa"/>
            <w:vAlign w:val="center"/>
          </w:tcPr>
          <w:p w:rsidR="007B4EE4" w:rsidRDefault="00B833D5">
            <w:pPr>
              <w:jc w:val="right"/>
            </w:pPr>
            <w:r>
              <w:rPr>
                <w:rFonts w:eastAsiaTheme="minorEastAsia"/>
                <w:color w:val="000000"/>
                <w:kern w:val="0"/>
                <w:szCs w:val="21"/>
              </w:rPr>
              <w:t>194,185.82</w:t>
            </w:r>
          </w:p>
        </w:tc>
      </w:tr>
      <w:tr w:rsidR="007B4EE4">
        <w:tc>
          <w:tcPr>
            <w:tcW w:w="1477" w:type="dxa"/>
            <w:vAlign w:val="center"/>
          </w:tcPr>
          <w:p w:rsidR="007B4EE4" w:rsidRDefault="00B833D5">
            <w:pPr>
              <w:jc w:val="left"/>
            </w:pPr>
            <w:r>
              <w:rPr>
                <w:rFonts w:eastAsiaTheme="minorEastAsia"/>
                <w:color w:val="000000"/>
                <w:kern w:val="0"/>
                <w:szCs w:val="21"/>
              </w:rPr>
              <w:t>应收申购款</w:t>
            </w:r>
          </w:p>
        </w:tc>
        <w:tc>
          <w:tcPr>
            <w:tcW w:w="1943" w:type="dxa"/>
            <w:vAlign w:val="center"/>
          </w:tcPr>
          <w:p w:rsidR="007B4EE4" w:rsidRDefault="00B833D5">
            <w:pPr>
              <w:jc w:val="right"/>
            </w:pPr>
            <w:r>
              <w:rPr>
                <w:rFonts w:eastAsiaTheme="minorEastAsia"/>
                <w:color w:val="000000"/>
                <w:kern w:val="0"/>
                <w:szCs w:val="21"/>
              </w:rPr>
              <w:t>-</w:t>
            </w:r>
          </w:p>
        </w:tc>
        <w:tc>
          <w:tcPr>
            <w:tcW w:w="1400" w:type="dxa"/>
            <w:vAlign w:val="center"/>
          </w:tcPr>
          <w:p w:rsidR="007B4EE4" w:rsidRDefault="00B833D5">
            <w:pPr>
              <w:jc w:val="right"/>
            </w:pPr>
            <w:r>
              <w:rPr>
                <w:rFonts w:eastAsiaTheme="minorEastAsia"/>
                <w:color w:val="000000"/>
                <w:kern w:val="0"/>
                <w:szCs w:val="21"/>
              </w:rPr>
              <w:t>-</w:t>
            </w:r>
          </w:p>
        </w:tc>
        <w:tc>
          <w:tcPr>
            <w:tcW w:w="2020" w:type="dxa"/>
            <w:vAlign w:val="center"/>
          </w:tcPr>
          <w:p w:rsidR="007B4EE4" w:rsidRDefault="00B833D5">
            <w:pPr>
              <w:jc w:val="right"/>
            </w:pPr>
            <w:r>
              <w:rPr>
                <w:rFonts w:eastAsiaTheme="minorEastAsia"/>
                <w:color w:val="000000"/>
                <w:kern w:val="0"/>
                <w:szCs w:val="21"/>
              </w:rPr>
              <w:t>-</w:t>
            </w:r>
          </w:p>
        </w:tc>
        <w:tc>
          <w:tcPr>
            <w:tcW w:w="2160" w:type="dxa"/>
            <w:vAlign w:val="center"/>
          </w:tcPr>
          <w:p w:rsidR="007B4EE4" w:rsidRDefault="00B833D5">
            <w:pPr>
              <w:jc w:val="right"/>
            </w:pPr>
            <w:r>
              <w:rPr>
                <w:rFonts w:eastAsiaTheme="minorEastAsia"/>
                <w:color w:val="000000"/>
                <w:kern w:val="0"/>
                <w:szCs w:val="21"/>
              </w:rPr>
              <w:t>-</w:t>
            </w:r>
          </w:p>
        </w:tc>
      </w:tr>
      <w:tr w:rsidR="007B4EE4">
        <w:tc>
          <w:tcPr>
            <w:tcW w:w="1477" w:type="dxa"/>
            <w:vAlign w:val="center"/>
          </w:tcPr>
          <w:p w:rsidR="007B4EE4" w:rsidRDefault="00B833D5">
            <w:pPr>
              <w:jc w:val="left"/>
            </w:pPr>
            <w:r>
              <w:rPr>
                <w:rFonts w:eastAsiaTheme="minorEastAsia"/>
                <w:color w:val="000000"/>
                <w:kern w:val="0"/>
                <w:szCs w:val="21"/>
              </w:rPr>
              <w:t>其他资产</w:t>
            </w:r>
          </w:p>
        </w:tc>
        <w:tc>
          <w:tcPr>
            <w:tcW w:w="1943" w:type="dxa"/>
            <w:vAlign w:val="center"/>
          </w:tcPr>
          <w:p w:rsidR="007B4EE4" w:rsidRDefault="00B833D5">
            <w:pPr>
              <w:jc w:val="right"/>
            </w:pPr>
            <w:r>
              <w:rPr>
                <w:rFonts w:eastAsiaTheme="minorEastAsia"/>
                <w:color w:val="000000"/>
                <w:kern w:val="0"/>
                <w:szCs w:val="21"/>
              </w:rPr>
              <w:t>-</w:t>
            </w:r>
          </w:p>
        </w:tc>
        <w:tc>
          <w:tcPr>
            <w:tcW w:w="1400" w:type="dxa"/>
            <w:vAlign w:val="center"/>
          </w:tcPr>
          <w:p w:rsidR="007B4EE4" w:rsidRDefault="00B833D5">
            <w:pPr>
              <w:jc w:val="right"/>
            </w:pPr>
            <w:r>
              <w:rPr>
                <w:rFonts w:eastAsiaTheme="minorEastAsia"/>
                <w:color w:val="000000"/>
                <w:kern w:val="0"/>
                <w:szCs w:val="21"/>
              </w:rPr>
              <w:t>-</w:t>
            </w:r>
          </w:p>
        </w:tc>
        <w:tc>
          <w:tcPr>
            <w:tcW w:w="2020" w:type="dxa"/>
            <w:vAlign w:val="center"/>
          </w:tcPr>
          <w:p w:rsidR="007B4EE4" w:rsidRDefault="00B833D5">
            <w:pPr>
              <w:jc w:val="right"/>
            </w:pPr>
            <w:r>
              <w:rPr>
                <w:rFonts w:eastAsiaTheme="minorEastAsia"/>
                <w:color w:val="000000"/>
                <w:kern w:val="0"/>
                <w:szCs w:val="21"/>
              </w:rPr>
              <w:t>-</w:t>
            </w:r>
          </w:p>
        </w:tc>
        <w:tc>
          <w:tcPr>
            <w:tcW w:w="2160" w:type="dxa"/>
            <w:vAlign w:val="center"/>
          </w:tcPr>
          <w:p w:rsidR="007B4EE4" w:rsidRDefault="00B833D5">
            <w:pPr>
              <w:jc w:val="right"/>
            </w:pPr>
            <w:r>
              <w:rPr>
                <w:rFonts w:eastAsiaTheme="minorEastAsia"/>
                <w:color w:val="000000"/>
                <w:kern w:val="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23,302,296.14</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23,302,296.14</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7B4EE4">
        <w:tc>
          <w:tcPr>
            <w:tcW w:w="1477" w:type="dxa"/>
            <w:vAlign w:val="center"/>
          </w:tcPr>
          <w:p w:rsidR="007B4EE4" w:rsidRDefault="00B833D5">
            <w:pPr>
              <w:jc w:val="left"/>
            </w:pPr>
            <w:r>
              <w:rPr>
                <w:rFonts w:eastAsiaTheme="minorEastAsia"/>
                <w:color w:val="000000"/>
                <w:szCs w:val="21"/>
              </w:rPr>
              <w:t>应付证券清算款</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w:t>
            </w:r>
          </w:p>
        </w:tc>
      </w:tr>
      <w:tr w:rsidR="007B4EE4">
        <w:tc>
          <w:tcPr>
            <w:tcW w:w="1477" w:type="dxa"/>
            <w:vAlign w:val="center"/>
          </w:tcPr>
          <w:p w:rsidR="007B4EE4" w:rsidRDefault="00B833D5">
            <w:pPr>
              <w:jc w:val="left"/>
            </w:pPr>
            <w:r>
              <w:rPr>
                <w:rFonts w:eastAsiaTheme="minorEastAsia"/>
                <w:color w:val="000000"/>
                <w:szCs w:val="21"/>
              </w:rPr>
              <w:t>应付赎回款</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w:t>
            </w:r>
          </w:p>
        </w:tc>
      </w:tr>
      <w:tr w:rsidR="007B4EE4">
        <w:tc>
          <w:tcPr>
            <w:tcW w:w="1477" w:type="dxa"/>
            <w:vAlign w:val="center"/>
          </w:tcPr>
          <w:p w:rsidR="007B4EE4" w:rsidRDefault="00B833D5">
            <w:pPr>
              <w:jc w:val="left"/>
            </w:pPr>
            <w:r>
              <w:rPr>
                <w:rFonts w:eastAsiaTheme="minorEastAsia"/>
                <w:color w:val="000000"/>
                <w:szCs w:val="21"/>
              </w:rPr>
              <w:t>其他负债</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23,302,296.14</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23,302,296.14</w:t>
            </w:r>
          </w:p>
        </w:tc>
      </w:tr>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上年度末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2019</w:t>
            </w:r>
            <w:r w:rsidRPr="00C24ACA">
              <w:rPr>
                <w:rFonts w:eastAsiaTheme="minorEastAsia"/>
                <w:b/>
                <w:szCs w:val="21"/>
              </w:rPr>
              <w:t>年</w:t>
            </w:r>
            <w:r w:rsidRPr="00C24ACA">
              <w:rPr>
                <w:rFonts w:eastAsiaTheme="minorEastAsia"/>
                <w:b/>
                <w:szCs w:val="21"/>
              </w:rPr>
              <w:t>12</w:t>
            </w:r>
            <w:r w:rsidRPr="00C24ACA">
              <w:rPr>
                <w:rFonts w:eastAsiaTheme="minorEastAsia"/>
                <w:b/>
                <w:szCs w:val="21"/>
              </w:rPr>
              <w:t>月</w:t>
            </w:r>
            <w:r w:rsidRPr="00C24ACA">
              <w:rPr>
                <w:rFonts w:eastAsiaTheme="minorEastAsia"/>
                <w:b/>
                <w:szCs w:val="21"/>
              </w:rPr>
              <w:t>31</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美元</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港币</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其他币种</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7B4EE4">
        <w:tc>
          <w:tcPr>
            <w:tcW w:w="1477" w:type="dxa"/>
            <w:vAlign w:val="center"/>
          </w:tcPr>
          <w:p w:rsidR="007B4EE4" w:rsidRDefault="00B833D5">
            <w:pPr>
              <w:jc w:val="left"/>
            </w:pPr>
            <w:r>
              <w:rPr>
                <w:rFonts w:eastAsiaTheme="minorEastAsia"/>
                <w:color w:val="000000"/>
                <w:szCs w:val="21"/>
              </w:rPr>
              <w:t>银行存款</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1,854,427.10</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1,854,427.10</w:t>
            </w:r>
          </w:p>
        </w:tc>
      </w:tr>
      <w:tr w:rsidR="007B4EE4">
        <w:tc>
          <w:tcPr>
            <w:tcW w:w="1477" w:type="dxa"/>
            <w:vAlign w:val="center"/>
          </w:tcPr>
          <w:p w:rsidR="007B4EE4" w:rsidRDefault="00B833D5">
            <w:pPr>
              <w:jc w:val="left"/>
            </w:pPr>
            <w:r>
              <w:rPr>
                <w:rFonts w:eastAsiaTheme="minorEastAsia"/>
                <w:color w:val="000000"/>
                <w:szCs w:val="21"/>
              </w:rPr>
              <w:t>结算备付金</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w:t>
            </w:r>
          </w:p>
        </w:tc>
      </w:tr>
      <w:tr w:rsidR="007B4EE4">
        <w:tc>
          <w:tcPr>
            <w:tcW w:w="1477" w:type="dxa"/>
            <w:vAlign w:val="center"/>
          </w:tcPr>
          <w:p w:rsidR="007B4EE4" w:rsidRDefault="00B833D5">
            <w:pPr>
              <w:jc w:val="left"/>
            </w:pPr>
            <w:r>
              <w:rPr>
                <w:rFonts w:eastAsiaTheme="minorEastAsia"/>
                <w:color w:val="000000"/>
                <w:szCs w:val="21"/>
              </w:rPr>
              <w:t>交易性金融资产</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30,896,286.47</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30,896,286.47</w:t>
            </w:r>
          </w:p>
        </w:tc>
      </w:tr>
      <w:tr w:rsidR="007B4EE4">
        <w:tc>
          <w:tcPr>
            <w:tcW w:w="1477" w:type="dxa"/>
            <w:vAlign w:val="center"/>
          </w:tcPr>
          <w:p w:rsidR="007B4EE4" w:rsidRDefault="00B833D5">
            <w:pPr>
              <w:jc w:val="left"/>
            </w:pPr>
            <w:r>
              <w:rPr>
                <w:rFonts w:eastAsiaTheme="minorEastAsia"/>
                <w:color w:val="000000"/>
                <w:szCs w:val="21"/>
              </w:rPr>
              <w:t>衍生金融资产</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w:t>
            </w:r>
          </w:p>
        </w:tc>
      </w:tr>
      <w:tr w:rsidR="007B4EE4">
        <w:tc>
          <w:tcPr>
            <w:tcW w:w="1477" w:type="dxa"/>
            <w:vAlign w:val="center"/>
          </w:tcPr>
          <w:p w:rsidR="007B4EE4" w:rsidRDefault="00B833D5">
            <w:pPr>
              <w:jc w:val="left"/>
            </w:pPr>
            <w:r>
              <w:rPr>
                <w:rFonts w:eastAsiaTheme="minorEastAsia"/>
                <w:color w:val="000000"/>
                <w:szCs w:val="21"/>
              </w:rPr>
              <w:lastRenderedPageBreak/>
              <w:t>应收证券清算款</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w:t>
            </w:r>
          </w:p>
        </w:tc>
      </w:tr>
      <w:tr w:rsidR="007B4EE4">
        <w:tc>
          <w:tcPr>
            <w:tcW w:w="1477" w:type="dxa"/>
            <w:vAlign w:val="center"/>
          </w:tcPr>
          <w:p w:rsidR="007B4EE4" w:rsidRDefault="00B833D5">
            <w:pPr>
              <w:jc w:val="left"/>
            </w:pPr>
            <w:r>
              <w:rPr>
                <w:rFonts w:eastAsiaTheme="minorEastAsia"/>
                <w:color w:val="000000"/>
                <w:szCs w:val="21"/>
              </w:rPr>
              <w:t>应收利息</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1.72</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1.72</w:t>
            </w:r>
          </w:p>
        </w:tc>
      </w:tr>
      <w:tr w:rsidR="007B4EE4">
        <w:tc>
          <w:tcPr>
            <w:tcW w:w="1477" w:type="dxa"/>
            <w:vAlign w:val="center"/>
          </w:tcPr>
          <w:p w:rsidR="007B4EE4" w:rsidRDefault="00B833D5">
            <w:pPr>
              <w:jc w:val="left"/>
            </w:pPr>
            <w:r>
              <w:rPr>
                <w:rFonts w:eastAsiaTheme="minorEastAsia"/>
                <w:color w:val="000000"/>
                <w:szCs w:val="21"/>
              </w:rPr>
              <w:t>应收股利</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30,602.72</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30,602.72</w:t>
            </w:r>
          </w:p>
        </w:tc>
      </w:tr>
      <w:tr w:rsidR="007B4EE4">
        <w:tc>
          <w:tcPr>
            <w:tcW w:w="1477" w:type="dxa"/>
            <w:vAlign w:val="center"/>
          </w:tcPr>
          <w:p w:rsidR="007B4EE4" w:rsidRDefault="00B833D5">
            <w:pPr>
              <w:jc w:val="left"/>
            </w:pPr>
            <w:r>
              <w:rPr>
                <w:rFonts w:eastAsiaTheme="minorEastAsia"/>
                <w:color w:val="000000"/>
                <w:szCs w:val="21"/>
              </w:rPr>
              <w:t>应收申购款</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w:t>
            </w:r>
          </w:p>
        </w:tc>
      </w:tr>
      <w:tr w:rsidR="007B4EE4">
        <w:tc>
          <w:tcPr>
            <w:tcW w:w="1477" w:type="dxa"/>
            <w:vAlign w:val="center"/>
          </w:tcPr>
          <w:p w:rsidR="007B4EE4" w:rsidRDefault="00B833D5">
            <w:pPr>
              <w:jc w:val="left"/>
            </w:pPr>
            <w:r>
              <w:rPr>
                <w:rFonts w:eastAsiaTheme="minorEastAsia"/>
                <w:color w:val="000000"/>
                <w:szCs w:val="21"/>
              </w:rPr>
              <w:t>其他资产</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32,781,318.01</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32,781,318.01</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7B4EE4">
        <w:tc>
          <w:tcPr>
            <w:tcW w:w="1477" w:type="dxa"/>
            <w:vAlign w:val="center"/>
          </w:tcPr>
          <w:p w:rsidR="007B4EE4" w:rsidRDefault="00B833D5">
            <w:pPr>
              <w:jc w:val="left"/>
            </w:pPr>
            <w:r>
              <w:rPr>
                <w:rFonts w:eastAsiaTheme="minorEastAsia"/>
                <w:color w:val="000000"/>
                <w:szCs w:val="21"/>
              </w:rPr>
              <w:t>应付证券清算款</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w:t>
            </w:r>
          </w:p>
        </w:tc>
      </w:tr>
      <w:tr w:rsidR="007B4EE4">
        <w:tc>
          <w:tcPr>
            <w:tcW w:w="1477" w:type="dxa"/>
            <w:vAlign w:val="center"/>
          </w:tcPr>
          <w:p w:rsidR="007B4EE4" w:rsidRDefault="00B833D5">
            <w:pPr>
              <w:jc w:val="left"/>
            </w:pPr>
            <w:r>
              <w:rPr>
                <w:rFonts w:eastAsiaTheme="minorEastAsia"/>
                <w:color w:val="000000"/>
                <w:szCs w:val="21"/>
              </w:rPr>
              <w:t>应付赎回款</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w:t>
            </w:r>
          </w:p>
        </w:tc>
      </w:tr>
      <w:tr w:rsidR="007B4EE4">
        <w:tc>
          <w:tcPr>
            <w:tcW w:w="1477" w:type="dxa"/>
            <w:vAlign w:val="center"/>
          </w:tcPr>
          <w:p w:rsidR="007B4EE4" w:rsidRDefault="00B833D5">
            <w:pPr>
              <w:jc w:val="left"/>
            </w:pPr>
            <w:r>
              <w:rPr>
                <w:rFonts w:eastAsiaTheme="minorEastAsia"/>
                <w:color w:val="000000"/>
                <w:szCs w:val="21"/>
              </w:rPr>
              <w:t>其他负债</w:t>
            </w:r>
          </w:p>
        </w:tc>
        <w:tc>
          <w:tcPr>
            <w:tcW w:w="1943" w:type="dxa"/>
            <w:vAlign w:val="center"/>
          </w:tcPr>
          <w:p w:rsidR="007B4EE4" w:rsidRDefault="00B833D5">
            <w:pPr>
              <w:jc w:val="right"/>
            </w:pPr>
            <w:r>
              <w:rPr>
                <w:rFonts w:eastAsiaTheme="minorEastAsia"/>
                <w:color w:val="000000"/>
                <w:szCs w:val="21"/>
              </w:rPr>
              <w:t>-</w:t>
            </w:r>
          </w:p>
        </w:tc>
        <w:tc>
          <w:tcPr>
            <w:tcW w:w="1400" w:type="dxa"/>
            <w:vAlign w:val="center"/>
          </w:tcPr>
          <w:p w:rsidR="007B4EE4" w:rsidRDefault="00B833D5">
            <w:pPr>
              <w:jc w:val="right"/>
            </w:pPr>
            <w:r>
              <w:rPr>
                <w:rFonts w:eastAsiaTheme="minorEastAsia"/>
                <w:color w:val="000000"/>
                <w:szCs w:val="21"/>
              </w:rPr>
              <w:t>-</w:t>
            </w:r>
          </w:p>
        </w:tc>
        <w:tc>
          <w:tcPr>
            <w:tcW w:w="2020" w:type="dxa"/>
            <w:vAlign w:val="center"/>
          </w:tcPr>
          <w:p w:rsidR="007B4EE4" w:rsidRDefault="00B833D5">
            <w:pPr>
              <w:jc w:val="right"/>
            </w:pPr>
            <w:r>
              <w:rPr>
                <w:rFonts w:eastAsiaTheme="minorEastAsia"/>
                <w:color w:val="000000"/>
                <w:szCs w:val="21"/>
              </w:rPr>
              <w:t>-</w:t>
            </w:r>
          </w:p>
        </w:tc>
        <w:tc>
          <w:tcPr>
            <w:tcW w:w="2160" w:type="dxa"/>
            <w:vAlign w:val="center"/>
          </w:tcPr>
          <w:p w:rsidR="007B4EE4" w:rsidRDefault="00B833D5">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32,781,318.01</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32,781,318.01</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6.4.13.4.2.2</w:t>
      </w:r>
      <w:r w:rsidRPr="00C24ACA">
        <w:rPr>
          <w:rFonts w:eastAsiaTheme="minor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7B4EE4">
        <w:tc>
          <w:tcPr>
            <w:tcW w:w="993" w:type="dxa"/>
            <w:vAlign w:val="center"/>
          </w:tcPr>
          <w:p w:rsidR="007B4EE4" w:rsidRDefault="00B833D5">
            <w:pPr>
              <w:jc w:val="left"/>
            </w:pPr>
            <w:r>
              <w:rPr>
                <w:rFonts w:eastAsiaTheme="minorEastAsia"/>
                <w:color w:val="000000"/>
                <w:szCs w:val="21"/>
              </w:rPr>
              <w:t>假设</w:t>
            </w:r>
          </w:p>
        </w:tc>
        <w:tc>
          <w:tcPr>
            <w:tcW w:w="8007" w:type="dxa"/>
            <w:gridSpan w:val="3"/>
            <w:vAlign w:val="center"/>
          </w:tcPr>
          <w:p w:rsidR="007B4EE4" w:rsidRDefault="00B833D5">
            <w:pPr>
              <w:jc w:val="center"/>
            </w:pPr>
            <w:r>
              <w:rPr>
                <w:rFonts w:eastAsiaTheme="minorEastAsia"/>
                <w:color w:val="000000"/>
                <w:szCs w:val="21"/>
              </w:rPr>
              <w:t>除汇率外其他因素保持不变</w:t>
            </w:r>
          </w:p>
        </w:tc>
      </w:tr>
      <w:tr w:rsidR="00022F8F" w:rsidRPr="00C24ACA" w:rsidTr="0087507A">
        <w:tc>
          <w:tcPr>
            <w:tcW w:w="993" w:type="dxa"/>
            <w:vMerge w:val="restart"/>
            <w:vAlign w:val="center"/>
          </w:tcPr>
          <w:p w:rsidR="00022F8F" w:rsidRPr="00C24ACA" w:rsidRDefault="00022F8F"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3260" w:type="dxa"/>
            <w:vMerge w:val="restart"/>
            <w:vAlign w:val="center"/>
          </w:tcPr>
          <w:p w:rsidR="00022F8F" w:rsidRPr="00C24ACA" w:rsidRDefault="00022F8F" w:rsidP="0087507A">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4747" w:type="dxa"/>
            <w:gridSpan w:val="2"/>
          </w:tcPr>
          <w:p w:rsidR="00022F8F" w:rsidRPr="00C24ACA" w:rsidRDefault="00022F8F" w:rsidP="0087507A">
            <w:pPr>
              <w:jc w:val="center"/>
              <w:rPr>
                <w:rFonts w:eastAsiaTheme="minorEastAsia"/>
                <w:color w:val="000000"/>
                <w:szCs w:val="21"/>
              </w:rPr>
            </w:pPr>
            <w:r w:rsidRPr="00C24ACA">
              <w:rPr>
                <w:rFonts w:eastAsiaTheme="minorEastAsia"/>
                <w:color w:val="000000"/>
                <w:szCs w:val="21"/>
              </w:rPr>
              <w:t>对资产负债表日基金资产净值的</w:t>
            </w:r>
          </w:p>
          <w:p w:rsidR="00022F8F" w:rsidRPr="00C24ACA" w:rsidRDefault="00022F8F" w:rsidP="0087507A">
            <w:pPr>
              <w:jc w:val="center"/>
              <w:rPr>
                <w:rFonts w:eastAsiaTheme="minorEastAsia"/>
                <w:color w:val="000000"/>
                <w:szCs w:val="21"/>
              </w:rPr>
            </w:pPr>
          </w:p>
          <w:p w:rsidR="00022F8F"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022F8F" w:rsidRPr="00C24ACA">
              <w:rPr>
                <w:rFonts w:eastAsiaTheme="minorEastAsia"/>
                <w:color w:val="000000"/>
                <w:szCs w:val="21"/>
              </w:rPr>
              <w:t>元）</w:t>
            </w:r>
          </w:p>
        </w:tc>
      </w:tr>
      <w:tr w:rsidR="00022F8F" w:rsidRPr="00C24ACA" w:rsidTr="0087507A">
        <w:tc>
          <w:tcPr>
            <w:tcW w:w="993" w:type="dxa"/>
            <w:vMerge/>
            <w:vAlign w:val="center"/>
          </w:tcPr>
          <w:p w:rsidR="00022F8F" w:rsidRPr="00C24ACA" w:rsidRDefault="00022F8F" w:rsidP="0087507A">
            <w:pPr>
              <w:widowControl/>
              <w:jc w:val="left"/>
              <w:rPr>
                <w:rFonts w:eastAsiaTheme="minorEastAsia"/>
                <w:color w:val="000000"/>
                <w:szCs w:val="21"/>
              </w:rPr>
            </w:pPr>
          </w:p>
        </w:tc>
        <w:tc>
          <w:tcPr>
            <w:tcW w:w="3260" w:type="dxa"/>
            <w:vMerge/>
            <w:vAlign w:val="center"/>
          </w:tcPr>
          <w:p w:rsidR="00022F8F" w:rsidRPr="00C24ACA" w:rsidRDefault="00022F8F" w:rsidP="0087507A">
            <w:pPr>
              <w:widowControl/>
              <w:jc w:val="left"/>
              <w:rPr>
                <w:rFonts w:eastAsiaTheme="minorEastAsia"/>
                <w:color w:val="000000"/>
                <w:kern w:val="0"/>
                <w:szCs w:val="21"/>
              </w:rPr>
            </w:pPr>
          </w:p>
        </w:tc>
        <w:tc>
          <w:tcPr>
            <w:tcW w:w="2373"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本期末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374"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上年度末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7B4EE4">
        <w:tc>
          <w:tcPr>
            <w:tcW w:w="993" w:type="dxa"/>
            <w:vMerge/>
          </w:tcPr>
          <w:p w:rsidR="007B4EE4" w:rsidRDefault="007B4EE4"/>
        </w:tc>
        <w:tc>
          <w:tcPr>
            <w:tcW w:w="3260" w:type="dxa"/>
            <w:vAlign w:val="center"/>
          </w:tcPr>
          <w:p w:rsidR="007B4EE4" w:rsidRDefault="00B833D5">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7B4EE4" w:rsidRDefault="00B833D5">
            <w:pPr>
              <w:jc w:val="right"/>
            </w:pPr>
            <w:r>
              <w:rPr>
                <w:rFonts w:eastAsiaTheme="minorEastAsia"/>
                <w:color w:val="000000"/>
                <w:szCs w:val="21"/>
              </w:rPr>
              <w:t>-1,165,114.81</w:t>
            </w:r>
          </w:p>
        </w:tc>
        <w:tc>
          <w:tcPr>
            <w:tcW w:w="2374" w:type="dxa"/>
            <w:vAlign w:val="center"/>
          </w:tcPr>
          <w:p w:rsidR="007B4EE4" w:rsidRDefault="00B833D5">
            <w:pPr>
              <w:jc w:val="right"/>
            </w:pPr>
            <w:r>
              <w:rPr>
                <w:rFonts w:eastAsiaTheme="minorEastAsia"/>
                <w:color w:val="000000"/>
                <w:szCs w:val="21"/>
              </w:rPr>
              <w:t>-1,639,065.90</w:t>
            </w:r>
          </w:p>
        </w:tc>
      </w:tr>
      <w:tr w:rsidR="007B4EE4">
        <w:tc>
          <w:tcPr>
            <w:tcW w:w="993" w:type="dxa"/>
            <w:vMerge/>
          </w:tcPr>
          <w:p w:rsidR="007B4EE4" w:rsidRDefault="007B4EE4"/>
        </w:tc>
        <w:tc>
          <w:tcPr>
            <w:tcW w:w="3260" w:type="dxa"/>
            <w:vAlign w:val="center"/>
          </w:tcPr>
          <w:p w:rsidR="007B4EE4" w:rsidRDefault="00B833D5">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7B4EE4" w:rsidRDefault="00B833D5">
            <w:pPr>
              <w:jc w:val="right"/>
            </w:pPr>
            <w:r>
              <w:rPr>
                <w:rFonts w:eastAsiaTheme="minorEastAsia"/>
                <w:color w:val="000000"/>
                <w:szCs w:val="21"/>
              </w:rPr>
              <w:t>1,165,114.81</w:t>
            </w:r>
          </w:p>
        </w:tc>
        <w:tc>
          <w:tcPr>
            <w:tcW w:w="2374" w:type="dxa"/>
            <w:vAlign w:val="center"/>
          </w:tcPr>
          <w:p w:rsidR="007B4EE4" w:rsidRDefault="00B833D5">
            <w:pPr>
              <w:jc w:val="right"/>
            </w:pPr>
            <w:r>
              <w:rPr>
                <w:rFonts w:eastAsiaTheme="minorEastAsia"/>
                <w:color w:val="000000"/>
                <w:szCs w:val="21"/>
              </w:rPr>
              <w:t>1,639,065.90</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w:t>
      </w:r>
      <w:r w:rsidRPr="00C24ACA">
        <w:rPr>
          <w:rFonts w:eastAsiaTheme="minorEastAsia"/>
          <w:b/>
          <w:bCs/>
          <w:color w:val="000000"/>
          <w:szCs w:val="21"/>
        </w:rPr>
        <w:t>其他价格风险</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lastRenderedPageBreak/>
        <w:t>本基金的基金管理人采用</w:t>
      </w:r>
      <w:r w:rsidRPr="00C24ACA">
        <w:rPr>
          <w:rFonts w:eastAsiaTheme="minorEastAsia"/>
          <w:kern w:val="0"/>
          <w:szCs w:val="21"/>
        </w:rPr>
        <w:t>Barra</w:t>
      </w:r>
      <w:r w:rsidRPr="00C24ACA">
        <w:rPr>
          <w:rFonts w:eastAsiaTheme="minorEastAsia"/>
          <w:kern w:val="0"/>
          <w:szCs w:val="21"/>
        </w:rPr>
        <w:t>风险管理系统，通过标准差、跟踪误差、</w:t>
      </w:r>
      <w:r w:rsidRPr="00C24ACA">
        <w:rPr>
          <w:rFonts w:eastAsiaTheme="minorEastAsia"/>
          <w:kern w:val="0"/>
          <w:szCs w:val="21"/>
        </w:rPr>
        <w:t>beta</w:t>
      </w:r>
      <w:r w:rsidRPr="00C24ACA">
        <w:rPr>
          <w:rFonts w:eastAsiaTheme="minorEastAsia"/>
          <w:kern w:val="0"/>
          <w:szCs w:val="21"/>
        </w:rPr>
        <w:t>值、</w:t>
      </w:r>
      <w:r w:rsidRPr="00C24ACA">
        <w:rPr>
          <w:rFonts w:eastAsiaTheme="minorEastAsia"/>
          <w:kern w:val="0"/>
          <w:szCs w:val="21"/>
        </w:rPr>
        <w:t>VAR</w:t>
      </w:r>
      <w:r w:rsidRPr="00C24ACA">
        <w:rPr>
          <w:rFonts w:eastAsiaTheme="minorEastAsia"/>
          <w:kern w:val="0"/>
          <w:szCs w:val="21"/>
        </w:rPr>
        <w:t>等指标，监控投资组合面临的市场价格波动风险。</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6.4.13.4.3.1</w:t>
      </w:r>
      <w:r w:rsidRPr="00C24ACA">
        <w:rPr>
          <w:rFonts w:eastAsiaTheme="minorEastAsia"/>
          <w:b/>
          <w:bCs/>
          <w:color w:val="000000"/>
          <w:szCs w:val="21"/>
        </w:rPr>
        <w:t>其他价格风险敞口</w:t>
      </w:r>
    </w:p>
    <w:p w:rsidR="004A2F25" w:rsidRPr="00C24ACA" w:rsidRDefault="004A2F25" w:rsidP="004A2F25">
      <w:pPr>
        <w:spacing w:line="288" w:lineRule="auto"/>
        <w:ind w:firstLine="420"/>
        <w:jc w:val="right"/>
        <w:rPr>
          <w:rFonts w:eastAsiaTheme="minorEastAsia"/>
          <w:bCs/>
          <w:color w:val="000000"/>
          <w:szCs w:val="21"/>
        </w:rPr>
      </w:pPr>
      <w:r w:rsidRPr="00C24ACA">
        <w:rPr>
          <w:rFonts w:eastAsiaTheme="minor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701"/>
        <w:gridCol w:w="1559"/>
        <w:gridCol w:w="1559"/>
        <w:gridCol w:w="1487"/>
      </w:tblGrid>
      <w:tr w:rsidR="008A5A5D" w:rsidRPr="00C24ACA" w:rsidTr="004A4847">
        <w:tc>
          <w:tcPr>
            <w:tcW w:w="2694" w:type="dxa"/>
            <w:vMerge w:val="restart"/>
            <w:vAlign w:val="center"/>
          </w:tcPr>
          <w:p w:rsidR="008A5A5D" w:rsidRPr="00C24ACA" w:rsidRDefault="008A5A5D" w:rsidP="00F5070F">
            <w:pPr>
              <w:jc w:val="center"/>
              <w:rPr>
                <w:rFonts w:eastAsiaTheme="minorEastAsia"/>
                <w:color w:val="000000"/>
                <w:szCs w:val="21"/>
              </w:rPr>
            </w:pPr>
            <w:r w:rsidRPr="00C24ACA">
              <w:rPr>
                <w:rFonts w:eastAsiaTheme="minorEastAsia"/>
                <w:color w:val="000000"/>
                <w:szCs w:val="21"/>
              </w:rPr>
              <w:t>项目</w:t>
            </w:r>
          </w:p>
        </w:tc>
        <w:tc>
          <w:tcPr>
            <w:tcW w:w="326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本期末</w:t>
            </w:r>
          </w:p>
          <w:p w:rsidR="008A5A5D" w:rsidRPr="00C24ACA" w:rsidRDefault="00AC4A34" w:rsidP="004A4847">
            <w:pPr>
              <w:jc w:val="center"/>
              <w:rPr>
                <w:rFonts w:eastAsiaTheme="minorEastAsia"/>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3046"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上年度末</w:t>
            </w:r>
          </w:p>
          <w:p w:rsidR="008A5A5D" w:rsidRPr="00C24ACA" w:rsidRDefault="00520D7F" w:rsidP="00022F8F">
            <w:pPr>
              <w:jc w:val="center"/>
              <w:rPr>
                <w:rFonts w:eastAsiaTheme="minorEastAsia"/>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A5A5D" w:rsidRPr="00C24ACA" w:rsidTr="00022F8F">
        <w:tc>
          <w:tcPr>
            <w:tcW w:w="2694" w:type="dxa"/>
            <w:vMerge/>
            <w:vAlign w:val="center"/>
          </w:tcPr>
          <w:p w:rsidR="008A5A5D" w:rsidRPr="00C24ACA" w:rsidRDefault="008A5A5D" w:rsidP="004A4847">
            <w:pPr>
              <w:widowControl/>
              <w:jc w:val="left"/>
              <w:rPr>
                <w:rFonts w:eastAsiaTheme="minorEastAsia"/>
                <w:color w:val="000000"/>
                <w:szCs w:val="21"/>
              </w:rPr>
            </w:pPr>
          </w:p>
        </w:tc>
        <w:tc>
          <w:tcPr>
            <w:tcW w:w="1701" w:type="dxa"/>
            <w:vAlign w:val="center"/>
          </w:tcPr>
          <w:p w:rsidR="008A5A5D" w:rsidRPr="00C24ACA" w:rsidRDefault="008A5A5D" w:rsidP="004A4847">
            <w:pPr>
              <w:ind w:right="142"/>
              <w:jc w:val="center"/>
              <w:rPr>
                <w:rFonts w:eastAsiaTheme="minorEastAsia"/>
                <w:color w:val="000000"/>
                <w:szCs w:val="21"/>
              </w:rPr>
            </w:pPr>
            <w:r w:rsidRPr="00C24ACA">
              <w:rPr>
                <w:rFonts w:eastAsiaTheme="minorEastAsia"/>
                <w:color w:val="000000"/>
                <w:szCs w:val="21"/>
              </w:rPr>
              <w:t>公允价值</w:t>
            </w:r>
          </w:p>
        </w:tc>
        <w:tc>
          <w:tcPr>
            <w:tcW w:w="1559" w:type="dxa"/>
            <w:vAlign w:val="center"/>
          </w:tcPr>
          <w:p w:rsidR="008A5A5D" w:rsidRPr="00C24ACA" w:rsidRDefault="008A5A5D" w:rsidP="004A4847">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c>
          <w:tcPr>
            <w:tcW w:w="1559" w:type="dxa"/>
            <w:vAlign w:val="center"/>
          </w:tcPr>
          <w:p w:rsidR="008A5A5D" w:rsidRPr="00C24ACA" w:rsidRDefault="008A5A5D" w:rsidP="00022F8F">
            <w:pPr>
              <w:ind w:right="113"/>
              <w:jc w:val="center"/>
              <w:rPr>
                <w:rFonts w:eastAsiaTheme="minorEastAsia"/>
                <w:color w:val="000000"/>
                <w:szCs w:val="21"/>
              </w:rPr>
            </w:pPr>
            <w:r w:rsidRPr="00C24ACA">
              <w:rPr>
                <w:rFonts w:eastAsiaTheme="minorEastAsia"/>
                <w:color w:val="000000"/>
                <w:szCs w:val="21"/>
              </w:rPr>
              <w:t>公允价值</w:t>
            </w:r>
          </w:p>
        </w:tc>
        <w:tc>
          <w:tcPr>
            <w:tcW w:w="1487" w:type="dxa"/>
            <w:vAlign w:val="center"/>
          </w:tcPr>
          <w:p w:rsidR="008A5A5D" w:rsidRPr="00C24ACA" w:rsidRDefault="008A5A5D" w:rsidP="00022F8F">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szCs w:val="21"/>
              </w:rPr>
              <w:t>－</w:t>
            </w:r>
            <w:r w:rsidRPr="00C24ACA">
              <w:rPr>
                <w:rFonts w:eastAsiaTheme="minorEastAsia"/>
                <w:color w:val="000000"/>
                <w:szCs w:val="21"/>
              </w:rPr>
              <w:t>股票投资</w:t>
            </w:r>
          </w:p>
        </w:tc>
        <w:tc>
          <w:tcPr>
            <w:tcW w:w="1701"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21,826,559.71</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93.03</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30,896,286.47</w:t>
            </w:r>
          </w:p>
        </w:tc>
        <w:tc>
          <w:tcPr>
            <w:tcW w:w="1487"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94.39</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color w:val="000000"/>
                <w:szCs w:val="21"/>
              </w:rPr>
              <w:t>—</w:t>
            </w:r>
            <w:r w:rsidRPr="00C24ACA">
              <w:rPr>
                <w:rFonts w:eastAsiaTheme="minorEastAsia"/>
                <w:color w:val="000000"/>
                <w:szCs w:val="21"/>
              </w:rPr>
              <w:t>基金投资</w:t>
            </w:r>
          </w:p>
        </w:tc>
        <w:tc>
          <w:tcPr>
            <w:tcW w:w="1701"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742218">
        <w:tc>
          <w:tcPr>
            <w:tcW w:w="2694" w:type="dxa"/>
            <w:vAlign w:val="center"/>
          </w:tcPr>
          <w:p w:rsidR="001D0D6A" w:rsidRPr="00224952" w:rsidRDefault="001D0D6A" w:rsidP="001D0D6A">
            <w:pPr>
              <w:spacing w:line="360" w:lineRule="auto"/>
              <w:jc w:val="left"/>
              <w:rPr>
                <w:szCs w:val="21"/>
              </w:rPr>
            </w:pPr>
            <w:r w:rsidRPr="00224952">
              <w:rPr>
                <w:rFonts w:hint="eastAsia"/>
                <w:szCs w:val="21"/>
              </w:rPr>
              <w:t>交易性金融资产－贵金属投资</w:t>
            </w:r>
          </w:p>
        </w:tc>
        <w:tc>
          <w:tcPr>
            <w:tcW w:w="1701"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c>
          <w:tcPr>
            <w:tcW w:w="1487"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衍生金融资产－权证投资</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其他</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rPr>
                <w:rFonts w:eastAsiaTheme="minorEastAsia"/>
                <w:color w:val="000000"/>
                <w:szCs w:val="21"/>
              </w:rPr>
            </w:pPr>
            <w:r w:rsidRPr="00C24ACA">
              <w:rPr>
                <w:rFonts w:eastAsiaTheme="minorEastAsia"/>
                <w:color w:val="000000"/>
                <w:szCs w:val="21"/>
              </w:rPr>
              <w:t>合计</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21,826,559.71</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93.03</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30,896,286.47</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94.39</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6.4.13.4.3.2</w:t>
      </w:r>
      <w:r w:rsidRPr="00C24ACA">
        <w:rPr>
          <w:rFonts w:eastAsiaTheme="minor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7B4EE4">
        <w:tc>
          <w:tcPr>
            <w:tcW w:w="993" w:type="dxa"/>
            <w:vAlign w:val="center"/>
          </w:tcPr>
          <w:p w:rsidR="007B4EE4" w:rsidRDefault="00B833D5">
            <w:pPr>
              <w:jc w:val="left"/>
            </w:pPr>
            <w:r>
              <w:rPr>
                <w:rFonts w:eastAsiaTheme="minorEastAsia"/>
                <w:color w:val="000000"/>
                <w:szCs w:val="21"/>
              </w:rPr>
              <w:t>假设</w:t>
            </w:r>
          </w:p>
        </w:tc>
        <w:tc>
          <w:tcPr>
            <w:tcW w:w="8079" w:type="dxa"/>
            <w:gridSpan w:val="4"/>
            <w:vAlign w:val="center"/>
          </w:tcPr>
          <w:p w:rsidR="007B4EE4" w:rsidRDefault="00B833D5">
            <w:pPr>
              <w:jc w:val="center"/>
            </w:pPr>
            <w:r>
              <w:rPr>
                <w:rFonts w:eastAsiaTheme="minorEastAsia"/>
                <w:color w:val="000000"/>
                <w:szCs w:val="21"/>
              </w:rPr>
              <w:t>除业绩比较基准以外的其他市场变量保持不变</w:t>
            </w:r>
          </w:p>
        </w:tc>
      </w:tr>
      <w:tr w:rsidR="00695204" w:rsidRPr="00C24ACA" w:rsidTr="007C6EA8">
        <w:trPr>
          <w:gridAfter w:val="1"/>
          <w:wAfter w:w="72" w:type="dxa"/>
        </w:trPr>
        <w:tc>
          <w:tcPr>
            <w:tcW w:w="993" w:type="dxa"/>
            <w:vMerge w:val="restart"/>
            <w:vAlign w:val="center"/>
          </w:tcPr>
          <w:p w:rsidR="00695204" w:rsidRPr="00C24ACA" w:rsidRDefault="00695204"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2448" w:type="dxa"/>
            <w:vMerge w:val="restart"/>
            <w:vAlign w:val="center"/>
          </w:tcPr>
          <w:p w:rsidR="00695204" w:rsidRPr="00C24ACA" w:rsidRDefault="00695204" w:rsidP="007C6EA8">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5559" w:type="dxa"/>
            <w:gridSpan w:val="2"/>
          </w:tcPr>
          <w:p w:rsidR="00695204" w:rsidRPr="00C24ACA" w:rsidRDefault="00695204" w:rsidP="007C6EA8">
            <w:pPr>
              <w:jc w:val="center"/>
              <w:rPr>
                <w:rFonts w:eastAsiaTheme="minorEastAsia"/>
                <w:color w:val="000000"/>
                <w:szCs w:val="21"/>
              </w:rPr>
            </w:pPr>
            <w:r w:rsidRPr="00C24ACA">
              <w:rPr>
                <w:rFonts w:eastAsiaTheme="minorEastAsia"/>
                <w:color w:val="000000"/>
                <w:szCs w:val="21"/>
              </w:rPr>
              <w:t>对资产负债表日基金资产净值的</w:t>
            </w:r>
          </w:p>
          <w:p w:rsidR="00695204"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695204" w:rsidRPr="00C24ACA">
              <w:rPr>
                <w:rFonts w:eastAsiaTheme="minorEastAsia"/>
                <w:color w:val="000000"/>
                <w:szCs w:val="21"/>
              </w:rPr>
              <w:t>元）</w:t>
            </w:r>
          </w:p>
        </w:tc>
      </w:tr>
      <w:tr w:rsidR="00695204" w:rsidRPr="00C24ACA" w:rsidTr="007C6EA8">
        <w:trPr>
          <w:gridAfter w:val="1"/>
          <w:wAfter w:w="72" w:type="dxa"/>
        </w:trPr>
        <w:tc>
          <w:tcPr>
            <w:tcW w:w="993" w:type="dxa"/>
            <w:vMerge/>
            <w:vAlign w:val="center"/>
          </w:tcPr>
          <w:p w:rsidR="00695204" w:rsidRPr="00C24ACA" w:rsidRDefault="00695204" w:rsidP="007C6EA8">
            <w:pPr>
              <w:widowControl/>
              <w:jc w:val="left"/>
              <w:rPr>
                <w:rFonts w:eastAsiaTheme="minorEastAsia"/>
                <w:color w:val="000000"/>
                <w:szCs w:val="21"/>
              </w:rPr>
            </w:pPr>
          </w:p>
        </w:tc>
        <w:tc>
          <w:tcPr>
            <w:tcW w:w="2448" w:type="dxa"/>
            <w:vMerge/>
            <w:vAlign w:val="center"/>
          </w:tcPr>
          <w:p w:rsidR="00695204" w:rsidRPr="00C24ACA" w:rsidRDefault="00695204" w:rsidP="007C6EA8">
            <w:pPr>
              <w:widowControl/>
              <w:jc w:val="left"/>
              <w:rPr>
                <w:rFonts w:eastAsiaTheme="minorEastAsia"/>
                <w:color w:val="000000"/>
                <w:kern w:val="0"/>
                <w:szCs w:val="21"/>
              </w:rPr>
            </w:pPr>
          </w:p>
        </w:tc>
        <w:tc>
          <w:tcPr>
            <w:tcW w:w="2880" w:type="dxa"/>
          </w:tcPr>
          <w:p w:rsidR="00695204" w:rsidRPr="00C24ACA" w:rsidRDefault="00695204" w:rsidP="008134C7">
            <w:pPr>
              <w:spacing w:line="360" w:lineRule="auto"/>
              <w:ind w:firstLineChars="350" w:firstLine="735"/>
              <w:rPr>
                <w:rFonts w:eastAsiaTheme="minorEastAsia"/>
                <w:color w:val="000000"/>
                <w:szCs w:val="21"/>
              </w:rPr>
            </w:pPr>
            <w:r w:rsidRPr="00C24ACA">
              <w:rPr>
                <w:rFonts w:eastAsiaTheme="minorEastAsia"/>
                <w:color w:val="000000"/>
                <w:szCs w:val="21"/>
              </w:rPr>
              <w:t>本期末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679" w:type="dxa"/>
          </w:tcPr>
          <w:p w:rsidR="00695204" w:rsidRPr="00C24ACA" w:rsidRDefault="00695204" w:rsidP="008134C7">
            <w:pPr>
              <w:spacing w:line="360" w:lineRule="auto"/>
              <w:ind w:firstLineChars="300" w:firstLine="630"/>
              <w:rPr>
                <w:rFonts w:eastAsiaTheme="minorEastAsia"/>
                <w:color w:val="000000"/>
                <w:szCs w:val="21"/>
              </w:rPr>
            </w:pPr>
            <w:r w:rsidRPr="00C24ACA">
              <w:rPr>
                <w:rFonts w:eastAsiaTheme="minorEastAsia"/>
                <w:color w:val="000000"/>
                <w:szCs w:val="21"/>
              </w:rPr>
              <w:t>上年度末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7B4EE4">
        <w:trPr>
          <w:gridAfter w:val="1"/>
          <w:wAfter w:w="72" w:type="dxa"/>
        </w:trPr>
        <w:tc>
          <w:tcPr>
            <w:tcW w:w="993" w:type="dxa"/>
            <w:vMerge/>
          </w:tcPr>
          <w:p w:rsidR="007B4EE4" w:rsidRDefault="007B4EE4"/>
        </w:tc>
        <w:tc>
          <w:tcPr>
            <w:tcW w:w="2448" w:type="dxa"/>
            <w:vAlign w:val="center"/>
          </w:tcPr>
          <w:p w:rsidR="007B4EE4" w:rsidRDefault="00B833D5">
            <w:r>
              <w:rPr>
                <w:rFonts w:eastAsiaTheme="minorEastAsia"/>
                <w:color w:val="000000"/>
                <w:szCs w:val="21"/>
              </w:rPr>
              <w:t>1.</w:t>
            </w:r>
            <w:r>
              <w:rPr>
                <w:rFonts w:eastAsiaTheme="minorEastAsia"/>
                <w:color w:val="000000"/>
                <w:szCs w:val="21"/>
              </w:rPr>
              <w:t>业绩比较基准上升</w:t>
            </w:r>
            <w:r>
              <w:rPr>
                <w:rFonts w:eastAsiaTheme="minorEastAsia"/>
                <w:color w:val="000000"/>
                <w:szCs w:val="21"/>
              </w:rPr>
              <w:t>5%</w:t>
            </w:r>
          </w:p>
        </w:tc>
        <w:tc>
          <w:tcPr>
            <w:tcW w:w="2880" w:type="dxa"/>
            <w:vAlign w:val="center"/>
          </w:tcPr>
          <w:p w:rsidR="007B4EE4" w:rsidRDefault="00B833D5">
            <w:pPr>
              <w:jc w:val="right"/>
            </w:pPr>
            <w:r>
              <w:rPr>
                <w:rFonts w:eastAsiaTheme="minorEastAsia"/>
                <w:color w:val="000000"/>
                <w:szCs w:val="21"/>
              </w:rPr>
              <w:t>1,091,327.98</w:t>
            </w:r>
          </w:p>
        </w:tc>
        <w:tc>
          <w:tcPr>
            <w:tcW w:w="2679" w:type="dxa"/>
            <w:vAlign w:val="center"/>
          </w:tcPr>
          <w:p w:rsidR="007B4EE4" w:rsidRDefault="00B833D5">
            <w:pPr>
              <w:jc w:val="right"/>
            </w:pPr>
            <w:r>
              <w:rPr>
                <w:rFonts w:eastAsiaTheme="minorEastAsia"/>
                <w:color w:val="000000"/>
                <w:szCs w:val="21"/>
              </w:rPr>
              <w:t>1,544,814.31</w:t>
            </w:r>
          </w:p>
        </w:tc>
      </w:tr>
      <w:tr w:rsidR="007B4EE4">
        <w:trPr>
          <w:gridAfter w:val="1"/>
          <w:wAfter w:w="72" w:type="dxa"/>
        </w:trPr>
        <w:tc>
          <w:tcPr>
            <w:tcW w:w="993" w:type="dxa"/>
            <w:vMerge/>
          </w:tcPr>
          <w:p w:rsidR="007B4EE4" w:rsidRDefault="007B4EE4"/>
        </w:tc>
        <w:tc>
          <w:tcPr>
            <w:tcW w:w="2448" w:type="dxa"/>
            <w:vAlign w:val="center"/>
          </w:tcPr>
          <w:p w:rsidR="007B4EE4" w:rsidRDefault="00B833D5">
            <w:r>
              <w:rPr>
                <w:rFonts w:eastAsiaTheme="minorEastAsia"/>
                <w:color w:val="000000"/>
                <w:szCs w:val="21"/>
              </w:rPr>
              <w:t>2.</w:t>
            </w:r>
            <w:r>
              <w:rPr>
                <w:rFonts w:eastAsiaTheme="minorEastAsia"/>
                <w:color w:val="000000"/>
                <w:szCs w:val="21"/>
              </w:rPr>
              <w:t>业绩比较基准下降</w:t>
            </w:r>
            <w:r>
              <w:rPr>
                <w:rFonts w:eastAsiaTheme="minorEastAsia"/>
                <w:color w:val="000000"/>
                <w:szCs w:val="21"/>
              </w:rPr>
              <w:t>5%</w:t>
            </w:r>
          </w:p>
        </w:tc>
        <w:tc>
          <w:tcPr>
            <w:tcW w:w="2880" w:type="dxa"/>
            <w:vAlign w:val="center"/>
          </w:tcPr>
          <w:p w:rsidR="007B4EE4" w:rsidRDefault="00B833D5">
            <w:pPr>
              <w:jc w:val="right"/>
            </w:pPr>
            <w:r>
              <w:rPr>
                <w:rFonts w:eastAsiaTheme="minorEastAsia"/>
                <w:color w:val="000000"/>
                <w:szCs w:val="21"/>
              </w:rPr>
              <w:t>-1,091,327.98</w:t>
            </w:r>
          </w:p>
        </w:tc>
        <w:tc>
          <w:tcPr>
            <w:tcW w:w="2679" w:type="dxa"/>
            <w:vAlign w:val="center"/>
          </w:tcPr>
          <w:p w:rsidR="007B4EE4" w:rsidRDefault="00B833D5">
            <w:pPr>
              <w:jc w:val="right"/>
            </w:pPr>
            <w:r>
              <w:rPr>
                <w:rFonts w:eastAsiaTheme="minorEastAsia"/>
                <w:color w:val="000000"/>
                <w:szCs w:val="21"/>
              </w:rPr>
              <w:t>-1,544,814.31</w:t>
            </w:r>
          </w:p>
        </w:tc>
      </w:tr>
    </w:tbl>
    <w:p w:rsidR="008A5A5D" w:rsidRPr="00C24ACA" w:rsidRDefault="008A5A5D" w:rsidP="00732F5C">
      <w:pPr>
        <w:adjustRightInd w:val="0"/>
        <w:snapToGrid w:val="0"/>
        <w:spacing w:beforeLines="100" w:before="312" w:line="360" w:lineRule="auto"/>
        <w:rPr>
          <w:rFonts w:eastAsiaTheme="minorEastAsia"/>
          <w:b/>
          <w:color w:val="000000"/>
          <w:szCs w:val="21"/>
        </w:rPr>
      </w:pPr>
      <w:r w:rsidRPr="00C24ACA">
        <w:rPr>
          <w:rFonts w:eastAsiaTheme="minorEastAsia"/>
          <w:b/>
          <w:bCs/>
          <w:color w:val="000000"/>
          <w:kern w:val="0"/>
          <w:szCs w:val="21"/>
        </w:rPr>
        <w:t>6.4.14</w:t>
      </w:r>
      <w:r w:rsidRPr="00C24ACA">
        <w:rPr>
          <w:rFonts w:eastAsiaTheme="minorEastAsia"/>
          <w:b/>
          <w:color w:val="000000"/>
          <w:szCs w:val="21"/>
        </w:rPr>
        <w:t>有助于理解和分析会计报表需要说明的其他事项</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公允价值</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(a)</w:t>
      </w:r>
      <w:r>
        <w:rPr>
          <w:rFonts w:eastAsiaTheme="minorEastAsia"/>
          <w:kern w:val="0"/>
          <w:szCs w:val="21"/>
        </w:rPr>
        <w:t>金融工具公允价值计量的方法</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公允价值计量结果所属的层次，由对公允价值计量整体而言具有重要意义的输入值所属的最低层次决定：</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第一层次：相同资产或负债在活跃市场上未经调整的报价。</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第二层次：除第一层次输入值外相关资产或负债直接或间接可观察的输入值。</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lastRenderedPageBreak/>
        <w:t>第三层次：相关资产或负债的不可观察输入值。</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(b)</w:t>
      </w:r>
      <w:r>
        <w:rPr>
          <w:rFonts w:eastAsiaTheme="minorEastAsia"/>
          <w:kern w:val="0"/>
          <w:szCs w:val="21"/>
        </w:rPr>
        <w:t>持续的以公允价值计量的金融工具</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(i)</w:t>
      </w:r>
      <w:r>
        <w:rPr>
          <w:rFonts w:eastAsiaTheme="minorEastAsia"/>
          <w:kern w:val="0"/>
          <w:szCs w:val="21"/>
        </w:rPr>
        <w:t>各层次金融工具公允价值</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日，本基金持有的以公允价值计量且其变动计入当期损益的金融资产中属于第一层次的余额为</w:t>
      </w:r>
      <w:r>
        <w:rPr>
          <w:rFonts w:eastAsiaTheme="minorEastAsia"/>
          <w:kern w:val="0"/>
          <w:szCs w:val="21"/>
        </w:rPr>
        <w:t>21,826,559.71</w:t>
      </w:r>
      <w:r>
        <w:rPr>
          <w:rFonts w:eastAsiaTheme="minorEastAsia"/>
          <w:kern w:val="0"/>
          <w:szCs w:val="21"/>
        </w:rPr>
        <w:t>元，无属于第二层次的余额，无属于第三层次的余额</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日：第一层次</w:t>
      </w:r>
      <w:r>
        <w:rPr>
          <w:rFonts w:eastAsiaTheme="minorEastAsia"/>
          <w:kern w:val="0"/>
          <w:szCs w:val="21"/>
        </w:rPr>
        <w:t>30,629,218.63</w:t>
      </w:r>
      <w:r>
        <w:rPr>
          <w:rFonts w:eastAsiaTheme="minorEastAsia"/>
          <w:kern w:val="0"/>
          <w:szCs w:val="21"/>
        </w:rPr>
        <w:t>元，第二层次</w:t>
      </w:r>
      <w:r>
        <w:rPr>
          <w:rFonts w:eastAsiaTheme="minorEastAsia"/>
          <w:kern w:val="0"/>
          <w:szCs w:val="21"/>
        </w:rPr>
        <w:t>223,801.67</w:t>
      </w:r>
      <w:r>
        <w:rPr>
          <w:rFonts w:eastAsiaTheme="minorEastAsia"/>
          <w:kern w:val="0"/>
          <w:szCs w:val="21"/>
        </w:rPr>
        <w:t>元，第三层次</w:t>
      </w:r>
      <w:r>
        <w:rPr>
          <w:rFonts w:eastAsiaTheme="minorEastAsia"/>
          <w:kern w:val="0"/>
          <w:szCs w:val="21"/>
        </w:rPr>
        <w:t>43,266.17</w:t>
      </w:r>
      <w:r>
        <w:rPr>
          <w:rFonts w:eastAsiaTheme="minorEastAsia"/>
          <w:kern w:val="0"/>
          <w:szCs w:val="21"/>
        </w:rPr>
        <w:t>元</w:t>
      </w:r>
      <w:r>
        <w:rPr>
          <w:rFonts w:eastAsiaTheme="minorEastAsia"/>
          <w:kern w:val="0"/>
          <w:szCs w:val="21"/>
        </w:rPr>
        <w:t xml:space="preserve">) </w:t>
      </w:r>
      <w:r>
        <w:rPr>
          <w:rFonts w:eastAsiaTheme="minorEastAsia"/>
          <w:kern w:val="0"/>
          <w:szCs w:val="21"/>
        </w:rPr>
        <w:t>。</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(ii)</w:t>
      </w:r>
      <w:r>
        <w:rPr>
          <w:rFonts w:eastAsiaTheme="minorEastAsia"/>
          <w:kern w:val="0"/>
          <w:szCs w:val="21"/>
        </w:rPr>
        <w:t>公允价值所属层次间的重大变动</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本基金以导致各层次之间转换的事项发生日为确认各层次之间转换的时点。</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对于证券交易所上市的股票，若出现重大事项停牌、交易不活跃</w:t>
      </w:r>
      <w:r>
        <w:rPr>
          <w:rFonts w:eastAsiaTheme="minorEastAsia"/>
          <w:kern w:val="0"/>
          <w:szCs w:val="21"/>
        </w:rPr>
        <w:t>(</w:t>
      </w:r>
      <w:r>
        <w:rPr>
          <w:rFonts w:eastAsiaTheme="minorEastAsia"/>
          <w:kern w:val="0"/>
          <w:szCs w:val="21"/>
        </w:rPr>
        <w:t>包括涨跌停时的交易不活跃</w:t>
      </w:r>
      <w:r>
        <w:rPr>
          <w:rFonts w:eastAsiaTheme="minorEastAsia"/>
          <w:kern w:val="0"/>
          <w:szCs w:val="21"/>
        </w:rPr>
        <w:t>)</w:t>
      </w:r>
      <w:r>
        <w:rPr>
          <w:rFonts w:eastAsiaTheme="minorEastAsia"/>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(iii)</w:t>
      </w:r>
      <w:r>
        <w:rPr>
          <w:rFonts w:eastAsiaTheme="minorEastAsia"/>
          <w:kern w:val="0"/>
          <w:szCs w:val="21"/>
        </w:rPr>
        <w:t>第三层次公允价值余额和本期变动金额</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日，本基金无第三层次金融工具</w:t>
      </w:r>
      <w:r>
        <w:rPr>
          <w:rFonts w:eastAsiaTheme="minorEastAsia"/>
          <w:kern w:val="0"/>
          <w:szCs w:val="21"/>
        </w:rPr>
        <w:t xml:space="preserve"> (2019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w:t>
      </w:r>
      <w:r>
        <w:rPr>
          <w:rFonts w:eastAsiaTheme="minorEastAsia"/>
          <w:kern w:val="0"/>
          <w:szCs w:val="21"/>
        </w:rPr>
        <w:t>43,266.17</w:t>
      </w:r>
      <w:r>
        <w:rPr>
          <w:rFonts w:eastAsiaTheme="minorEastAsia"/>
          <w:kern w:val="0"/>
          <w:szCs w:val="21"/>
        </w:rPr>
        <w:t>元</w:t>
      </w:r>
      <w:r>
        <w:rPr>
          <w:rFonts w:eastAsiaTheme="minorEastAsia"/>
          <w:kern w:val="0"/>
          <w:szCs w:val="21"/>
        </w:rPr>
        <w:t>)</w:t>
      </w:r>
      <w:r>
        <w:rPr>
          <w:rFonts w:eastAsiaTheme="minorEastAsia"/>
          <w:kern w:val="0"/>
          <w:szCs w:val="21"/>
        </w:rPr>
        <w:t>。</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上述第三层次资产变动如下：</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5"/>
        <w:gridCol w:w="2435"/>
      </w:tblGrid>
      <w:tr w:rsidR="00402ACB" w:rsidTr="00402ACB">
        <w:trPr>
          <w:cantSplit/>
          <w:trHeight w:val="67"/>
        </w:trPr>
        <w:tc>
          <w:tcPr>
            <w:tcW w:w="6238" w:type="dxa"/>
            <w:tcBorders>
              <w:top w:val="single" w:sz="4" w:space="0" w:color="auto"/>
              <w:left w:val="single" w:sz="4" w:space="0" w:color="auto"/>
              <w:bottom w:val="single" w:sz="4" w:space="0" w:color="auto"/>
              <w:right w:val="single" w:sz="4" w:space="0" w:color="auto"/>
            </w:tcBorders>
          </w:tcPr>
          <w:p w:rsidR="00402ACB" w:rsidRPr="004019F7" w:rsidRDefault="00402ACB">
            <w:pPr>
              <w:tabs>
                <w:tab w:val="right" w:pos="2160"/>
                <w:tab w:val="right" w:pos="3060"/>
                <w:tab w:val="right" w:pos="4320"/>
                <w:tab w:val="right" w:pos="5670"/>
                <w:tab w:val="right" w:pos="6570"/>
                <w:tab w:val="right" w:pos="7805"/>
              </w:tabs>
              <w:rPr>
                <w:rFonts w:eastAsiaTheme="minorEastAsia"/>
                <w:kern w:val="0"/>
                <w:szCs w:val="21"/>
              </w:rPr>
            </w:pPr>
          </w:p>
        </w:tc>
        <w:tc>
          <w:tcPr>
            <w:tcW w:w="2436"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right" w:pos="2160"/>
                <w:tab w:val="right" w:pos="3060"/>
                <w:tab w:val="right" w:pos="4320"/>
                <w:tab w:val="right" w:pos="5670"/>
                <w:tab w:val="right" w:pos="6570"/>
                <w:tab w:val="right" w:pos="7805"/>
              </w:tabs>
              <w:jc w:val="right"/>
              <w:rPr>
                <w:rFonts w:eastAsiaTheme="minorEastAsia"/>
                <w:kern w:val="0"/>
                <w:szCs w:val="21"/>
              </w:rPr>
            </w:pPr>
            <w:r w:rsidRPr="004019F7">
              <w:rPr>
                <w:rFonts w:eastAsiaTheme="minorEastAsia" w:hint="eastAsia"/>
                <w:kern w:val="0"/>
                <w:szCs w:val="21"/>
              </w:rPr>
              <w:t>交易性金融资产</w:t>
            </w:r>
          </w:p>
        </w:tc>
      </w:tr>
      <w:tr w:rsidR="00402ACB" w:rsidTr="00402ACB">
        <w:trPr>
          <w:cantSplit/>
          <w:trHeight w:val="67"/>
        </w:trPr>
        <w:tc>
          <w:tcPr>
            <w:tcW w:w="6238" w:type="dxa"/>
            <w:tcBorders>
              <w:top w:val="single" w:sz="4" w:space="0" w:color="auto"/>
              <w:left w:val="single" w:sz="4" w:space="0" w:color="auto"/>
              <w:bottom w:val="single" w:sz="4" w:space="0" w:color="auto"/>
              <w:right w:val="single" w:sz="4" w:space="0" w:color="auto"/>
            </w:tcBorders>
          </w:tcPr>
          <w:p w:rsidR="00402ACB" w:rsidRPr="004019F7" w:rsidRDefault="00402ACB">
            <w:pPr>
              <w:rPr>
                <w:rFonts w:eastAsiaTheme="minorEastAsia"/>
                <w:kern w:val="0"/>
                <w:szCs w:val="21"/>
              </w:rPr>
            </w:pPr>
          </w:p>
        </w:tc>
        <w:tc>
          <w:tcPr>
            <w:tcW w:w="2436"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right" w:pos="2160"/>
                <w:tab w:val="right" w:pos="3060"/>
                <w:tab w:val="right" w:pos="4320"/>
                <w:tab w:val="right" w:pos="5670"/>
                <w:tab w:val="right" w:pos="6570"/>
                <w:tab w:val="right" w:pos="7805"/>
              </w:tabs>
              <w:jc w:val="right"/>
              <w:rPr>
                <w:rFonts w:eastAsiaTheme="minorEastAsia"/>
                <w:kern w:val="0"/>
                <w:szCs w:val="21"/>
              </w:rPr>
            </w:pPr>
            <w:r w:rsidRPr="004019F7">
              <w:rPr>
                <w:rFonts w:eastAsiaTheme="minorEastAsia" w:hint="eastAsia"/>
                <w:kern w:val="0"/>
                <w:szCs w:val="21"/>
              </w:rPr>
              <w:t>权益工具投资</w:t>
            </w:r>
          </w:p>
        </w:tc>
      </w:tr>
      <w:tr w:rsidR="00402ACB" w:rsidTr="00402ACB">
        <w:trPr>
          <w:cantSplit/>
          <w:trHeight w:val="67"/>
        </w:trPr>
        <w:tc>
          <w:tcPr>
            <w:tcW w:w="6238" w:type="dxa"/>
            <w:tcBorders>
              <w:top w:val="single" w:sz="4" w:space="0" w:color="auto"/>
              <w:left w:val="single" w:sz="4" w:space="0" w:color="auto"/>
              <w:bottom w:val="single" w:sz="4" w:space="0" w:color="auto"/>
              <w:right w:val="single" w:sz="4" w:space="0" w:color="auto"/>
            </w:tcBorders>
            <w:hideMark/>
          </w:tcPr>
          <w:p w:rsidR="00402ACB" w:rsidRPr="004019F7" w:rsidRDefault="00402ACB">
            <w:pPr>
              <w:tabs>
                <w:tab w:val="right" w:pos="2160"/>
              </w:tabs>
              <w:rPr>
                <w:rFonts w:eastAsiaTheme="minorEastAsia"/>
                <w:kern w:val="0"/>
                <w:szCs w:val="21"/>
              </w:rPr>
            </w:pPr>
            <w:r w:rsidRPr="004019F7">
              <w:rPr>
                <w:rFonts w:eastAsiaTheme="minorEastAsia"/>
                <w:kern w:val="0"/>
                <w:szCs w:val="21"/>
              </w:rPr>
              <w:t>2020</w:t>
            </w:r>
            <w:r w:rsidRPr="004019F7">
              <w:rPr>
                <w:rFonts w:eastAsiaTheme="minorEastAsia" w:hint="eastAsia"/>
                <w:kern w:val="0"/>
                <w:szCs w:val="21"/>
              </w:rPr>
              <w:t>年</w:t>
            </w:r>
            <w:r w:rsidRPr="004019F7">
              <w:rPr>
                <w:rFonts w:eastAsiaTheme="minorEastAsia"/>
                <w:kern w:val="0"/>
                <w:szCs w:val="21"/>
              </w:rPr>
              <w:t>1</w:t>
            </w:r>
            <w:r w:rsidRPr="004019F7">
              <w:rPr>
                <w:rFonts w:eastAsiaTheme="minorEastAsia" w:hint="eastAsia"/>
                <w:kern w:val="0"/>
                <w:szCs w:val="21"/>
              </w:rPr>
              <w:t>月</w:t>
            </w:r>
            <w:r w:rsidRPr="004019F7">
              <w:rPr>
                <w:rFonts w:eastAsiaTheme="minorEastAsia"/>
                <w:kern w:val="0"/>
                <w:szCs w:val="21"/>
              </w:rPr>
              <w:t>1</w:t>
            </w:r>
            <w:r w:rsidRPr="004019F7">
              <w:rPr>
                <w:rFonts w:eastAsiaTheme="minorEastAsia" w:hint="eastAsia"/>
                <w:kern w:val="0"/>
                <w:szCs w:val="21"/>
              </w:rPr>
              <w:t>日</w:t>
            </w:r>
          </w:p>
        </w:tc>
        <w:tc>
          <w:tcPr>
            <w:tcW w:w="2436"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79"/>
              </w:tabs>
              <w:rPr>
                <w:rFonts w:eastAsiaTheme="minorEastAsia"/>
                <w:kern w:val="0"/>
                <w:szCs w:val="21"/>
              </w:rPr>
            </w:pPr>
            <w:r w:rsidRPr="004019F7">
              <w:rPr>
                <w:rFonts w:eastAsiaTheme="minorEastAsia"/>
                <w:kern w:val="0"/>
                <w:szCs w:val="21"/>
              </w:rPr>
              <w:t>43,266.17</w:t>
            </w:r>
          </w:p>
        </w:tc>
      </w:tr>
      <w:tr w:rsidR="00402ACB" w:rsidTr="00402ACB">
        <w:trPr>
          <w:cantSplit/>
          <w:trHeight w:val="67"/>
        </w:trPr>
        <w:tc>
          <w:tcPr>
            <w:tcW w:w="6238"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t>购买</w:t>
            </w:r>
          </w:p>
        </w:tc>
        <w:tc>
          <w:tcPr>
            <w:tcW w:w="2436"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79"/>
              </w:tabs>
              <w:rPr>
                <w:rFonts w:eastAsiaTheme="minorEastAsia"/>
                <w:kern w:val="0"/>
                <w:szCs w:val="21"/>
              </w:rPr>
            </w:pPr>
            <w:r w:rsidRPr="004019F7">
              <w:rPr>
                <w:rFonts w:eastAsiaTheme="minorEastAsia"/>
                <w:kern w:val="0"/>
                <w:szCs w:val="21"/>
              </w:rPr>
              <w:t>-</w:t>
            </w:r>
          </w:p>
        </w:tc>
      </w:tr>
      <w:tr w:rsidR="00402ACB" w:rsidTr="00402ACB">
        <w:trPr>
          <w:cantSplit/>
          <w:trHeight w:val="67"/>
        </w:trPr>
        <w:tc>
          <w:tcPr>
            <w:tcW w:w="6238"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t>出售</w:t>
            </w:r>
          </w:p>
        </w:tc>
        <w:tc>
          <w:tcPr>
            <w:tcW w:w="2436"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79"/>
              </w:tabs>
              <w:rPr>
                <w:rFonts w:eastAsiaTheme="minorEastAsia"/>
                <w:kern w:val="0"/>
                <w:szCs w:val="21"/>
              </w:rPr>
            </w:pPr>
            <w:r w:rsidRPr="004019F7">
              <w:rPr>
                <w:rFonts w:eastAsiaTheme="minorEastAsia"/>
                <w:kern w:val="0"/>
                <w:szCs w:val="21"/>
              </w:rPr>
              <w:t>28,472.66</w:t>
            </w:r>
          </w:p>
        </w:tc>
      </w:tr>
      <w:tr w:rsidR="00402ACB" w:rsidTr="00402ACB">
        <w:trPr>
          <w:cantSplit/>
          <w:trHeight w:val="67"/>
        </w:trPr>
        <w:tc>
          <w:tcPr>
            <w:tcW w:w="623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t>转入第三层级</w:t>
            </w:r>
          </w:p>
        </w:tc>
        <w:tc>
          <w:tcPr>
            <w:tcW w:w="2436"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79"/>
              </w:tabs>
              <w:rPr>
                <w:rFonts w:eastAsiaTheme="minorEastAsia"/>
                <w:kern w:val="0"/>
                <w:szCs w:val="21"/>
              </w:rPr>
            </w:pPr>
            <w:r w:rsidRPr="004019F7">
              <w:rPr>
                <w:rFonts w:eastAsiaTheme="minorEastAsia"/>
                <w:kern w:val="0"/>
                <w:szCs w:val="21"/>
              </w:rPr>
              <w:t>53,568.42</w:t>
            </w:r>
          </w:p>
        </w:tc>
      </w:tr>
      <w:tr w:rsidR="00402ACB" w:rsidTr="00402ACB">
        <w:trPr>
          <w:cantSplit/>
          <w:trHeight w:val="67"/>
        </w:trPr>
        <w:tc>
          <w:tcPr>
            <w:tcW w:w="623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t>转出第三层级</w:t>
            </w:r>
          </w:p>
        </w:tc>
        <w:tc>
          <w:tcPr>
            <w:tcW w:w="2436"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79"/>
              </w:tabs>
              <w:rPr>
                <w:rFonts w:eastAsiaTheme="minorEastAsia"/>
                <w:kern w:val="0"/>
                <w:szCs w:val="21"/>
              </w:rPr>
            </w:pPr>
            <w:r w:rsidRPr="004019F7">
              <w:rPr>
                <w:rFonts w:eastAsiaTheme="minorEastAsia"/>
                <w:kern w:val="0"/>
                <w:szCs w:val="21"/>
              </w:rPr>
              <w:t>-</w:t>
            </w:r>
          </w:p>
        </w:tc>
      </w:tr>
      <w:tr w:rsidR="00402ACB" w:rsidTr="00402ACB">
        <w:trPr>
          <w:cantSplit/>
          <w:trHeight w:val="67"/>
        </w:trPr>
        <w:tc>
          <w:tcPr>
            <w:tcW w:w="623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t>当期利得或损失总额</w:t>
            </w:r>
          </w:p>
        </w:tc>
        <w:tc>
          <w:tcPr>
            <w:tcW w:w="2436"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79"/>
              </w:tabs>
              <w:rPr>
                <w:rFonts w:eastAsiaTheme="minorEastAsia"/>
                <w:kern w:val="0"/>
                <w:szCs w:val="21"/>
              </w:rPr>
            </w:pPr>
            <w:r w:rsidRPr="004019F7">
              <w:rPr>
                <w:rFonts w:eastAsiaTheme="minorEastAsia"/>
                <w:kern w:val="0"/>
                <w:szCs w:val="21"/>
              </w:rPr>
              <w:t>-68,361.93</w:t>
            </w:r>
          </w:p>
        </w:tc>
      </w:tr>
      <w:tr w:rsidR="00402ACB" w:rsidTr="00402ACB">
        <w:trPr>
          <w:cantSplit/>
          <w:trHeight w:val="67"/>
        </w:trPr>
        <w:tc>
          <w:tcPr>
            <w:tcW w:w="623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t>计入损益的利得或损失</w:t>
            </w:r>
          </w:p>
        </w:tc>
        <w:tc>
          <w:tcPr>
            <w:tcW w:w="2436"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79"/>
              </w:tabs>
              <w:rPr>
                <w:rFonts w:eastAsiaTheme="minorEastAsia"/>
                <w:kern w:val="0"/>
                <w:szCs w:val="21"/>
              </w:rPr>
            </w:pPr>
            <w:r w:rsidRPr="004019F7">
              <w:rPr>
                <w:rFonts w:eastAsiaTheme="minorEastAsia"/>
                <w:kern w:val="0"/>
                <w:szCs w:val="21"/>
              </w:rPr>
              <w:t>-68,361.93</w:t>
            </w:r>
          </w:p>
        </w:tc>
      </w:tr>
      <w:tr w:rsidR="00402ACB" w:rsidTr="00402ACB">
        <w:trPr>
          <w:cantSplit/>
          <w:trHeight w:val="67"/>
        </w:trPr>
        <w:tc>
          <w:tcPr>
            <w:tcW w:w="6238" w:type="dxa"/>
            <w:tcBorders>
              <w:top w:val="single" w:sz="4" w:space="0" w:color="auto"/>
              <w:left w:val="single" w:sz="4" w:space="0" w:color="auto"/>
              <w:bottom w:val="single" w:sz="4" w:space="0" w:color="auto"/>
              <w:right w:val="single" w:sz="4" w:space="0" w:color="auto"/>
            </w:tcBorders>
            <w:hideMark/>
          </w:tcPr>
          <w:p w:rsidR="00402ACB" w:rsidRPr="004019F7" w:rsidRDefault="00402ACB">
            <w:pPr>
              <w:tabs>
                <w:tab w:val="right" w:pos="2160"/>
              </w:tabs>
              <w:rPr>
                <w:rFonts w:eastAsiaTheme="minorEastAsia"/>
                <w:kern w:val="0"/>
                <w:szCs w:val="21"/>
              </w:rPr>
            </w:pPr>
            <w:r w:rsidRPr="004019F7">
              <w:rPr>
                <w:rFonts w:eastAsiaTheme="minorEastAsia"/>
                <w:kern w:val="0"/>
                <w:szCs w:val="21"/>
              </w:rPr>
              <w:t>2020</w:t>
            </w:r>
            <w:r w:rsidRPr="004019F7">
              <w:rPr>
                <w:rFonts w:eastAsiaTheme="minorEastAsia" w:hint="eastAsia"/>
                <w:kern w:val="0"/>
                <w:szCs w:val="21"/>
              </w:rPr>
              <w:t>年</w:t>
            </w:r>
            <w:r w:rsidRPr="004019F7">
              <w:rPr>
                <w:rFonts w:eastAsiaTheme="minorEastAsia"/>
                <w:kern w:val="0"/>
                <w:szCs w:val="21"/>
              </w:rPr>
              <w:t>6</w:t>
            </w:r>
            <w:r w:rsidRPr="004019F7">
              <w:rPr>
                <w:rFonts w:eastAsiaTheme="minorEastAsia" w:hint="eastAsia"/>
                <w:kern w:val="0"/>
                <w:szCs w:val="21"/>
              </w:rPr>
              <w:t>月</w:t>
            </w:r>
            <w:r w:rsidRPr="004019F7">
              <w:rPr>
                <w:rFonts w:eastAsiaTheme="minorEastAsia"/>
                <w:kern w:val="0"/>
                <w:szCs w:val="21"/>
              </w:rPr>
              <w:t>30</w:t>
            </w:r>
            <w:r w:rsidRPr="004019F7">
              <w:rPr>
                <w:rFonts w:eastAsiaTheme="minorEastAsia" w:hint="eastAsia"/>
                <w:kern w:val="0"/>
                <w:szCs w:val="21"/>
              </w:rPr>
              <w:t>日</w:t>
            </w:r>
          </w:p>
        </w:tc>
        <w:tc>
          <w:tcPr>
            <w:tcW w:w="2436"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79"/>
              </w:tabs>
              <w:rPr>
                <w:rFonts w:eastAsiaTheme="minorEastAsia"/>
                <w:kern w:val="0"/>
                <w:szCs w:val="21"/>
              </w:rPr>
            </w:pPr>
            <w:r w:rsidRPr="004019F7">
              <w:rPr>
                <w:rFonts w:eastAsiaTheme="minorEastAsia"/>
                <w:kern w:val="0"/>
                <w:szCs w:val="21"/>
              </w:rPr>
              <w:t>-</w:t>
            </w:r>
          </w:p>
        </w:tc>
      </w:tr>
      <w:tr w:rsidR="00402ACB" w:rsidTr="006C58DB">
        <w:trPr>
          <w:cantSplit/>
          <w:trHeight w:val="952"/>
        </w:trPr>
        <w:tc>
          <w:tcPr>
            <w:tcW w:w="6238"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right" w:pos="2160"/>
              </w:tabs>
              <w:rPr>
                <w:rFonts w:eastAsiaTheme="minorEastAsia"/>
                <w:kern w:val="0"/>
                <w:szCs w:val="21"/>
              </w:rPr>
            </w:pPr>
            <w:r w:rsidRPr="004019F7">
              <w:rPr>
                <w:rFonts w:eastAsiaTheme="minorEastAsia"/>
                <w:kern w:val="0"/>
                <w:szCs w:val="21"/>
              </w:rPr>
              <w:t>2020</w:t>
            </w:r>
            <w:r w:rsidRPr="004019F7">
              <w:rPr>
                <w:rFonts w:eastAsiaTheme="minorEastAsia" w:hint="eastAsia"/>
                <w:kern w:val="0"/>
                <w:szCs w:val="21"/>
              </w:rPr>
              <w:t>年</w:t>
            </w:r>
            <w:r w:rsidRPr="004019F7">
              <w:rPr>
                <w:rFonts w:eastAsiaTheme="minorEastAsia"/>
                <w:kern w:val="0"/>
                <w:szCs w:val="21"/>
              </w:rPr>
              <w:t>6</w:t>
            </w:r>
            <w:r w:rsidRPr="004019F7">
              <w:rPr>
                <w:rFonts w:eastAsiaTheme="minorEastAsia" w:hint="eastAsia"/>
                <w:kern w:val="0"/>
                <w:szCs w:val="21"/>
              </w:rPr>
              <w:t>月</w:t>
            </w:r>
            <w:r w:rsidRPr="004019F7">
              <w:rPr>
                <w:rFonts w:eastAsiaTheme="minorEastAsia"/>
                <w:kern w:val="0"/>
                <w:szCs w:val="21"/>
              </w:rPr>
              <w:t>30</w:t>
            </w:r>
            <w:r w:rsidRPr="004019F7">
              <w:rPr>
                <w:rFonts w:eastAsiaTheme="minorEastAsia" w:hint="eastAsia"/>
                <w:kern w:val="0"/>
                <w:szCs w:val="21"/>
              </w:rPr>
              <w:t>日仍持有的资产计入</w:t>
            </w:r>
            <w:r w:rsidRPr="004019F7">
              <w:rPr>
                <w:rFonts w:eastAsiaTheme="minorEastAsia"/>
                <w:kern w:val="0"/>
                <w:szCs w:val="21"/>
              </w:rPr>
              <w:t>2020</w:t>
            </w:r>
            <w:r w:rsidRPr="004019F7">
              <w:rPr>
                <w:rFonts w:eastAsiaTheme="minorEastAsia" w:hint="eastAsia"/>
                <w:kern w:val="0"/>
                <w:szCs w:val="21"/>
              </w:rPr>
              <w:t>年度损益的未实现利得或损失的变动</w:t>
            </w:r>
            <w:r w:rsidRPr="004019F7">
              <w:rPr>
                <w:rFonts w:eastAsiaTheme="minorEastAsia"/>
                <w:kern w:val="0"/>
                <w:szCs w:val="21"/>
              </w:rPr>
              <w:t>(</w:t>
            </w:r>
            <w:r w:rsidRPr="004019F7">
              <w:rPr>
                <w:rFonts w:eastAsiaTheme="minorEastAsia" w:hint="eastAsia"/>
                <w:kern w:val="0"/>
                <w:szCs w:val="21"/>
              </w:rPr>
              <w:t>从年</w:t>
            </w:r>
            <w:r w:rsidRPr="004019F7">
              <w:rPr>
                <w:rFonts w:eastAsiaTheme="minorEastAsia"/>
                <w:kern w:val="0"/>
                <w:szCs w:val="21"/>
              </w:rPr>
              <w:t>/</w:t>
            </w:r>
            <w:r w:rsidRPr="004019F7">
              <w:rPr>
                <w:rFonts w:eastAsiaTheme="minorEastAsia" w:hint="eastAsia"/>
                <w:kern w:val="0"/>
                <w:szCs w:val="21"/>
              </w:rPr>
              <w:t>期初起算</w:t>
            </w:r>
            <w:r w:rsidRPr="004019F7">
              <w:rPr>
                <w:rFonts w:eastAsiaTheme="minorEastAsia"/>
                <w:kern w:val="0"/>
                <w:szCs w:val="21"/>
              </w:rPr>
              <w:t>/</w:t>
            </w:r>
            <w:r w:rsidRPr="004019F7">
              <w:rPr>
                <w:rFonts w:eastAsiaTheme="minorEastAsia" w:hint="eastAsia"/>
                <w:kern w:val="0"/>
                <w:szCs w:val="21"/>
              </w:rPr>
              <w:t>从转入第三层次起算</w:t>
            </w:r>
            <w:r w:rsidRPr="004019F7">
              <w:rPr>
                <w:rFonts w:eastAsiaTheme="minorEastAsia"/>
                <w:kern w:val="0"/>
                <w:szCs w:val="21"/>
              </w:rPr>
              <w:t>)</w:t>
            </w:r>
          </w:p>
          <w:p w:rsidR="00402ACB" w:rsidRPr="004019F7" w:rsidRDefault="00402ACB">
            <w:pPr>
              <w:tabs>
                <w:tab w:val="right" w:pos="2160"/>
              </w:tabs>
              <w:rPr>
                <w:rFonts w:eastAsiaTheme="minorEastAsia"/>
                <w:kern w:val="0"/>
                <w:szCs w:val="21"/>
              </w:rPr>
            </w:pPr>
            <w:r w:rsidRPr="004019F7">
              <w:rPr>
                <w:rFonts w:eastAsiaTheme="minorEastAsia"/>
                <w:kern w:val="0"/>
                <w:szCs w:val="21"/>
              </w:rPr>
              <w:t>——</w:t>
            </w:r>
            <w:r w:rsidRPr="004019F7">
              <w:rPr>
                <w:rFonts w:eastAsiaTheme="minorEastAsia" w:hint="eastAsia"/>
                <w:kern w:val="0"/>
                <w:szCs w:val="21"/>
              </w:rPr>
              <w:t>公允价值变动损益</w:t>
            </w:r>
          </w:p>
        </w:tc>
        <w:tc>
          <w:tcPr>
            <w:tcW w:w="2436"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79"/>
              </w:tabs>
              <w:rPr>
                <w:rFonts w:eastAsiaTheme="minorEastAsia"/>
                <w:kern w:val="0"/>
                <w:szCs w:val="21"/>
              </w:rPr>
            </w:pPr>
            <w:r w:rsidRPr="004019F7">
              <w:rPr>
                <w:rFonts w:eastAsiaTheme="minorEastAsia"/>
                <w:kern w:val="0"/>
                <w:szCs w:val="21"/>
              </w:rPr>
              <w:t>-</w:t>
            </w:r>
          </w:p>
        </w:tc>
      </w:tr>
    </w:tbl>
    <w:p w:rsidR="00402ACB" w:rsidRDefault="00402ACB" w:rsidP="00402ACB">
      <w:pPr>
        <w:tabs>
          <w:tab w:val="left" w:pos="426"/>
        </w:tabs>
        <w:spacing w:line="360" w:lineRule="auto"/>
        <w:jc w:val="left"/>
        <w:rPr>
          <w:rFonts w:eastAsiaTheme="minorEastAsia"/>
          <w:kern w:val="0"/>
          <w:szCs w:val="21"/>
        </w:rPr>
      </w:pP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49"/>
        <w:gridCol w:w="2421"/>
      </w:tblGrid>
      <w:tr w:rsidR="00402ACB" w:rsidTr="00402ACB">
        <w:trPr>
          <w:cantSplit/>
          <w:trHeight w:val="67"/>
        </w:trPr>
        <w:tc>
          <w:tcPr>
            <w:tcW w:w="6252" w:type="dxa"/>
            <w:tcBorders>
              <w:top w:val="single" w:sz="4" w:space="0" w:color="auto"/>
              <w:left w:val="single" w:sz="4" w:space="0" w:color="auto"/>
              <w:bottom w:val="single" w:sz="4" w:space="0" w:color="auto"/>
              <w:right w:val="single" w:sz="4" w:space="0" w:color="auto"/>
            </w:tcBorders>
          </w:tcPr>
          <w:p w:rsidR="00402ACB" w:rsidRPr="004019F7" w:rsidRDefault="00402ACB">
            <w:pPr>
              <w:tabs>
                <w:tab w:val="right" w:pos="2160"/>
                <w:tab w:val="right" w:pos="3060"/>
                <w:tab w:val="right" w:pos="4320"/>
                <w:tab w:val="right" w:pos="5670"/>
                <w:tab w:val="right" w:pos="6570"/>
                <w:tab w:val="right" w:pos="7805"/>
              </w:tabs>
              <w:rPr>
                <w:rFonts w:eastAsiaTheme="minorEastAsia"/>
                <w:kern w:val="0"/>
                <w:szCs w:val="21"/>
              </w:rPr>
            </w:pPr>
          </w:p>
        </w:tc>
        <w:tc>
          <w:tcPr>
            <w:tcW w:w="242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right" w:pos="4320"/>
                <w:tab w:val="right" w:pos="5670"/>
                <w:tab w:val="right" w:pos="6570"/>
                <w:tab w:val="right" w:pos="7805"/>
              </w:tabs>
              <w:jc w:val="right"/>
              <w:rPr>
                <w:rFonts w:eastAsiaTheme="minorEastAsia"/>
                <w:kern w:val="0"/>
                <w:szCs w:val="21"/>
              </w:rPr>
            </w:pPr>
            <w:r w:rsidRPr="004019F7">
              <w:rPr>
                <w:rFonts w:eastAsiaTheme="minorEastAsia" w:hint="eastAsia"/>
                <w:kern w:val="0"/>
                <w:szCs w:val="21"/>
              </w:rPr>
              <w:t>交易性金融资产</w:t>
            </w:r>
          </w:p>
        </w:tc>
      </w:tr>
      <w:tr w:rsidR="00402ACB" w:rsidTr="00402ACB">
        <w:trPr>
          <w:cantSplit/>
          <w:trHeight w:val="67"/>
        </w:trPr>
        <w:tc>
          <w:tcPr>
            <w:tcW w:w="6252" w:type="dxa"/>
            <w:tcBorders>
              <w:top w:val="single" w:sz="4" w:space="0" w:color="auto"/>
              <w:left w:val="single" w:sz="4" w:space="0" w:color="auto"/>
              <w:bottom w:val="single" w:sz="4" w:space="0" w:color="auto"/>
              <w:right w:val="single" w:sz="4" w:space="0" w:color="auto"/>
            </w:tcBorders>
          </w:tcPr>
          <w:p w:rsidR="00402ACB" w:rsidRPr="004019F7" w:rsidRDefault="00402ACB">
            <w:pPr>
              <w:rPr>
                <w:rFonts w:eastAsiaTheme="minorEastAsia"/>
                <w:kern w:val="0"/>
                <w:szCs w:val="21"/>
              </w:rPr>
            </w:pPr>
          </w:p>
        </w:tc>
        <w:tc>
          <w:tcPr>
            <w:tcW w:w="242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right" w:pos="4320"/>
                <w:tab w:val="right" w:pos="5670"/>
                <w:tab w:val="right" w:pos="6570"/>
                <w:tab w:val="right" w:pos="7805"/>
              </w:tabs>
              <w:jc w:val="right"/>
              <w:rPr>
                <w:rFonts w:eastAsiaTheme="minorEastAsia"/>
                <w:kern w:val="0"/>
                <w:szCs w:val="21"/>
              </w:rPr>
            </w:pPr>
            <w:r w:rsidRPr="004019F7">
              <w:rPr>
                <w:rFonts w:eastAsiaTheme="minorEastAsia" w:hint="eastAsia"/>
                <w:kern w:val="0"/>
                <w:szCs w:val="21"/>
              </w:rPr>
              <w:t>权益工具投资</w:t>
            </w:r>
          </w:p>
        </w:tc>
      </w:tr>
      <w:tr w:rsidR="00402ACB" w:rsidTr="00402ACB">
        <w:trPr>
          <w:cantSplit/>
          <w:trHeight w:val="67"/>
        </w:trPr>
        <w:tc>
          <w:tcPr>
            <w:tcW w:w="6252" w:type="dxa"/>
            <w:tcBorders>
              <w:top w:val="single" w:sz="4" w:space="0" w:color="auto"/>
              <w:left w:val="single" w:sz="4" w:space="0" w:color="auto"/>
              <w:bottom w:val="single" w:sz="4" w:space="0" w:color="auto"/>
              <w:right w:val="single" w:sz="4" w:space="0" w:color="auto"/>
            </w:tcBorders>
            <w:hideMark/>
          </w:tcPr>
          <w:p w:rsidR="00402ACB" w:rsidRPr="004019F7" w:rsidRDefault="00402ACB">
            <w:pPr>
              <w:tabs>
                <w:tab w:val="right" w:pos="2160"/>
              </w:tabs>
              <w:rPr>
                <w:rFonts w:eastAsiaTheme="minorEastAsia"/>
                <w:kern w:val="0"/>
                <w:szCs w:val="21"/>
              </w:rPr>
            </w:pPr>
            <w:r w:rsidRPr="004019F7">
              <w:rPr>
                <w:rFonts w:eastAsiaTheme="minorEastAsia"/>
                <w:kern w:val="0"/>
                <w:szCs w:val="21"/>
              </w:rPr>
              <w:t>2019</w:t>
            </w:r>
            <w:r w:rsidRPr="004019F7">
              <w:rPr>
                <w:rFonts w:eastAsiaTheme="minorEastAsia" w:hint="eastAsia"/>
                <w:kern w:val="0"/>
                <w:szCs w:val="21"/>
              </w:rPr>
              <w:t>年</w:t>
            </w:r>
            <w:r w:rsidRPr="004019F7">
              <w:rPr>
                <w:rFonts w:eastAsiaTheme="minorEastAsia"/>
                <w:kern w:val="0"/>
                <w:szCs w:val="21"/>
              </w:rPr>
              <w:t>1</w:t>
            </w:r>
            <w:r w:rsidRPr="004019F7">
              <w:rPr>
                <w:rFonts w:eastAsiaTheme="minorEastAsia" w:hint="eastAsia"/>
                <w:kern w:val="0"/>
                <w:szCs w:val="21"/>
              </w:rPr>
              <w:t>月</w:t>
            </w:r>
            <w:r w:rsidRPr="004019F7">
              <w:rPr>
                <w:rFonts w:eastAsiaTheme="minorEastAsia"/>
                <w:kern w:val="0"/>
                <w:szCs w:val="21"/>
              </w:rPr>
              <w:t>1</w:t>
            </w:r>
            <w:r w:rsidRPr="004019F7">
              <w:rPr>
                <w:rFonts w:eastAsiaTheme="minorEastAsia" w:hint="eastAsia"/>
                <w:kern w:val="0"/>
                <w:szCs w:val="21"/>
              </w:rPr>
              <w:t>日</w:t>
            </w:r>
          </w:p>
        </w:tc>
        <w:tc>
          <w:tcPr>
            <w:tcW w:w="242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80"/>
              </w:tabs>
              <w:rPr>
                <w:rFonts w:eastAsiaTheme="minorEastAsia"/>
                <w:kern w:val="0"/>
                <w:szCs w:val="21"/>
              </w:rPr>
            </w:pPr>
            <w:r w:rsidRPr="004019F7">
              <w:rPr>
                <w:rFonts w:eastAsiaTheme="minorEastAsia"/>
                <w:kern w:val="0"/>
                <w:szCs w:val="21"/>
              </w:rPr>
              <w:t>381,217.10</w:t>
            </w:r>
          </w:p>
        </w:tc>
      </w:tr>
      <w:tr w:rsidR="00402ACB" w:rsidTr="00402ACB">
        <w:trPr>
          <w:cantSplit/>
          <w:trHeight w:val="67"/>
        </w:trPr>
        <w:tc>
          <w:tcPr>
            <w:tcW w:w="625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t>购买</w:t>
            </w:r>
          </w:p>
        </w:tc>
        <w:tc>
          <w:tcPr>
            <w:tcW w:w="242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80"/>
              </w:tabs>
              <w:rPr>
                <w:rFonts w:eastAsiaTheme="minorEastAsia"/>
                <w:kern w:val="0"/>
                <w:szCs w:val="21"/>
              </w:rPr>
            </w:pPr>
            <w:r w:rsidRPr="004019F7">
              <w:rPr>
                <w:rFonts w:eastAsiaTheme="minorEastAsia"/>
                <w:kern w:val="0"/>
                <w:szCs w:val="21"/>
              </w:rPr>
              <w:t>-</w:t>
            </w:r>
          </w:p>
        </w:tc>
      </w:tr>
      <w:tr w:rsidR="00402ACB" w:rsidTr="00402ACB">
        <w:trPr>
          <w:cantSplit/>
          <w:trHeight w:val="67"/>
        </w:trPr>
        <w:tc>
          <w:tcPr>
            <w:tcW w:w="625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t>出售</w:t>
            </w:r>
          </w:p>
        </w:tc>
        <w:tc>
          <w:tcPr>
            <w:tcW w:w="242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80"/>
              </w:tabs>
              <w:rPr>
                <w:rFonts w:eastAsiaTheme="minorEastAsia"/>
                <w:kern w:val="0"/>
                <w:szCs w:val="21"/>
              </w:rPr>
            </w:pPr>
            <w:r w:rsidRPr="004019F7">
              <w:rPr>
                <w:rFonts w:eastAsiaTheme="minorEastAsia"/>
                <w:kern w:val="0"/>
                <w:szCs w:val="21"/>
              </w:rPr>
              <w:t>538,167.48</w:t>
            </w:r>
          </w:p>
        </w:tc>
      </w:tr>
      <w:tr w:rsidR="00402ACB" w:rsidTr="00402ACB">
        <w:trPr>
          <w:cantSplit/>
          <w:trHeight w:val="67"/>
        </w:trPr>
        <w:tc>
          <w:tcPr>
            <w:tcW w:w="62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t>转入第三层级</w:t>
            </w:r>
          </w:p>
        </w:tc>
        <w:tc>
          <w:tcPr>
            <w:tcW w:w="242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80"/>
              </w:tabs>
              <w:rPr>
                <w:rFonts w:eastAsiaTheme="minorEastAsia"/>
                <w:kern w:val="0"/>
                <w:szCs w:val="21"/>
              </w:rPr>
            </w:pPr>
            <w:r w:rsidRPr="004019F7">
              <w:rPr>
                <w:rFonts w:eastAsiaTheme="minorEastAsia"/>
                <w:kern w:val="0"/>
                <w:szCs w:val="21"/>
              </w:rPr>
              <w:t>24,971.70</w:t>
            </w:r>
          </w:p>
        </w:tc>
      </w:tr>
      <w:tr w:rsidR="00402ACB" w:rsidTr="00402ACB">
        <w:trPr>
          <w:cantSplit/>
          <w:trHeight w:val="67"/>
        </w:trPr>
        <w:tc>
          <w:tcPr>
            <w:tcW w:w="62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t>转出第三层级</w:t>
            </w:r>
          </w:p>
        </w:tc>
        <w:tc>
          <w:tcPr>
            <w:tcW w:w="242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80"/>
              </w:tabs>
              <w:rPr>
                <w:rFonts w:eastAsiaTheme="minorEastAsia"/>
                <w:kern w:val="0"/>
                <w:szCs w:val="21"/>
              </w:rPr>
            </w:pPr>
            <w:r w:rsidRPr="004019F7">
              <w:rPr>
                <w:rFonts w:eastAsiaTheme="minorEastAsia"/>
                <w:kern w:val="0"/>
                <w:szCs w:val="21"/>
              </w:rPr>
              <w:t>-</w:t>
            </w:r>
          </w:p>
        </w:tc>
      </w:tr>
      <w:tr w:rsidR="00402ACB" w:rsidTr="00402ACB">
        <w:trPr>
          <w:cantSplit/>
          <w:trHeight w:val="67"/>
        </w:trPr>
        <w:tc>
          <w:tcPr>
            <w:tcW w:w="62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lastRenderedPageBreak/>
              <w:t>当期利得或损失总额</w:t>
            </w:r>
          </w:p>
        </w:tc>
        <w:tc>
          <w:tcPr>
            <w:tcW w:w="242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80"/>
              </w:tabs>
              <w:rPr>
                <w:rFonts w:eastAsiaTheme="minorEastAsia"/>
                <w:kern w:val="0"/>
                <w:szCs w:val="21"/>
              </w:rPr>
            </w:pPr>
            <w:r w:rsidRPr="004019F7">
              <w:rPr>
                <w:rFonts w:eastAsiaTheme="minorEastAsia"/>
                <w:kern w:val="0"/>
                <w:szCs w:val="21"/>
              </w:rPr>
              <w:t>175,244.86</w:t>
            </w:r>
          </w:p>
        </w:tc>
      </w:tr>
      <w:tr w:rsidR="00402ACB" w:rsidTr="00402ACB">
        <w:trPr>
          <w:cantSplit/>
          <w:trHeight w:val="67"/>
        </w:trPr>
        <w:tc>
          <w:tcPr>
            <w:tcW w:w="62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402ACB" w:rsidRPr="004019F7" w:rsidRDefault="00402ACB">
            <w:pPr>
              <w:tabs>
                <w:tab w:val="right" w:pos="2160"/>
              </w:tabs>
              <w:rPr>
                <w:rFonts w:eastAsiaTheme="minorEastAsia"/>
                <w:kern w:val="0"/>
                <w:szCs w:val="21"/>
              </w:rPr>
            </w:pPr>
            <w:r w:rsidRPr="004019F7">
              <w:rPr>
                <w:rFonts w:eastAsiaTheme="minorEastAsia" w:hint="eastAsia"/>
                <w:kern w:val="0"/>
                <w:szCs w:val="21"/>
              </w:rPr>
              <w:t>计入损益的利得或损失</w:t>
            </w:r>
          </w:p>
        </w:tc>
        <w:tc>
          <w:tcPr>
            <w:tcW w:w="242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80"/>
              </w:tabs>
              <w:rPr>
                <w:rFonts w:eastAsiaTheme="minorEastAsia"/>
                <w:kern w:val="0"/>
                <w:szCs w:val="21"/>
              </w:rPr>
            </w:pPr>
            <w:r w:rsidRPr="004019F7">
              <w:rPr>
                <w:rFonts w:eastAsiaTheme="minorEastAsia"/>
                <w:kern w:val="0"/>
                <w:szCs w:val="21"/>
              </w:rPr>
              <w:t>175,244.86</w:t>
            </w:r>
          </w:p>
        </w:tc>
      </w:tr>
      <w:tr w:rsidR="00402ACB" w:rsidTr="00402ACB">
        <w:trPr>
          <w:cantSplit/>
          <w:trHeight w:val="67"/>
        </w:trPr>
        <w:tc>
          <w:tcPr>
            <w:tcW w:w="6252" w:type="dxa"/>
            <w:tcBorders>
              <w:top w:val="single" w:sz="4" w:space="0" w:color="auto"/>
              <w:left w:val="single" w:sz="4" w:space="0" w:color="auto"/>
              <w:bottom w:val="single" w:sz="4" w:space="0" w:color="auto"/>
              <w:right w:val="single" w:sz="4" w:space="0" w:color="auto"/>
            </w:tcBorders>
            <w:hideMark/>
          </w:tcPr>
          <w:p w:rsidR="00402ACB" w:rsidRPr="004019F7" w:rsidRDefault="00402ACB">
            <w:pPr>
              <w:tabs>
                <w:tab w:val="right" w:pos="2160"/>
              </w:tabs>
              <w:rPr>
                <w:rFonts w:eastAsiaTheme="minorEastAsia"/>
                <w:kern w:val="0"/>
                <w:szCs w:val="21"/>
              </w:rPr>
            </w:pPr>
            <w:r w:rsidRPr="004019F7">
              <w:rPr>
                <w:rFonts w:eastAsiaTheme="minorEastAsia"/>
                <w:kern w:val="0"/>
                <w:szCs w:val="21"/>
              </w:rPr>
              <w:t>2019</w:t>
            </w:r>
            <w:r w:rsidRPr="004019F7">
              <w:rPr>
                <w:rFonts w:eastAsiaTheme="minorEastAsia" w:hint="eastAsia"/>
                <w:kern w:val="0"/>
                <w:szCs w:val="21"/>
              </w:rPr>
              <w:t>年</w:t>
            </w:r>
            <w:r w:rsidRPr="004019F7">
              <w:rPr>
                <w:rFonts w:eastAsiaTheme="minorEastAsia"/>
                <w:kern w:val="0"/>
                <w:szCs w:val="21"/>
              </w:rPr>
              <w:t>12</w:t>
            </w:r>
            <w:r w:rsidRPr="004019F7">
              <w:rPr>
                <w:rFonts w:eastAsiaTheme="minorEastAsia" w:hint="eastAsia"/>
                <w:kern w:val="0"/>
                <w:szCs w:val="21"/>
              </w:rPr>
              <w:t>月</w:t>
            </w:r>
            <w:r w:rsidRPr="004019F7">
              <w:rPr>
                <w:rFonts w:eastAsiaTheme="minorEastAsia"/>
                <w:kern w:val="0"/>
                <w:szCs w:val="21"/>
              </w:rPr>
              <w:t>31</w:t>
            </w:r>
            <w:r w:rsidRPr="004019F7">
              <w:rPr>
                <w:rFonts w:eastAsiaTheme="minorEastAsia" w:hint="eastAsia"/>
                <w:kern w:val="0"/>
                <w:szCs w:val="21"/>
              </w:rPr>
              <w:t>日</w:t>
            </w:r>
          </w:p>
        </w:tc>
        <w:tc>
          <w:tcPr>
            <w:tcW w:w="242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80"/>
              </w:tabs>
              <w:rPr>
                <w:rFonts w:eastAsiaTheme="minorEastAsia"/>
                <w:kern w:val="0"/>
                <w:szCs w:val="21"/>
              </w:rPr>
            </w:pPr>
            <w:r w:rsidRPr="004019F7">
              <w:rPr>
                <w:rFonts w:eastAsiaTheme="minorEastAsia"/>
                <w:kern w:val="0"/>
                <w:szCs w:val="21"/>
              </w:rPr>
              <w:t>43,266.17</w:t>
            </w:r>
          </w:p>
        </w:tc>
      </w:tr>
      <w:tr w:rsidR="00402ACB" w:rsidTr="004019F7">
        <w:trPr>
          <w:cantSplit/>
          <w:trHeight w:val="863"/>
        </w:trPr>
        <w:tc>
          <w:tcPr>
            <w:tcW w:w="6252" w:type="dxa"/>
            <w:tcBorders>
              <w:top w:val="single" w:sz="4" w:space="0" w:color="auto"/>
              <w:left w:val="single" w:sz="4" w:space="0" w:color="auto"/>
              <w:bottom w:val="single" w:sz="4" w:space="0" w:color="auto"/>
              <w:right w:val="single" w:sz="4" w:space="0" w:color="auto"/>
            </w:tcBorders>
          </w:tcPr>
          <w:p w:rsidR="00402ACB" w:rsidRPr="004019F7" w:rsidRDefault="00402ACB">
            <w:pPr>
              <w:tabs>
                <w:tab w:val="right" w:pos="2160"/>
              </w:tabs>
              <w:rPr>
                <w:rFonts w:eastAsiaTheme="minorEastAsia"/>
                <w:kern w:val="0"/>
                <w:szCs w:val="21"/>
              </w:rPr>
            </w:pPr>
            <w:r w:rsidRPr="004019F7">
              <w:rPr>
                <w:rFonts w:eastAsiaTheme="minorEastAsia"/>
                <w:kern w:val="0"/>
                <w:szCs w:val="21"/>
              </w:rPr>
              <w:t>2019</w:t>
            </w:r>
            <w:r w:rsidRPr="004019F7">
              <w:rPr>
                <w:rFonts w:eastAsiaTheme="minorEastAsia" w:hint="eastAsia"/>
                <w:kern w:val="0"/>
                <w:szCs w:val="21"/>
              </w:rPr>
              <w:t>年</w:t>
            </w:r>
            <w:r w:rsidRPr="004019F7">
              <w:rPr>
                <w:rFonts w:eastAsiaTheme="minorEastAsia"/>
                <w:kern w:val="0"/>
                <w:szCs w:val="21"/>
              </w:rPr>
              <w:t>12</w:t>
            </w:r>
            <w:r w:rsidRPr="004019F7">
              <w:rPr>
                <w:rFonts w:eastAsiaTheme="minorEastAsia" w:hint="eastAsia"/>
                <w:kern w:val="0"/>
                <w:szCs w:val="21"/>
              </w:rPr>
              <w:t>月</w:t>
            </w:r>
            <w:r w:rsidRPr="004019F7">
              <w:rPr>
                <w:rFonts w:eastAsiaTheme="minorEastAsia"/>
                <w:kern w:val="0"/>
                <w:szCs w:val="21"/>
              </w:rPr>
              <w:t>31</w:t>
            </w:r>
            <w:r w:rsidRPr="004019F7">
              <w:rPr>
                <w:rFonts w:eastAsiaTheme="minorEastAsia" w:hint="eastAsia"/>
                <w:kern w:val="0"/>
                <w:szCs w:val="21"/>
              </w:rPr>
              <w:t>日仍持有的资产计入</w:t>
            </w:r>
            <w:r w:rsidRPr="004019F7">
              <w:rPr>
                <w:rFonts w:eastAsiaTheme="minorEastAsia"/>
                <w:kern w:val="0"/>
                <w:szCs w:val="21"/>
              </w:rPr>
              <w:t>2019</w:t>
            </w:r>
            <w:r w:rsidRPr="004019F7">
              <w:rPr>
                <w:rFonts w:eastAsiaTheme="minorEastAsia" w:hint="eastAsia"/>
                <w:kern w:val="0"/>
                <w:szCs w:val="21"/>
              </w:rPr>
              <w:t>年度损益的未实现利得或损失的变动</w:t>
            </w:r>
            <w:r w:rsidRPr="004019F7">
              <w:rPr>
                <w:rFonts w:eastAsiaTheme="minorEastAsia"/>
                <w:kern w:val="0"/>
                <w:szCs w:val="21"/>
              </w:rPr>
              <w:t>(</w:t>
            </w:r>
            <w:r w:rsidRPr="004019F7">
              <w:rPr>
                <w:rFonts w:eastAsiaTheme="minorEastAsia" w:hint="eastAsia"/>
                <w:kern w:val="0"/>
                <w:szCs w:val="21"/>
              </w:rPr>
              <w:t>从年</w:t>
            </w:r>
            <w:r w:rsidRPr="004019F7">
              <w:rPr>
                <w:rFonts w:eastAsiaTheme="minorEastAsia"/>
                <w:kern w:val="0"/>
                <w:szCs w:val="21"/>
              </w:rPr>
              <w:t>/</w:t>
            </w:r>
            <w:r w:rsidRPr="004019F7">
              <w:rPr>
                <w:rFonts w:eastAsiaTheme="minorEastAsia" w:hint="eastAsia"/>
                <w:kern w:val="0"/>
                <w:szCs w:val="21"/>
              </w:rPr>
              <w:t>期初起算</w:t>
            </w:r>
            <w:r w:rsidRPr="004019F7">
              <w:rPr>
                <w:rFonts w:eastAsiaTheme="minorEastAsia"/>
                <w:kern w:val="0"/>
                <w:szCs w:val="21"/>
              </w:rPr>
              <w:t>/</w:t>
            </w:r>
            <w:r w:rsidRPr="004019F7">
              <w:rPr>
                <w:rFonts w:eastAsiaTheme="minorEastAsia" w:hint="eastAsia"/>
                <w:kern w:val="0"/>
                <w:szCs w:val="21"/>
              </w:rPr>
              <w:t>从转入第三层次起算</w:t>
            </w:r>
            <w:r w:rsidRPr="004019F7">
              <w:rPr>
                <w:rFonts w:eastAsiaTheme="minorEastAsia"/>
                <w:kern w:val="0"/>
                <w:szCs w:val="21"/>
              </w:rPr>
              <w:t>)</w:t>
            </w:r>
          </w:p>
          <w:p w:rsidR="00402ACB" w:rsidRPr="004019F7" w:rsidRDefault="00402ACB">
            <w:pPr>
              <w:tabs>
                <w:tab w:val="right" w:pos="2160"/>
              </w:tabs>
              <w:rPr>
                <w:rFonts w:eastAsiaTheme="minorEastAsia"/>
                <w:kern w:val="0"/>
                <w:szCs w:val="21"/>
              </w:rPr>
            </w:pPr>
            <w:r w:rsidRPr="004019F7">
              <w:rPr>
                <w:rFonts w:eastAsiaTheme="minorEastAsia"/>
                <w:kern w:val="0"/>
                <w:szCs w:val="21"/>
              </w:rPr>
              <w:t>——</w:t>
            </w:r>
            <w:r w:rsidRPr="004019F7">
              <w:rPr>
                <w:rFonts w:eastAsiaTheme="minorEastAsia" w:hint="eastAsia"/>
                <w:kern w:val="0"/>
                <w:szCs w:val="21"/>
              </w:rPr>
              <w:t>公允价值变动损益</w:t>
            </w:r>
          </w:p>
        </w:tc>
        <w:tc>
          <w:tcPr>
            <w:tcW w:w="2422" w:type="dxa"/>
            <w:tcBorders>
              <w:top w:val="single" w:sz="4" w:space="0" w:color="auto"/>
              <w:left w:val="single" w:sz="4" w:space="0" w:color="auto"/>
              <w:bottom w:val="single" w:sz="4" w:space="0" w:color="auto"/>
              <w:right w:val="single" w:sz="4" w:space="0" w:color="auto"/>
            </w:tcBorders>
            <w:vAlign w:val="bottom"/>
            <w:hideMark/>
          </w:tcPr>
          <w:p w:rsidR="00402ACB" w:rsidRPr="004019F7" w:rsidRDefault="00402ACB">
            <w:pPr>
              <w:tabs>
                <w:tab w:val="decimal" w:pos="2080"/>
              </w:tabs>
              <w:rPr>
                <w:rFonts w:eastAsiaTheme="minorEastAsia"/>
                <w:kern w:val="0"/>
                <w:szCs w:val="21"/>
              </w:rPr>
            </w:pPr>
            <w:r w:rsidRPr="004019F7">
              <w:rPr>
                <w:rFonts w:eastAsiaTheme="minorEastAsia"/>
                <w:kern w:val="0"/>
                <w:szCs w:val="21"/>
              </w:rPr>
              <w:t>-152,038.81</w:t>
            </w:r>
          </w:p>
        </w:tc>
      </w:tr>
    </w:tbl>
    <w:p w:rsidR="007B4EE4" w:rsidRDefault="001B0C1E" w:rsidP="001B0C1E">
      <w:pPr>
        <w:tabs>
          <w:tab w:val="left" w:pos="426"/>
        </w:tabs>
        <w:spacing w:line="360" w:lineRule="auto"/>
        <w:jc w:val="left"/>
        <w:rPr>
          <w:rFonts w:eastAsiaTheme="minorEastAsia"/>
          <w:kern w:val="0"/>
          <w:szCs w:val="21"/>
        </w:rPr>
      </w:pPr>
      <w:r>
        <w:rPr>
          <w:rFonts w:eastAsiaTheme="minorEastAsia"/>
          <w:kern w:val="0"/>
          <w:szCs w:val="21"/>
        </w:rPr>
        <w:tab/>
      </w:r>
      <w:r w:rsidR="00B833D5">
        <w:rPr>
          <w:rFonts w:eastAsiaTheme="minorEastAsia"/>
          <w:kern w:val="0"/>
          <w:szCs w:val="21"/>
        </w:rPr>
        <w:t>计入损益的利得或损失分别计入利润表中的公允价值变动损益、投资收益等项目。</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由于上述股票估值相关的公司盈利预期及市盈率是不可观察输入值，故分类为第三层级。如果相关证券的盈利预期及市盈率变动，将导致公允价值的正相关变动。</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(c)</w:t>
      </w:r>
      <w:r>
        <w:rPr>
          <w:rFonts w:eastAsiaTheme="minorEastAsia"/>
          <w:kern w:val="0"/>
          <w:szCs w:val="21"/>
        </w:rPr>
        <w:t>非持续的以公允价值计量的金融工具</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日，本基金未持有非持续的以公允价值计量的金融资产</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日：同</w:t>
      </w:r>
      <w:r>
        <w:rPr>
          <w:rFonts w:eastAsiaTheme="minorEastAsia"/>
          <w:kern w:val="0"/>
          <w:szCs w:val="21"/>
        </w:rPr>
        <w:t xml:space="preserve">) </w:t>
      </w:r>
      <w:r>
        <w:rPr>
          <w:rFonts w:eastAsiaTheme="minorEastAsia"/>
          <w:kern w:val="0"/>
          <w:szCs w:val="21"/>
        </w:rPr>
        <w:t>。</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(d)</w:t>
      </w:r>
      <w:r>
        <w:rPr>
          <w:rFonts w:eastAsiaTheme="minorEastAsia"/>
          <w:kern w:val="0"/>
          <w:szCs w:val="21"/>
        </w:rPr>
        <w:t>不以公允价值计量的金融工具</w:t>
      </w:r>
      <w:r>
        <w:rPr>
          <w:rFonts w:eastAsiaTheme="minorEastAsia"/>
          <w:kern w:val="0"/>
          <w:szCs w:val="21"/>
        </w:rPr>
        <w:t xml:space="preserve"> </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不以公允价值计量的金融资产和负债主要包括应收款项和其他金融负债，其账面价值与公允价值相差很小。</w:t>
      </w:r>
      <w:r>
        <w:rPr>
          <w:rFonts w:eastAsiaTheme="minorEastAsia"/>
          <w:kern w:val="0"/>
          <w:szCs w:val="21"/>
        </w:rPr>
        <w:t xml:space="preserve"> </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 xml:space="preserve">(2) </w:t>
      </w:r>
      <w:r w:rsidRPr="00C24ACA">
        <w:rPr>
          <w:rFonts w:eastAsiaTheme="minorEastAsia"/>
          <w:kern w:val="0"/>
          <w:szCs w:val="21"/>
        </w:rPr>
        <w:t>除公允价值外，截至资产负债表日本基金无需要说明的其他重要事项。</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97" w:name="_Toc225498272"/>
      <w:bookmarkStart w:id="198" w:name="_Toc352255995"/>
      <w:bookmarkStart w:id="199" w:name="_Toc352256063"/>
      <w:bookmarkStart w:id="200" w:name="_Toc352331241"/>
      <w:bookmarkStart w:id="201" w:name="_Toc390164820"/>
      <w:bookmarkStart w:id="202" w:name="_Toc48663863"/>
      <w:r w:rsidRPr="000C6CCD">
        <w:rPr>
          <w:rFonts w:ascii="宋体" w:hAnsi="宋体"/>
          <w:bCs w:val="0"/>
          <w:color w:val="000000"/>
          <w:sz w:val="21"/>
          <w:szCs w:val="21"/>
        </w:rPr>
        <w:t>7</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投资组合报告</w:t>
      </w:r>
      <w:bookmarkEnd w:id="197"/>
      <w:bookmarkEnd w:id="198"/>
      <w:bookmarkEnd w:id="199"/>
      <w:bookmarkEnd w:id="200"/>
      <w:bookmarkEnd w:id="201"/>
      <w:bookmarkEnd w:id="202"/>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03" w:name="_Toc225498273"/>
      <w:bookmarkStart w:id="204" w:name="_Toc352255996"/>
      <w:bookmarkStart w:id="205" w:name="_Toc352256064"/>
      <w:bookmarkStart w:id="206" w:name="_Toc352331242"/>
      <w:bookmarkStart w:id="207" w:name="_Toc390164821"/>
      <w:bookmarkStart w:id="208" w:name="_Toc48663864"/>
      <w:r w:rsidRPr="0087359D">
        <w:rPr>
          <w:rFonts w:ascii="宋体" w:hAnsi="宋体"/>
          <w:kern w:val="0"/>
          <w:sz w:val="21"/>
          <w:szCs w:val="21"/>
        </w:rPr>
        <w:t>7.1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期末基金资产组合情况</w:t>
      </w:r>
      <w:bookmarkEnd w:id="203"/>
      <w:bookmarkEnd w:id="204"/>
      <w:bookmarkEnd w:id="205"/>
      <w:bookmarkEnd w:id="206"/>
      <w:bookmarkEnd w:id="207"/>
      <w:bookmarkEnd w:id="208"/>
    </w:p>
    <w:p w:rsidR="008A5A5D" w:rsidRPr="00C24ACA" w:rsidRDefault="008A5A5D" w:rsidP="002116B9">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金额单位：人民币元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8A5A5D" w:rsidRPr="00C24ACA" w:rsidTr="00B73AA7">
        <w:trPr>
          <w:jc w:val="center"/>
        </w:trPr>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34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项目</w:t>
            </w:r>
          </w:p>
        </w:tc>
        <w:tc>
          <w:tcPr>
            <w:tcW w:w="25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c>
          <w:tcPr>
            <w:tcW w:w="205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占基金总资产的比例（</w:t>
            </w:r>
            <w:r w:rsidRPr="00C24ACA">
              <w:rPr>
                <w:rFonts w:eastAsiaTheme="minorEastAsia"/>
                <w:color w:val="000000"/>
                <w:szCs w:val="21"/>
              </w:rPr>
              <w:t>%</w:t>
            </w:r>
            <w:r w:rsidRPr="00C24ACA">
              <w:rPr>
                <w:rFonts w:eastAsiaTheme="minorEastAsia"/>
                <w:color w:val="000000"/>
                <w:szCs w:val="21"/>
              </w:rPr>
              <w:t>）</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r w:rsidRPr="00C24ACA">
              <w:rPr>
                <w:rFonts w:eastAsiaTheme="minorEastAsia"/>
                <w:szCs w:val="21"/>
              </w:rPr>
              <w:t>1</w:t>
            </w: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权益投资</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21,826,559.71</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91.13</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其中：普通股</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21,560,533.29</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90.02</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8134C7">
            <w:pPr>
              <w:ind w:firstLineChars="350" w:firstLine="735"/>
              <w:rPr>
                <w:rFonts w:eastAsiaTheme="minorEastAsia"/>
                <w:color w:val="000000"/>
                <w:szCs w:val="21"/>
              </w:rPr>
            </w:pPr>
            <w:r w:rsidRPr="00C24ACA">
              <w:rPr>
                <w:rFonts w:eastAsiaTheme="minorEastAsia"/>
                <w:szCs w:val="21"/>
              </w:rPr>
              <w:t>存托凭证</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优先股</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房地产信托</w:t>
            </w:r>
            <w:r w:rsidR="007969C0" w:rsidRPr="00C24ACA">
              <w:rPr>
                <w:rFonts w:eastAsiaTheme="minorEastAsia"/>
                <w:color w:val="000000"/>
                <w:szCs w:val="21"/>
              </w:rPr>
              <w:t>凭证</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266,026.42</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1.11</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2</w:t>
            </w:r>
          </w:p>
        </w:tc>
        <w:tc>
          <w:tcPr>
            <w:tcW w:w="3420" w:type="dxa"/>
            <w:vAlign w:val="center"/>
          </w:tcPr>
          <w:p w:rsidR="00380273" w:rsidRPr="00C24ACA" w:rsidRDefault="00380273" w:rsidP="00C87473">
            <w:pPr>
              <w:ind w:leftChars="49" w:left="103"/>
              <w:rPr>
                <w:rFonts w:eastAsiaTheme="minorEastAsia"/>
                <w:color w:val="000000"/>
                <w:szCs w:val="21"/>
              </w:rPr>
            </w:pPr>
            <w:r w:rsidRPr="00C24ACA">
              <w:rPr>
                <w:rFonts w:eastAsiaTheme="minorEastAsia"/>
                <w:szCs w:val="21"/>
              </w:rPr>
              <w:t>基金投资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3</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固定收益投资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其中：债券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ind w:leftChars="50" w:left="105" w:firstLineChars="300" w:firstLine="630"/>
              <w:rPr>
                <w:rFonts w:eastAsiaTheme="minorEastAsia"/>
                <w:color w:val="000000"/>
                <w:szCs w:val="21"/>
              </w:rPr>
            </w:pPr>
            <w:r w:rsidRPr="00C24ACA">
              <w:rPr>
                <w:rFonts w:eastAsiaTheme="minorEastAsia"/>
                <w:szCs w:val="21"/>
              </w:rPr>
              <w:t>资产支持证券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4</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金融衍生品投资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其中：远期</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期权</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权证</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lastRenderedPageBreak/>
              <w:t>5</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其中：买断式回购的买入返售金融资产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6</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货币市场工具</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7</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银行存款和结算备付金合计</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1,845,662.72</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7.71</w:t>
            </w:r>
          </w:p>
        </w:tc>
      </w:tr>
      <w:tr w:rsidR="00380273" w:rsidRPr="00C24ACA" w:rsidTr="00B73AA7">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8</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其他各项资产</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279,670.79</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1.17</w:t>
            </w:r>
          </w:p>
        </w:tc>
      </w:tr>
      <w:tr w:rsidR="00380273" w:rsidRPr="00C24ACA" w:rsidTr="00B73AA7">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9</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合计</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23,951,893.22</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100.00</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09" w:name="_Toc390164822"/>
      <w:bookmarkStart w:id="210" w:name="_Toc48663865"/>
      <w:r w:rsidRPr="0087359D">
        <w:rPr>
          <w:rFonts w:ascii="宋体" w:hAnsi="宋体"/>
          <w:kern w:val="0"/>
          <w:sz w:val="21"/>
          <w:szCs w:val="21"/>
        </w:rPr>
        <w:t>7.2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期末在各个国家（地区）证券市场的权益投资分布</w:t>
      </w:r>
      <w:bookmarkEnd w:id="209"/>
      <w:bookmarkEnd w:id="210"/>
    </w:p>
    <w:p w:rsidR="00E573EF" w:rsidRPr="00C24ACA" w:rsidRDefault="00E573EF" w:rsidP="00FF06C4">
      <w:pPr>
        <w:spacing w:line="360" w:lineRule="auto"/>
        <w:jc w:val="right"/>
        <w:rPr>
          <w:rFonts w:eastAsiaTheme="minorEastAsia"/>
          <w:color w:val="000000"/>
          <w:szCs w:val="21"/>
        </w:rPr>
      </w:pPr>
      <w:r w:rsidRPr="00C24ACA">
        <w:rPr>
          <w:rFonts w:eastAsiaTheme="minor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8A5A5D" w:rsidRPr="00C24ACA" w:rsidTr="00B73AA7">
        <w:trPr>
          <w:jc w:val="center"/>
        </w:trPr>
        <w:tc>
          <w:tcPr>
            <w:tcW w:w="2074"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国家（地区）</w:t>
            </w:r>
          </w:p>
        </w:tc>
        <w:tc>
          <w:tcPr>
            <w:tcW w:w="3598"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公允价值</w:t>
            </w:r>
          </w:p>
        </w:tc>
        <w:tc>
          <w:tcPr>
            <w:tcW w:w="3684"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占基金资产净值比例（％）</w:t>
            </w:r>
          </w:p>
        </w:tc>
      </w:tr>
      <w:tr w:rsidR="007B4EE4">
        <w:trPr>
          <w:jc w:val="center"/>
        </w:trPr>
        <w:tc>
          <w:tcPr>
            <w:tcW w:w="2074" w:type="dxa"/>
            <w:vAlign w:val="center"/>
          </w:tcPr>
          <w:p w:rsidR="007B4EE4" w:rsidRDefault="00B833D5">
            <w:pPr>
              <w:jc w:val="left"/>
            </w:pPr>
            <w:r>
              <w:rPr>
                <w:rFonts w:eastAsiaTheme="minorEastAsia"/>
                <w:color w:val="000000"/>
                <w:szCs w:val="21"/>
              </w:rPr>
              <w:t>中国香港</w:t>
            </w:r>
          </w:p>
        </w:tc>
        <w:tc>
          <w:tcPr>
            <w:tcW w:w="3598" w:type="dxa"/>
            <w:vAlign w:val="center"/>
          </w:tcPr>
          <w:p w:rsidR="007B4EE4" w:rsidRDefault="00B833D5">
            <w:pPr>
              <w:jc w:val="right"/>
            </w:pPr>
            <w:r>
              <w:rPr>
                <w:rFonts w:eastAsiaTheme="minorEastAsia"/>
                <w:color w:val="000000"/>
                <w:szCs w:val="21"/>
              </w:rPr>
              <w:t>21,826,559.71</w:t>
            </w:r>
          </w:p>
        </w:tc>
        <w:tc>
          <w:tcPr>
            <w:tcW w:w="3684" w:type="dxa"/>
            <w:vAlign w:val="center"/>
          </w:tcPr>
          <w:p w:rsidR="007B4EE4" w:rsidRDefault="00B833D5">
            <w:pPr>
              <w:jc w:val="right"/>
            </w:pPr>
            <w:r>
              <w:rPr>
                <w:rFonts w:eastAsiaTheme="minorEastAsia"/>
                <w:color w:val="000000"/>
                <w:szCs w:val="21"/>
              </w:rPr>
              <w:t>93.03</w:t>
            </w:r>
          </w:p>
        </w:tc>
      </w:tr>
      <w:tr w:rsidR="008A5A5D" w:rsidRPr="00C24ACA" w:rsidTr="00B73AA7">
        <w:trPr>
          <w:jc w:val="center"/>
        </w:trPr>
        <w:tc>
          <w:tcPr>
            <w:tcW w:w="2074" w:type="dxa"/>
            <w:vAlign w:val="center"/>
          </w:tcPr>
          <w:p w:rsidR="008A5A5D" w:rsidRPr="00C24ACA" w:rsidRDefault="008A5A5D" w:rsidP="00AB7D15">
            <w:pPr>
              <w:pStyle w:val="ae"/>
              <w:rPr>
                <w:rFonts w:eastAsiaTheme="minorEastAsia"/>
                <w:color w:val="000000"/>
                <w:sz w:val="21"/>
                <w:szCs w:val="21"/>
              </w:rPr>
            </w:pPr>
            <w:r w:rsidRPr="00C24ACA">
              <w:rPr>
                <w:rFonts w:eastAsiaTheme="minorEastAsia"/>
                <w:sz w:val="21"/>
                <w:szCs w:val="21"/>
              </w:rPr>
              <w:t>合计</w:t>
            </w:r>
          </w:p>
        </w:tc>
        <w:tc>
          <w:tcPr>
            <w:tcW w:w="3598" w:type="dxa"/>
          </w:tcPr>
          <w:p w:rsidR="008A5A5D" w:rsidRPr="00C24ACA" w:rsidRDefault="008A5A5D" w:rsidP="004A4847">
            <w:pPr>
              <w:jc w:val="right"/>
              <w:rPr>
                <w:rFonts w:eastAsiaTheme="minorEastAsia"/>
                <w:color w:val="000000"/>
                <w:szCs w:val="21"/>
              </w:rPr>
            </w:pPr>
            <w:r w:rsidRPr="00C24ACA">
              <w:rPr>
                <w:rFonts w:eastAsiaTheme="minorEastAsia"/>
                <w:szCs w:val="21"/>
              </w:rPr>
              <w:t>21,826,559.71</w:t>
            </w:r>
          </w:p>
        </w:tc>
        <w:tc>
          <w:tcPr>
            <w:tcW w:w="3684" w:type="dxa"/>
          </w:tcPr>
          <w:p w:rsidR="008A5A5D" w:rsidRPr="00C24ACA" w:rsidRDefault="008A5A5D" w:rsidP="004A4847">
            <w:pPr>
              <w:jc w:val="right"/>
              <w:rPr>
                <w:rFonts w:eastAsiaTheme="minorEastAsia"/>
                <w:color w:val="000000"/>
                <w:szCs w:val="21"/>
              </w:rPr>
            </w:pPr>
            <w:r w:rsidRPr="00C24ACA">
              <w:rPr>
                <w:rFonts w:eastAsiaTheme="minorEastAsia"/>
                <w:szCs w:val="21"/>
              </w:rPr>
              <w:t>93.03</w:t>
            </w:r>
          </w:p>
        </w:tc>
      </w:tr>
    </w:tbl>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国家（地区）类别根据其所在的证券交易所确定。</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2.ADR</w:t>
      </w:r>
      <w:r w:rsidRPr="00C24ACA">
        <w:rPr>
          <w:rFonts w:eastAsiaTheme="minorEastAsia"/>
          <w:kern w:val="0"/>
          <w:szCs w:val="21"/>
        </w:rPr>
        <w:t>、</w:t>
      </w:r>
      <w:r w:rsidRPr="00C24ACA">
        <w:rPr>
          <w:rFonts w:eastAsiaTheme="minorEastAsia"/>
          <w:kern w:val="0"/>
          <w:szCs w:val="21"/>
        </w:rPr>
        <w:t>GDR</w:t>
      </w:r>
      <w:r w:rsidRPr="00C24ACA">
        <w:rPr>
          <w:rFonts w:eastAsiaTheme="minorEastAsia"/>
          <w:kern w:val="0"/>
          <w:szCs w:val="21"/>
        </w:rPr>
        <w:t>按照存托凭证本身挂牌的证券交易所确定。</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11" w:name="_Toc224618378"/>
      <w:bookmarkStart w:id="212" w:name="_Toc248233025"/>
      <w:bookmarkStart w:id="213" w:name="_Toc249790557"/>
      <w:bookmarkStart w:id="214" w:name="_Toc286929758"/>
      <w:bookmarkStart w:id="215" w:name="_Toc352255997"/>
      <w:bookmarkStart w:id="216" w:name="_Toc352256065"/>
      <w:bookmarkStart w:id="217" w:name="_Toc352331243"/>
      <w:bookmarkStart w:id="218" w:name="_Toc390164823"/>
      <w:bookmarkStart w:id="219" w:name="_Toc48663866"/>
      <w:r w:rsidRPr="0087359D">
        <w:rPr>
          <w:rFonts w:ascii="宋体" w:hAnsi="宋体"/>
          <w:kern w:val="0"/>
          <w:sz w:val="21"/>
          <w:szCs w:val="21"/>
        </w:rPr>
        <w:t>7.3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期末按行业分类的权益投资组合</w:t>
      </w:r>
      <w:bookmarkEnd w:id="211"/>
      <w:bookmarkEnd w:id="212"/>
      <w:bookmarkEnd w:id="213"/>
      <w:bookmarkEnd w:id="214"/>
      <w:bookmarkEnd w:id="215"/>
      <w:bookmarkEnd w:id="216"/>
      <w:bookmarkEnd w:id="217"/>
      <w:bookmarkEnd w:id="218"/>
      <w:bookmarkEnd w:id="219"/>
    </w:p>
    <w:p w:rsidR="007863A3" w:rsidRPr="00C24ACA" w:rsidRDefault="007863A3" w:rsidP="007863A3">
      <w:pPr>
        <w:autoSpaceDE w:val="0"/>
        <w:autoSpaceDN w:val="0"/>
        <w:adjustRightInd w:val="0"/>
        <w:spacing w:before="29" w:line="360" w:lineRule="auto"/>
        <w:ind w:left="15"/>
        <w:jc w:val="right"/>
        <w:rPr>
          <w:rFonts w:eastAsiaTheme="minorEastAsia"/>
          <w:color w:val="000000"/>
          <w:szCs w:val="21"/>
        </w:rPr>
      </w:pPr>
      <w:r w:rsidRPr="00C24ACA">
        <w:rPr>
          <w:rFonts w:eastAsiaTheme="minor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7863A3" w:rsidRPr="00C24ACA" w:rsidTr="00B73AA7">
        <w:trPr>
          <w:trHeight w:val="285"/>
          <w:jc w:val="center"/>
        </w:trPr>
        <w:tc>
          <w:tcPr>
            <w:tcW w:w="3703" w:type="dxa"/>
            <w:tcMar>
              <w:top w:w="15" w:type="dxa"/>
              <w:left w:w="15" w:type="dxa"/>
              <w:bottom w:w="0" w:type="dxa"/>
              <w:right w:w="15" w:type="dxa"/>
            </w:tcMar>
            <w:vAlign w:val="center"/>
          </w:tcPr>
          <w:p w:rsidR="007863A3" w:rsidRPr="00C24ACA" w:rsidRDefault="007863A3" w:rsidP="00427BFF">
            <w:pPr>
              <w:spacing w:line="360" w:lineRule="auto"/>
              <w:jc w:val="center"/>
              <w:rPr>
                <w:rFonts w:eastAsiaTheme="minorEastAsia"/>
                <w:color w:val="000000"/>
                <w:szCs w:val="21"/>
              </w:rPr>
            </w:pPr>
            <w:r w:rsidRPr="00C24ACA">
              <w:rPr>
                <w:rFonts w:eastAsiaTheme="minorEastAsia"/>
                <w:color w:val="000000"/>
                <w:szCs w:val="21"/>
              </w:rPr>
              <w:t>行业类别</w:t>
            </w:r>
          </w:p>
        </w:tc>
        <w:tc>
          <w:tcPr>
            <w:tcW w:w="3119" w:type="dxa"/>
            <w:tcMar>
              <w:top w:w="15" w:type="dxa"/>
              <w:left w:w="15" w:type="dxa"/>
              <w:bottom w:w="0" w:type="dxa"/>
              <w:right w:w="15" w:type="dxa"/>
            </w:tcMar>
            <w:vAlign w:val="center"/>
          </w:tcPr>
          <w:p w:rsidR="007863A3" w:rsidRPr="00C24ACA" w:rsidRDefault="007863A3" w:rsidP="00427BFF">
            <w:pPr>
              <w:spacing w:line="360" w:lineRule="auto"/>
              <w:jc w:val="center"/>
              <w:rPr>
                <w:rFonts w:eastAsiaTheme="minorEastAsia"/>
                <w:color w:val="000000"/>
                <w:szCs w:val="21"/>
              </w:rPr>
            </w:pPr>
            <w:r w:rsidRPr="00C24ACA">
              <w:rPr>
                <w:rFonts w:eastAsiaTheme="minorEastAsia"/>
                <w:color w:val="000000"/>
                <w:szCs w:val="21"/>
              </w:rPr>
              <w:t>公允价值</w:t>
            </w:r>
          </w:p>
        </w:tc>
        <w:tc>
          <w:tcPr>
            <w:tcW w:w="2534" w:type="dxa"/>
            <w:tcMar>
              <w:top w:w="15" w:type="dxa"/>
              <w:left w:w="15" w:type="dxa"/>
              <w:bottom w:w="0" w:type="dxa"/>
              <w:right w:w="15" w:type="dxa"/>
            </w:tcMar>
            <w:vAlign w:val="center"/>
          </w:tcPr>
          <w:p w:rsidR="007863A3" w:rsidRPr="00C24ACA" w:rsidRDefault="007863A3" w:rsidP="00427BFF">
            <w:pPr>
              <w:spacing w:line="360" w:lineRule="auto"/>
              <w:jc w:val="center"/>
              <w:rPr>
                <w:rFonts w:eastAsiaTheme="minorEastAsia"/>
                <w:color w:val="000000"/>
                <w:szCs w:val="21"/>
              </w:rPr>
            </w:pPr>
            <w:r w:rsidRPr="00C24ACA">
              <w:rPr>
                <w:rFonts w:eastAsiaTheme="minorEastAsia"/>
                <w:color w:val="000000"/>
                <w:szCs w:val="21"/>
              </w:rPr>
              <w:t>占基金资产净值比例（％）</w:t>
            </w:r>
          </w:p>
        </w:tc>
      </w:tr>
      <w:tr w:rsidR="007B4EE4">
        <w:trPr>
          <w:jc w:val="center"/>
        </w:trPr>
        <w:tc>
          <w:tcPr>
            <w:tcW w:w="3703" w:type="dxa"/>
            <w:vAlign w:val="center"/>
          </w:tcPr>
          <w:p w:rsidR="007B4EE4" w:rsidRDefault="00B833D5">
            <w:pPr>
              <w:jc w:val="left"/>
            </w:pPr>
            <w:r>
              <w:rPr>
                <w:rFonts w:eastAsiaTheme="minorEastAsia"/>
                <w:szCs w:val="21"/>
              </w:rPr>
              <w:t>能源</w:t>
            </w:r>
          </w:p>
        </w:tc>
        <w:tc>
          <w:tcPr>
            <w:tcW w:w="3119" w:type="dxa"/>
            <w:vAlign w:val="center"/>
          </w:tcPr>
          <w:p w:rsidR="007B4EE4" w:rsidRDefault="00B833D5">
            <w:pPr>
              <w:jc w:val="right"/>
            </w:pPr>
            <w:r>
              <w:rPr>
                <w:rFonts w:eastAsiaTheme="minorEastAsia"/>
                <w:szCs w:val="21"/>
              </w:rPr>
              <w:t>242,266.98</w:t>
            </w:r>
          </w:p>
        </w:tc>
        <w:tc>
          <w:tcPr>
            <w:tcW w:w="2534" w:type="dxa"/>
            <w:vAlign w:val="center"/>
          </w:tcPr>
          <w:p w:rsidR="007B4EE4" w:rsidRDefault="00B833D5">
            <w:pPr>
              <w:jc w:val="right"/>
            </w:pPr>
            <w:r>
              <w:rPr>
                <w:rFonts w:eastAsiaTheme="minorEastAsia"/>
                <w:szCs w:val="21"/>
              </w:rPr>
              <w:t>1.03</w:t>
            </w:r>
          </w:p>
        </w:tc>
      </w:tr>
      <w:tr w:rsidR="007B4EE4">
        <w:trPr>
          <w:jc w:val="center"/>
        </w:trPr>
        <w:tc>
          <w:tcPr>
            <w:tcW w:w="3703" w:type="dxa"/>
            <w:vAlign w:val="center"/>
          </w:tcPr>
          <w:p w:rsidR="007B4EE4" w:rsidRDefault="00B833D5">
            <w:pPr>
              <w:jc w:val="left"/>
            </w:pPr>
            <w:r>
              <w:rPr>
                <w:rFonts w:eastAsiaTheme="minorEastAsia"/>
                <w:szCs w:val="21"/>
              </w:rPr>
              <w:t>材料</w:t>
            </w:r>
          </w:p>
        </w:tc>
        <w:tc>
          <w:tcPr>
            <w:tcW w:w="3119" w:type="dxa"/>
            <w:vAlign w:val="center"/>
          </w:tcPr>
          <w:p w:rsidR="007B4EE4" w:rsidRDefault="00B833D5">
            <w:pPr>
              <w:jc w:val="right"/>
            </w:pPr>
            <w:r>
              <w:rPr>
                <w:rFonts w:eastAsiaTheme="minorEastAsia"/>
                <w:szCs w:val="21"/>
              </w:rPr>
              <w:t>1,992,018.57</w:t>
            </w:r>
          </w:p>
        </w:tc>
        <w:tc>
          <w:tcPr>
            <w:tcW w:w="2534" w:type="dxa"/>
            <w:vAlign w:val="center"/>
          </w:tcPr>
          <w:p w:rsidR="007B4EE4" w:rsidRDefault="00B833D5">
            <w:pPr>
              <w:jc w:val="right"/>
            </w:pPr>
            <w:r>
              <w:rPr>
                <w:rFonts w:eastAsiaTheme="minorEastAsia"/>
                <w:szCs w:val="21"/>
              </w:rPr>
              <w:t>8.49</w:t>
            </w:r>
          </w:p>
        </w:tc>
      </w:tr>
      <w:tr w:rsidR="007B4EE4">
        <w:trPr>
          <w:jc w:val="center"/>
        </w:trPr>
        <w:tc>
          <w:tcPr>
            <w:tcW w:w="3703" w:type="dxa"/>
            <w:vAlign w:val="center"/>
          </w:tcPr>
          <w:p w:rsidR="007B4EE4" w:rsidRDefault="00B833D5">
            <w:pPr>
              <w:jc w:val="left"/>
            </w:pPr>
            <w:r>
              <w:rPr>
                <w:rFonts w:eastAsiaTheme="minorEastAsia"/>
                <w:szCs w:val="21"/>
              </w:rPr>
              <w:t>工业</w:t>
            </w:r>
          </w:p>
        </w:tc>
        <w:tc>
          <w:tcPr>
            <w:tcW w:w="3119" w:type="dxa"/>
            <w:vAlign w:val="center"/>
          </w:tcPr>
          <w:p w:rsidR="007B4EE4" w:rsidRDefault="00B833D5">
            <w:pPr>
              <w:jc w:val="right"/>
            </w:pPr>
            <w:r>
              <w:rPr>
                <w:rFonts w:eastAsiaTheme="minorEastAsia"/>
                <w:szCs w:val="21"/>
              </w:rPr>
              <w:t>3,036,853.24</w:t>
            </w:r>
          </w:p>
        </w:tc>
        <w:tc>
          <w:tcPr>
            <w:tcW w:w="2534" w:type="dxa"/>
            <w:vAlign w:val="center"/>
          </w:tcPr>
          <w:p w:rsidR="007B4EE4" w:rsidRDefault="00B833D5">
            <w:pPr>
              <w:jc w:val="right"/>
            </w:pPr>
            <w:r>
              <w:rPr>
                <w:rFonts w:eastAsiaTheme="minorEastAsia"/>
                <w:szCs w:val="21"/>
              </w:rPr>
              <w:t>12.94</w:t>
            </w:r>
          </w:p>
        </w:tc>
      </w:tr>
      <w:tr w:rsidR="007B4EE4">
        <w:trPr>
          <w:jc w:val="center"/>
        </w:trPr>
        <w:tc>
          <w:tcPr>
            <w:tcW w:w="3703" w:type="dxa"/>
            <w:vAlign w:val="center"/>
          </w:tcPr>
          <w:p w:rsidR="007B4EE4" w:rsidRDefault="00B833D5">
            <w:pPr>
              <w:jc w:val="left"/>
            </w:pPr>
            <w:r>
              <w:rPr>
                <w:rFonts w:eastAsiaTheme="minorEastAsia"/>
                <w:szCs w:val="21"/>
              </w:rPr>
              <w:t>非必需消费品</w:t>
            </w:r>
          </w:p>
        </w:tc>
        <w:tc>
          <w:tcPr>
            <w:tcW w:w="3119" w:type="dxa"/>
            <w:vAlign w:val="center"/>
          </w:tcPr>
          <w:p w:rsidR="007B4EE4" w:rsidRDefault="00B833D5">
            <w:pPr>
              <w:jc w:val="right"/>
            </w:pPr>
            <w:r>
              <w:rPr>
                <w:rFonts w:eastAsiaTheme="minorEastAsia"/>
                <w:szCs w:val="21"/>
              </w:rPr>
              <w:t>3,832,911.12</w:t>
            </w:r>
          </w:p>
        </w:tc>
        <w:tc>
          <w:tcPr>
            <w:tcW w:w="2534" w:type="dxa"/>
            <w:vAlign w:val="center"/>
          </w:tcPr>
          <w:p w:rsidR="007B4EE4" w:rsidRDefault="00B833D5">
            <w:pPr>
              <w:jc w:val="right"/>
            </w:pPr>
            <w:r>
              <w:rPr>
                <w:rFonts w:eastAsiaTheme="minorEastAsia"/>
                <w:szCs w:val="21"/>
              </w:rPr>
              <w:t>16.34</w:t>
            </w:r>
          </w:p>
        </w:tc>
      </w:tr>
      <w:tr w:rsidR="007B4EE4">
        <w:trPr>
          <w:jc w:val="center"/>
        </w:trPr>
        <w:tc>
          <w:tcPr>
            <w:tcW w:w="3703" w:type="dxa"/>
            <w:vAlign w:val="center"/>
          </w:tcPr>
          <w:p w:rsidR="007B4EE4" w:rsidRDefault="00B833D5">
            <w:pPr>
              <w:jc w:val="left"/>
            </w:pPr>
            <w:r>
              <w:rPr>
                <w:rFonts w:eastAsiaTheme="minorEastAsia"/>
                <w:szCs w:val="21"/>
              </w:rPr>
              <w:t>必需消费品</w:t>
            </w:r>
          </w:p>
        </w:tc>
        <w:tc>
          <w:tcPr>
            <w:tcW w:w="3119" w:type="dxa"/>
            <w:vAlign w:val="center"/>
          </w:tcPr>
          <w:p w:rsidR="007B4EE4" w:rsidRDefault="00B833D5">
            <w:pPr>
              <w:jc w:val="right"/>
            </w:pPr>
            <w:r>
              <w:rPr>
                <w:rFonts w:eastAsiaTheme="minorEastAsia"/>
                <w:szCs w:val="21"/>
              </w:rPr>
              <w:t>283,039.26</w:t>
            </w:r>
          </w:p>
        </w:tc>
        <w:tc>
          <w:tcPr>
            <w:tcW w:w="2534" w:type="dxa"/>
            <w:vAlign w:val="center"/>
          </w:tcPr>
          <w:p w:rsidR="007B4EE4" w:rsidRDefault="00B833D5">
            <w:pPr>
              <w:jc w:val="right"/>
            </w:pPr>
            <w:r>
              <w:rPr>
                <w:rFonts w:eastAsiaTheme="minorEastAsia"/>
                <w:szCs w:val="21"/>
              </w:rPr>
              <w:t>1.21</w:t>
            </w:r>
          </w:p>
        </w:tc>
      </w:tr>
      <w:tr w:rsidR="007B4EE4">
        <w:trPr>
          <w:jc w:val="center"/>
        </w:trPr>
        <w:tc>
          <w:tcPr>
            <w:tcW w:w="3703" w:type="dxa"/>
            <w:vAlign w:val="center"/>
          </w:tcPr>
          <w:p w:rsidR="007B4EE4" w:rsidRDefault="00B833D5">
            <w:pPr>
              <w:jc w:val="left"/>
            </w:pPr>
            <w:r>
              <w:rPr>
                <w:rFonts w:eastAsiaTheme="minorEastAsia"/>
                <w:szCs w:val="21"/>
              </w:rPr>
              <w:t>保健</w:t>
            </w:r>
          </w:p>
        </w:tc>
        <w:tc>
          <w:tcPr>
            <w:tcW w:w="3119" w:type="dxa"/>
            <w:vAlign w:val="center"/>
          </w:tcPr>
          <w:p w:rsidR="007B4EE4" w:rsidRDefault="00B833D5">
            <w:pPr>
              <w:jc w:val="right"/>
            </w:pPr>
            <w:r>
              <w:rPr>
                <w:rFonts w:eastAsiaTheme="minorEastAsia"/>
                <w:szCs w:val="21"/>
              </w:rPr>
              <w:t>4,031,119.20</w:t>
            </w:r>
          </w:p>
        </w:tc>
        <w:tc>
          <w:tcPr>
            <w:tcW w:w="2534" w:type="dxa"/>
            <w:vAlign w:val="center"/>
          </w:tcPr>
          <w:p w:rsidR="007B4EE4" w:rsidRDefault="00B833D5">
            <w:pPr>
              <w:jc w:val="right"/>
            </w:pPr>
            <w:r>
              <w:rPr>
                <w:rFonts w:eastAsiaTheme="minorEastAsia"/>
                <w:szCs w:val="21"/>
              </w:rPr>
              <w:t>17.18</w:t>
            </w:r>
          </w:p>
        </w:tc>
      </w:tr>
      <w:tr w:rsidR="007B4EE4">
        <w:trPr>
          <w:jc w:val="center"/>
        </w:trPr>
        <w:tc>
          <w:tcPr>
            <w:tcW w:w="3703" w:type="dxa"/>
            <w:vAlign w:val="center"/>
          </w:tcPr>
          <w:p w:rsidR="007B4EE4" w:rsidRDefault="00B833D5">
            <w:pPr>
              <w:jc w:val="left"/>
            </w:pPr>
            <w:r>
              <w:rPr>
                <w:rFonts w:eastAsiaTheme="minorEastAsia"/>
                <w:szCs w:val="21"/>
              </w:rPr>
              <w:t>金融</w:t>
            </w:r>
          </w:p>
        </w:tc>
        <w:tc>
          <w:tcPr>
            <w:tcW w:w="3119" w:type="dxa"/>
            <w:vAlign w:val="center"/>
          </w:tcPr>
          <w:p w:rsidR="007B4EE4" w:rsidRDefault="00B833D5">
            <w:pPr>
              <w:jc w:val="right"/>
            </w:pPr>
            <w:r>
              <w:rPr>
                <w:rFonts w:eastAsiaTheme="minorEastAsia"/>
                <w:szCs w:val="21"/>
              </w:rPr>
              <w:t>971,935.70</w:t>
            </w:r>
          </w:p>
        </w:tc>
        <w:tc>
          <w:tcPr>
            <w:tcW w:w="2534" w:type="dxa"/>
            <w:vAlign w:val="center"/>
          </w:tcPr>
          <w:p w:rsidR="007B4EE4" w:rsidRDefault="00B833D5">
            <w:pPr>
              <w:jc w:val="right"/>
            </w:pPr>
            <w:r>
              <w:rPr>
                <w:rFonts w:eastAsiaTheme="minorEastAsia"/>
                <w:szCs w:val="21"/>
              </w:rPr>
              <w:t>4.14</w:t>
            </w:r>
          </w:p>
        </w:tc>
      </w:tr>
      <w:tr w:rsidR="007B4EE4">
        <w:trPr>
          <w:jc w:val="center"/>
        </w:trPr>
        <w:tc>
          <w:tcPr>
            <w:tcW w:w="3703" w:type="dxa"/>
            <w:vAlign w:val="center"/>
          </w:tcPr>
          <w:p w:rsidR="007B4EE4" w:rsidRDefault="00B833D5">
            <w:pPr>
              <w:jc w:val="left"/>
            </w:pPr>
            <w:r>
              <w:rPr>
                <w:rFonts w:eastAsiaTheme="minorEastAsia"/>
                <w:szCs w:val="21"/>
              </w:rPr>
              <w:t>信息技术</w:t>
            </w:r>
          </w:p>
        </w:tc>
        <w:tc>
          <w:tcPr>
            <w:tcW w:w="3119" w:type="dxa"/>
            <w:vAlign w:val="center"/>
          </w:tcPr>
          <w:p w:rsidR="007B4EE4" w:rsidRDefault="00B833D5">
            <w:pPr>
              <w:jc w:val="right"/>
            </w:pPr>
            <w:r>
              <w:rPr>
                <w:rFonts w:eastAsiaTheme="minorEastAsia"/>
                <w:szCs w:val="21"/>
              </w:rPr>
              <w:t>1,537,694.94</w:t>
            </w:r>
          </w:p>
        </w:tc>
        <w:tc>
          <w:tcPr>
            <w:tcW w:w="2534" w:type="dxa"/>
            <w:vAlign w:val="center"/>
          </w:tcPr>
          <w:p w:rsidR="007B4EE4" w:rsidRDefault="00B833D5">
            <w:pPr>
              <w:jc w:val="right"/>
            </w:pPr>
            <w:r>
              <w:rPr>
                <w:rFonts w:eastAsiaTheme="minorEastAsia"/>
                <w:szCs w:val="21"/>
              </w:rPr>
              <w:t>6.55</w:t>
            </w:r>
          </w:p>
        </w:tc>
      </w:tr>
      <w:tr w:rsidR="007B4EE4">
        <w:trPr>
          <w:jc w:val="center"/>
        </w:trPr>
        <w:tc>
          <w:tcPr>
            <w:tcW w:w="3703" w:type="dxa"/>
            <w:vAlign w:val="center"/>
          </w:tcPr>
          <w:p w:rsidR="007B4EE4" w:rsidRDefault="00B833D5">
            <w:pPr>
              <w:jc w:val="left"/>
            </w:pPr>
            <w:r>
              <w:rPr>
                <w:rFonts w:eastAsiaTheme="minorEastAsia"/>
                <w:szCs w:val="21"/>
              </w:rPr>
              <w:t>电信服务</w:t>
            </w:r>
          </w:p>
        </w:tc>
        <w:tc>
          <w:tcPr>
            <w:tcW w:w="3119" w:type="dxa"/>
            <w:vAlign w:val="center"/>
          </w:tcPr>
          <w:p w:rsidR="007B4EE4" w:rsidRDefault="00B833D5">
            <w:pPr>
              <w:jc w:val="right"/>
            </w:pPr>
            <w:r>
              <w:rPr>
                <w:rFonts w:eastAsiaTheme="minorEastAsia"/>
                <w:szCs w:val="21"/>
              </w:rPr>
              <w:t>1,425,893.12</w:t>
            </w:r>
          </w:p>
        </w:tc>
        <w:tc>
          <w:tcPr>
            <w:tcW w:w="2534" w:type="dxa"/>
            <w:vAlign w:val="center"/>
          </w:tcPr>
          <w:p w:rsidR="007B4EE4" w:rsidRDefault="00B833D5">
            <w:pPr>
              <w:jc w:val="right"/>
            </w:pPr>
            <w:r>
              <w:rPr>
                <w:rFonts w:eastAsiaTheme="minorEastAsia"/>
                <w:szCs w:val="21"/>
              </w:rPr>
              <w:t>6.08</w:t>
            </w:r>
          </w:p>
        </w:tc>
      </w:tr>
      <w:tr w:rsidR="007B4EE4">
        <w:trPr>
          <w:jc w:val="center"/>
        </w:trPr>
        <w:tc>
          <w:tcPr>
            <w:tcW w:w="3703" w:type="dxa"/>
            <w:vAlign w:val="center"/>
          </w:tcPr>
          <w:p w:rsidR="007B4EE4" w:rsidRDefault="00B833D5">
            <w:pPr>
              <w:jc w:val="left"/>
            </w:pPr>
            <w:r>
              <w:rPr>
                <w:rFonts w:eastAsiaTheme="minorEastAsia"/>
                <w:szCs w:val="21"/>
              </w:rPr>
              <w:t>公用事业</w:t>
            </w:r>
          </w:p>
        </w:tc>
        <w:tc>
          <w:tcPr>
            <w:tcW w:w="3119" w:type="dxa"/>
            <w:vAlign w:val="center"/>
          </w:tcPr>
          <w:p w:rsidR="007B4EE4" w:rsidRDefault="00B833D5">
            <w:pPr>
              <w:jc w:val="right"/>
            </w:pPr>
            <w:r>
              <w:rPr>
                <w:rFonts w:eastAsiaTheme="minorEastAsia"/>
                <w:szCs w:val="21"/>
              </w:rPr>
              <w:t>1,055,566.89</w:t>
            </w:r>
          </w:p>
        </w:tc>
        <w:tc>
          <w:tcPr>
            <w:tcW w:w="2534" w:type="dxa"/>
            <w:vAlign w:val="center"/>
          </w:tcPr>
          <w:p w:rsidR="007B4EE4" w:rsidRDefault="00B833D5">
            <w:pPr>
              <w:jc w:val="right"/>
            </w:pPr>
            <w:r>
              <w:rPr>
                <w:rFonts w:eastAsiaTheme="minorEastAsia"/>
                <w:szCs w:val="21"/>
              </w:rPr>
              <w:t>4.50</w:t>
            </w:r>
          </w:p>
        </w:tc>
      </w:tr>
      <w:tr w:rsidR="007B4EE4">
        <w:trPr>
          <w:jc w:val="center"/>
        </w:trPr>
        <w:tc>
          <w:tcPr>
            <w:tcW w:w="3703" w:type="dxa"/>
            <w:vAlign w:val="center"/>
          </w:tcPr>
          <w:p w:rsidR="007B4EE4" w:rsidRDefault="00B833D5">
            <w:pPr>
              <w:jc w:val="left"/>
            </w:pPr>
            <w:r>
              <w:rPr>
                <w:rFonts w:eastAsiaTheme="minorEastAsia"/>
                <w:szCs w:val="21"/>
              </w:rPr>
              <w:t>房地产</w:t>
            </w:r>
          </w:p>
        </w:tc>
        <w:tc>
          <w:tcPr>
            <w:tcW w:w="3119" w:type="dxa"/>
            <w:vAlign w:val="center"/>
          </w:tcPr>
          <w:p w:rsidR="007B4EE4" w:rsidRDefault="00B833D5">
            <w:pPr>
              <w:jc w:val="right"/>
            </w:pPr>
            <w:r>
              <w:rPr>
                <w:rFonts w:eastAsiaTheme="minorEastAsia"/>
                <w:szCs w:val="21"/>
              </w:rPr>
              <w:t>3,417,260.69</w:t>
            </w:r>
          </w:p>
        </w:tc>
        <w:tc>
          <w:tcPr>
            <w:tcW w:w="2534" w:type="dxa"/>
            <w:vAlign w:val="center"/>
          </w:tcPr>
          <w:p w:rsidR="007B4EE4" w:rsidRDefault="00B833D5">
            <w:pPr>
              <w:jc w:val="right"/>
            </w:pPr>
            <w:r>
              <w:rPr>
                <w:rFonts w:eastAsiaTheme="minorEastAsia"/>
                <w:szCs w:val="21"/>
              </w:rPr>
              <w:t>14.57</w:t>
            </w:r>
          </w:p>
        </w:tc>
      </w:tr>
      <w:tr w:rsidR="007863A3" w:rsidRPr="00C24ACA" w:rsidTr="00B73AA7">
        <w:trPr>
          <w:trHeight w:val="285"/>
          <w:jc w:val="center"/>
        </w:trPr>
        <w:tc>
          <w:tcPr>
            <w:tcW w:w="3703" w:type="dxa"/>
            <w:vAlign w:val="center"/>
          </w:tcPr>
          <w:p w:rsidR="007863A3" w:rsidRPr="00C24ACA" w:rsidRDefault="007863A3" w:rsidP="00427BFF">
            <w:pPr>
              <w:pStyle w:val="ae"/>
              <w:spacing w:line="360" w:lineRule="auto"/>
              <w:rPr>
                <w:rFonts w:eastAsiaTheme="minorEastAsia"/>
                <w:color w:val="000000"/>
                <w:sz w:val="21"/>
                <w:szCs w:val="21"/>
              </w:rPr>
            </w:pPr>
            <w:r w:rsidRPr="00C24ACA">
              <w:rPr>
                <w:rFonts w:eastAsiaTheme="minorEastAsia"/>
                <w:sz w:val="21"/>
                <w:szCs w:val="21"/>
              </w:rPr>
              <w:t>合计</w:t>
            </w:r>
          </w:p>
        </w:tc>
        <w:tc>
          <w:tcPr>
            <w:tcW w:w="3119" w:type="dxa"/>
            <w:vAlign w:val="center"/>
          </w:tcPr>
          <w:p w:rsidR="007863A3" w:rsidRPr="00C24ACA" w:rsidRDefault="007863A3" w:rsidP="00F32C93">
            <w:pPr>
              <w:spacing w:line="360" w:lineRule="auto"/>
              <w:jc w:val="right"/>
              <w:rPr>
                <w:rFonts w:eastAsiaTheme="minorEastAsia"/>
                <w:szCs w:val="21"/>
              </w:rPr>
            </w:pPr>
            <w:r w:rsidRPr="00C24ACA">
              <w:rPr>
                <w:rFonts w:eastAsiaTheme="minorEastAsia"/>
                <w:szCs w:val="21"/>
              </w:rPr>
              <w:t>21,826,559.71</w:t>
            </w:r>
          </w:p>
        </w:tc>
        <w:tc>
          <w:tcPr>
            <w:tcW w:w="2534" w:type="dxa"/>
            <w:vAlign w:val="center"/>
          </w:tcPr>
          <w:p w:rsidR="007863A3" w:rsidRPr="00C24ACA" w:rsidRDefault="007863A3" w:rsidP="00F32C93">
            <w:pPr>
              <w:spacing w:line="360" w:lineRule="auto"/>
              <w:jc w:val="right"/>
              <w:rPr>
                <w:rFonts w:eastAsiaTheme="minorEastAsia"/>
                <w:szCs w:val="21"/>
              </w:rPr>
            </w:pPr>
            <w:r w:rsidRPr="00C24ACA">
              <w:rPr>
                <w:rFonts w:eastAsiaTheme="minorEastAsia"/>
                <w:szCs w:val="21"/>
              </w:rPr>
              <w:t>93.03</w:t>
            </w:r>
          </w:p>
        </w:tc>
      </w:tr>
    </w:tbl>
    <w:p w:rsidR="008A5A5D" w:rsidRPr="001412CA" w:rsidRDefault="007863A3"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注：以上分类采用全球行业分类标准</w:t>
      </w:r>
      <w:r w:rsidRPr="001412CA">
        <w:rPr>
          <w:rFonts w:eastAsiaTheme="minorEastAsia"/>
          <w:kern w:val="0"/>
          <w:szCs w:val="21"/>
        </w:rPr>
        <w:t>(GICS)</w:t>
      </w:r>
      <w:r w:rsidRPr="001412CA">
        <w:rPr>
          <w:rFonts w:eastAsiaTheme="minorEastAsia"/>
          <w:kern w:val="0"/>
          <w:szCs w:val="21"/>
        </w:rPr>
        <w:t>。</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20" w:name="_Toc352255998"/>
      <w:bookmarkStart w:id="221" w:name="_Toc352256066"/>
      <w:bookmarkStart w:id="222" w:name="_Toc352331244"/>
      <w:bookmarkStart w:id="223" w:name="_Toc390164824"/>
      <w:bookmarkStart w:id="224" w:name="_Toc48663867"/>
      <w:r w:rsidRPr="0087359D">
        <w:rPr>
          <w:rFonts w:ascii="宋体" w:hAnsi="宋体"/>
          <w:kern w:val="0"/>
          <w:sz w:val="21"/>
          <w:szCs w:val="21"/>
        </w:rPr>
        <w:t>7.4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期末按公允价值占基金资产净值比例大小排序的所有权益投资明细</w:t>
      </w:r>
      <w:bookmarkEnd w:id="220"/>
      <w:bookmarkEnd w:id="221"/>
      <w:bookmarkEnd w:id="222"/>
      <w:bookmarkEnd w:id="223"/>
      <w:bookmarkEnd w:id="224"/>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71"/>
        <w:gridCol w:w="905"/>
        <w:gridCol w:w="1015"/>
        <w:gridCol w:w="1184"/>
        <w:gridCol w:w="847"/>
        <w:gridCol w:w="1025"/>
        <w:gridCol w:w="1015"/>
        <w:gridCol w:w="1690"/>
        <w:gridCol w:w="997"/>
      </w:tblGrid>
      <w:tr w:rsidR="008A5A5D" w:rsidRPr="00C24ACA" w:rsidTr="00B73AA7">
        <w:trPr>
          <w:trHeight w:val="315"/>
          <w:jc w:val="center"/>
        </w:trPr>
        <w:tc>
          <w:tcPr>
            <w:tcW w:w="771"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90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w:t>
            </w:r>
            <w:r w:rsidRPr="00C24ACA">
              <w:rPr>
                <w:rFonts w:eastAsiaTheme="minorEastAsia"/>
                <w:color w:val="000000"/>
                <w:szCs w:val="21"/>
              </w:rPr>
              <w:t xml:space="preserve"> (</w:t>
            </w:r>
            <w:r w:rsidRPr="00C24ACA">
              <w:rPr>
                <w:rFonts w:eastAsiaTheme="minorEastAsia"/>
                <w:color w:val="000000"/>
                <w:szCs w:val="21"/>
              </w:rPr>
              <w:t>英文</w:t>
            </w:r>
            <w:r w:rsidRPr="00C24ACA">
              <w:rPr>
                <w:rFonts w:eastAsiaTheme="minorEastAsia"/>
                <w:color w:val="000000"/>
                <w:szCs w:val="21"/>
              </w:rPr>
              <w:t>)</w:t>
            </w:r>
          </w:p>
        </w:tc>
        <w:tc>
          <w:tcPr>
            <w:tcW w:w="101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w:t>
            </w:r>
            <w:r w:rsidRPr="00C24ACA">
              <w:rPr>
                <w:rFonts w:eastAsiaTheme="minorEastAsia"/>
                <w:color w:val="000000"/>
                <w:szCs w:val="21"/>
              </w:rPr>
              <w:t>(</w:t>
            </w:r>
            <w:r w:rsidRPr="00C24ACA">
              <w:rPr>
                <w:rFonts w:eastAsiaTheme="minorEastAsia"/>
                <w:color w:val="000000"/>
                <w:szCs w:val="21"/>
              </w:rPr>
              <w:t>中文</w:t>
            </w:r>
            <w:r w:rsidRPr="00C24ACA">
              <w:rPr>
                <w:rFonts w:eastAsiaTheme="minorEastAsia"/>
                <w:color w:val="000000"/>
                <w:szCs w:val="21"/>
              </w:rPr>
              <w:t>)</w:t>
            </w:r>
          </w:p>
        </w:tc>
        <w:tc>
          <w:tcPr>
            <w:tcW w:w="1184"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证券代码</w:t>
            </w:r>
          </w:p>
        </w:tc>
        <w:tc>
          <w:tcPr>
            <w:tcW w:w="847"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所在证券市场</w:t>
            </w:r>
          </w:p>
        </w:tc>
        <w:tc>
          <w:tcPr>
            <w:tcW w:w="102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所属国家</w:t>
            </w:r>
            <w:r w:rsidRPr="00C24ACA">
              <w:rPr>
                <w:rFonts w:eastAsiaTheme="minorEastAsia"/>
                <w:color w:val="000000"/>
                <w:szCs w:val="21"/>
              </w:rPr>
              <w:t>(</w:t>
            </w:r>
            <w:r w:rsidRPr="00C24ACA">
              <w:rPr>
                <w:rFonts w:eastAsiaTheme="minorEastAsia"/>
                <w:color w:val="000000"/>
                <w:szCs w:val="21"/>
              </w:rPr>
              <w:t>地区</w:t>
            </w:r>
            <w:r w:rsidRPr="00C24ACA">
              <w:rPr>
                <w:rFonts w:eastAsiaTheme="minorEastAsia"/>
                <w:color w:val="000000"/>
                <w:szCs w:val="21"/>
              </w:rPr>
              <w:t>)</w:t>
            </w:r>
          </w:p>
        </w:tc>
        <w:tc>
          <w:tcPr>
            <w:tcW w:w="101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数量（股）</w:t>
            </w:r>
          </w:p>
        </w:tc>
        <w:tc>
          <w:tcPr>
            <w:tcW w:w="169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公允价值</w:t>
            </w:r>
          </w:p>
        </w:tc>
        <w:tc>
          <w:tcPr>
            <w:tcW w:w="997"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占基金资产净值比</w:t>
            </w:r>
            <w:r w:rsidRPr="00C24ACA">
              <w:rPr>
                <w:rFonts w:eastAsiaTheme="minorEastAsia"/>
                <w:color w:val="000000"/>
                <w:szCs w:val="21"/>
              </w:rPr>
              <w:lastRenderedPageBreak/>
              <w:t>例（％）</w:t>
            </w:r>
          </w:p>
        </w:tc>
      </w:tr>
      <w:tr w:rsidR="007B4EE4">
        <w:trPr>
          <w:jc w:val="center"/>
        </w:trPr>
        <w:tc>
          <w:tcPr>
            <w:tcW w:w="771" w:type="dxa"/>
            <w:vAlign w:val="center"/>
          </w:tcPr>
          <w:p w:rsidR="007B4EE4" w:rsidRDefault="00B833D5">
            <w:pPr>
              <w:jc w:val="center"/>
            </w:pPr>
            <w:r>
              <w:rPr>
                <w:rFonts w:eastAsiaTheme="minorEastAsia"/>
                <w:color w:val="000000"/>
                <w:szCs w:val="21"/>
              </w:rPr>
              <w:lastRenderedPageBreak/>
              <w:t>1</w:t>
            </w:r>
          </w:p>
        </w:tc>
        <w:tc>
          <w:tcPr>
            <w:tcW w:w="905" w:type="dxa"/>
            <w:vAlign w:val="center"/>
          </w:tcPr>
          <w:p w:rsidR="007B4EE4" w:rsidRDefault="00B833D5">
            <w:pPr>
              <w:jc w:val="center"/>
            </w:pPr>
            <w:r>
              <w:rPr>
                <w:rFonts w:eastAsiaTheme="minorEastAsia"/>
                <w:color w:val="000000"/>
                <w:szCs w:val="21"/>
              </w:rPr>
              <w:t>MicroPort Scientific Corporation</w:t>
            </w:r>
          </w:p>
        </w:tc>
        <w:tc>
          <w:tcPr>
            <w:tcW w:w="1015" w:type="dxa"/>
            <w:vAlign w:val="center"/>
          </w:tcPr>
          <w:p w:rsidR="007B4EE4" w:rsidRDefault="00B833D5">
            <w:pPr>
              <w:jc w:val="center"/>
            </w:pPr>
            <w:r>
              <w:rPr>
                <w:rFonts w:eastAsiaTheme="minorEastAsia"/>
                <w:color w:val="000000"/>
                <w:szCs w:val="21"/>
              </w:rPr>
              <w:t>微创医疗科学有限公司</w:t>
            </w:r>
          </w:p>
        </w:tc>
        <w:tc>
          <w:tcPr>
            <w:tcW w:w="1184" w:type="dxa"/>
            <w:vAlign w:val="center"/>
          </w:tcPr>
          <w:p w:rsidR="007B4EE4" w:rsidRDefault="00B833D5">
            <w:pPr>
              <w:jc w:val="center"/>
            </w:pPr>
            <w:r>
              <w:rPr>
                <w:rFonts w:eastAsiaTheme="minorEastAsia"/>
                <w:color w:val="000000"/>
                <w:szCs w:val="21"/>
              </w:rPr>
              <w:t>853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32,000</w:t>
            </w:r>
          </w:p>
        </w:tc>
        <w:tc>
          <w:tcPr>
            <w:tcW w:w="1690" w:type="dxa"/>
            <w:vAlign w:val="center"/>
          </w:tcPr>
          <w:p w:rsidR="007B4EE4" w:rsidRDefault="00B833D5">
            <w:pPr>
              <w:jc w:val="right"/>
            </w:pPr>
            <w:r>
              <w:rPr>
                <w:rFonts w:eastAsiaTheme="minorEastAsia"/>
                <w:color w:val="000000"/>
                <w:szCs w:val="21"/>
              </w:rPr>
              <w:t>911,978.50</w:t>
            </w:r>
          </w:p>
        </w:tc>
        <w:tc>
          <w:tcPr>
            <w:tcW w:w="997" w:type="dxa"/>
            <w:vAlign w:val="center"/>
          </w:tcPr>
          <w:p w:rsidR="007B4EE4" w:rsidRDefault="00B833D5">
            <w:pPr>
              <w:jc w:val="right"/>
            </w:pPr>
            <w:r>
              <w:rPr>
                <w:rFonts w:eastAsiaTheme="minorEastAsia"/>
                <w:color w:val="000000"/>
                <w:szCs w:val="21"/>
              </w:rPr>
              <w:t>3.89</w:t>
            </w:r>
          </w:p>
        </w:tc>
      </w:tr>
      <w:tr w:rsidR="007B4EE4">
        <w:trPr>
          <w:jc w:val="center"/>
        </w:trPr>
        <w:tc>
          <w:tcPr>
            <w:tcW w:w="771" w:type="dxa"/>
            <w:vAlign w:val="center"/>
          </w:tcPr>
          <w:p w:rsidR="007B4EE4" w:rsidRDefault="00B833D5">
            <w:pPr>
              <w:jc w:val="center"/>
            </w:pPr>
            <w:r>
              <w:rPr>
                <w:rFonts w:eastAsiaTheme="minorEastAsia"/>
                <w:color w:val="000000"/>
                <w:szCs w:val="21"/>
              </w:rPr>
              <w:t>2</w:t>
            </w:r>
          </w:p>
        </w:tc>
        <w:tc>
          <w:tcPr>
            <w:tcW w:w="905" w:type="dxa"/>
            <w:vAlign w:val="center"/>
          </w:tcPr>
          <w:p w:rsidR="007B4EE4" w:rsidRDefault="00B833D5">
            <w:pPr>
              <w:jc w:val="center"/>
            </w:pPr>
            <w:r>
              <w:rPr>
                <w:rFonts w:eastAsiaTheme="minorEastAsia"/>
                <w:color w:val="000000"/>
                <w:szCs w:val="21"/>
              </w:rPr>
              <w:t>WuXi Apptec Co.,Ltd.</w:t>
            </w:r>
          </w:p>
        </w:tc>
        <w:tc>
          <w:tcPr>
            <w:tcW w:w="1015" w:type="dxa"/>
            <w:vAlign w:val="center"/>
          </w:tcPr>
          <w:p w:rsidR="007B4EE4" w:rsidRDefault="00B833D5">
            <w:pPr>
              <w:jc w:val="center"/>
            </w:pPr>
            <w:r>
              <w:rPr>
                <w:rFonts w:eastAsiaTheme="minorEastAsia"/>
                <w:color w:val="000000"/>
                <w:szCs w:val="21"/>
              </w:rPr>
              <w:t>无锡药明康德新药开发股份有限公司</w:t>
            </w:r>
          </w:p>
        </w:tc>
        <w:tc>
          <w:tcPr>
            <w:tcW w:w="1184" w:type="dxa"/>
            <w:vAlign w:val="center"/>
          </w:tcPr>
          <w:p w:rsidR="007B4EE4" w:rsidRDefault="00B833D5">
            <w:pPr>
              <w:jc w:val="center"/>
            </w:pPr>
            <w:r>
              <w:rPr>
                <w:rFonts w:eastAsiaTheme="minorEastAsia"/>
                <w:color w:val="000000"/>
                <w:szCs w:val="21"/>
              </w:rPr>
              <w:t>2359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7,823</w:t>
            </w:r>
          </w:p>
        </w:tc>
        <w:tc>
          <w:tcPr>
            <w:tcW w:w="1690" w:type="dxa"/>
            <w:vAlign w:val="center"/>
          </w:tcPr>
          <w:p w:rsidR="007B4EE4" w:rsidRDefault="00B833D5">
            <w:pPr>
              <w:jc w:val="right"/>
            </w:pPr>
            <w:r>
              <w:rPr>
                <w:rFonts w:eastAsiaTheme="minorEastAsia"/>
                <w:color w:val="000000"/>
                <w:szCs w:val="21"/>
              </w:rPr>
              <w:t>719,586.20</w:t>
            </w:r>
          </w:p>
        </w:tc>
        <w:tc>
          <w:tcPr>
            <w:tcW w:w="997" w:type="dxa"/>
            <w:vAlign w:val="center"/>
          </w:tcPr>
          <w:p w:rsidR="007B4EE4" w:rsidRDefault="00B833D5">
            <w:pPr>
              <w:jc w:val="right"/>
            </w:pPr>
            <w:r>
              <w:rPr>
                <w:rFonts w:eastAsiaTheme="minorEastAsia"/>
                <w:color w:val="000000"/>
                <w:szCs w:val="21"/>
              </w:rPr>
              <w:t>3.07</w:t>
            </w:r>
          </w:p>
        </w:tc>
      </w:tr>
      <w:tr w:rsidR="007B4EE4">
        <w:trPr>
          <w:jc w:val="center"/>
        </w:trPr>
        <w:tc>
          <w:tcPr>
            <w:tcW w:w="771" w:type="dxa"/>
            <w:vAlign w:val="center"/>
          </w:tcPr>
          <w:p w:rsidR="007B4EE4" w:rsidRDefault="00B833D5">
            <w:pPr>
              <w:jc w:val="center"/>
            </w:pPr>
            <w:r>
              <w:rPr>
                <w:rFonts w:eastAsiaTheme="minorEastAsia"/>
                <w:color w:val="000000"/>
                <w:szCs w:val="21"/>
              </w:rPr>
              <w:t>3</w:t>
            </w:r>
          </w:p>
        </w:tc>
        <w:tc>
          <w:tcPr>
            <w:tcW w:w="905" w:type="dxa"/>
            <w:vAlign w:val="center"/>
          </w:tcPr>
          <w:p w:rsidR="007B4EE4" w:rsidRDefault="00B833D5">
            <w:pPr>
              <w:jc w:val="center"/>
            </w:pPr>
            <w:r>
              <w:rPr>
                <w:rFonts w:eastAsiaTheme="minorEastAsia"/>
                <w:color w:val="000000"/>
                <w:szCs w:val="21"/>
              </w:rPr>
              <w:t>A-Living Services Co., Ltd.</w:t>
            </w:r>
          </w:p>
        </w:tc>
        <w:tc>
          <w:tcPr>
            <w:tcW w:w="1015" w:type="dxa"/>
            <w:vAlign w:val="center"/>
          </w:tcPr>
          <w:p w:rsidR="007B4EE4" w:rsidRDefault="00B833D5">
            <w:pPr>
              <w:jc w:val="center"/>
            </w:pPr>
            <w:r>
              <w:rPr>
                <w:rFonts w:eastAsiaTheme="minorEastAsia"/>
                <w:color w:val="000000"/>
                <w:szCs w:val="21"/>
              </w:rPr>
              <w:t>雅居乐雅生活服务股份有限公司</w:t>
            </w:r>
          </w:p>
        </w:tc>
        <w:tc>
          <w:tcPr>
            <w:tcW w:w="1184" w:type="dxa"/>
            <w:vAlign w:val="center"/>
          </w:tcPr>
          <w:p w:rsidR="007B4EE4" w:rsidRDefault="00B833D5">
            <w:pPr>
              <w:jc w:val="center"/>
            </w:pPr>
            <w:r>
              <w:rPr>
                <w:rFonts w:eastAsiaTheme="minorEastAsia"/>
                <w:color w:val="000000"/>
                <w:szCs w:val="21"/>
              </w:rPr>
              <w:t>3319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14,000</w:t>
            </w:r>
          </w:p>
        </w:tc>
        <w:tc>
          <w:tcPr>
            <w:tcW w:w="1690" w:type="dxa"/>
            <w:vAlign w:val="center"/>
          </w:tcPr>
          <w:p w:rsidR="007B4EE4" w:rsidRDefault="00B833D5">
            <w:pPr>
              <w:jc w:val="right"/>
            </w:pPr>
            <w:r>
              <w:rPr>
                <w:rFonts w:eastAsiaTheme="minorEastAsia"/>
                <w:color w:val="000000"/>
                <w:szCs w:val="21"/>
              </w:rPr>
              <w:t>499,377.65</w:t>
            </w:r>
          </w:p>
        </w:tc>
        <w:tc>
          <w:tcPr>
            <w:tcW w:w="997" w:type="dxa"/>
            <w:vAlign w:val="center"/>
          </w:tcPr>
          <w:p w:rsidR="007B4EE4" w:rsidRDefault="00B833D5">
            <w:pPr>
              <w:jc w:val="right"/>
            </w:pPr>
            <w:r>
              <w:rPr>
                <w:rFonts w:eastAsiaTheme="minorEastAsia"/>
                <w:color w:val="000000"/>
                <w:szCs w:val="21"/>
              </w:rPr>
              <w:t>2.13</w:t>
            </w:r>
          </w:p>
        </w:tc>
      </w:tr>
      <w:tr w:rsidR="007B4EE4">
        <w:trPr>
          <w:jc w:val="center"/>
        </w:trPr>
        <w:tc>
          <w:tcPr>
            <w:tcW w:w="771" w:type="dxa"/>
            <w:vAlign w:val="center"/>
          </w:tcPr>
          <w:p w:rsidR="007B4EE4" w:rsidRDefault="00B833D5">
            <w:pPr>
              <w:jc w:val="center"/>
            </w:pPr>
            <w:r>
              <w:rPr>
                <w:rFonts w:eastAsiaTheme="minorEastAsia"/>
                <w:color w:val="000000"/>
                <w:szCs w:val="21"/>
              </w:rPr>
              <w:t>4</w:t>
            </w:r>
          </w:p>
        </w:tc>
        <w:tc>
          <w:tcPr>
            <w:tcW w:w="905" w:type="dxa"/>
            <w:vAlign w:val="center"/>
          </w:tcPr>
          <w:p w:rsidR="007B4EE4" w:rsidRDefault="00B833D5">
            <w:pPr>
              <w:jc w:val="center"/>
            </w:pPr>
            <w:r>
              <w:rPr>
                <w:rFonts w:eastAsiaTheme="minorEastAsia"/>
                <w:color w:val="000000"/>
                <w:szCs w:val="21"/>
              </w:rPr>
              <w:t>Weimob Inc.</w:t>
            </w:r>
          </w:p>
        </w:tc>
        <w:tc>
          <w:tcPr>
            <w:tcW w:w="1015" w:type="dxa"/>
            <w:vAlign w:val="center"/>
          </w:tcPr>
          <w:p w:rsidR="007B4EE4" w:rsidRDefault="00B833D5">
            <w:pPr>
              <w:jc w:val="center"/>
            </w:pPr>
            <w:r>
              <w:rPr>
                <w:rFonts w:eastAsiaTheme="minorEastAsia"/>
                <w:color w:val="000000"/>
                <w:szCs w:val="21"/>
              </w:rPr>
              <w:t>微盟集团</w:t>
            </w:r>
          </w:p>
        </w:tc>
        <w:tc>
          <w:tcPr>
            <w:tcW w:w="1184" w:type="dxa"/>
            <w:vAlign w:val="center"/>
          </w:tcPr>
          <w:p w:rsidR="007B4EE4" w:rsidRDefault="00B833D5">
            <w:pPr>
              <w:jc w:val="center"/>
            </w:pPr>
            <w:r>
              <w:rPr>
                <w:rFonts w:eastAsiaTheme="minorEastAsia"/>
                <w:color w:val="000000"/>
                <w:szCs w:val="21"/>
              </w:rPr>
              <w:t>2013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53,041</w:t>
            </w:r>
          </w:p>
        </w:tc>
        <w:tc>
          <w:tcPr>
            <w:tcW w:w="1690" w:type="dxa"/>
            <w:vAlign w:val="center"/>
          </w:tcPr>
          <w:p w:rsidR="007B4EE4" w:rsidRDefault="00B833D5">
            <w:pPr>
              <w:jc w:val="right"/>
            </w:pPr>
            <w:r>
              <w:rPr>
                <w:rFonts w:eastAsiaTheme="minorEastAsia"/>
                <w:color w:val="000000"/>
                <w:szCs w:val="21"/>
              </w:rPr>
              <w:t>471,416.27</w:t>
            </w:r>
          </w:p>
        </w:tc>
        <w:tc>
          <w:tcPr>
            <w:tcW w:w="997" w:type="dxa"/>
            <w:vAlign w:val="center"/>
          </w:tcPr>
          <w:p w:rsidR="007B4EE4" w:rsidRDefault="00B833D5">
            <w:pPr>
              <w:jc w:val="right"/>
            </w:pPr>
            <w:r>
              <w:rPr>
                <w:rFonts w:eastAsiaTheme="minorEastAsia"/>
                <w:color w:val="000000"/>
                <w:szCs w:val="21"/>
              </w:rPr>
              <w:t>2.01</w:t>
            </w:r>
          </w:p>
        </w:tc>
      </w:tr>
      <w:tr w:rsidR="007B4EE4">
        <w:trPr>
          <w:jc w:val="center"/>
        </w:trPr>
        <w:tc>
          <w:tcPr>
            <w:tcW w:w="771" w:type="dxa"/>
            <w:vAlign w:val="center"/>
          </w:tcPr>
          <w:p w:rsidR="007B4EE4" w:rsidRDefault="00B833D5">
            <w:pPr>
              <w:jc w:val="center"/>
            </w:pPr>
            <w:r>
              <w:rPr>
                <w:rFonts w:eastAsiaTheme="minorEastAsia"/>
                <w:color w:val="000000"/>
                <w:szCs w:val="21"/>
              </w:rPr>
              <w:t>5</w:t>
            </w:r>
          </w:p>
        </w:tc>
        <w:tc>
          <w:tcPr>
            <w:tcW w:w="905" w:type="dxa"/>
            <w:vAlign w:val="center"/>
          </w:tcPr>
          <w:p w:rsidR="007B4EE4" w:rsidRDefault="00B833D5">
            <w:pPr>
              <w:jc w:val="center"/>
            </w:pPr>
            <w:r>
              <w:rPr>
                <w:rFonts w:eastAsiaTheme="minorEastAsia"/>
                <w:color w:val="000000"/>
                <w:szCs w:val="21"/>
              </w:rPr>
              <w:t>Ak Medical Holdings Limited</w:t>
            </w:r>
          </w:p>
        </w:tc>
        <w:tc>
          <w:tcPr>
            <w:tcW w:w="1015" w:type="dxa"/>
            <w:vAlign w:val="center"/>
          </w:tcPr>
          <w:p w:rsidR="007B4EE4" w:rsidRDefault="00B833D5">
            <w:pPr>
              <w:jc w:val="center"/>
            </w:pPr>
            <w:r>
              <w:rPr>
                <w:rFonts w:eastAsiaTheme="minorEastAsia"/>
                <w:color w:val="000000"/>
                <w:szCs w:val="21"/>
              </w:rPr>
              <w:t>爱康医疗控股有限公司</w:t>
            </w:r>
          </w:p>
        </w:tc>
        <w:tc>
          <w:tcPr>
            <w:tcW w:w="1184" w:type="dxa"/>
            <w:vAlign w:val="center"/>
          </w:tcPr>
          <w:p w:rsidR="007B4EE4" w:rsidRDefault="00B833D5">
            <w:pPr>
              <w:jc w:val="center"/>
            </w:pPr>
            <w:r>
              <w:rPr>
                <w:rFonts w:eastAsiaTheme="minorEastAsia"/>
                <w:color w:val="000000"/>
                <w:szCs w:val="21"/>
              </w:rPr>
              <w:t>1789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20,000</w:t>
            </w:r>
          </w:p>
        </w:tc>
        <w:tc>
          <w:tcPr>
            <w:tcW w:w="1690" w:type="dxa"/>
            <w:vAlign w:val="center"/>
          </w:tcPr>
          <w:p w:rsidR="007B4EE4" w:rsidRDefault="00B833D5">
            <w:pPr>
              <w:jc w:val="right"/>
            </w:pPr>
            <w:r>
              <w:rPr>
                <w:rFonts w:eastAsiaTheme="minorEastAsia"/>
                <w:color w:val="000000"/>
                <w:szCs w:val="21"/>
              </w:rPr>
              <w:t>450,325.92</w:t>
            </w:r>
          </w:p>
        </w:tc>
        <w:tc>
          <w:tcPr>
            <w:tcW w:w="997" w:type="dxa"/>
            <w:vAlign w:val="center"/>
          </w:tcPr>
          <w:p w:rsidR="007B4EE4" w:rsidRDefault="00B833D5">
            <w:pPr>
              <w:jc w:val="right"/>
            </w:pPr>
            <w:r>
              <w:rPr>
                <w:rFonts w:eastAsiaTheme="minorEastAsia"/>
                <w:color w:val="000000"/>
                <w:szCs w:val="21"/>
              </w:rPr>
              <w:t>1.92</w:t>
            </w:r>
          </w:p>
        </w:tc>
      </w:tr>
      <w:tr w:rsidR="007B4EE4">
        <w:trPr>
          <w:jc w:val="center"/>
        </w:trPr>
        <w:tc>
          <w:tcPr>
            <w:tcW w:w="771" w:type="dxa"/>
            <w:vAlign w:val="center"/>
          </w:tcPr>
          <w:p w:rsidR="007B4EE4" w:rsidRDefault="00B833D5">
            <w:pPr>
              <w:jc w:val="center"/>
            </w:pPr>
            <w:r>
              <w:rPr>
                <w:rFonts w:eastAsiaTheme="minorEastAsia"/>
                <w:color w:val="000000"/>
                <w:szCs w:val="21"/>
              </w:rPr>
              <w:t>6</w:t>
            </w:r>
          </w:p>
        </w:tc>
        <w:tc>
          <w:tcPr>
            <w:tcW w:w="905" w:type="dxa"/>
            <w:vAlign w:val="center"/>
          </w:tcPr>
          <w:p w:rsidR="007B4EE4" w:rsidRDefault="00B833D5">
            <w:pPr>
              <w:jc w:val="center"/>
            </w:pPr>
            <w:r>
              <w:rPr>
                <w:rFonts w:eastAsiaTheme="minorEastAsia"/>
                <w:color w:val="000000"/>
                <w:szCs w:val="21"/>
              </w:rPr>
              <w:t>HKBN Ltd.</w:t>
            </w:r>
          </w:p>
        </w:tc>
        <w:tc>
          <w:tcPr>
            <w:tcW w:w="1015" w:type="dxa"/>
            <w:vAlign w:val="center"/>
          </w:tcPr>
          <w:p w:rsidR="007B4EE4" w:rsidRDefault="00B833D5">
            <w:pPr>
              <w:jc w:val="center"/>
            </w:pPr>
            <w:r>
              <w:rPr>
                <w:rFonts w:eastAsiaTheme="minorEastAsia"/>
                <w:color w:val="000000"/>
                <w:szCs w:val="21"/>
              </w:rPr>
              <w:t>香港宽频有限公司</w:t>
            </w:r>
          </w:p>
        </w:tc>
        <w:tc>
          <w:tcPr>
            <w:tcW w:w="1184" w:type="dxa"/>
            <w:vAlign w:val="center"/>
          </w:tcPr>
          <w:p w:rsidR="007B4EE4" w:rsidRDefault="00B833D5">
            <w:pPr>
              <w:jc w:val="center"/>
            </w:pPr>
            <w:r>
              <w:rPr>
                <w:rFonts w:eastAsiaTheme="minorEastAsia"/>
                <w:color w:val="000000"/>
                <w:szCs w:val="21"/>
              </w:rPr>
              <w:t>1310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35,500</w:t>
            </w:r>
          </w:p>
        </w:tc>
        <w:tc>
          <w:tcPr>
            <w:tcW w:w="1690" w:type="dxa"/>
            <w:vAlign w:val="center"/>
          </w:tcPr>
          <w:p w:rsidR="007B4EE4" w:rsidRDefault="00B833D5">
            <w:pPr>
              <w:jc w:val="right"/>
            </w:pPr>
            <w:r>
              <w:rPr>
                <w:rFonts w:eastAsiaTheme="minorEastAsia"/>
                <w:color w:val="000000"/>
                <w:szCs w:val="21"/>
              </w:rPr>
              <w:t>439,711.75</w:t>
            </w:r>
          </w:p>
        </w:tc>
        <w:tc>
          <w:tcPr>
            <w:tcW w:w="997" w:type="dxa"/>
            <w:vAlign w:val="center"/>
          </w:tcPr>
          <w:p w:rsidR="007B4EE4" w:rsidRDefault="00B833D5">
            <w:pPr>
              <w:jc w:val="right"/>
            </w:pPr>
            <w:r>
              <w:rPr>
                <w:rFonts w:eastAsiaTheme="minorEastAsia"/>
                <w:color w:val="000000"/>
                <w:szCs w:val="21"/>
              </w:rPr>
              <w:t>1.87</w:t>
            </w:r>
          </w:p>
        </w:tc>
      </w:tr>
      <w:tr w:rsidR="007B4EE4">
        <w:trPr>
          <w:jc w:val="center"/>
        </w:trPr>
        <w:tc>
          <w:tcPr>
            <w:tcW w:w="771" w:type="dxa"/>
            <w:vAlign w:val="center"/>
          </w:tcPr>
          <w:p w:rsidR="007B4EE4" w:rsidRDefault="00B833D5">
            <w:pPr>
              <w:jc w:val="center"/>
            </w:pPr>
            <w:r>
              <w:rPr>
                <w:rFonts w:eastAsiaTheme="minorEastAsia"/>
                <w:color w:val="000000"/>
                <w:szCs w:val="21"/>
              </w:rPr>
              <w:t>7</w:t>
            </w:r>
          </w:p>
        </w:tc>
        <w:tc>
          <w:tcPr>
            <w:tcW w:w="905" w:type="dxa"/>
            <w:vAlign w:val="center"/>
          </w:tcPr>
          <w:p w:rsidR="007B4EE4" w:rsidRDefault="00B833D5">
            <w:pPr>
              <w:jc w:val="center"/>
            </w:pPr>
            <w:r>
              <w:rPr>
                <w:rFonts w:eastAsiaTheme="minorEastAsia"/>
                <w:color w:val="000000"/>
                <w:szCs w:val="21"/>
              </w:rPr>
              <w:t>China Overseas Property Holdings Limited</w:t>
            </w:r>
          </w:p>
        </w:tc>
        <w:tc>
          <w:tcPr>
            <w:tcW w:w="1015" w:type="dxa"/>
            <w:vAlign w:val="center"/>
          </w:tcPr>
          <w:p w:rsidR="007B4EE4" w:rsidRDefault="00B833D5">
            <w:pPr>
              <w:jc w:val="center"/>
            </w:pPr>
            <w:r>
              <w:rPr>
                <w:rFonts w:eastAsiaTheme="minorEastAsia"/>
                <w:color w:val="000000"/>
                <w:szCs w:val="21"/>
              </w:rPr>
              <w:t>中海物业集团有限公司</w:t>
            </w:r>
          </w:p>
        </w:tc>
        <w:tc>
          <w:tcPr>
            <w:tcW w:w="1184" w:type="dxa"/>
            <w:vAlign w:val="center"/>
          </w:tcPr>
          <w:p w:rsidR="007B4EE4" w:rsidRDefault="00B833D5">
            <w:pPr>
              <w:jc w:val="center"/>
            </w:pPr>
            <w:r>
              <w:rPr>
                <w:rFonts w:eastAsiaTheme="minorEastAsia"/>
                <w:color w:val="000000"/>
                <w:szCs w:val="21"/>
              </w:rPr>
              <w:t>2669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51,544</w:t>
            </w:r>
          </w:p>
        </w:tc>
        <w:tc>
          <w:tcPr>
            <w:tcW w:w="1690" w:type="dxa"/>
            <w:vAlign w:val="center"/>
          </w:tcPr>
          <w:p w:rsidR="007B4EE4" w:rsidRDefault="00B833D5">
            <w:pPr>
              <w:jc w:val="right"/>
            </w:pPr>
            <w:r>
              <w:rPr>
                <w:rFonts w:eastAsiaTheme="minorEastAsia"/>
                <w:color w:val="000000"/>
                <w:szCs w:val="21"/>
              </w:rPr>
              <w:t>386,075.28</w:t>
            </w:r>
          </w:p>
        </w:tc>
        <w:tc>
          <w:tcPr>
            <w:tcW w:w="997" w:type="dxa"/>
            <w:vAlign w:val="center"/>
          </w:tcPr>
          <w:p w:rsidR="007B4EE4" w:rsidRDefault="00B833D5">
            <w:pPr>
              <w:jc w:val="right"/>
            </w:pPr>
            <w:r>
              <w:rPr>
                <w:rFonts w:eastAsiaTheme="minorEastAsia"/>
                <w:color w:val="000000"/>
                <w:szCs w:val="21"/>
              </w:rPr>
              <w:t>1.65</w:t>
            </w:r>
          </w:p>
        </w:tc>
      </w:tr>
      <w:tr w:rsidR="007B4EE4">
        <w:trPr>
          <w:jc w:val="center"/>
        </w:trPr>
        <w:tc>
          <w:tcPr>
            <w:tcW w:w="771" w:type="dxa"/>
            <w:vAlign w:val="center"/>
          </w:tcPr>
          <w:p w:rsidR="007B4EE4" w:rsidRDefault="00B833D5">
            <w:pPr>
              <w:jc w:val="center"/>
            </w:pPr>
            <w:r>
              <w:rPr>
                <w:rFonts w:eastAsiaTheme="minorEastAsia"/>
                <w:color w:val="000000"/>
                <w:szCs w:val="21"/>
              </w:rPr>
              <w:t>8</w:t>
            </w:r>
          </w:p>
        </w:tc>
        <w:tc>
          <w:tcPr>
            <w:tcW w:w="905" w:type="dxa"/>
            <w:vAlign w:val="center"/>
          </w:tcPr>
          <w:p w:rsidR="007B4EE4" w:rsidRDefault="00B833D5">
            <w:pPr>
              <w:jc w:val="center"/>
            </w:pPr>
            <w:r>
              <w:rPr>
                <w:rFonts w:eastAsiaTheme="minorEastAsia"/>
                <w:color w:val="000000"/>
                <w:szCs w:val="21"/>
              </w:rPr>
              <w:t>Poly Property Development Co., Ltd.</w:t>
            </w:r>
          </w:p>
        </w:tc>
        <w:tc>
          <w:tcPr>
            <w:tcW w:w="1015" w:type="dxa"/>
            <w:vAlign w:val="center"/>
          </w:tcPr>
          <w:p w:rsidR="007B4EE4" w:rsidRDefault="00B833D5">
            <w:pPr>
              <w:jc w:val="center"/>
            </w:pPr>
            <w:r>
              <w:rPr>
                <w:rFonts w:eastAsiaTheme="minorEastAsia"/>
                <w:color w:val="000000"/>
                <w:szCs w:val="21"/>
              </w:rPr>
              <w:t>保利物业发展股份有限公司</w:t>
            </w:r>
          </w:p>
        </w:tc>
        <w:tc>
          <w:tcPr>
            <w:tcW w:w="1184" w:type="dxa"/>
            <w:vAlign w:val="center"/>
          </w:tcPr>
          <w:p w:rsidR="007B4EE4" w:rsidRDefault="00B833D5">
            <w:pPr>
              <w:jc w:val="center"/>
            </w:pPr>
            <w:r>
              <w:rPr>
                <w:rFonts w:eastAsiaTheme="minorEastAsia"/>
                <w:color w:val="000000"/>
                <w:szCs w:val="21"/>
              </w:rPr>
              <w:t>6049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5,400</w:t>
            </w:r>
          </w:p>
        </w:tc>
        <w:tc>
          <w:tcPr>
            <w:tcW w:w="1690" w:type="dxa"/>
            <w:vAlign w:val="center"/>
          </w:tcPr>
          <w:p w:rsidR="007B4EE4" w:rsidRDefault="00B833D5">
            <w:pPr>
              <w:jc w:val="right"/>
            </w:pPr>
            <w:r>
              <w:rPr>
                <w:rFonts w:eastAsiaTheme="minorEastAsia"/>
                <w:color w:val="000000"/>
                <w:szCs w:val="21"/>
              </w:rPr>
              <w:t>384,740.93</w:t>
            </w:r>
          </w:p>
        </w:tc>
        <w:tc>
          <w:tcPr>
            <w:tcW w:w="997" w:type="dxa"/>
            <w:vAlign w:val="center"/>
          </w:tcPr>
          <w:p w:rsidR="007B4EE4" w:rsidRDefault="00B833D5">
            <w:pPr>
              <w:jc w:val="right"/>
            </w:pPr>
            <w:r>
              <w:rPr>
                <w:rFonts w:eastAsiaTheme="minorEastAsia"/>
                <w:color w:val="000000"/>
                <w:szCs w:val="21"/>
              </w:rPr>
              <w:t>1.64</w:t>
            </w:r>
          </w:p>
        </w:tc>
      </w:tr>
      <w:tr w:rsidR="007B4EE4">
        <w:trPr>
          <w:jc w:val="center"/>
        </w:trPr>
        <w:tc>
          <w:tcPr>
            <w:tcW w:w="771" w:type="dxa"/>
            <w:vAlign w:val="center"/>
          </w:tcPr>
          <w:p w:rsidR="007B4EE4" w:rsidRDefault="00B833D5">
            <w:pPr>
              <w:jc w:val="center"/>
            </w:pPr>
            <w:r>
              <w:rPr>
                <w:rFonts w:eastAsiaTheme="minorEastAsia"/>
                <w:color w:val="000000"/>
                <w:szCs w:val="21"/>
              </w:rPr>
              <w:t>9</w:t>
            </w:r>
          </w:p>
        </w:tc>
        <w:tc>
          <w:tcPr>
            <w:tcW w:w="905" w:type="dxa"/>
            <w:vAlign w:val="center"/>
          </w:tcPr>
          <w:p w:rsidR="007B4EE4" w:rsidRDefault="00B833D5">
            <w:pPr>
              <w:jc w:val="center"/>
            </w:pPr>
            <w:r>
              <w:rPr>
                <w:rFonts w:eastAsiaTheme="minorEastAsia"/>
                <w:color w:val="000000"/>
                <w:szCs w:val="21"/>
              </w:rPr>
              <w:t>Koolearn Technology Holding Limited</w:t>
            </w:r>
          </w:p>
        </w:tc>
        <w:tc>
          <w:tcPr>
            <w:tcW w:w="1015" w:type="dxa"/>
            <w:vAlign w:val="center"/>
          </w:tcPr>
          <w:p w:rsidR="007B4EE4" w:rsidRDefault="00B833D5">
            <w:pPr>
              <w:jc w:val="center"/>
            </w:pPr>
            <w:r>
              <w:rPr>
                <w:rFonts w:eastAsiaTheme="minorEastAsia"/>
                <w:color w:val="000000"/>
                <w:szCs w:val="21"/>
              </w:rPr>
              <w:t>新东方在线科技控股有限公司</w:t>
            </w:r>
          </w:p>
        </w:tc>
        <w:tc>
          <w:tcPr>
            <w:tcW w:w="1184" w:type="dxa"/>
            <w:vAlign w:val="center"/>
          </w:tcPr>
          <w:p w:rsidR="007B4EE4" w:rsidRDefault="00B833D5">
            <w:pPr>
              <w:jc w:val="center"/>
            </w:pPr>
            <w:r>
              <w:rPr>
                <w:rFonts w:eastAsiaTheme="minorEastAsia"/>
                <w:color w:val="000000"/>
                <w:szCs w:val="21"/>
              </w:rPr>
              <w:t>1797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13,500</w:t>
            </w:r>
          </w:p>
        </w:tc>
        <w:tc>
          <w:tcPr>
            <w:tcW w:w="1690" w:type="dxa"/>
            <w:vAlign w:val="center"/>
          </w:tcPr>
          <w:p w:rsidR="007B4EE4" w:rsidRDefault="00B833D5">
            <w:pPr>
              <w:jc w:val="right"/>
            </w:pPr>
            <w:r>
              <w:rPr>
                <w:rFonts w:eastAsiaTheme="minorEastAsia"/>
                <w:color w:val="000000"/>
                <w:szCs w:val="21"/>
              </w:rPr>
              <w:t>383,507.78</w:t>
            </w:r>
          </w:p>
        </w:tc>
        <w:tc>
          <w:tcPr>
            <w:tcW w:w="997" w:type="dxa"/>
            <w:vAlign w:val="center"/>
          </w:tcPr>
          <w:p w:rsidR="007B4EE4" w:rsidRDefault="00B833D5">
            <w:pPr>
              <w:jc w:val="right"/>
            </w:pPr>
            <w:r>
              <w:rPr>
                <w:rFonts w:eastAsiaTheme="minorEastAsia"/>
                <w:color w:val="000000"/>
                <w:szCs w:val="21"/>
              </w:rPr>
              <w:t>1.63</w:t>
            </w:r>
          </w:p>
        </w:tc>
      </w:tr>
      <w:tr w:rsidR="007B4EE4">
        <w:trPr>
          <w:jc w:val="center"/>
        </w:trPr>
        <w:tc>
          <w:tcPr>
            <w:tcW w:w="771" w:type="dxa"/>
            <w:vAlign w:val="center"/>
          </w:tcPr>
          <w:p w:rsidR="007B4EE4" w:rsidRDefault="00B833D5">
            <w:pPr>
              <w:jc w:val="center"/>
            </w:pPr>
            <w:r>
              <w:rPr>
                <w:rFonts w:eastAsiaTheme="minorEastAsia"/>
                <w:color w:val="000000"/>
                <w:szCs w:val="21"/>
              </w:rPr>
              <w:t>10</w:t>
            </w:r>
          </w:p>
        </w:tc>
        <w:tc>
          <w:tcPr>
            <w:tcW w:w="905" w:type="dxa"/>
            <w:vAlign w:val="center"/>
          </w:tcPr>
          <w:p w:rsidR="007B4EE4" w:rsidRDefault="00B833D5">
            <w:pPr>
              <w:jc w:val="center"/>
            </w:pPr>
            <w:r>
              <w:rPr>
                <w:rFonts w:eastAsiaTheme="minorEastAsia"/>
                <w:color w:val="000000"/>
                <w:szCs w:val="21"/>
              </w:rPr>
              <w:t>Tianneng Power International Ltd</w:t>
            </w:r>
          </w:p>
        </w:tc>
        <w:tc>
          <w:tcPr>
            <w:tcW w:w="1015" w:type="dxa"/>
            <w:vAlign w:val="center"/>
          </w:tcPr>
          <w:p w:rsidR="007B4EE4" w:rsidRDefault="00B833D5">
            <w:pPr>
              <w:jc w:val="center"/>
            </w:pPr>
            <w:r>
              <w:rPr>
                <w:rFonts w:eastAsiaTheme="minorEastAsia"/>
                <w:color w:val="000000"/>
                <w:szCs w:val="21"/>
              </w:rPr>
              <w:t>天能动力国际有限公司</w:t>
            </w:r>
          </w:p>
        </w:tc>
        <w:tc>
          <w:tcPr>
            <w:tcW w:w="1184" w:type="dxa"/>
            <w:vAlign w:val="center"/>
          </w:tcPr>
          <w:p w:rsidR="007B4EE4" w:rsidRDefault="00B833D5">
            <w:pPr>
              <w:jc w:val="center"/>
            </w:pPr>
            <w:r>
              <w:rPr>
                <w:rFonts w:eastAsiaTheme="minorEastAsia"/>
                <w:color w:val="000000"/>
                <w:szCs w:val="21"/>
              </w:rPr>
              <w:t>819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28,712</w:t>
            </w:r>
          </w:p>
        </w:tc>
        <w:tc>
          <w:tcPr>
            <w:tcW w:w="1690" w:type="dxa"/>
            <w:vAlign w:val="center"/>
          </w:tcPr>
          <w:p w:rsidR="007B4EE4" w:rsidRDefault="00B833D5">
            <w:pPr>
              <w:jc w:val="right"/>
            </w:pPr>
            <w:r>
              <w:rPr>
                <w:rFonts w:eastAsiaTheme="minorEastAsia"/>
                <w:color w:val="000000"/>
                <w:szCs w:val="21"/>
              </w:rPr>
              <w:t>346,192.30</w:t>
            </w:r>
          </w:p>
        </w:tc>
        <w:tc>
          <w:tcPr>
            <w:tcW w:w="997" w:type="dxa"/>
            <w:vAlign w:val="center"/>
          </w:tcPr>
          <w:p w:rsidR="007B4EE4" w:rsidRDefault="00B833D5">
            <w:pPr>
              <w:jc w:val="right"/>
            </w:pPr>
            <w:r>
              <w:rPr>
                <w:rFonts w:eastAsiaTheme="minorEastAsia"/>
                <w:color w:val="000000"/>
                <w:szCs w:val="21"/>
              </w:rPr>
              <w:t>1.48</w:t>
            </w:r>
          </w:p>
        </w:tc>
      </w:tr>
      <w:tr w:rsidR="007B4EE4">
        <w:trPr>
          <w:jc w:val="center"/>
        </w:trPr>
        <w:tc>
          <w:tcPr>
            <w:tcW w:w="771" w:type="dxa"/>
            <w:vAlign w:val="center"/>
          </w:tcPr>
          <w:p w:rsidR="007B4EE4" w:rsidRDefault="00B833D5">
            <w:pPr>
              <w:jc w:val="center"/>
            </w:pPr>
            <w:r>
              <w:rPr>
                <w:rFonts w:eastAsiaTheme="minorEastAsia"/>
                <w:color w:val="000000"/>
                <w:szCs w:val="21"/>
              </w:rPr>
              <w:t>11</w:t>
            </w:r>
          </w:p>
        </w:tc>
        <w:tc>
          <w:tcPr>
            <w:tcW w:w="905" w:type="dxa"/>
            <w:vAlign w:val="center"/>
          </w:tcPr>
          <w:p w:rsidR="007B4EE4" w:rsidRDefault="00B833D5">
            <w:pPr>
              <w:jc w:val="center"/>
            </w:pPr>
            <w:r>
              <w:rPr>
                <w:rFonts w:eastAsiaTheme="minorEastAsia"/>
                <w:color w:val="000000"/>
                <w:szCs w:val="21"/>
              </w:rPr>
              <w:t>Chinasoft International Ltd.</w:t>
            </w:r>
          </w:p>
        </w:tc>
        <w:tc>
          <w:tcPr>
            <w:tcW w:w="1015" w:type="dxa"/>
            <w:vAlign w:val="center"/>
          </w:tcPr>
          <w:p w:rsidR="007B4EE4" w:rsidRDefault="00B833D5">
            <w:pPr>
              <w:jc w:val="center"/>
            </w:pPr>
            <w:r>
              <w:rPr>
                <w:rFonts w:eastAsiaTheme="minorEastAsia"/>
                <w:color w:val="000000"/>
                <w:szCs w:val="21"/>
              </w:rPr>
              <w:t>中软国际有限公司</w:t>
            </w:r>
          </w:p>
        </w:tc>
        <w:tc>
          <w:tcPr>
            <w:tcW w:w="1184" w:type="dxa"/>
            <w:vAlign w:val="center"/>
          </w:tcPr>
          <w:p w:rsidR="007B4EE4" w:rsidRDefault="00B833D5">
            <w:pPr>
              <w:jc w:val="center"/>
            </w:pPr>
            <w:r>
              <w:rPr>
                <w:rFonts w:eastAsiaTheme="minorEastAsia"/>
                <w:color w:val="000000"/>
                <w:szCs w:val="21"/>
              </w:rPr>
              <w:t>354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81,466</w:t>
            </w:r>
          </w:p>
        </w:tc>
        <w:tc>
          <w:tcPr>
            <w:tcW w:w="1690" w:type="dxa"/>
            <w:vAlign w:val="center"/>
          </w:tcPr>
          <w:p w:rsidR="007B4EE4" w:rsidRDefault="00B833D5">
            <w:pPr>
              <w:jc w:val="right"/>
            </w:pPr>
            <w:r>
              <w:rPr>
                <w:rFonts w:eastAsiaTheme="minorEastAsia"/>
                <w:color w:val="000000"/>
                <w:szCs w:val="21"/>
              </w:rPr>
              <w:t>315,516.64</w:t>
            </w:r>
          </w:p>
        </w:tc>
        <w:tc>
          <w:tcPr>
            <w:tcW w:w="997" w:type="dxa"/>
            <w:vAlign w:val="center"/>
          </w:tcPr>
          <w:p w:rsidR="007B4EE4" w:rsidRDefault="00B833D5">
            <w:pPr>
              <w:jc w:val="right"/>
            </w:pPr>
            <w:r>
              <w:rPr>
                <w:rFonts w:eastAsiaTheme="minorEastAsia"/>
                <w:color w:val="000000"/>
                <w:szCs w:val="21"/>
              </w:rPr>
              <w:t>1.34</w:t>
            </w:r>
          </w:p>
        </w:tc>
      </w:tr>
      <w:tr w:rsidR="007B4EE4">
        <w:trPr>
          <w:jc w:val="center"/>
        </w:trPr>
        <w:tc>
          <w:tcPr>
            <w:tcW w:w="771" w:type="dxa"/>
            <w:vAlign w:val="center"/>
          </w:tcPr>
          <w:p w:rsidR="007B4EE4" w:rsidRDefault="00B833D5">
            <w:pPr>
              <w:jc w:val="center"/>
            </w:pPr>
            <w:r>
              <w:rPr>
                <w:rFonts w:eastAsiaTheme="minorEastAsia"/>
                <w:color w:val="000000"/>
                <w:szCs w:val="21"/>
              </w:rPr>
              <w:lastRenderedPageBreak/>
              <w:t>12</w:t>
            </w:r>
          </w:p>
        </w:tc>
        <w:tc>
          <w:tcPr>
            <w:tcW w:w="905" w:type="dxa"/>
            <w:vAlign w:val="center"/>
          </w:tcPr>
          <w:p w:rsidR="007B4EE4" w:rsidRDefault="00B833D5">
            <w:pPr>
              <w:jc w:val="center"/>
            </w:pPr>
            <w:r>
              <w:rPr>
                <w:rFonts w:eastAsiaTheme="minorEastAsia"/>
                <w:color w:val="000000"/>
                <w:szCs w:val="21"/>
              </w:rPr>
              <w:t>Zhaojin Mining Industry Company Limited</w:t>
            </w:r>
          </w:p>
        </w:tc>
        <w:tc>
          <w:tcPr>
            <w:tcW w:w="1015" w:type="dxa"/>
            <w:vAlign w:val="center"/>
          </w:tcPr>
          <w:p w:rsidR="007B4EE4" w:rsidRDefault="00B833D5">
            <w:pPr>
              <w:jc w:val="center"/>
            </w:pPr>
            <w:r>
              <w:rPr>
                <w:rFonts w:eastAsiaTheme="minorEastAsia"/>
                <w:color w:val="000000"/>
                <w:szCs w:val="21"/>
              </w:rPr>
              <w:t>招金矿业股份有限公司</w:t>
            </w:r>
          </w:p>
        </w:tc>
        <w:tc>
          <w:tcPr>
            <w:tcW w:w="1184" w:type="dxa"/>
            <w:vAlign w:val="center"/>
          </w:tcPr>
          <w:p w:rsidR="007B4EE4" w:rsidRDefault="00B833D5">
            <w:pPr>
              <w:jc w:val="center"/>
            </w:pPr>
            <w:r>
              <w:rPr>
                <w:rFonts w:eastAsiaTheme="minorEastAsia"/>
                <w:color w:val="000000"/>
                <w:szCs w:val="21"/>
              </w:rPr>
              <w:t>1818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38,134</w:t>
            </w:r>
          </w:p>
        </w:tc>
        <w:tc>
          <w:tcPr>
            <w:tcW w:w="1690" w:type="dxa"/>
            <w:vAlign w:val="center"/>
          </w:tcPr>
          <w:p w:rsidR="007B4EE4" w:rsidRDefault="00B833D5">
            <w:pPr>
              <w:jc w:val="right"/>
            </w:pPr>
            <w:r>
              <w:rPr>
                <w:rFonts w:eastAsiaTheme="minorEastAsia"/>
                <w:color w:val="000000"/>
                <w:szCs w:val="21"/>
              </w:rPr>
              <w:t>315,239.74</w:t>
            </w:r>
          </w:p>
        </w:tc>
        <w:tc>
          <w:tcPr>
            <w:tcW w:w="997" w:type="dxa"/>
            <w:vAlign w:val="center"/>
          </w:tcPr>
          <w:p w:rsidR="007B4EE4" w:rsidRDefault="00B833D5">
            <w:pPr>
              <w:jc w:val="right"/>
            </w:pPr>
            <w:r>
              <w:rPr>
                <w:rFonts w:eastAsiaTheme="minorEastAsia"/>
                <w:color w:val="000000"/>
                <w:szCs w:val="21"/>
              </w:rPr>
              <w:t>1.34</w:t>
            </w:r>
          </w:p>
        </w:tc>
      </w:tr>
      <w:tr w:rsidR="007B4EE4">
        <w:trPr>
          <w:jc w:val="center"/>
        </w:trPr>
        <w:tc>
          <w:tcPr>
            <w:tcW w:w="771" w:type="dxa"/>
            <w:vAlign w:val="center"/>
          </w:tcPr>
          <w:p w:rsidR="007B4EE4" w:rsidRDefault="00B833D5">
            <w:pPr>
              <w:jc w:val="center"/>
            </w:pPr>
            <w:r>
              <w:rPr>
                <w:rFonts w:eastAsiaTheme="minorEastAsia"/>
                <w:color w:val="000000"/>
                <w:szCs w:val="21"/>
              </w:rPr>
              <w:t>13</w:t>
            </w:r>
          </w:p>
        </w:tc>
        <w:tc>
          <w:tcPr>
            <w:tcW w:w="905" w:type="dxa"/>
            <w:vAlign w:val="center"/>
          </w:tcPr>
          <w:p w:rsidR="007B4EE4" w:rsidRDefault="00B833D5">
            <w:pPr>
              <w:jc w:val="center"/>
            </w:pPr>
            <w:r>
              <w:rPr>
                <w:rFonts w:eastAsiaTheme="minorEastAsia"/>
                <w:color w:val="000000"/>
                <w:szCs w:val="21"/>
              </w:rPr>
              <w:t>China Yuhua Education Corporation Limited</w:t>
            </w:r>
          </w:p>
        </w:tc>
        <w:tc>
          <w:tcPr>
            <w:tcW w:w="1015" w:type="dxa"/>
            <w:vAlign w:val="center"/>
          </w:tcPr>
          <w:p w:rsidR="007B4EE4" w:rsidRDefault="00B833D5">
            <w:pPr>
              <w:jc w:val="center"/>
            </w:pPr>
            <w:r>
              <w:rPr>
                <w:rFonts w:eastAsiaTheme="minorEastAsia"/>
                <w:color w:val="000000"/>
                <w:szCs w:val="21"/>
              </w:rPr>
              <w:t>中国宇华教育集团有限公司</w:t>
            </w:r>
          </w:p>
        </w:tc>
        <w:tc>
          <w:tcPr>
            <w:tcW w:w="1184" w:type="dxa"/>
            <w:vAlign w:val="center"/>
          </w:tcPr>
          <w:p w:rsidR="007B4EE4" w:rsidRDefault="00B833D5">
            <w:pPr>
              <w:jc w:val="center"/>
            </w:pPr>
            <w:r>
              <w:rPr>
                <w:rFonts w:eastAsiaTheme="minorEastAsia"/>
                <w:color w:val="000000"/>
                <w:szCs w:val="21"/>
              </w:rPr>
              <w:t>6169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52,000</w:t>
            </w:r>
          </w:p>
        </w:tc>
        <w:tc>
          <w:tcPr>
            <w:tcW w:w="1690" w:type="dxa"/>
            <w:vAlign w:val="center"/>
          </w:tcPr>
          <w:p w:rsidR="007B4EE4" w:rsidRDefault="00B833D5">
            <w:pPr>
              <w:jc w:val="right"/>
            </w:pPr>
            <w:r>
              <w:rPr>
                <w:rFonts w:eastAsiaTheme="minorEastAsia"/>
                <w:color w:val="000000"/>
                <w:szCs w:val="21"/>
              </w:rPr>
              <w:t>302,092.88</w:t>
            </w:r>
          </w:p>
        </w:tc>
        <w:tc>
          <w:tcPr>
            <w:tcW w:w="997" w:type="dxa"/>
            <w:vAlign w:val="center"/>
          </w:tcPr>
          <w:p w:rsidR="007B4EE4" w:rsidRDefault="00B833D5">
            <w:pPr>
              <w:jc w:val="right"/>
            </w:pPr>
            <w:r>
              <w:rPr>
                <w:rFonts w:eastAsiaTheme="minorEastAsia"/>
                <w:color w:val="000000"/>
                <w:szCs w:val="21"/>
              </w:rPr>
              <w:t>1.29</w:t>
            </w:r>
          </w:p>
        </w:tc>
      </w:tr>
      <w:tr w:rsidR="007B4EE4">
        <w:trPr>
          <w:jc w:val="center"/>
        </w:trPr>
        <w:tc>
          <w:tcPr>
            <w:tcW w:w="771" w:type="dxa"/>
            <w:vAlign w:val="center"/>
          </w:tcPr>
          <w:p w:rsidR="007B4EE4" w:rsidRDefault="00B833D5">
            <w:pPr>
              <w:jc w:val="center"/>
            </w:pPr>
            <w:r>
              <w:rPr>
                <w:rFonts w:eastAsiaTheme="minorEastAsia"/>
                <w:color w:val="000000"/>
                <w:szCs w:val="21"/>
              </w:rPr>
              <w:t>14</w:t>
            </w:r>
          </w:p>
        </w:tc>
        <w:tc>
          <w:tcPr>
            <w:tcW w:w="905" w:type="dxa"/>
            <w:vAlign w:val="center"/>
          </w:tcPr>
          <w:p w:rsidR="007B4EE4" w:rsidRDefault="00B833D5">
            <w:pPr>
              <w:jc w:val="center"/>
            </w:pPr>
            <w:r>
              <w:rPr>
                <w:rFonts w:eastAsiaTheme="minorEastAsia"/>
                <w:color w:val="000000"/>
                <w:szCs w:val="21"/>
              </w:rPr>
              <w:t>China Grand Pharmaceutical and Healthcare Holding Limited</w:t>
            </w:r>
          </w:p>
        </w:tc>
        <w:tc>
          <w:tcPr>
            <w:tcW w:w="1015" w:type="dxa"/>
            <w:vAlign w:val="center"/>
          </w:tcPr>
          <w:p w:rsidR="007B4EE4" w:rsidRDefault="00B833D5">
            <w:pPr>
              <w:jc w:val="center"/>
            </w:pPr>
            <w:r>
              <w:rPr>
                <w:rFonts w:eastAsiaTheme="minorEastAsia"/>
                <w:color w:val="000000"/>
                <w:szCs w:val="21"/>
              </w:rPr>
              <w:t>远大医药健康控股有限公司</w:t>
            </w:r>
          </w:p>
        </w:tc>
        <w:tc>
          <w:tcPr>
            <w:tcW w:w="1184" w:type="dxa"/>
            <w:vAlign w:val="center"/>
          </w:tcPr>
          <w:p w:rsidR="007B4EE4" w:rsidRDefault="00B833D5">
            <w:pPr>
              <w:jc w:val="center"/>
            </w:pPr>
            <w:r>
              <w:rPr>
                <w:rFonts w:eastAsiaTheme="minorEastAsia"/>
                <w:color w:val="000000"/>
                <w:szCs w:val="21"/>
              </w:rPr>
              <w:t>512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60,000</w:t>
            </w:r>
          </w:p>
        </w:tc>
        <w:tc>
          <w:tcPr>
            <w:tcW w:w="1690" w:type="dxa"/>
            <w:vAlign w:val="center"/>
          </w:tcPr>
          <w:p w:rsidR="007B4EE4" w:rsidRDefault="00B833D5">
            <w:pPr>
              <w:jc w:val="right"/>
            </w:pPr>
            <w:r>
              <w:rPr>
                <w:rFonts w:eastAsiaTheme="minorEastAsia"/>
                <w:color w:val="000000"/>
                <w:szCs w:val="21"/>
              </w:rPr>
              <w:t>298,146.82</w:t>
            </w:r>
          </w:p>
        </w:tc>
        <w:tc>
          <w:tcPr>
            <w:tcW w:w="997" w:type="dxa"/>
            <w:vAlign w:val="center"/>
          </w:tcPr>
          <w:p w:rsidR="007B4EE4" w:rsidRDefault="00B833D5">
            <w:pPr>
              <w:jc w:val="right"/>
            </w:pPr>
            <w:r>
              <w:rPr>
                <w:rFonts w:eastAsiaTheme="minorEastAsia"/>
                <w:color w:val="000000"/>
                <w:szCs w:val="21"/>
              </w:rPr>
              <w:t>1.27</w:t>
            </w:r>
          </w:p>
        </w:tc>
      </w:tr>
      <w:tr w:rsidR="007B4EE4">
        <w:trPr>
          <w:jc w:val="center"/>
        </w:trPr>
        <w:tc>
          <w:tcPr>
            <w:tcW w:w="771" w:type="dxa"/>
            <w:vAlign w:val="center"/>
          </w:tcPr>
          <w:p w:rsidR="007B4EE4" w:rsidRDefault="00B833D5">
            <w:pPr>
              <w:jc w:val="center"/>
            </w:pPr>
            <w:r>
              <w:rPr>
                <w:rFonts w:eastAsiaTheme="minorEastAsia"/>
                <w:color w:val="000000"/>
                <w:szCs w:val="21"/>
              </w:rPr>
              <w:t>15</w:t>
            </w:r>
          </w:p>
        </w:tc>
        <w:tc>
          <w:tcPr>
            <w:tcW w:w="905" w:type="dxa"/>
            <w:vAlign w:val="center"/>
          </w:tcPr>
          <w:p w:rsidR="007B4EE4" w:rsidRDefault="00B833D5">
            <w:pPr>
              <w:jc w:val="center"/>
            </w:pPr>
            <w:r>
              <w:rPr>
                <w:rFonts w:eastAsiaTheme="minorEastAsia"/>
                <w:color w:val="000000"/>
                <w:szCs w:val="21"/>
              </w:rPr>
              <w:t>Shandong Gold Mining Co.,Ltd.</w:t>
            </w:r>
          </w:p>
        </w:tc>
        <w:tc>
          <w:tcPr>
            <w:tcW w:w="1015" w:type="dxa"/>
            <w:vAlign w:val="center"/>
          </w:tcPr>
          <w:p w:rsidR="007B4EE4" w:rsidRDefault="00B833D5">
            <w:pPr>
              <w:jc w:val="center"/>
            </w:pPr>
            <w:r>
              <w:rPr>
                <w:rFonts w:eastAsiaTheme="minorEastAsia"/>
                <w:color w:val="000000"/>
                <w:szCs w:val="21"/>
              </w:rPr>
              <w:t>山东黄金矿业股份有限公司</w:t>
            </w:r>
          </w:p>
        </w:tc>
        <w:tc>
          <w:tcPr>
            <w:tcW w:w="1184" w:type="dxa"/>
            <w:vAlign w:val="center"/>
          </w:tcPr>
          <w:p w:rsidR="007B4EE4" w:rsidRDefault="00B833D5">
            <w:pPr>
              <w:jc w:val="center"/>
            </w:pPr>
            <w:r>
              <w:rPr>
                <w:rFonts w:eastAsiaTheme="minorEastAsia"/>
                <w:color w:val="000000"/>
                <w:szCs w:val="21"/>
              </w:rPr>
              <w:t>1787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18,817</w:t>
            </w:r>
          </w:p>
        </w:tc>
        <w:tc>
          <w:tcPr>
            <w:tcW w:w="1690" w:type="dxa"/>
            <w:vAlign w:val="center"/>
          </w:tcPr>
          <w:p w:rsidR="007B4EE4" w:rsidRDefault="00B833D5">
            <w:pPr>
              <w:jc w:val="right"/>
            </w:pPr>
            <w:r>
              <w:rPr>
                <w:rFonts w:eastAsiaTheme="minorEastAsia"/>
                <w:color w:val="000000"/>
                <w:szCs w:val="21"/>
              </w:rPr>
              <w:t>282,917.78</w:t>
            </w:r>
          </w:p>
        </w:tc>
        <w:tc>
          <w:tcPr>
            <w:tcW w:w="997" w:type="dxa"/>
            <w:vAlign w:val="center"/>
          </w:tcPr>
          <w:p w:rsidR="007B4EE4" w:rsidRDefault="00B833D5">
            <w:pPr>
              <w:jc w:val="right"/>
            </w:pPr>
            <w:r>
              <w:rPr>
                <w:rFonts w:eastAsiaTheme="minorEastAsia"/>
                <w:color w:val="000000"/>
                <w:szCs w:val="21"/>
              </w:rPr>
              <w:t>1.21</w:t>
            </w:r>
          </w:p>
        </w:tc>
      </w:tr>
      <w:tr w:rsidR="007B4EE4">
        <w:trPr>
          <w:jc w:val="center"/>
        </w:trPr>
        <w:tc>
          <w:tcPr>
            <w:tcW w:w="771" w:type="dxa"/>
            <w:vAlign w:val="center"/>
          </w:tcPr>
          <w:p w:rsidR="007B4EE4" w:rsidRDefault="00B833D5">
            <w:pPr>
              <w:jc w:val="center"/>
            </w:pPr>
            <w:r>
              <w:rPr>
                <w:rFonts w:eastAsiaTheme="minorEastAsia"/>
                <w:color w:val="000000"/>
                <w:szCs w:val="21"/>
              </w:rPr>
              <w:t>16</w:t>
            </w:r>
          </w:p>
        </w:tc>
        <w:tc>
          <w:tcPr>
            <w:tcW w:w="905" w:type="dxa"/>
            <w:vAlign w:val="center"/>
          </w:tcPr>
          <w:p w:rsidR="007B4EE4" w:rsidRDefault="00B833D5">
            <w:pPr>
              <w:jc w:val="center"/>
            </w:pPr>
            <w:r>
              <w:rPr>
                <w:rFonts w:eastAsiaTheme="minorEastAsia"/>
                <w:color w:val="000000"/>
                <w:szCs w:val="21"/>
              </w:rPr>
              <w:t>Zoomlion Heavy Industry Science and Technology Co., Ltd.</w:t>
            </w:r>
          </w:p>
        </w:tc>
        <w:tc>
          <w:tcPr>
            <w:tcW w:w="1015" w:type="dxa"/>
            <w:vAlign w:val="center"/>
          </w:tcPr>
          <w:p w:rsidR="007B4EE4" w:rsidRDefault="00B833D5">
            <w:pPr>
              <w:jc w:val="center"/>
            </w:pPr>
            <w:r>
              <w:rPr>
                <w:rFonts w:eastAsiaTheme="minorEastAsia"/>
                <w:color w:val="000000"/>
                <w:szCs w:val="21"/>
              </w:rPr>
              <w:t>中联重科股份有限公司</w:t>
            </w:r>
          </w:p>
        </w:tc>
        <w:tc>
          <w:tcPr>
            <w:tcW w:w="1184" w:type="dxa"/>
            <w:vAlign w:val="center"/>
          </w:tcPr>
          <w:p w:rsidR="007B4EE4" w:rsidRDefault="00B833D5">
            <w:pPr>
              <w:jc w:val="center"/>
            </w:pPr>
            <w:r>
              <w:rPr>
                <w:rFonts w:eastAsiaTheme="minorEastAsia"/>
                <w:color w:val="000000"/>
                <w:szCs w:val="21"/>
              </w:rPr>
              <w:t>1157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49,600</w:t>
            </w:r>
          </w:p>
        </w:tc>
        <w:tc>
          <w:tcPr>
            <w:tcW w:w="1690" w:type="dxa"/>
            <w:vAlign w:val="center"/>
          </w:tcPr>
          <w:p w:rsidR="007B4EE4" w:rsidRDefault="00B833D5">
            <w:pPr>
              <w:jc w:val="right"/>
            </w:pPr>
            <w:r>
              <w:rPr>
                <w:rFonts w:eastAsiaTheme="minorEastAsia"/>
                <w:color w:val="000000"/>
                <w:szCs w:val="21"/>
              </w:rPr>
              <w:t>270,480.55</w:t>
            </w:r>
          </w:p>
        </w:tc>
        <w:tc>
          <w:tcPr>
            <w:tcW w:w="997" w:type="dxa"/>
            <w:vAlign w:val="center"/>
          </w:tcPr>
          <w:p w:rsidR="007B4EE4" w:rsidRDefault="00B833D5">
            <w:pPr>
              <w:jc w:val="right"/>
            </w:pPr>
            <w:r>
              <w:rPr>
                <w:rFonts w:eastAsiaTheme="minorEastAsia"/>
                <w:color w:val="000000"/>
                <w:szCs w:val="21"/>
              </w:rPr>
              <w:t>1.15</w:t>
            </w:r>
          </w:p>
        </w:tc>
      </w:tr>
      <w:tr w:rsidR="007B4EE4">
        <w:trPr>
          <w:jc w:val="center"/>
        </w:trPr>
        <w:tc>
          <w:tcPr>
            <w:tcW w:w="771" w:type="dxa"/>
            <w:vAlign w:val="center"/>
          </w:tcPr>
          <w:p w:rsidR="007B4EE4" w:rsidRDefault="00B833D5">
            <w:pPr>
              <w:jc w:val="center"/>
            </w:pPr>
            <w:r>
              <w:rPr>
                <w:rFonts w:eastAsiaTheme="minorEastAsia"/>
                <w:color w:val="000000"/>
                <w:szCs w:val="21"/>
              </w:rPr>
              <w:t>17</w:t>
            </w:r>
          </w:p>
        </w:tc>
        <w:tc>
          <w:tcPr>
            <w:tcW w:w="905" w:type="dxa"/>
            <w:vAlign w:val="center"/>
          </w:tcPr>
          <w:p w:rsidR="007B4EE4" w:rsidRDefault="00B833D5">
            <w:pPr>
              <w:jc w:val="center"/>
            </w:pPr>
            <w:r>
              <w:rPr>
                <w:rFonts w:eastAsiaTheme="minorEastAsia"/>
                <w:color w:val="000000"/>
                <w:szCs w:val="21"/>
              </w:rPr>
              <w:t>Fu Shou Yuan International Group Limited</w:t>
            </w:r>
          </w:p>
        </w:tc>
        <w:tc>
          <w:tcPr>
            <w:tcW w:w="1015" w:type="dxa"/>
            <w:vAlign w:val="center"/>
          </w:tcPr>
          <w:p w:rsidR="007B4EE4" w:rsidRDefault="00B833D5">
            <w:pPr>
              <w:jc w:val="center"/>
            </w:pPr>
            <w:r>
              <w:rPr>
                <w:rFonts w:eastAsiaTheme="minorEastAsia"/>
                <w:color w:val="000000"/>
                <w:szCs w:val="21"/>
              </w:rPr>
              <w:t>福寿园国际集团有限公司</w:t>
            </w:r>
          </w:p>
        </w:tc>
        <w:tc>
          <w:tcPr>
            <w:tcW w:w="1184" w:type="dxa"/>
            <w:vAlign w:val="center"/>
          </w:tcPr>
          <w:p w:rsidR="007B4EE4" w:rsidRDefault="00B833D5">
            <w:pPr>
              <w:jc w:val="center"/>
            </w:pPr>
            <w:r>
              <w:rPr>
                <w:rFonts w:eastAsiaTheme="minorEastAsia"/>
                <w:color w:val="000000"/>
                <w:szCs w:val="21"/>
              </w:rPr>
              <w:t>1448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41,480</w:t>
            </w:r>
          </w:p>
        </w:tc>
        <w:tc>
          <w:tcPr>
            <w:tcW w:w="1690" w:type="dxa"/>
            <w:vAlign w:val="center"/>
          </w:tcPr>
          <w:p w:rsidR="007B4EE4" w:rsidRDefault="00B833D5">
            <w:pPr>
              <w:jc w:val="right"/>
            </w:pPr>
            <w:r>
              <w:rPr>
                <w:rFonts w:eastAsiaTheme="minorEastAsia"/>
                <w:color w:val="000000"/>
                <w:szCs w:val="21"/>
              </w:rPr>
              <w:t>268,636.49</w:t>
            </w:r>
          </w:p>
        </w:tc>
        <w:tc>
          <w:tcPr>
            <w:tcW w:w="997" w:type="dxa"/>
            <w:vAlign w:val="center"/>
          </w:tcPr>
          <w:p w:rsidR="007B4EE4" w:rsidRDefault="00B833D5">
            <w:pPr>
              <w:jc w:val="right"/>
            </w:pPr>
            <w:r>
              <w:rPr>
                <w:rFonts w:eastAsiaTheme="minorEastAsia"/>
                <w:color w:val="000000"/>
                <w:szCs w:val="21"/>
              </w:rPr>
              <w:t>1.15</w:t>
            </w:r>
          </w:p>
        </w:tc>
      </w:tr>
      <w:tr w:rsidR="007B4EE4">
        <w:trPr>
          <w:jc w:val="center"/>
        </w:trPr>
        <w:tc>
          <w:tcPr>
            <w:tcW w:w="771" w:type="dxa"/>
            <w:vAlign w:val="center"/>
          </w:tcPr>
          <w:p w:rsidR="007B4EE4" w:rsidRDefault="00B833D5">
            <w:pPr>
              <w:jc w:val="center"/>
            </w:pPr>
            <w:r>
              <w:rPr>
                <w:rFonts w:eastAsiaTheme="minorEastAsia"/>
                <w:color w:val="000000"/>
                <w:szCs w:val="21"/>
              </w:rPr>
              <w:t>18</w:t>
            </w:r>
          </w:p>
        </w:tc>
        <w:tc>
          <w:tcPr>
            <w:tcW w:w="905" w:type="dxa"/>
            <w:vAlign w:val="center"/>
          </w:tcPr>
          <w:p w:rsidR="007B4EE4" w:rsidRDefault="00B833D5">
            <w:pPr>
              <w:jc w:val="center"/>
            </w:pPr>
            <w:r>
              <w:rPr>
                <w:rFonts w:eastAsiaTheme="minorEastAsia"/>
                <w:color w:val="000000"/>
                <w:szCs w:val="21"/>
              </w:rPr>
              <w:t>Gemdale Properties and Investment Corporation Limited</w:t>
            </w:r>
          </w:p>
        </w:tc>
        <w:tc>
          <w:tcPr>
            <w:tcW w:w="1015" w:type="dxa"/>
            <w:vAlign w:val="center"/>
          </w:tcPr>
          <w:p w:rsidR="007B4EE4" w:rsidRDefault="00B833D5">
            <w:pPr>
              <w:jc w:val="center"/>
            </w:pPr>
            <w:r>
              <w:rPr>
                <w:rFonts w:eastAsiaTheme="minorEastAsia"/>
                <w:color w:val="000000"/>
                <w:szCs w:val="21"/>
              </w:rPr>
              <w:t>金地商置集团有限公司</w:t>
            </w:r>
          </w:p>
        </w:tc>
        <w:tc>
          <w:tcPr>
            <w:tcW w:w="1184" w:type="dxa"/>
            <w:vAlign w:val="center"/>
          </w:tcPr>
          <w:p w:rsidR="007B4EE4" w:rsidRDefault="00B833D5">
            <w:pPr>
              <w:jc w:val="center"/>
            </w:pPr>
            <w:r>
              <w:rPr>
                <w:rFonts w:eastAsiaTheme="minorEastAsia"/>
                <w:color w:val="000000"/>
                <w:szCs w:val="21"/>
              </w:rPr>
              <w:t>535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202,000</w:t>
            </w:r>
          </w:p>
        </w:tc>
        <w:tc>
          <w:tcPr>
            <w:tcW w:w="1690" w:type="dxa"/>
            <w:vAlign w:val="center"/>
          </w:tcPr>
          <w:p w:rsidR="007B4EE4" w:rsidRDefault="00B833D5">
            <w:pPr>
              <w:jc w:val="right"/>
            </w:pPr>
            <w:r>
              <w:rPr>
                <w:rFonts w:eastAsiaTheme="minorEastAsia"/>
                <w:color w:val="000000"/>
                <w:szCs w:val="21"/>
              </w:rPr>
              <w:t>263,856.28</w:t>
            </w:r>
          </w:p>
        </w:tc>
        <w:tc>
          <w:tcPr>
            <w:tcW w:w="997" w:type="dxa"/>
            <w:vAlign w:val="center"/>
          </w:tcPr>
          <w:p w:rsidR="007B4EE4" w:rsidRDefault="00B833D5">
            <w:pPr>
              <w:jc w:val="right"/>
            </w:pPr>
            <w:r>
              <w:rPr>
                <w:rFonts w:eastAsiaTheme="minorEastAsia"/>
                <w:color w:val="000000"/>
                <w:szCs w:val="21"/>
              </w:rPr>
              <w:t>1.12</w:t>
            </w:r>
          </w:p>
        </w:tc>
      </w:tr>
      <w:tr w:rsidR="007B4EE4">
        <w:trPr>
          <w:jc w:val="center"/>
        </w:trPr>
        <w:tc>
          <w:tcPr>
            <w:tcW w:w="771" w:type="dxa"/>
            <w:vAlign w:val="center"/>
          </w:tcPr>
          <w:p w:rsidR="007B4EE4" w:rsidRDefault="00B833D5">
            <w:pPr>
              <w:jc w:val="center"/>
            </w:pPr>
            <w:r>
              <w:rPr>
                <w:rFonts w:eastAsiaTheme="minorEastAsia"/>
                <w:color w:val="000000"/>
                <w:szCs w:val="21"/>
              </w:rPr>
              <w:t>19</w:t>
            </w:r>
          </w:p>
        </w:tc>
        <w:tc>
          <w:tcPr>
            <w:tcW w:w="905" w:type="dxa"/>
            <w:vAlign w:val="center"/>
          </w:tcPr>
          <w:p w:rsidR="007B4EE4" w:rsidRDefault="00B833D5">
            <w:pPr>
              <w:jc w:val="center"/>
            </w:pPr>
            <w:r>
              <w:rPr>
                <w:rFonts w:eastAsiaTheme="minorEastAsia"/>
                <w:color w:val="000000"/>
                <w:szCs w:val="21"/>
              </w:rPr>
              <w:t xml:space="preserve">China Overseas </w:t>
            </w:r>
            <w:r>
              <w:rPr>
                <w:rFonts w:eastAsiaTheme="minorEastAsia"/>
                <w:color w:val="000000"/>
                <w:szCs w:val="21"/>
              </w:rPr>
              <w:lastRenderedPageBreak/>
              <w:t>Grand Oceans Group Limited</w:t>
            </w:r>
          </w:p>
        </w:tc>
        <w:tc>
          <w:tcPr>
            <w:tcW w:w="1015" w:type="dxa"/>
            <w:vAlign w:val="center"/>
          </w:tcPr>
          <w:p w:rsidR="007B4EE4" w:rsidRDefault="00B833D5">
            <w:pPr>
              <w:jc w:val="center"/>
            </w:pPr>
            <w:r>
              <w:rPr>
                <w:rFonts w:eastAsiaTheme="minorEastAsia"/>
                <w:color w:val="000000"/>
                <w:szCs w:val="21"/>
              </w:rPr>
              <w:lastRenderedPageBreak/>
              <w:t>中国海外宏洋集团</w:t>
            </w:r>
            <w:r>
              <w:rPr>
                <w:rFonts w:eastAsiaTheme="minorEastAsia"/>
                <w:color w:val="000000"/>
                <w:szCs w:val="21"/>
              </w:rPr>
              <w:lastRenderedPageBreak/>
              <w:t>有限公司</w:t>
            </w:r>
          </w:p>
        </w:tc>
        <w:tc>
          <w:tcPr>
            <w:tcW w:w="1184" w:type="dxa"/>
            <w:vAlign w:val="center"/>
          </w:tcPr>
          <w:p w:rsidR="007B4EE4" w:rsidRDefault="00B833D5">
            <w:pPr>
              <w:jc w:val="center"/>
            </w:pPr>
            <w:r>
              <w:rPr>
                <w:rFonts w:eastAsiaTheme="minorEastAsia"/>
                <w:color w:val="000000"/>
                <w:szCs w:val="21"/>
              </w:rPr>
              <w:lastRenderedPageBreak/>
              <w:t>81 HK</w:t>
            </w:r>
          </w:p>
        </w:tc>
        <w:tc>
          <w:tcPr>
            <w:tcW w:w="847" w:type="dxa"/>
            <w:vAlign w:val="center"/>
          </w:tcPr>
          <w:p w:rsidR="007B4EE4" w:rsidRDefault="00B833D5">
            <w:pPr>
              <w:jc w:val="center"/>
            </w:pPr>
            <w:r>
              <w:rPr>
                <w:rFonts w:eastAsiaTheme="minorEastAsia"/>
                <w:color w:val="000000"/>
                <w:szCs w:val="21"/>
              </w:rPr>
              <w:t>香港证券交易</w:t>
            </w:r>
            <w:r>
              <w:rPr>
                <w:rFonts w:eastAsiaTheme="minorEastAsia"/>
                <w:color w:val="000000"/>
                <w:szCs w:val="21"/>
              </w:rPr>
              <w:lastRenderedPageBreak/>
              <w:t>所</w:t>
            </w:r>
          </w:p>
        </w:tc>
        <w:tc>
          <w:tcPr>
            <w:tcW w:w="1025" w:type="dxa"/>
            <w:vAlign w:val="center"/>
          </w:tcPr>
          <w:p w:rsidR="007B4EE4" w:rsidRDefault="00B833D5">
            <w:pPr>
              <w:jc w:val="center"/>
            </w:pPr>
            <w:r>
              <w:rPr>
                <w:rFonts w:eastAsiaTheme="minorEastAsia"/>
                <w:color w:val="000000"/>
                <w:szCs w:val="21"/>
              </w:rPr>
              <w:lastRenderedPageBreak/>
              <w:t>中国香港</w:t>
            </w:r>
          </w:p>
        </w:tc>
        <w:tc>
          <w:tcPr>
            <w:tcW w:w="1015" w:type="dxa"/>
            <w:vAlign w:val="center"/>
          </w:tcPr>
          <w:p w:rsidR="007B4EE4" w:rsidRDefault="00B833D5">
            <w:pPr>
              <w:jc w:val="right"/>
            </w:pPr>
            <w:r>
              <w:rPr>
                <w:rFonts w:eastAsiaTheme="minorEastAsia"/>
                <w:color w:val="000000"/>
                <w:szCs w:val="21"/>
              </w:rPr>
              <w:t>62,000</w:t>
            </w:r>
          </w:p>
        </w:tc>
        <w:tc>
          <w:tcPr>
            <w:tcW w:w="1690" w:type="dxa"/>
            <w:vAlign w:val="center"/>
          </w:tcPr>
          <w:p w:rsidR="007B4EE4" w:rsidRDefault="00B833D5">
            <w:pPr>
              <w:jc w:val="right"/>
            </w:pPr>
            <w:r>
              <w:rPr>
                <w:rFonts w:eastAsiaTheme="minorEastAsia"/>
                <w:color w:val="000000"/>
                <w:szCs w:val="21"/>
              </w:rPr>
              <w:t>247,487.43</w:t>
            </w:r>
          </w:p>
        </w:tc>
        <w:tc>
          <w:tcPr>
            <w:tcW w:w="997" w:type="dxa"/>
            <w:vAlign w:val="center"/>
          </w:tcPr>
          <w:p w:rsidR="007B4EE4" w:rsidRDefault="00B833D5">
            <w:pPr>
              <w:jc w:val="right"/>
            </w:pPr>
            <w:r>
              <w:rPr>
                <w:rFonts w:eastAsiaTheme="minorEastAsia"/>
                <w:color w:val="000000"/>
                <w:szCs w:val="21"/>
              </w:rPr>
              <w:t>1.05</w:t>
            </w:r>
          </w:p>
        </w:tc>
      </w:tr>
      <w:tr w:rsidR="007B4EE4">
        <w:trPr>
          <w:jc w:val="center"/>
        </w:trPr>
        <w:tc>
          <w:tcPr>
            <w:tcW w:w="771" w:type="dxa"/>
            <w:vAlign w:val="center"/>
          </w:tcPr>
          <w:p w:rsidR="007B4EE4" w:rsidRDefault="00B833D5">
            <w:pPr>
              <w:jc w:val="center"/>
            </w:pPr>
            <w:r>
              <w:rPr>
                <w:rFonts w:eastAsiaTheme="minorEastAsia"/>
                <w:color w:val="000000"/>
                <w:szCs w:val="21"/>
              </w:rPr>
              <w:t>20</w:t>
            </w:r>
          </w:p>
        </w:tc>
        <w:tc>
          <w:tcPr>
            <w:tcW w:w="905" w:type="dxa"/>
            <w:vAlign w:val="center"/>
          </w:tcPr>
          <w:p w:rsidR="007B4EE4" w:rsidRDefault="00B833D5">
            <w:pPr>
              <w:jc w:val="center"/>
            </w:pPr>
            <w:r>
              <w:rPr>
                <w:rFonts w:eastAsiaTheme="minorEastAsia"/>
                <w:color w:val="000000"/>
                <w:szCs w:val="21"/>
              </w:rPr>
              <w:t>CSC Financial Co Ltd</w:t>
            </w:r>
          </w:p>
        </w:tc>
        <w:tc>
          <w:tcPr>
            <w:tcW w:w="1015" w:type="dxa"/>
            <w:vAlign w:val="center"/>
          </w:tcPr>
          <w:p w:rsidR="007B4EE4" w:rsidRDefault="00B833D5">
            <w:pPr>
              <w:jc w:val="center"/>
            </w:pPr>
            <w:r>
              <w:rPr>
                <w:rFonts w:eastAsiaTheme="minorEastAsia"/>
                <w:color w:val="000000"/>
                <w:szCs w:val="21"/>
              </w:rPr>
              <w:t>中信建投证券股份有限公司</w:t>
            </w:r>
          </w:p>
        </w:tc>
        <w:tc>
          <w:tcPr>
            <w:tcW w:w="1184" w:type="dxa"/>
            <w:vAlign w:val="center"/>
          </w:tcPr>
          <w:p w:rsidR="007B4EE4" w:rsidRDefault="00B833D5">
            <w:pPr>
              <w:jc w:val="center"/>
            </w:pPr>
            <w:r>
              <w:rPr>
                <w:rFonts w:eastAsiaTheme="minorEastAsia"/>
                <w:color w:val="000000"/>
                <w:szCs w:val="21"/>
              </w:rPr>
              <w:t>6066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29,596</w:t>
            </w:r>
          </w:p>
        </w:tc>
        <w:tc>
          <w:tcPr>
            <w:tcW w:w="1690" w:type="dxa"/>
            <w:vAlign w:val="center"/>
          </w:tcPr>
          <w:p w:rsidR="007B4EE4" w:rsidRDefault="00B833D5">
            <w:pPr>
              <w:jc w:val="right"/>
            </w:pPr>
            <w:r>
              <w:rPr>
                <w:rFonts w:eastAsiaTheme="minorEastAsia"/>
                <w:color w:val="000000"/>
                <w:szCs w:val="21"/>
              </w:rPr>
              <w:t>237,089.67</w:t>
            </w:r>
          </w:p>
        </w:tc>
        <w:tc>
          <w:tcPr>
            <w:tcW w:w="997" w:type="dxa"/>
            <w:vAlign w:val="center"/>
          </w:tcPr>
          <w:p w:rsidR="007B4EE4" w:rsidRDefault="00B833D5">
            <w:pPr>
              <w:jc w:val="right"/>
            </w:pPr>
            <w:r>
              <w:rPr>
                <w:rFonts w:eastAsiaTheme="minorEastAsia"/>
                <w:color w:val="000000"/>
                <w:szCs w:val="21"/>
              </w:rPr>
              <w:t>1.01</w:t>
            </w:r>
          </w:p>
        </w:tc>
      </w:tr>
      <w:tr w:rsidR="007B4EE4">
        <w:trPr>
          <w:jc w:val="center"/>
        </w:trPr>
        <w:tc>
          <w:tcPr>
            <w:tcW w:w="771" w:type="dxa"/>
            <w:vAlign w:val="center"/>
          </w:tcPr>
          <w:p w:rsidR="007B4EE4" w:rsidRDefault="00B833D5">
            <w:pPr>
              <w:jc w:val="center"/>
            </w:pPr>
            <w:r>
              <w:rPr>
                <w:rFonts w:eastAsiaTheme="minorEastAsia"/>
                <w:color w:val="000000"/>
                <w:szCs w:val="21"/>
              </w:rPr>
              <w:t>21</w:t>
            </w:r>
          </w:p>
        </w:tc>
        <w:tc>
          <w:tcPr>
            <w:tcW w:w="905" w:type="dxa"/>
            <w:vAlign w:val="center"/>
          </w:tcPr>
          <w:p w:rsidR="007B4EE4" w:rsidRDefault="00B833D5">
            <w:pPr>
              <w:jc w:val="center"/>
            </w:pPr>
            <w:r>
              <w:rPr>
                <w:rFonts w:eastAsiaTheme="minorEastAsia"/>
                <w:color w:val="000000"/>
                <w:szCs w:val="21"/>
              </w:rPr>
              <w:t>Huadian Fuxin Energy Corporation Limited</w:t>
            </w:r>
          </w:p>
        </w:tc>
        <w:tc>
          <w:tcPr>
            <w:tcW w:w="1015" w:type="dxa"/>
            <w:vAlign w:val="center"/>
          </w:tcPr>
          <w:p w:rsidR="007B4EE4" w:rsidRDefault="00B833D5">
            <w:pPr>
              <w:jc w:val="center"/>
            </w:pPr>
            <w:r>
              <w:rPr>
                <w:rFonts w:eastAsiaTheme="minorEastAsia"/>
                <w:color w:val="000000"/>
                <w:szCs w:val="21"/>
              </w:rPr>
              <w:t>华电福新能源股份有限公司</w:t>
            </w:r>
          </w:p>
        </w:tc>
        <w:tc>
          <w:tcPr>
            <w:tcW w:w="1184" w:type="dxa"/>
            <w:vAlign w:val="center"/>
          </w:tcPr>
          <w:p w:rsidR="007B4EE4" w:rsidRDefault="00B833D5">
            <w:pPr>
              <w:jc w:val="center"/>
            </w:pPr>
            <w:r>
              <w:rPr>
                <w:rFonts w:eastAsiaTheme="minorEastAsia"/>
                <w:color w:val="000000"/>
                <w:szCs w:val="21"/>
              </w:rPr>
              <w:t>816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94,765</w:t>
            </w:r>
          </w:p>
        </w:tc>
        <w:tc>
          <w:tcPr>
            <w:tcW w:w="1690" w:type="dxa"/>
            <w:vAlign w:val="center"/>
          </w:tcPr>
          <w:p w:rsidR="007B4EE4" w:rsidRDefault="00B833D5">
            <w:pPr>
              <w:jc w:val="right"/>
            </w:pPr>
            <w:r>
              <w:rPr>
                <w:rFonts w:eastAsiaTheme="minorEastAsia"/>
                <w:color w:val="000000"/>
                <w:szCs w:val="21"/>
              </w:rPr>
              <w:t>214,674.11</w:t>
            </w:r>
          </w:p>
        </w:tc>
        <w:tc>
          <w:tcPr>
            <w:tcW w:w="997" w:type="dxa"/>
            <w:vAlign w:val="center"/>
          </w:tcPr>
          <w:p w:rsidR="007B4EE4" w:rsidRDefault="00B833D5">
            <w:pPr>
              <w:jc w:val="right"/>
            </w:pPr>
            <w:r>
              <w:rPr>
                <w:rFonts w:eastAsiaTheme="minorEastAsia"/>
                <w:color w:val="000000"/>
                <w:szCs w:val="21"/>
              </w:rPr>
              <w:t>0.92</w:t>
            </w:r>
          </w:p>
        </w:tc>
      </w:tr>
      <w:tr w:rsidR="007B4EE4">
        <w:trPr>
          <w:jc w:val="center"/>
        </w:trPr>
        <w:tc>
          <w:tcPr>
            <w:tcW w:w="771" w:type="dxa"/>
            <w:vAlign w:val="center"/>
          </w:tcPr>
          <w:p w:rsidR="007B4EE4" w:rsidRDefault="00B833D5">
            <w:pPr>
              <w:jc w:val="center"/>
            </w:pPr>
            <w:r>
              <w:rPr>
                <w:rFonts w:eastAsiaTheme="minorEastAsia"/>
                <w:color w:val="000000"/>
                <w:szCs w:val="21"/>
              </w:rPr>
              <w:t>22</w:t>
            </w:r>
          </w:p>
        </w:tc>
        <w:tc>
          <w:tcPr>
            <w:tcW w:w="905" w:type="dxa"/>
            <w:vAlign w:val="center"/>
          </w:tcPr>
          <w:p w:rsidR="007B4EE4" w:rsidRDefault="00B833D5">
            <w:pPr>
              <w:jc w:val="center"/>
            </w:pPr>
            <w:r>
              <w:rPr>
                <w:rFonts w:eastAsiaTheme="minorEastAsia"/>
                <w:color w:val="000000"/>
                <w:szCs w:val="21"/>
              </w:rPr>
              <w:t>Livzon Pharmaceutical Group Inc.</w:t>
            </w:r>
          </w:p>
        </w:tc>
        <w:tc>
          <w:tcPr>
            <w:tcW w:w="1015" w:type="dxa"/>
            <w:vAlign w:val="center"/>
          </w:tcPr>
          <w:p w:rsidR="007B4EE4" w:rsidRDefault="00B833D5">
            <w:pPr>
              <w:jc w:val="center"/>
            </w:pPr>
            <w:r>
              <w:rPr>
                <w:rFonts w:eastAsiaTheme="minorEastAsia"/>
                <w:color w:val="000000"/>
                <w:szCs w:val="21"/>
              </w:rPr>
              <w:t>丽珠医药集团股份有限公司</w:t>
            </w:r>
          </w:p>
        </w:tc>
        <w:tc>
          <w:tcPr>
            <w:tcW w:w="1184" w:type="dxa"/>
            <w:vAlign w:val="center"/>
          </w:tcPr>
          <w:p w:rsidR="007B4EE4" w:rsidRDefault="00B833D5">
            <w:pPr>
              <w:jc w:val="center"/>
            </w:pPr>
            <w:r>
              <w:rPr>
                <w:rFonts w:eastAsiaTheme="minorEastAsia"/>
                <w:color w:val="000000"/>
                <w:szCs w:val="21"/>
              </w:rPr>
              <w:t>1513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5,770</w:t>
            </w:r>
          </w:p>
        </w:tc>
        <w:tc>
          <w:tcPr>
            <w:tcW w:w="1690" w:type="dxa"/>
            <w:vAlign w:val="center"/>
          </w:tcPr>
          <w:p w:rsidR="007B4EE4" w:rsidRDefault="00B833D5">
            <w:pPr>
              <w:jc w:val="right"/>
            </w:pPr>
            <w:r>
              <w:rPr>
                <w:rFonts w:eastAsiaTheme="minorEastAsia"/>
                <w:color w:val="000000"/>
                <w:szCs w:val="21"/>
              </w:rPr>
              <w:t>206,078.46</w:t>
            </w:r>
          </w:p>
        </w:tc>
        <w:tc>
          <w:tcPr>
            <w:tcW w:w="997" w:type="dxa"/>
            <w:vAlign w:val="center"/>
          </w:tcPr>
          <w:p w:rsidR="007B4EE4" w:rsidRDefault="00B833D5">
            <w:pPr>
              <w:jc w:val="right"/>
            </w:pPr>
            <w:r>
              <w:rPr>
                <w:rFonts w:eastAsiaTheme="minorEastAsia"/>
                <w:color w:val="000000"/>
                <w:szCs w:val="21"/>
              </w:rPr>
              <w:t>0.88</w:t>
            </w:r>
          </w:p>
        </w:tc>
      </w:tr>
      <w:tr w:rsidR="007B4EE4">
        <w:trPr>
          <w:jc w:val="center"/>
        </w:trPr>
        <w:tc>
          <w:tcPr>
            <w:tcW w:w="771" w:type="dxa"/>
            <w:vAlign w:val="center"/>
          </w:tcPr>
          <w:p w:rsidR="007B4EE4" w:rsidRDefault="00B833D5">
            <w:pPr>
              <w:jc w:val="center"/>
            </w:pPr>
            <w:r>
              <w:rPr>
                <w:rFonts w:eastAsiaTheme="minorEastAsia"/>
                <w:color w:val="000000"/>
                <w:szCs w:val="21"/>
              </w:rPr>
              <w:t>23</w:t>
            </w:r>
          </w:p>
        </w:tc>
        <w:tc>
          <w:tcPr>
            <w:tcW w:w="905" w:type="dxa"/>
            <w:vAlign w:val="center"/>
          </w:tcPr>
          <w:p w:rsidR="007B4EE4" w:rsidRDefault="00B833D5">
            <w:pPr>
              <w:jc w:val="center"/>
            </w:pPr>
            <w:r>
              <w:rPr>
                <w:rFonts w:eastAsiaTheme="minorEastAsia"/>
                <w:color w:val="000000"/>
                <w:szCs w:val="21"/>
              </w:rPr>
              <w:t>China SCE Group Holdings Limited</w:t>
            </w:r>
          </w:p>
        </w:tc>
        <w:tc>
          <w:tcPr>
            <w:tcW w:w="1015" w:type="dxa"/>
            <w:vAlign w:val="center"/>
          </w:tcPr>
          <w:p w:rsidR="007B4EE4" w:rsidRDefault="00B833D5">
            <w:pPr>
              <w:jc w:val="center"/>
            </w:pPr>
            <w:r>
              <w:rPr>
                <w:rFonts w:eastAsiaTheme="minorEastAsia"/>
                <w:color w:val="000000"/>
                <w:szCs w:val="21"/>
              </w:rPr>
              <w:t>中骏集团控股有限公司</w:t>
            </w:r>
          </w:p>
        </w:tc>
        <w:tc>
          <w:tcPr>
            <w:tcW w:w="1184" w:type="dxa"/>
            <w:vAlign w:val="center"/>
          </w:tcPr>
          <w:p w:rsidR="007B4EE4" w:rsidRDefault="00B833D5">
            <w:pPr>
              <w:jc w:val="center"/>
            </w:pPr>
            <w:r>
              <w:rPr>
                <w:rFonts w:eastAsiaTheme="minorEastAsia"/>
                <w:color w:val="000000"/>
                <w:szCs w:val="21"/>
              </w:rPr>
              <w:t>1966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65,584</w:t>
            </w:r>
          </w:p>
        </w:tc>
        <w:tc>
          <w:tcPr>
            <w:tcW w:w="1690" w:type="dxa"/>
            <w:vAlign w:val="center"/>
          </w:tcPr>
          <w:p w:rsidR="007B4EE4" w:rsidRDefault="00B833D5">
            <w:pPr>
              <w:jc w:val="right"/>
            </w:pPr>
            <w:r>
              <w:rPr>
                <w:rFonts w:eastAsiaTheme="minorEastAsia"/>
                <w:color w:val="000000"/>
                <w:szCs w:val="21"/>
              </w:rPr>
              <w:t>201,287.68</w:t>
            </w:r>
          </w:p>
        </w:tc>
        <w:tc>
          <w:tcPr>
            <w:tcW w:w="997" w:type="dxa"/>
            <w:vAlign w:val="center"/>
          </w:tcPr>
          <w:p w:rsidR="007B4EE4" w:rsidRDefault="00B833D5">
            <w:pPr>
              <w:jc w:val="right"/>
            </w:pPr>
            <w:r>
              <w:rPr>
                <w:rFonts w:eastAsiaTheme="minorEastAsia"/>
                <w:color w:val="000000"/>
                <w:szCs w:val="21"/>
              </w:rPr>
              <w:t>0.86</w:t>
            </w:r>
          </w:p>
        </w:tc>
      </w:tr>
      <w:tr w:rsidR="007B4EE4">
        <w:trPr>
          <w:jc w:val="center"/>
        </w:trPr>
        <w:tc>
          <w:tcPr>
            <w:tcW w:w="771" w:type="dxa"/>
            <w:vAlign w:val="center"/>
          </w:tcPr>
          <w:p w:rsidR="007B4EE4" w:rsidRDefault="00B833D5">
            <w:pPr>
              <w:jc w:val="center"/>
            </w:pPr>
            <w:r>
              <w:rPr>
                <w:rFonts w:eastAsiaTheme="minorEastAsia"/>
                <w:color w:val="000000"/>
                <w:szCs w:val="21"/>
              </w:rPr>
              <w:t>24</w:t>
            </w:r>
          </w:p>
        </w:tc>
        <w:tc>
          <w:tcPr>
            <w:tcW w:w="905" w:type="dxa"/>
            <w:vAlign w:val="center"/>
          </w:tcPr>
          <w:p w:rsidR="007B4EE4" w:rsidRDefault="00B833D5">
            <w:pPr>
              <w:jc w:val="center"/>
            </w:pPr>
            <w:r>
              <w:rPr>
                <w:rFonts w:eastAsiaTheme="minorEastAsia"/>
                <w:color w:val="000000"/>
                <w:szCs w:val="21"/>
              </w:rPr>
              <w:t>IGG Inc</w:t>
            </w:r>
          </w:p>
        </w:tc>
        <w:tc>
          <w:tcPr>
            <w:tcW w:w="1015" w:type="dxa"/>
            <w:vAlign w:val="center"/>
          </w:tcPr>
          <w:p w:rsidR="007B4EE4" w:rsidRDefault="00B833D5">
            <w:pPr>
              <w:jc w:val="center"/>
            </w:pPr>
            <w:r>
              <w:rPr>
                <w:rFonts w:eastAsiaTheme="minorEastAsia"/>
                <w:color w:val="000000"/>
                <w:szCs w:val="21"/>
              </w:rPr>
              <w:t>-</w:t>
            </w:r>
          </w:p>
        </w:tc>
        <w:tc>
          <w:tcPr>
            <w:tcW w:w="1184" w:type="dxa"/>
            <w:vAlign w:val="center"/>
          </w:tcPr>
          <w:p w:rsidR="007B4EE4" w:rsidRDefault="00B833D5">
            <w:pPr>
              <w:jc w:val="center"/>
            </w:pPr>
            <w:r>
              <w:rPr>
                <w:rFonts w:eastAsiaTheme="minorEastAsia"/>
                <w:color w:val="000000"/>
                <w:szCs w:val="21"/>
              </w:rPr>
              <w:t>799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34,680</w:t>
            </w:r>
          </w:p>
        </w:tc>
        <w:tc>
          <w:tcPr>
            <w:tcW w:w="1690" w:type="dxa"/>
            <w:vAlign w:val="center"/>
          </w:tcPr>
          <w:p w:rsidR="007B4EE4" w:rsidRDefault="00B833D5">
            <w:pPr>
              <w:jc w:val="right"/>
            </w:pPr>
            <w:r>
              <w:rPr>
                <w:rFonts w:eastAsiaTheme="minorEastAsia"/>
                <w:color w:val="000000"/>
                <w:szCs w:val="21"/>
              </w:rPr>
              <w:t>200,839.15</w:t>
            </w:r>
          </w:p>
        </w:tc>
        <w:tc>
          <w:tcPr>
            <w:tcW w:w="997" w:type="dxa"/>
            <w:vAlign w:val="center"/>
          </w:tcPr>
          <w:p w:rsidR="007B4EE4" w:rsidRDefault="00B833D5">
            <w:pPr>
              <w:jc w:val="right"/>
            </w:pPr>
            <w:r>
              <w:rPr>
                <w:rFonts w:eastAsiaTheme="minorEastAsia"/>
                <w:color w:val="000000"/>
                <w:szCs w:val="21"/>
              </w:rPr>
              <w:t>0.86</w:t>
            </w:r>
          </w:p>
        </w:tc>
      </w:tr>
      <w:tr w:rsidR="007B4EE4">
        <w:trPr>
          <w:jc w:val="center"/>
        </w:trPr>
        <w:tc>
          <w:tcPr>
            <w:tcW w:w="771" w:type="dxa"/>
            <w:vAlign w:val="center"/>
          </w:tcPr>
          <w:p w:rsidR="007B4EE4" w:rsidRDefault="00B833D5">
            <w:pPr>
              <w:jc w:val="center"/>
            </w:pPr>
            <w:r>
              <w:rPr>
                <w:rFonts w:eastAsiaTheme="minorEastAsia"/>
                <w:color w:val="000000"/>
                <w:szCs w:val="21"/>
              </w:rPr>
              <w:t>25</w:t>
            </w:r>
          </w:p>
        </w:tc>
        <w:tc>
          <w:tcPr>
            <w:tcW w:w="905" w:type="dxa"/>
            <w:vAlign w:val="center"/>
          </w:tcPr>
          <w:p w:rsidR="007B4EE4" w:rsidRDefault="00B833D5">
            <w:pPr>
              <w:jc w:val="center"/>
            </w:pPr>
            <w:r>
              <w:rPr>
                <w:rFonts w:eastAsiaTheme="minorEastAsia"/>
                <w:color w:val="000000"/>
                <w:szCs w:val="21"/>
              </w:rPr>
              <w:t>Yadea Group Holdings Ltd.</w:t>
            </w:r>
          </w:p>
        </w:tc>
        <w:tc>
          <w:tcPr>
            <w:tcW w:w="1015" w:type="dxa"/>
            <w:vAlign w:val="center"/>
          </w:tcPr>
          <w:p w:rsidR="007B4EE4" w:rsidRDefault="00B833D5">
            <w:pPr>
              <w:jc w:val="center"/>
            </w:pPr>
            <w:r>
              <w:rPr>
                <w:rFonts w:eastAsiaTheme="minorEastAsia"/>
                <w:color w:val="000000"/>
                <w:szCs w:val="21"/>
              </w:rPr>
              <w:t>雅迪集团控股有限公司</w:t>
            </w:r>
          </w:p>
        </w:tc>
        <w:tc>
          <w:tcPr>
            <w:tcW w:w="1184" w:type="dxa"/>
            <w:vAlign w:val="center"/>
          </w:tcPr>
          <w:p w:rsidR="007B4EE4" w:rsidRDefault="00B833D5">
            <w:pPr>
              <w:jc w:val="center"/>
            </w:pPr>
            <w:r>
              <w:rPr>
                <w:rFonts w:eastAsiaTheme="minorEastAsia"/>
                <w:color w:val="000000"/>
                <w:szCs w:val="21"/>
              </w:rPr>
              <w:t>1585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41,096</w:t>
            </w:r>
          </w:p>
        </w:tc>
        <w:tc>
          <w:tcPr>
            <w:tcW w:w="1690" w:type="dxa"/>
            <w:vAlign w:val="center"/>
          </w:tcPr>
          <w:p w:rsidR="007B4EE4" w:rsidRDefault="00B833D5">
            <w:pPr>
              <w:jc w:val="right"/>
            </w:pPr>
            <w:r>
              <w:rPr>
                <w:rFonts w:eastAsiaTheme="minorEastAsia"/>
                <w:color w:val="000000"/>
                <w:szCs w:val="21"/>
              </w:rPr>
              <w:t>200,832.21</w:t>
            </w:r>
          </w:p>
        </w:tc>
        <w:tc>
          <w:tcPr>
            <w:tcW w:w="997" w:type="dxa"/>
            <w:vAlign w:val="center"/>
          </w:tcPr>
          <w:p w:rsidR="007B4EE4" w:rsidRDefault="00B833D5">
            <w:pPr>
              <w:jc w:val="right"/>
            </w:pPr>
            <w:r>
              <w:rPr>
                <w:rFonts w:eastAsiaTheme="minorEastAsia"/>
                <w:color w:val="000000"/>
                <w:szCs w:val="21"/>
              </w:rPr>
              <w:t>0.86</w:t>
            </w:r>
          </w:p>
        </w:tc>
      </w:tr>
      <w:tr w:rsidR="007B4EE4">
        <w:trPr>
          <w:jc w:val="center"/>
        </w:trPr>
        <w:tc>
          <w:tcPr>
            <w:tcW w:w="771" w:type="dxa"/>
            <w:vAlign w:val="center"/>
          </w:tcPr>
          <w:p w:rsidR="007B4EE4" w:rsidRDefault="00B833D5">
            <w:pPr>
              <w:jc w:val="center"/>
            </w:pPr>
            <w:r>
              <w:rPr>
                <w:rFonts w:eastAsiaTheme="minorEastAsia"/>
                <w:color w:val="000000"/>
                <w:szCs w:val="21"/>
              </w:rPr>
              <w:t>26</w:t>
            </w:r>
          </w:p>
        </w:tc>
        <w:tc>
          <w:tcPr>
            <w:tcW w:w="905" w:type="dxa"/>
            <w:vAlign w:val="center"/>
          </w:tcPr>
          <w:p w:rsidR="007B4EE4" w:rsidRDefault="00B833D5">
            <w:pPr>
              <w:jc w:val="center"/>
            </w:pPr>
            <w:r>
              <w:rPr>
                <w:rFonts w:eastAsiaTheme="minorEastAsia"/>
                <w:color w:val="000000"/>
                <w:szCs w:val="21"/>
              </w:rPr>
              <w:t>Shenzhen Expressway Company Limited</w:t>
            </w:r>
          </w:p>
        </w:tc>
        <w:tc>
          <w:tcPr>
            <w:tcW w:w="1015" w:type="dxa"/>
            <w:vAlign w:val="center"/>
          </w:tcPr>
          <w:p w:rsidR="007B4EE4" w:rsidRDefault="00B833D5">
            <w:pPr>
              <w:jc w:val="center"/>
            </w:pPr>
            <w:r>
              <w:rPr>
                <w:rFonts w:eastAsiaTheme="minorEastAsia"/>
                <w:color w:val="000000"/>
                <w:szCs w:val="21"/>
              </w:rPr>
              <w:t>深圳高速公路股份有限公司</w:t>
            </w:r>
          </w:p>
        </w:tc>
        <w:tc>
          <w:tcPr>
            <w:tcW w:w="1184" w:type="dxa"/>
            <w:vAlign w:val="center"/>
          </w:tcPr>
          <w:p w:rsidR="007B4EE4" w:rsidRDefault="00B833D5">
            <w:pPr>
              <w:jc w:val="center"/>
            </w:pPr>
            <w:r>
              <w:rPr>
                <w:rFonts w:eastAsiaTheme="minorEastAsia"/>
                <w:color w:val="000000"/>
                <w:szCs w:val="21"/>
              </w:rPr>
              <w:t>548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27,840</w:t>
            </w:r>
          </w:p>
        </w:tc>
        <w:tc>
          <w:tcPr>
            <w:tcW w:w="1690" w:type="dxa"/>
            <w:vAlign w:val="center"/>
          </w:tcPr>
          <w:p w:rsidR="007B4EE4" w:rsidRDefault="00B833D5">
            <w:pPr>
              <w:jc w:val="right"/>
            </w:pPr>
            <w:r>
              <w:rPr>
                <w:rFonts w:eastAsiaTheme="minorEastAsia"/>
                <w:color w:val="000000"/>
                <w:szCs w:val="21"/>
              </w:rPr>
              <w:t>199,372.53</w:t>
            </w:r>
          </w:p>
        </w:tc>
        <w:tc>
          <w:tcPr>
            <w:tcW w:w="997" w:type="dxa"/>
            <w:vAlign w:val="center"/>
          </w:tcPr>
          <w:p w:rsidR="007B4EE4" w:rsidRDefault="00B833D5">
            <w:pPr>
              <w:jc w:val="right"/>
            </w:pPr>
            <w:r>
              <w:rPr>
                <w:rFonts w:eastAsiaTheme="minorEastAsia"/>
                <w:color w:val="000000"/>
                <w:szCs w:val="21"/>
              </w:rPr>
              <w:t>0.85</w:t>
            </w:r>
          </w:p>
        </w:tc>
      </w:tr>
      <w:tr w:rsidR="007B4EE4">
        <w:trPr>
          <w:jc w:val="center"/>
        </w:trPr>
        <w:tc>
          <w:tcPr>
            <w:tcW w:w="771" w:type="dxa"/>
            <w:vAlign w:val="center"/>
          </w:tcPr>
          <w:p w:rsidR="007B4EE4" w:rsidRDefault="00B833D5">
            <w:pPr>
              <w:jc w:val="center"/>
            </w:pPr>
            <w:r>
              <w:rPr>
                <w:rFonts w:eastAsiaTheme="minorEastAsia"/>
                <w:color w:val="000000"/>
                <w:szCs w:val="21"/>
              </w:rPr>
              <w:t>27</w:t>
            </w:r>
          </w:p>
        </w:tc>
        <w:tc>
          <w:tcPr>
            <w:tcW w:w="905" w:type="dxa"/>
            <w:vAlign w:val="center"/>
          </w:tcPr>
          <w:p w:rsidR="007B4EE4" w:rsidRDefault="00B833D5">
            <w:pPr>
              <w:jc w:val="center"/>
            </w:pPr>
            <w:r>
              <w:rPr>
                <w:rFonts w:eastAsiaTheme="minorEastAsia"/>
                <w:color w:val="000000"/>
                <w:szCs w:val="21"/>
              </w:rPr>
              <w:t>Shanghai Electric Group Company Limited</w:t>
            </w:r>
          </w:p>
        </w:tc>
        <w:tc>
          <w:tcPr>
            <w:tcW w:w="1015" w:type="dxa"/>
            <w:vAlign w:val="center"/>
          </w:tcPr>
          <w:p w:rsidR="007B4EE4" w:rsidRDefault="00B833D5">
            <w:pPr>
              <w:jc w:val="center"/>
            </w:pPr>
            <w:r>
              <w:rPr>
                <w:rFonts w:eastAsiaTheme="minorEastAsia"/>
                <w:color w:val="000000"/>
                <w:szCs w:val="21"/>
              </w:rPr>
              <w:t>上海电气集团股份有限公司</w:t>
            </w:r>
          </w:p>
        </w:tc>
        <w:tc>
          <w:tcPr>
            <w:tcW w:w="1184" w:type="dxa"/>
            <w:vAlign w:val="center"/>
          </w:tcPr>
          <w:p w:rsidR="007B4EE4" w:rsidRDefault="00B833D5">
            <w:pPr>
              <w:jc w:val="center"/>
            </w:pPr>
            <w:r>
              <w:rPr>
                <w:rFonts w:eastAsiaTheme="minorEastAsia"/>
                <w:color w:val="000000"/>
                <w:szCs w:val="21"/>
              </w:rPr>
              <w:t>2727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98,898</w:t>
            </w:r>
          </w:p>
        </w:tc>
        <w:tc>
          <w:tcPr>
            <w:tcW w:w="1690" w:type="dxa"/>
            <w:vAlign w:val="center"/>
          </w:tcPr>
          <w:p w:rsidR="007B4EE4" w:rsidRDefault="00B833D5">
            <w:pPr>
              <w:jc w:val="right"/>
            </w:pPr>
            <w:r>
              <w:rPr>
                <w:rFonts w:eastAsiaTheme="minorEastAsia"/>
                <w:color w:val="000000"/>
                <w:szCs w:val="21"/>
              </w:rPr>
              <w:t>198,742.26</w:t>
            </w:r>
          </w:p>
        </w:tc>
        <w:tc>
          <w:tcPr>
            <w:tcW w:w="997" w:type="dxa"/>
            <w:vAlign w:val="center"/>
          </w:tcPr>
          <w:p w:rsidR="007B4EE4" w:rsidRDefault="00B833D5">
            <w:pPr>
              <w:jc w:val="right"/>
            </w:pPr>
            <w:r>
              <w:rPr>
                <w:rFonts w:eastAsiaTheme="minorEastAsia"/>
                <w:color w:val="000000"/>
                <w:szCs w:val="21"/>
              </w:rPr>
              <w:t>0.85</w:t>
            </w:r>
          </w:p>
        </w:tc>
      </w:tr>
      <w:tr w:rsidR="007B4EE4">
        <w:trPr>
          <w:jc w:val="center"/>
        </w:trPr>
        <w:tc>
          <w:tcPr>
            <w:tcW w:w="771" w:type="dxa"/>
            <w:vAlign w:val="center"/>
          </w:tcPr>
          <w:p w:rsidR="007B4EE4" w:rsidRDefault="00B833D5">
            <w:pPr>
              <w:jc w:val="center"/>
            </w:pPr>
            <w:r>
              <w:rPr>
                <w:rFonts w:eastAsiaTheme="minorEastAsia"/>
                <w:color w:val="000000"/>
                <w:szCs w:val="21"/>
              </w:rPr>
              <w:t>28</w:t>
            </w:r>
          </w:p>
        </w:tc>
        <w:tc>
          <w:tcPr>
            <w:tcW w:w="905" w:type="dxa"/>
            <w:vAlign w:val="center"/>
          </w:tcPr>
          <w:p w:rsidR="007B4EE4" w:rsidRDefault="00B833D5">
            <w:pPr>
              <w:jc w:val="center"/>
            </w:pPr>
            <w:r>
              <w:rPr>
                <w:rFonts w:eastAsiaTheme="minorEastAsia"/>
                <w:color w:val="000000"/>
                <w:szCs w:val="21"/>
              </w:rPr>
              <w:t>Yuexiu Transport Infrastructure Limited</w:t>
            </w:r>
          </w:p>
        </w:tc>
        <w:tc>
          <w:tcPr>
            <w:tcW w:w="1015" w:type="dxa"/>
            <w:vAlign w:val="center"/>
          </w:tcPr>
          <w:p w:rsidR="007B4EE4" w:rsidRDefault="00B833D5">
            <w:pPr>
              <w:jc w:val="center"/>
            </w:pPr>
            <w:r>
              <w:rPr>
                <w:rFonts w:eastAsiaTheme="minorEastAsia"/>
                <w:color w:val="000000"/>
                <w:szCs w:val="21"/>
              </w:rPr>
              <w:t>越秀交通基建有限公司</w:t>
            </w:r>
          </w:p>
        </w:tc>
        <w:tc>
          <w:tcPr>
            <w:tcW w:w="1184" w:type="dxa"/>
            <w:vAlign w:val="center"/>
          </w:tcPr>
          <w:p w:rsidR="007B4EE4" w:rsidRDefault="00B833D5">
            <w:pPr>
              <w:jc w:val="center"/>
            </w:pPr>
            <w:r>
              <w:rPr>
                <w:rFonts w:eastAsiaTheme="minorEastAsia"/>
                <w:color w:val="000000"/>
                <w:szCs w:val="21"/>
              </w:rPr>
              <w:t>1052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39,357</w:t>
            </w:r>
          </w:p>
        </w:tc>
        <w:tc>
          <w:tcPr>
            <w:tcW w:w="1690" w:type="dxa"/>
            <w:vAlign w:val="center"/>
          </w:tcPr>
          <w:p w:rsidR="007B4EE4" w:rsidRDefault="00B833D5">
            <w:pPr>
              <w:jc w:val="right"/>
            </w:pPr>
            <w:r>
              <w:rPr>
                <w:rFonts w:eastAsiaTheme="minorEastAsia"/>
                <w:color w:val="000000"/>
                <w:szCs w:val="21"/>
              </w:rPr>
              <w:t>194,490.90</w:t>
            </w:r>
          </w:p>
        </w:tc>
        <w:tc>
          <w:tcPr>
            <w:tcW w:w="997" w:type="dxa"/>
            <w:vAlign w:val="center"/>
          </w:tcPr>
          <w:p w:rsidR="007B4EE4" w:rsidRDefault="00B833D5">
            <w:pPr>
              <w:jc w:val="right"/>
            </w:pPr>
            <w:r>
              <w:rPr>
                <w:rFonts w:eastAsiaTheme="minorEastAsia"/>
                <w:color w:val="000000"/>
                <w:szCs w:val="21"/>
              </w:rPr>
              <w:t>0.83</w:t>
            </w:r>
          </w:p>
        </w:tc>
      </w:tr>
      <w:tr w:rsidR="007B4EE4">
        <w:trPr>
          <w:jc w:val="center"/>
        </w:trPr>
        <w:tc>
          <w:tcPr>
            <w:tcW w:w="771" w:type="dxa"/>
            <w:vAlign w:val="center"/>
          </w:tcPr>
          <w:p w:rsidR="007B4EE4" w:rsidRDefault="00B833D5">
            <w:pPr>
              <w:jc w:val="center"/>
            </w:pPr>
            <w:r>
              <w:rPr>
                <w:rFonts w:eastAsiaTheme="minorEastAsia"/>
                <w:color w:val="000000"/>
                <w:szCs w:val="21"/>
              </w:rPr>
              <w:lastRenderedPageBreak/>
              <w:t>29</w:t>
            </w:r>
          </w:p>
        </w:tc>
        <w:tc>
          <w:tcPr>
            <w:tcW w:w="905" w:type="dxa"/>
            <w:vAlign w:val="center"/>
          </w:tcPr>
          <w:p w:rsidR="007B4EE4" w:rsidRDefault="00B833D5">
            <w:pPr>
              <w:jc w:val="center"/>
            </w:pPr>
            <w:r>
              <w:rPr>
                <w:rFonts w:eastAsiaTheme="minorEastAsia"/>
                <w:color w:val="000000"/>
                <w:szCs w:val="21"/>
              </w:rPr>
              <w:t>COSCO SHIPPING Holdings Co.,Ltd.</w:t>
            </w:r>
          </w:p>
        </w:tc>
        <w:tc>
          <w:tcPr>
            <w:tcW w:w="1015" w:type="dxa"/>
            <w:vAlign w:val="center"/>
          </w:tcPr>
          <w:p w:rsidR="007B4EE4" w:rsidRDefault="00B833D5">
            <w:pPr>
              <w:jc w:val="center"/>
            </w:pPr>
            <w:r>
              <w:rPr>
                <w:rFonts w:eastAsiaTheme="minorEastAsia"/>
                <w:color w:val="000000"/>
                <w:szCs w:val="21"/>
              </w:rPr>
              <w:t>中远海运控股股份有限公司</w:t>
            </w:r>
          </w:p>
        </w:tc>
        <w:tc>
          <w:tcPr>
            <w:tcW w:w="1184" w:type="dxa"/>
            <w:vAlign w:val="center"/>
          </w:tcPr>
          <w:p w:rsidR="007B4EE4" w:rsidRDefault="00B833D5">
            <w:pPr>
              <w:jc w:val="center"/>
            </w:pPr>
            <w:r>
              <w:rPr>
                <w:rFonts w:eastAsiaTheme="minorEastAsia"/>
                <w:color w:val="000000"/>
                <w:szCs w:val="21"/>
              </w:rPr>
              <w:t>1919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91,500</w:t>
            </w:r>
          </w:p>
        </w:tc>
        <w:tc>
          <w:tcPr>
            <w:tcW w:w="1690" w:type="dxa"/>
            <w:vAlign w:val="center"/>
          </w:tcPr>
          <w:p w:rsidR="007B4EE4" w:rsidRDefault="00B833D5">
            <w:pPr>
              <w:jc w:val="right"/>
            </w:pPr>
            <w:r>
              <w:rPr>
                <w:rFonts w:eastAsiaTheme="minorEastAsia"/>
                <w:color w:val="000000"/>
                <w:szCs w:val="21"/>
              </w:rPr>
              <w:t>186,382.86</w:t>
            </w:r>
          </w:p>
        </w:tc>
        <w:tc>
          <w:tcPr>
            <w:tcW w:w="997" w:type="dxa"/>
            <w:vAlign w:val="center"/>
          </w:tcPr>
          <w:p w:rsidR="007B4EE4" w:rsidRDefault="00B833D5">
            <w:pPr>
              <w:jc w:val="right"/>
            </w:pPr>
            <w:r>
              <w:rPr>
                <w:rFonts w:eastAsiaTheme="minorEastAsia"/>
                <w:color w:val="000000"/>
                <w:szCs w:val="21"/>
              </w:rPr>
              <w:t>0.79</w:t>
            </w:r>
          </w:p>
        </w:tc>
      </w:tr>
      <w:tr w:rsidR="007B4EE4">
        <w:trPr>
          <w:jc w:val="center"/>
        </w:trPr>
        <w:tc>
          <w:tcPr>
            <w:tcW w:w="771" w:type="dxa"/>
            <w:vAlign w:val="center"/>
          </w:tcPr>
          <w:p w:rsidR="007B4EE4" w:rsidRDefault="00B833D5">
            <w:pPr>
              <w:jc w:val="center"/>
            </w:pPr>
            <w:r>
              <w:rPr>
                <w:rFonts w:eastAsiaTheme="minorEastAsia"/>
                <w:color w:val="000000"/>
                <w:szCs w:val="21"/>
              </w:rPr>
              <w:t>30</w:t>
            </w:r>
          </w:p>
        </w:tc>
        <w:tc>
          <w:tcPr>
            <w:tcW w:w="905" w:type="dxa"/>
            <w:vAlign w:val="center"/>
          </w:tcPr>
          <w:p w:rsidR="007B4EE4" w:rsidRDefault="00B833D5">
            <w:pPr>
              <w:jc w:val="center"/>
            </w:pPr>
            <w:r>
              <w:rPr>
                <w:rFonts w:eastAsiaTheme="minorEastAsia"/>
                <w:color w:val="000000"/>
                <w:szCs w:val="21"/>
              </w:rPr>
              <w:t>CMGE Technology Group Limited</w:t>
            </w:r>
          </w:p>
        </w:tc>
        <w:tc>
          <w:tcPr>
            <w:tcW w:w="1015" w:type="dxa"/>
            <w:vAlign w:val="center"/>
          </w:tcPr>
          <w:p w:rsidR="007B4EE4" w:rsidRDefault="00B833D5">
            <w:pPr>
              <w:jc w:val="center"/>
            </w:pPr>
            <w:r>
              <w:rPr>
                <w:rFonts w:eastAsiaTheme="minorEastAsia"/>
                <w:color w:val="000000"/>
                <w:szCs w:val="21"/>
              </w:rPr>
              <w:t>中手游科技集团有限公司</w:t>
            </w:r>
          </w:p>
        </w:tc>
        <w:tc>
          <w:tcPr>
            <w:tcW w:w="1184" w:type="dxa"/>
            <w:vAlign w:val="center"/>
          </w:tcPr>
          <w:p w:rsidR="007B4EE4" w:rsidRDefault="00B833D5">
            <w:pPr>
              <w:jc w:val="center"/>
            </w:pPr>
            <w:r>
              <w:rPr>
                <w:rFonts w:eastAsiaTheme="minorEastAsia"/>
                <w:color w:val="000000"/>
                <w:szCs w:val="21"/>
              </w:rPr>
              <w:t>302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55,379</w:t>
            </w:r>
          </w:p>
        </w:tc>
        <w:tc>
          <w:tcPr>
            <w:tcW w:w="1690" w:type="dxa"/>
            <w:vAlign w:val="center"/>
          </w:tcPr>
          <w:p w:rsidR="007B4EE4" w:rsidRDefault="00B833D5">
            <w:pPr>
              <w:jc w:val="right"/>
            </w:pPr>
            <w:r>
              <w:rPr>
                <w:rFonts w:eastAsiaTheme="minorEastAsia"/>
                <w:color w:val="000000"/>
                <w:szCs w:val="21"/>
              </w:rPr>
              <w:t>180,589.86</w:t>
            </w:r>
          </w:p>
        </w:tc>
        <w:tc>
          <w:tcPr>
            <w:tcW w:w="997" w:type="dxa"/>
            <w:vAlign w:val="center"/>
          </w:tcPr>
          <w:p w:rsidR="007B4EE4" w:rsidRDefault="00B833D5">
            <w:pPr>
              <w:jc w:val="right"/>
            </w:pPr>
            <w:r>
              <w:rPr>
                <w:rFonts w:eastAsiaTheme="minorEastAsia"/>
                <w:color w:val="000000"/>
                <w:szCs w:val="21"/>
              </w:rPr>
              <w:t>0.77</w:t>
            </w:r>
          </w:p>
        </w:tc>
      </w:tr>
      <w:tr w:rsidR="007B4EE4">
        <w:trPr>
          <w:jc w:val="center"/>
        </w:trPr>
        <w:tc>
          <w:tcPr>
            <w:tcW w:w="771" w:type="dxa"/>
            <w:vAlign w:val="center"/>
          </w:tcPr>
          <w:p w:rsidR="007B4EE4" w:rsidRDefault="00B833D5">
            <w:pPr>
              <w:jc w:val="center"/>
            </w:pPr>
            <w:r>
              <w:rPr>
                <w:rFonts w:eastAsiaTheme="minorEastAsia"/>
                <w:color w:val="000000"/>
                <w:szCs w:val="21"/>
              </w:rPr>
              <w:t>31</w:t>
            </w:r>
          </w:p>
        </w:tc>
        <w:tc>
          <w:tcPr>
            <w:tcW w:w="905" w:type="dxa"/>
            <w:vAlign w:val="center"/>
          </w:tcPr>
          <w:p w:rsidR="007B4EE4" w:rsidRDefault="00B833D5">
            <w:pPr>
              <w:jc w:val="center"/>
            </w:pPr>
            <w:r>
              <w:rPr>
                <w:rFonts w:eastAsiaTheme="minorEastAsia"/>
                <w:color w:val="000000"/>
                <w:szCs w:val="21"/>
              </w:rPr>
              <w:t>China Water Affairs Group Limited</w:t>
            </w:r>
          </w:p>
        </w:tc>
        <w:tc>
          <w:tcPr>
            <w:tcW w:w="1015" w:type="dxa"/>
            <w:vAlign w:val="center"/>
          </w:tcPr>
          <w:p w:rsidR="007B4EE4" w:rsidRDefault="00B833D5">
            <w:pPr>
              <w:jc w:val="center"/>
            </w:pPr>
            <w:r>
              <w:rPr>
                <w:rFonts w:eastAsiaTheme="minorEastAsia"/>
                <w:color w:val="000000"/>
                <w:szCs w:val="21"/>
              </w:rPr>
              <w:t>中国水务集团有限公司</w:t>
            </w:r>
          </w:p>
        </w:tc>
        <w:tc>
          <w:tcPr>
            <w:tcW w:w="1184" w:type="dxa"/>
            <w:vAlign w:val="center"/>
          </w:tcPr>
          <w:p w:rsidR="007B4EE4" w:rsidRDefault="00B833D5">
            <w:pPr>
              <w:jc w:val="center"/>
            </w:pPr>
            <w:r>
              <w:rPr>
                <w:rFonts w:eastAsiaTheme="minorEastAsia"/>
                <w:color w:val="000000"/>
                <w:szCs w:val="21"/>
              </w:rPr>
              <w:t>855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34,587</w:t>
            </w:r>
          </w:p>
        </w:tc>
        <w:tc>
          <w:tcPr>
            <w:tcW w:w="1690" w:type="dxa"/>
            <w:vAlign w:val="center"/>
          </w:tcPr>
          <w:p w:rsidR="007B4EE4" w:rsidRDefault="00B833D5">
            <w:pPr>
              <w:jc w:val="right"/>
            </w:pPr>
            <w:r>
              <w:rPr>
                <w:rFonts w:eastAsiaTheme="minorEastAsia"/>
                <w:color w:val="000000"/>
                <w:szCs w:val="21"/>
              </w:rPr>
              <w:t>176,289.77</w:t>
            </w:r>
          </w:p>
        </w:tc>
        <w:tc>
          <w:tcPr>
            <w:tcW w:w="997" w:type="dxa"/>
            <w:vAlign w:val="center"/>
          </w:tcPr>
          <w:p w:rsidR="007B4EE4" w:rsidRDefault="00B833D5">
            <w:pPr>
              <w:jc w:val="right"/>
            </w:pPr>
            <w:r>
              <w:rPr>
                <w:rFonts w:eastAsiaTheme="minorEastAsia"/>
                <w:color w:val="000000"/>
                <w:szCs w:val="21"/>
              </w:rPr>
              <w:t>0.75</w:t>
            </w:r>
          </w:p>
        </w:tc>
      </w:tr>
      <w:tr w:rsidR="007B4EE4">
        <w:trPr>
          <w:jc w:val="center"/>
        </w:trPr>
        <w:tc>
          <w:tcPr>
            <w:tcW w:w="771" w:type="dxa"/>
            <w:vAlign w:val="center"/>
          </w:tcPr>
          <w:p w:rsidR="007B4EE4" w:rsidRDefault="00B833D5">
            <w:pPr>
              <w:jc w:val="center"/>
            </w:pPr>
            <w:r>
              <w:rPr>
                <w:rFonts w:eastAsiaTheme="minorEastAsia"/>
                <w:color w:val="000000"/>
                <w:szCs w:val="21"/>
              </w:rPr>
              <w:t>32</w:t>
            </w:r>
          </w:p>
        </w:tc>
        <w:tc>
          <w:tcPr>
            <w:tcW w:w="905" w:type="dxa"/>
            <w:vAlign w:val="center"/>
          </w:tcPr>
          <w:p w:rsidR="007B4EE4" w:rsidRDefault="00B833D5">
            <w:pPr>
              <w:jc w:val="center"/>
            </w:pPr>
            <w:r>
              <w:rPr>
                <w:rFonts w:eastAsiaTheme="minorEastAsia"/>
                <w:color w:val="000000"/>
                <w:szCs w:val="21"/>
              </w:rPr>
              <w:t>Genertec Universal Medical Group Company Limited</w:t>
            </w:r>
          </w:p>
        </w:tc>
        <w:tc>
          <w:tcPr>
            <w:tcW w:w="1015" w:type="dxa"/>
            <w:vAlign w:val="center"/>
          </w:tcPr>
          <w:p w:rsidR="007B4EE4" w:rsidRDefault="00B833D5">
            <w:pPr>
              <w:jc w:val="center"/>
            </w:pPr>
            <w:r>
              <w:rPr>
                <w:rFonts w:eastAsiaTheme="minorEastAsia"/>
                <w:color w:val="000000"/>
                <w:szCs w:val="21"/>
              </w:rPr>
              <w:t>通用环球医疗集团有限公司</w:t>
            </w:r>
          </w:p>
        </w:tc>
        <w:tc>
          <w:tcPr>
            <w:tcW w:w="1184" w:type="dxa"/>
            <w:vAlign w:val="center"/>
          </w:tcPr>
          <w:p w:rsidR="007B4EE4" w:rsidRDefault="00B833D5">
            <w:pPr>
              <w:jc w:val="center"/>
            </w:pPr>
            <w:r>
              <w:rPr>
                <w:rFonts w:eastAsiaTheme="minorEastAsia"/>
                <w:color w:val="000000"/>
                <w:szCs w:val="21"/>
              </w:rPr>
              <w:t>2666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39,500</w:t>
            </w:r>
          </w:p>
        </w:tc>
        <w:tc>
          <w:tcPr>
            <w:tcW w:w="1690" w:type="dxa"/>
            <w:vAlign w:val="center"/>
          </w:tcPr>
          <w:p w:rsidR="007B4EE4" w:rsidRDefault="00B833D5">
            <w:pPr>
              <w:jc w:val="right"/>
            </w:pPr>
            <w:r>
              <w:rPr>
                <w:rFonts w:eastAsiaTheme="minorEastAsia"/>
                <w:color w:val="000000"/>
                <w:szCs w:val="21"/>
              </w:rPr>
              <w:t>168,858.52</w:t>
            </w:r>
          </w:p>
        </w:tc>
        <w:tc>
          <w:tcPr>
            <w:tcW w:w="997" w:type="dxa"/>
            <w:vAlign w:val="center"/>
          </w:tcPr>
          <w:p w:rsidR="007B4EE4" w:rsidRDefault="00B833D5">
            <w:pPr>
              <w:jc w:val="right"/>
            </w:pPr>
            <w:r>
              <w:rPr>
                <w:rFonts w:eastAsiaTheme="minorEastAsia"/>
                <w:color w:val="000000"/>
                <w:szCs w:val="21"/>
              </w:rPr>
              <w:t>0.72</w:t>
            </w:r>
          </w:p>
        </w:tc>
      </w:tr>
      <w:tr w:rsidR="007B4EE4">
        <w:trPr>
          <w:jc w:val="center"/>
        </w:trPr>
        <w:tc>
          <w:tcPr>
            <w:tcW w:w="771" w:type="dxa"/>
            <w:vAlign w:val="center"/>
          </w:tcPr>
          <w:p w:rsidR="007B4EE4" w:rsidRDefault="00B833D5">
            <w:pPr>
              <w:jc w:val="center"/>
            </w:pPr>
            <w:r>
              <w:rPr>
                <w:rFonts w:eastAsiaTheme="minorEastAsia"/>
                <w:color w:val="000000"/>
                <w:szCs w:val="21"/>
              </w:rPr>
              <w:t>33</w:t>
            </w:r>
          </w:p>
        </w:tc>
        <w:tc>
          <w:tcPr>
            <w:tcW w:w="905" w:type="dxa"/>
            <w:vAlign w:val="center"/>
          </w:tcPr>
          <w:p w:rsidR="007B4EE4" w:rsidRDefault="00B833D5">
            <w:pPr>
              <w:jc w:val="center"/>
            </w:pPr>
            <w:r>
              <w:rPr>
                <w:rFonts w:eastAsiaTheme="minorEastAsia"/>
                <w:color w:val="000000"/>
                <w:szCs w:val="21"/>
              </w:rPr>
              <w:t>Xinjiang Goldwind Science&amp;Technology Co.,Ltd</w:t>
            </w:r>
          </w:p>
        </w:tc>
        <w:tc>
          <w:tcPr>
            <w:tcW w:w="1015" w:type="dxa"/>
            <w:vAlign w:val="center"/>
          </w:tcPr>
          <w:p w:rsidR="007B4EE4" w:rsidRDefault="00B833D5">
            <w:pPr>
              <w:jc w:val="center"/>
            </w:pPr>
            <w:r>
              <w:rPr>
                <w:rFonts w:eastAsiaTheme="minorEastAsia"/>
                <w:color w:val="000000"/>
                <w:szCs w:val="21"/>
              </w:rPr>
              <w:t>新疆金风科技股份有限公司</w:t>
            </w:r>
          </w:p>
        </w:tc>
        <w:tc>
          <w:tcPr>
            <w:tcW w:w="1184" w:type="dxa"/>
            <w:vAlign w:val="center"/>
          </w:tcPr>
          <w:p w:rsidR="007B4EE4" w:rsidRDefault="00B833D5">
            <w:pPr>
              <w:jc w:val="center"/>
            </w:pPr>
            <w:r>
              <w:rPr>
                <w:rFonts w:eastAsiaTheme="minorEastAsia"/>
                <w:color w:val="000000"/>
                <w:szCs w:val="21"/>
              </w:rPr>
              <w:t>2208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27,820</w:t>
            </w:r>
          </w:p>
        </w:tc>
        <w:tc>
          <w:tcPr>
            <w:tcW w:w="1690" w:type="dxa"/>
            <w:vAlign w:val="center"/>
          </w:tcPr>
          <w:p w:rsidR="007B4EE4" w:rsidRDefault="00B833D5">
            <w:pPr>
              <w:jc w:val="right"/>
            </w:pPr>
            <w:r>
              <w:rPr>
                <w:rFonts w:eastAsiaTheme="minorEastAsia"/>
                <w:color w:val="000000"/>
                <w:szCs w:val="21"/>
              </w:rPr>
              <w:t>168,735.02</w:t>
            </w:r>
          </w:p>
        </w:tc>
        <w:tc>
          <w:tcPr>
            <w:tcW w:w="997" w:type="dxa"/>
            <w:vAlign w:val="center"/>
          </w:tcPr>
          <w:p w:rsidR="007B4EE4" w:rsidRDefault="00B833D5">
            <w:pPr>
              <w:jc w:val="right"/>
            </w:pPr>
            <w:r>
              <w:rPr>
                <w:rFonts w:eastAsiaTheme="minorEastAsia"/>
                <w:color w:val="000000"/>
                <w:szCs w:val="21"/>
              </w:rPr>
              <w:t>0.72</w:t>
            </w:r>
          </w:p>
        </w:tc>
      </w:tr>
      <w:tr w:rsidR="007B4EE4">
        <w:trPr>
          <w:jc w:val="center"/>
        </w:trPr>
        <w:tc>
          <w:tcPr>
            <w:tcW w:w="771" w:type="dxa"/>
            <w:vAlign w:val="center"/>
          </w:tcPr>
          <w:p w:rsidR="007B4EE4" w:rsidRDefault="00B833D5">
            <w:pPr>
              <w:jc w:val="center"/>
            </w:pPr>
            <w:r>
              <w:rPr>
                <w:rFonts w:eastAsiaTheme="minorEastAsia"/>
                <w:color w:val="000000"/>
                <w:szCs w:val="21"/>
              </w:rPr>
              <w:t>34</w:t>
            </w:r>
          </w:p>
        </w:tc>
        <w:tc>
          <w:tcPr>
            <w:tcW w:w="905" w:type="dxa"/>
            <w:vAlign w:val="center"/>
          </w:tcPr>
          <w:p w:rsidR="007B4EE4" w:rsidRDefault="00B833D5">
            <w:pPr>
              <w:jc w:val="center"/>
            </w:pPr>
            <w:r>
              <w:rPr>
                <w:rFonts w:eastAsiaTheme="minorEastAsia"/>
                <w:color w:val="000000"/>
                <w:szCs w:val="21"/>
              </w:rPr>
              <w:t>E-House (China) Enterprise Holdings Limited</w:t>
            </w:r>
          </w:p>
        </w:tc>
        <w:tc>
          <w:tcPr>
            <w:tcW w:w="1015" w:type="dxa"/>
            <w:vAlign w:val="center"/>
          </w:tcPr>
          <w:p w:rsidR="007B4EE4" w:rsidRDefault="00B833D5">
            <w:pPr>
              <w:jc w:val="center"/>
            </w:pPr>
            <w:r>
              <w:rPr>
                <w:rFonts w:eastAsiaTheme="minorEastAsia"/>
                <w:color w:val="000000"/>
                <w:szCs w:val="21"/>
              </w:rPr>
              <w:t>易居</w:t>
            </w:r>
            <w:r>
              <w:rPr>
                <w:rFonts w:eastAsiaTheme="minorEastAsia"/>
                <w:color w:val="000000"/>
                <w:szCs w:val="21"/>
              </w:rPr>
              <w:t>(</w:t>
            </w:r>
            <w:r>
              <w:rPr>
                <w:rFonts w:eastAsiaTheme="minorEastAsia"/>
                <w:color w:val="000000"/>
                <w:szCs w:val="21"/>
              </w:rPr>
              <w:t>中国</w:t>
            </w:r>
            <w:r>
              <w:rPr>
                <w:rFonts w:eastAsiaTheme="minorEastAsia"/>
                <w:color w:val="000000"/>
                <w:szCs w:val="21"/>
              </w:rPr>
              <w:t>)</w:t>
            </w:r>
            <w:r>
              <w:rPr>
                <w:rFonts w:eastAsiaTheme="minorEastAsia"/>
                <w:color w:val="000000"/>
                <w:szCs w:val="21"/>
              </w:rPr>
              <w:t>企业控股有限公司</w:t>
            </w:r>
          </w:p>
        </w:tc>
        <w:tc>
          <w:tcPr>
            <w:tcW w:w="1184" w:type="dxa"/>
            <w:vAlign w:val="center"/>
          </w:tcPr>
          <w:p w:rsidR="007B4EE4" w:rsidRDefault="00B833D5">
            <w:pPr>
              <w:jc w:val="center"/>
            </w:pPr>
            <w:r>
              <w:rPr>
                <w:rFonts w:eastAsiaTheme="minorEastAsia"/>
                <w:color w:val="000000"/>
                <w:szCs w:val="21"/>
              </w:rPr>
              <w:t>2048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20,400</w:t>
            </w:r>
          </w:p>
        </w:tc>
        <w:tc>
          <w:tcPr>
            <w:tcW w:w="1690" w:type="dxa"/>
            <w:vAlign w:val="center"/>
          </w:tcPr>
          <w:p w:rsidR="007B4EE4" w:rsidRDefault="00B833D5">
            <w:pPr>
              <w:jc w:val="right"/>
            </w:pPr>
            <w:r>
              <w:rPr>
                <w:rFonts w:eastAsiaTheme="minorEastAsia"/>
                <w:color w:val="000000"/>
                <w:szCs w:val="21"/>
              </w:rPr>
              <w:t>168,452.95</w:t>
            </w:r>
          </w:p>
        </w:tc>
        <w:tc>
          <w:tcPr>
            <w:tcW w:w="997" w:type="dxa"/>
            <w:vAlign w:val="center"/>
          </w:tcPr>
          <w:p w:rsidR="007B4EE4" w:rsidRDefault="00B833D5">
            <w:pPr>
              <w:jc w:val="right"/>
            </w:pPr>
            <w:r>
              <w:rPr>
                <w:rFonts w:eastAsiaTheme="minorEastAsia"/>
                <w:color w:val="000000"/>
                <w:szCs w:val="21"/>
              </w:rPr>
              <w:t>0.72</w:t>
            </w:r>
          </w:p>
        </w:tc>
      </w:tr>
      <w:tr w:rsidR="007B4EE4">
        <w:trPr>
          <w:jc w:val="center"/>
        </w:trPr>
        <w:tc>
          <w:tcPr>
            <w:tcW w:w="771" w:type="dxa"/>
            <w:vAlign w:val="center"/>
          </w:tcPr>
          <w:p w:rsidR="007B4EE4" w:rsidRDefault="00B833D5">
            <w:pPr>
              <w:jc w:val="center"/>
            </w:pPr>
            <w:r>
              <w:rPr>
                <w:rFonts w:eastAsiaTheme="minorEastAsia"/>
                <w:color w:val="000000"/>
                <w:szCs w:val="21"/>
              </w:rPr>
              <w:t>35</w:t>
            </w:r>
          </w:p>
        </w:tc>
        <w:tc>
          <w:tcPr>
            <w:tcW w:w="905" w:type="dxa"/>
            <w:vAlign w:val="center"/>
          </w:tcPr>
          <w:p w:rsidR="007B4EE4" w:rsidRDefault="00B833D5">
            <w:pPr>
              <w:jc w:val="center"/>
            </w:pPr>
            <w:r>
              <w:rPr>
                <w:rFonts w:eastAsiaTheme="minorEastAsia"/>
                <w:color w:val="000000"/>
                <w:szCs w:val="21"/>
              </w:rPr>
              <w:t>Xiabuxiabu Catering Management (China) Holdings Co., Ltd.</w:t>
            </w:r>
          </w:p>
        </w:tc>
        <w:tc>
          <w:tcPr>
            <w:tcW w:w="1015" w:type="dxa"/>
            <w:vAlign w:val="center"/>
          </w:tcPr>
          <w:p w:rsidR="007B4EE4" w:rsidRDefault="00B833D5">
            <w:pPr>
              <w:jc w:val="center"/>
            </w:pPr>
            <w:r>
              <w:rPr>
                <w:rFonts w:eastAsiaTheme="minorEastAsia"/>
                <w:color w:val="000000"/>
                <w:szCs w:val="21"/>
              </w:rPr>
              <w:t>呷哺呷哺餐饮管理</w:t>
            </w:r>
            <w:r>
              <w:rPr>
                <w:rFonts w:eastAsiaTheme="minorEastAsia"/>
                <w:color w:val="000000"/>
                <w:szCs w:val="21"/>
              </w:rPr>
              <w:t>(</w:t>
            </w:r>
            <w:r>
              <w:rPr>
                <w:rFonts w:eastAsiaTheme="minorEastAsia"/>
                <w:color w:val="000000"/>
                <w:szCs w:val="21"/>
              </w:rPr>
              <w:t>中国</w:t>
            </w:r>
            <w:r>
              <w:rPr>
                <w:rFonts w:eastAsiaTheme="minorEastAsia"/>
                <w:color w:val="000000"/>
                <w:szCs w:val="21"/>
              </w:rPr>
              <w:t>)</w:t>
            </w:r>
            <w:r>
              <w:rPr>
                <w:rFonts w:eastAsiaTheme="minorEastAsia"/>
                <w:color w:val="000000"/>
                <w:szCs w:val="21"/>
              </w:rPr>
              <w:t>控股有限公司</w:t>
            </w:r>
          </w:p>
        </w:tc>
        <w:tc>
          <w:tcPr>
            <w:tcW w:w="1184" w:type="dxa"/>
            <w:vAlign w:val="center"/>
          </w:tcPr>
          <w:p w:rsidR="007B4EE4" w:rsidRDefault="00B833D5">
            <w:pPr>
              <w:jc w:val="center"/>
            </w:pPr>
            <w:r>
              <w:rPr>
                <w:rFonts w:eastAsiaTheme="minorEastAsia"/>
                <w:color w:val="000000"/>
                <w:szCs w:val="21"/>
              </w:rPr>
              <w:t>520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23,941</w:t>
            </w:r>
          </w:p>
        </w:tc>
        <w:tc>
          <w:tcPr>
            <w:tcW w:w="1690" w:type="dxa"/>
            <w:vAlign w:val="center"/>
          </w:tcPr>
          <w:p w:rsidR="007B4EE4" w:rsidRDefault="00B833D5">
            <w:pPr>
              <w:jc w:val="right"/>
            </w:pPr>
            <w:r>
              <w:rPr>
                <w:rFonts w:eastAsiaTheme="minorEastAsia"/>
                <w:color w:val="000000"/>
                <w:szCs w:val="21"/>
              </w:rPr>
              <w:t>167,076.62</w:t>
            </w:r>
          </w:p>
        </w:tc>
        <w:tc>
          <w:tcPr>
            <w:tcW w:w="997" w:type="dxa"/>
            <w:vAlign w:val="center"/>
          </w:tcPr>
          <w:p w:rsidR="007B4EE4" w:rsidRDefault="00B833D5">
            <w:pPr>
              <w:jc w:val="right"/>
            </w:pPr>
            <w:r>
              <w:rPr>
                <w:rFonts w:eastAsiaTheme="minorEastAsia"/>
                <w:color w:val="000000"/>
                <w:szCs w:val="21"/>
              </w:rPr>
              <w:t>0.71</w:t>
            </w:r>
          </w:p>
        </w:tc>
      </w:tr>
      <w:tr w:rsidR="007B4EE4">
        <w:trPr>
          <w:jc w:val="center"/>
        </w:trPr>
        <w:tc>
          <w:tcPr>
            <w:tcW w:w="771" w:type="dxa"/>
            <w:vAlign w:val="center"/>
          </w:tcPr>
          <w:p w:rsidR="007B4EE4" w:rsidRDefault="00B833D5">
            <w:pPr>
              <w:jc w:val="center"/>
            </w:pPr>
            <w:r>
              <w:rPr>
                <w:rFonts w:eastAsiaTheme="minorEastAsia"/>
                <w:color w:val="000000"/>
                <w:szCs w:val="21"/>
              </w:rPr>
              <w:t>36</w:t>
            </w:r>
          </w:p>
        </w:tc>
        <w:tc>
          <w:tcPr>
            <w:tcW w:w="905" w:type="dxa"/>
            <w:vAlign w:val="center"/>
          </w:tcPr>
          <w:p w:rsidR="007B4EE4" w:rsidRDefault="00B833D5">
            <w:pPr>
              <w:jc w:val="center"/>
            </w:pPr>
            <w:r>
              <w:rPr>
                <w:rFonts w:eastAsiaTheme="minorEastAsia"/>
                <w:color w:val="000000"/>
                <w:szCs w:val="21"/>
              </w:rPr>
              <w:t>Sinopec Engineering (Group) Co., Ltd.</w:t>
            </w:r>
          </w:p>
        </w:tc>
        <w:tc>
          <w:tcPr>
            <w:tcW w:w="1015" w:type="dxa"/>
            <w:vAlign w:val="center"/>
          </w:tcPr>
          <w:p w:rsidR="007B4EE4" w:rsidRDefault="00B833D5">
            <w:pPr>
              <w:jc w:val="center"/>
            </w:pPr>
            <w:r>
              <w:rPr>
                <w:rFonts w:eastAsiaTheme="minorEastAsia"/>
                <w:color w:val="000000"/>
                <w:szCs w:val="21"/>
              </w:rPr>
              <w:t>中石化炼化工程</w:t>
            </w:r>
            <w:r>
              <w:rPr>
                <w:rFonts w:eastAsiaTheme="minorEastAsia"/>
                <w:color w:val="000000"/>
                <w:szCs w:val="21"/>
              </w:rPr>
              <w:t>(</w:t>
            </w:r>
            <w:r>
              <w:rPr>
                <w:rFonts w:eastAsiaTheme="minorEastAsia"/>
                <w:color w:val="000000"/>
                <w:szCs w:val="21"/>
              </w:rPr>
              <w:t>集团</w:t>
            </w:r>
            <w:r>
              <w:rPr>
                <w:rFonts w:eastAsiaTheme="minorEastAsia"/>
                <w:color w:val="000000"/>
                <w:szCs w:val="21"/>
              </w:rPr>
              <w:t>)</w:t>
            </w:r>
            <w:r>
              <w:rPr>
                <w:rFonts w:eastAsiaTheme="minorEastAsia"/>
                <w:color w:val="000000"/>
                <w:szCs w:val="21"/>
              </w:rPr>
              <w:t>股份有限公司</w:t>
            </w:r>
          </w:p>
        </w:tc>
        <w:tc>
          <w:tcPr>
            <w:tcW w:w="1184" w:type="dxa"/>
            <w:vAlign w:val="center"/>
          </w:tcPr>
          <w:p w:rsidR="007B4EE4" w:rsidRDefault="00B833D5">
            <w:pPr>
              <w:jc w:val="center"/>
            </w:pPr>
            <w:r>
              <w:rPr>
                <w:rFonts w:eastAsiaTheme="minorEastAsia"/>
                <w:color w:val="000000"/>
                <w:szCs w:val="21"/>
              </w:rPr>
              <w:t>2386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52,500</w:t>
            </w:r>
          </w:p>
        </w:tc>
        <w:tc>
          <w:tcPr>
            <w:tcW w:w="1690" w:type="dxa"/>
            <w:vAlign w:val="center"/>
          </w:tcPr>
          <w:p w:rsidR="007B4EE4" w:rsidRDefault="00B833D5">
            <w:pPr>
              <w:jc w:val="right"/>
            </w:pPr>
            <w:r>
              <w:rPr>
                <w:rFonts w:eastAsiaTheme="minorEastAsia"/>
                <w:color w:val="000000"/>
                <w:szCs w:val="21"/>
              </w:rPr>
              <w:t>158,253.48</w:t>
            </w:r>
          </w:p>
        </w:tc>
        <w:tc>
          <w:tcPr>
            <w:tcW w:w="997" w:type="dxa"/>
            <w:vAlign w:val="center"/>
          </w:tcPr>
          <w:p w:rsidR="007B4EE4" w:rsidRDefault="00B833D5">
            <w:pPr>
              <w:jc w:val="right"/>
            </w:pPr>
            <w:r>
              <w:rPr>
                <w:rFonts w:eastAsiaTheme="minorEastAsia"/>
                <w:color w:val="000000"/>
                <w:szCs w:val="21"/>
              </w:rPr>
              <w:t>0.67</w:t>
            </w:r>
          </w:p>
        </w:tc>
      </w:tr>
      <w:tr w:rsidR="007B4EE4">
        <w:trPr>
          <w:jc w:val="center"/>
        </w:trPr>
        <w:tc>
          <w:tcPr>
            <w:tcW w:w="771" w:type="dxa"/>
            <w:vAlign w:val="center"/>
          </w:tcPr>
          <w:p w:rsidR="007B4EE4" w:rsidRDefault="00B833D5">
            <w:pPr>
              <w:jc w:val="center"/>
            </w:pPr>
            <w:r>
              <w:rPr>
                <w:rFonts w:eastAsiaTheme="minorEastAsia"/>
                <w:color w:val="000000"/>
                <w:szCs w:val="21"/>
              </w:rPr>
              <w:t>37</w:t>
            </w:r>
          </w:p>
        </w:tc>
        <w:tc>
          <w:tcPr>
            <w:tcW w:w="905" w:type="dxa"/>
            <w:vAlign w:val="center"/>
          </w:tcPr>
          <w:p w:rsidR="007B4EE4" w:rsidRDefault="00B833D5">
            <w:pPr>
              <w:jc w:val="center"/>
            </w:pPr>
            <w:r>
              <w:rPr>
                <w:rFonts w:eastAsiaTheme="minorEastAsia"/>
                <w:color w:val="000000"/>
                <w:szCs w:val="21"/>
              </w:rPr>
              <w:t>Viva Biotech Holdings</w:t>
            </w:r>
          </w:p>
        </w:tc>
        <w:tc>
          <w:tcPr>
            <w:tcW w:w="1015" w:type="dxa"/>
            <w:vAlign w:val="center"/>
          </w:tcPr>
          <w:p w:rsidR="007B4EE4" w:rsidRDefault="00B833D5">
            <w:pPr>
              <w:jc w:val="center"/>
            </w:pPr>
            <w:r>
              <w:rPr>
                <w:rFonts w:eastAsiaTheme="minorEastAsia"/>
                <w:color w:val="000000"/>
                <w:szCs w:val="21"/>
              </w:rPr>
              <w:t>维亚生物科技控股集团</w:t>
            </w:r>
          </w:p>
        </w:tc>
        <w:tc>
          <w:tcPr>
            <w:tcW w:w="1184" w:type="dxa"/>
            <w:vAlign w:val="center"/>
          </w:tcPr>
          <w:p w:rsidR="007B4EE4" w:rsidRDefault="00B833D5">
            <w:pPr>
              <w:jc w:val="center"/>
            </w:pPr>
            <w:r>
              <w:rPr>
                <w:rFonts w:eastAsiaTheme="minorEastAsia"/>
                <w:color w:val="000000"/>
                <w:szCs w:val="21"/>
              </w:rPr>
              <w:t>1873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19,930</w:t>
            </w:r>
          </w:p>
        </w:tc>
        <w:tc>
          <w:tcPr>
            <w:tcW w:w="1690" w:type="dxa"/>
            <w:vAlign w:val="center"/>
          </w:tcPr>
          <w:p w:rsidR="007B4EE4" w:rsidRDefault="00B833D5">
            <w:pPr>
              <w:jc w:val="right"/>
            </w:pPr>
            <w:r>
              <w:rPr>
                <w:rFonts w:eastAsiaTheme="minorEastAsia"/>
                <w:color w:val="000000"/>
                <w:szCs w:val="21"/>
              </w:rPr>
              <w:t>158,018.18</w:t>
            </w:r>
          </w:p>
        </w:tc>
        <w:tc>
          <w:tcPr>
            <w:tcW w:w="997" w:type="dxa"/>
            <w:vAlign w:val="center"/>
          </w:tcPr>
          <w:p w:rsidR="007B4EE4" w:rsidRDefault="00B833D5">
            <w:pPr>
              <w:jc w:val="right"/>
            </w:pPr>
            <w:r>
              <w:rPr>
                <w:rFonts w:eastAsiaTheme="minorEastAsia"/>
                <w:color w:val="000000"/>
                <w:szCs w:val="21"/>
              </w:rPr>
              <w:t>0.67</w:t>
            </w:r>
          </w:p>
        </w:tc>
      </w:tr>
      <w:tr w:rsidR="007B4EE4">
        <w:trPr>
          <w:jc w:val="center"/>
        </w:trPr>
        <w:tc>
          <w:tcPr>
            <w:tcW w:w="771" w:type="dxa"/>
            <w:vAlign w:val="center"/>
          </w:tcPr>
          <w:p w:rsidR="007B4EE4" w:rsidRDefault="00B833D5">
            <w:pPr>
              <w:jc w:val="center"/>
            </w:pPr>
            <w:r>
              <w:rPr>
                <w:rFonts w:eastAsiaTheme="minorEastAsia"/>
                <w:color w:val="000000"/>
                <w:szCs w:val="21"/>
              </w:rPr>
              <w:lastRenderedPageBreak/>
              <w:t>38</w:t>
            </w:r>
          </w:p>
        </w:tc>
        <w:tc>
          <w:tcPr>
            <w:tcW w:w="905" w:type="dxa"/>
            <w:vAlign w:val="center"/>
          </w:tcPr>
          <w:p w:rsidR="007B4EE4" w:rsidRDefault="00B833D5">
            <w:pPr>
              <w:jc w:val="center"/>
            </w:pPr>
            <w:r>
              <w:rPr>
                <w:rFonts w:eastAsiaTheme="minorEastAsia"/>
                <w:color w:val="000000"/>
                <w:szCs w:val="21"/>
              </w:rPr>
              <w:t>Value Partners Group Limited</w:t>
            </w:r>
          </w:p>
        </w:tc>
        <w:tc>
          <w:tcPr>
            <w:tcW w:w="1015" w:type="dxa"/>
            <w:vAlign w:val="center"/>
          </w:tcPr>
          <w:p w:rsidR="007B4EE4" w:rsidRDefault="00B833D5">
            <w:pPr>
              <w:jc w:val="center"/>
            </w:pPr>
            <w:r>
              <w:rPr>
                <w:rFonts w:eastAsiaTheme="minorEastAsia"/>
                <w:color w:val="000000"/>
                <w:szCs w:val="21"/>
              </w:rPr>
              <w:t>惠理集团有限公司</w:t>
            </w:r>
          </w:p>
        </w:tc>
        <w:tc>
          <w:tcPr>
            <w:tcW w:w="1184" w:type="dxa"/>
            <w:vAlign w:val="center"/>
          </w:tcPr>
          <w:p w:rsidR="007B4EE4" w:rsidRDefault="00B833D5">
            <w:pPr>
              <w:jc w:val="center"/>
            </w:pPr>
            <w:r>
              <w:rPr>
                <w:rFonts w:eastAsiaTheme="minorEastAsia"/>
                <w:color w:val="000000"/>
                <w:szCs w:val="21"/>
              </w:rPr>
              <w:t>806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44,000</w:t>
            </w:r>
          </w:p>
        </w:tc>
        <w:tc>
          <w:tcPr>
            <w:tcW w:w="1690" w:type="dxa"/>
            <w:vAlign w:val="center"/>
          </w:tcPr>
          <w:p w:rsidR="007B4EE4" w:rsidRDefault="00B833D5">
            <w:pPr>
              <w:jc w:val="right"/>
            </w:pPr>
            <w:r>
              <w:rPr>
                <w:rFonts w:eastAsiaTheme="minorEastAsia"/>
                <w:color w:val="000000"/>
                <w:szCs w:val="21"/>
              </w:rPr>
              <w:t>157,952.04</w:t>
            </w:r>
          </w:p>
        </w:tc>
        <w:tc>
          <w:tcPr>
            <w:tcW w:w="997" w:type="dxa"/>
            <w:vAlign w:val="center"/>
          </w:tcPr>
          <w:p w:rsidR="007B4EE4" w:rsidRDefault="00B833D5">
            <w:pPr>
              <w:jc w:val="right"/>
            </w:pPr>
            <w:r>
              <w:rPr>
                <w:rFonts w:eastAsiaTheme="minorEastAsia"/>
                <w:color w:val="000000"/>
                <w:szCs w:val="21"/>
              </w:rPr>
              <w:t>0.67</w:t>
            </w:r>
          </w:p>
        </w:tc>
      </w:tr>
      <w:tr w:rsidR="007B4EE4">
        <w:trPr>
          <w:jc w:val="center"/>
        </w:trPr>
        <w:tc>
          <w:tcPr>
            <w:tcW w:w="771" w:type="dxa"/>
            <w:vAlign w:val="center"/>
          </w:tcPr>
          <w:p w:rsidR="007B4EE4" w:rsidRDefault="00B833D5">
            <w:pPr>
              <w:jc w:val="center"/>
            </w:pPr>
            <w:r>
              <w:rPr>
                <w:rFonts w:eastAsiaTheme="minorEastAsia"/>
                <w:color w:val="000000"/>
                <w:szCs w:val="21"/>
              </w:rPr>
              <w:t>39</w:t>
            </w:r>
          </w:p>
        </w:tc>
        <w:tc>
          <w:tcPr>
            <w:tcW w:w="905" w:type="dxa"/>
            <w:vAlign w:val="center"/>
          </w:tcPr>
          <w:p w:rsidR="007B4EE4" w:rsidRDefault="00B833D5">
            <w:pPr>
              <w:jc w:val="center"/>
            </w:pPr>
            <w:r>
              <w:rPr>
                <w:rFonts w:eastAsiaTheme="minorEastAsia"/>
                <w:color w:val="000000"/>
                <w:szCs w:val="21"/>
              </w:rPr>
              <w:t>The United Laboratories International Holdings Ltd</w:t>
            </w:r>
          </w:p>
        </w:tc>
        <w:tc>
          <w:tcPr>
            <w:tcW w:w="1015" w:type="dxa"/>
            <w:vAlign w:val="center"/>
          </w:tcPr>
          <w:p w:rsidR="007B4EE4" w:rsidRDefault="00B833D5">
            <w:pPr>
              <w:jc w:val="center"/>
            </w:pPr>
            <w:r>
              <w:rPr>
                <w:rFonts w:eastAsiaTheme="minorEastAsia"/>
                <w:color w:val="000000"/>
                <w:szCs w:val="21"/>
              </w:rPr>
              <w:t>联邦制药国际控股有限公司</w:t>
            </w:r>
          </w:p>
        </w:tc>
        <w:tc>
          <w:tcPr>
            <w:tcW w:w="1184" w:type="dxa"/>
            <w:vAlign w:val="center"/>
          </w:tcPr>
          <w:p w:rsidR="007B4EE4" w:rsidRDefault="00B833D5">
            <w:pPr>
              <w:jc w:val="center"/>
            </w:pPr>
            <w:r>
              <w:rPr>
                <w:rFonts w:eastAsiaTheme="minorEastAsia"/>
                <w:color w:val="000000"/>
                <w:szCs w:val="21"/>
              </w:rPr>
              <w:t>3933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25,797</w:t>
            </w:r>
          </w:p>
        </w:tc>
        <w:tc>
          <w:tcPr>
            <w:tcW w:w="1690" w:type="dxa"/>
            <w:vAlign w:val="center"/>
          </w:tcPr>
          <w:p w:rsidR="007B4EE4" w:rsidRDefault="00B833D5">
            <w:pPr>
              <w:jc w:val="right"/>
            </w:pPr>
            <w:r>
              <w:rPr>
                <w:rFonts w:eastAsiaTheme="minorEastAsia"/>
                <w:color w:val="000000"/>
                <w:szCs w:val="21"/>
              </w:rPr>
              <w:t>157,878.88</w:t>
            </w:r>
          </w:p>
        </w:tc>
        <w:tc>
          <w:tcPr>
            <w:tcW w:w="997" w:type="dxa"/>
            <w:vAlign w:val="center"/>
          </w:tcPr>
          <w:p w:rsidR="007B4EE4" w:rsidRDefault="00B833D5">
            <w:pPr>
              <w:jc w:val="right"/>
            </w:pPr>
            <w:r>
              <w:rPr>
                <w:rFonts w:eastAsiaTheme="minorEastAsia"/>
                <w:color w:val="000000"/>
                <w:szCs w:val="21"/>
              </w:rPr>
              <w:t>0.67</w:t>
            </w:r>
          </w:p>
        </w:tc>
      </w:tr>
      <w:tr w:rsidR="007B4EE4">
        <w:trPr>
          <w:jc w:val="center"/>
        </w:trPr>
        <w:tc>
          <w:tcPr>
            <w:tcW w:w="771" w:type="dxa"/>
            <w:vAlign w:val="center"/>
          </w:tcPr>
          <w:p w:rsidR="007B4EE4" w:rsidRDefault="00B833D5">
            <w:pPr>
              <w:jc w:val="center"/>
            </w:pPr>
            <w:r>
              <w:rPr>
                <w:rFonts w:eastAsiaTheme="minorEastAsia"/>
                <w:color w:val="000000"/>
                <w:szCs w:val="21"/>
              </w:rPr>
              <w:t>40</w:t>
            </w:r>
          </w:p>
        </w:tc>
        <w:tc>
          <w:tcPr>
            <w:tcW w:w="905" w:type="dxa"/>
            <w:vAlign w:val="center"/>
          </w:tcPr>
          <w:p w:rsidR="007B4EE4" w:rsidRDefault="00B833D5">
            <w:pPr>
              <w:jc w:val="center"/>
            </w:pPr>
            <w:r>
              <w:rPr>
                <w:rFonts w:eastAsiaTheme="minorEastAsia"/>
                <w:color w:val="000000"/>
                <w:szCs w:val="21"/>
              </w:rPr>
              <w:t>China Kepei Education Group Limited</w:t>
            </w:r>
          </w:p>
        </w:tc>
        <w:tc>
          <w:tcPr>
            <w:tcW w:w="1015" w:type="dxa"/>
            <w:vAlign w:val="center"/>
          </w:tcPr>
          <w:p w:rsidR="007B4EE4" w:rsidRDefault="00B833D5">
            <w:pPr>
              <w:jc w:val="center"/>
            </w:pPr>
            <w:r>
              <w:rPr>
                <w:rFonts w:eastAsiaTheme="minorEastAsia"/>
                <w:color w:val="000000"/>
                <w:szCs w:val="21"/>
              </w:rPr>
              <w:t>中国科培教育集团有限公司</w:t>
            </w:r>
          </w:p>
        </w:tc>
        <w:tc>
          <w:tcPr>
            <w:tcW w:w="1184" w:type="dxa"/>
            <w:vAlign w:val="center"/>
          </w:tcPr>
          <w:p w:rsidR="007B4EE4" w:rsidRDefault="00B833D5">
            <w:pPr>
              <w:jc w:val="center"/>
            </w:pPr>
            <w:r>
              <w:rPr>
                <w:rFonts w:eastAsiaTheme="minorEastAsia"/>
                <w:color w:val="000000"/>
                <w:szCs w:val="21"/>
              </w:rPr>
              <w:t>1890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27,454</w:t>
            </w:r>
          </w:p>
        </w:tc>
        <w:tc>
          <w:tcPr>
            <w:tcW w:w="1690" w:type="dxa"/>
            <w:vAlign w:val="center"/>
          </w:tcPr>
          <w:p w:rsidR="007B4EE4" w:rsidRDefault="00B833D5">
            <w:pPr>
              <w:jc w:val="right"/>
            </w:pPr>
            <w:r>
              <w:rPr>
                <w:rFonts w:eastAsiaTheme="minorEastAsia"/>
                <w:color w:val="000000"/>
                <w:szCs w:val="21"/>
              </w:rPr>
              <w:t>156,484.11</w:t>
            </w:r>
          </w:p>
        </w:tc>
        <w:tc>
          <w:tcPr>
            <w:tcW w:w="997" w:type="dxa"/>
            <w:vAlign w:val="center"/>
          </w:tcPr>
          <w:p w:rsidR="007B4EE4" w:rsidRDefault="00B833D5">
            <w:pPr>
              <w:jc w:val="right"/>
            </w:pPr>
            <w:r>
              <w:rPr>
                <w:rFonts w:eastAsiaTheme="minorEastAsia"/>
                <w:color w:val="000000"/>
                <w:szCs w:val="21"/>
              </w:rPr>
              <w:t>0.67</w:t>
            </w:r>
          </w:p>
        </w:tc>
      </w:tr>
      <w:tr w:rsidR="007B4EE4">
        <w:trPr>
          <w:jc w:val="center"/>
        </w:trPr>
        <w:tc>
          <w:tcPr>
            <w:tcW w:w="771" w:type="dxa"/>
            <w:vAlign w:val="center"/>
          </w:tcPr>
          <w:p w:rsidR="007B4EE4" w:rsidRDefault="00B833D5">
            <w:pPr>
              <w:jc w:val="center"/>
            </w:pPr>
            <w:r>
              <w:rPr>
                <w:rFonts w:eastAsiaTheme="minorEastAsia"/>
                <w:color w:val="000000"/>
                <w:szCs w:val="21"/>
              </w:rPr>
              <w:t>41</w:t>
            </w:r>
          </w:p>
        </w:tc>
        <w:tc>
          <w:tcPr>
            <w:tcW w:w="905" w:type="dxa"/>
            <w:vAlign w:val="center"/>
          </w:tcPr>
          <w:p w:rsidR="007B4EE4" w:rsidRDefault="00B833D5">
            <w:pPr>
              <w:jc w:val="center"/>
            </w:pPr>
            <w:r>
              <w:rPr>
                <w:rFonts w:eastAsiaTheme="minorEastAsia"/>
                <w:color w:val="000000"/>
                <w:szCs w:val="21"/>
              </w:rPr>
              <w:t>China South City Holdings Limited</w:t>
            </w:r>
          </w:p>
        </w:tc>
        <w:tc>
          <w:tcPr>
            <w:tcW w:w="1015" w:type="dxa"/>
            <w:vAlign w:val="center"/>
          </w:tcPr>
          <w:p w:rsidR="007B4EE4" w:rsidRDefault="00B833D5">
            <w:pPr>
              <w:jc w:val="center"/>
            </w:pPr>
            <w:r>
              <w:rPr>
                <w:rFonts w:eastAsiaTheme="minorEastAsia"/>
                <w:color w:val="000000"/>
                <w:szCs w:val="21"/>
              </w:rPr>
              <w:t>华南城控股有限公司</w:t>
            </w:r>
          </w:p>
        </w:tc>
        <w:tc>
          <w:tcPr>
            <w:tcW w:w="1184" w:type="dxa"/>
            <w:vAlign w:val="center"/>
          </w:tcPr>
          <w:p w:rsidR="007B4EE4" w:rsidRDefault="00B833D5">
            <w:pPr>
              <w:jc w:val="center"/>
            </w:pPr>
            <w:r>
              <w:rPr>
                <w:rFonts w:eastAsiaTheme="minorEastAsia"/>
                <w:color w:val="000000"/>
                <w:szCs w:val="21"/>
              </w:rPr>
              <w:t>1668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216,000</w:t>
            </w:r>
          </w:p>
        </w:tc>
        <w:tc>
          <w:tcPr>
            <w:tcW w:w="1690" w:type="dxa"/>
            <w:vAlign w:val="center"/>
          </w:tcPr>
          <w:p w:rsidR="007B4EE4" w:rsidRDefault="00B833D5">
            <w:pPr>
              <w:jc w:val="right"/>
            </w:pPr>
            <w:r>
              <w:rPr>
                <w:rFonts w:eastAsiaTheme="minorEastAsia"/>
                <w:color w:val="000000"/>
                <w:szCs w:val="21"/>
              </w:rPr>
              <w:t>155,869.40</w:t>
            </w:r>
          </w:p>
        </w:tc>
        <w:tc>
          <w:tcPr>
            <w:tcW w:w="997" w:type="dxa"/>
            <w:vAlign w:val="center"/>
          </w:tcPr>
          <w:p w:rsidR="007B4EE4" w:rsidRDefault="00B833D5">
            <w:pPr>
              <w:jc w:val="right"/>
            </w:pPr>
            <w:r>
              <w:rPr>
                <w:rFonts w:eastAsiaTheme="minorEastAsia"/>
                <w:color w:val="000000"/>
                <w:szCs w:val="21"/>
              </w:rPr>
              <w:t>0.66</w:t>
            </w:r>
          </w:p>
        </w:tc>
      </w:tr>
      <w:tr w:rsidR="007B4EE4">
        <w:trPr>
          <w:jc w:val="center"/>
        </w:trPr>
        <w:tc>
          <w:tcPr>
            <w:tcW w:w="771" w:type="dxa"/>
            <w:vAlign w:val="center"/>
          </w:tcPr>
          <w:p w:rsidR="007B4EE4" w:rsidRDefault="00B833D5">
            <w:pPr>
              <w:jc w:val="center"/>
            </w:pPr>
            <w:r>
              <w:rPr>
                <w:rFonts w:eastAsiaTheme="minorEastAsia"/>
                <w:color w:val="000000"/>
                <w:szCs w:val="21"/>
              </w:rPr>
              <w:t>42</w:t>
            </w:r>
          </w:p>
        </w:tc>
        <w:tc>
          <w:tcPr>
            <w:tcW w:w="905" w:type="dxa"/>
            <w:vAlign w:val="center"/>
          </w:tcPr>
          <w:p w:rsidR="007B4EE4" w:rsidRDefault="00B833D5">
            <w:pPr>
              <w:jc w:val="center"/>
            </w:pPr>
            <w:r>
              <w:rPr>
                <w:rFonts w:eastAsiaTheme="minorEastAsia"/>
                <w:color w:val="000000"/>
                <w:szCs w:val="21"/>
              </w:rPr>
              <w:t>Lonking Holdings Limited</w:t>
            </w:r>
          </w:p>
        </w:tc>
        <w:tc>
          <w:tcPr>
            <w:tcW w:w="1015" w:type="dxa"/>
            <w:vAlign w:val="center"/>
          </w:tcPr>
          <w:p w:rsidR="007B4EE4" w:rsidRDefault="00B833D5">
            <w:pPr>
              <w:jc w:val="center"/>
            </w:pPr>
            <w:r>
              <w:rPr>
                <w:rFonts w:eastAsiaTheme="minorEastAsia"/>
                <w:color w:val="000000"/>
                <w:szCs w:val="21"/>
              </w:rPr>
              <w:t>中国龙工控股有限公司</w:t>
            </w:r>
          </w:p>
        </w:tc>
        <w:tc>
          <w:tcPr>
            <w:tcW w:w="1184" w:type="dxa"/>
            <w:vAlign w:val="center"/>
          </w:tcPr>
          <w:p w:rsidR="007B4EE4" w:rsidRDefault="00B833D5">
            <w:pPr>
              <w:jc w:val="center"/>
            </w:pPr>
            <w:r>
              <w:rPr>
                <w:rFonts w:eastAsiaTheme="minorEastAsia"/>
                <w:color w:val="000000"/>
                <w:szCs w:val="21"/>
              </w:rPr>
              <w:t>3339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71,000</w:t>
            </w:r>
          </w:p>
        </w:tc>
        <w:tc>
          <w:tcPr>
            <w:tcW w:w="1690" w:type="dxa"/>
            <w:vAlign w:val="center"/>
          </w:tcPr>
          <w:p w:rsidR="007B4EE4" w:rsidRDefault="00B833D5">
            <w:pPr>
              <w:jc w:val="right"/>
            </w:pPr>
            <w:r>
              <w:rPr>
                <w:rFonts w:eastAsiaTheme="minorEastAsia"/>
                <w:color w:val="000000"/>
                <w:szCs w:val="21"/>
              </w:rPr>
              <w:t>152,407.46</w:t>
            </w:r>
          </w:p>
        </w:tc>
        <w:tc>
          <w:tcPr>
            <w:tcW w:w="997" w:type="dxa"/>
            <w:vAlign w:val="center"/>
          </w:tcPr>
          <w:p w:rsidR="007B4EE4" w:rsidRDefault="00B833D5">
            <w:pPr>
              <w:jc w:val="right"/>
            </w:pPr>
            <w:r>
              <w:rPr>
                <w:rFonts w:eastAsiaTheme="minorEastAsia"/>
                <w:color w:val="000000"/>
                <w:szCs w:val="21"/>
              </w:rPr>
              <w:t>0.65</w:t>
            </w:r>
          </w:p>
        </w:tc>
      </w:tr>
      <w:tr w:rsidR="007B4EE4">
        <w:trPr>
          <w:jc w:val="center"/>
        </w:trPr>
        <w:tc>
          <w:tcPr>
            <w:tcW w:w="771" w:type="dxa"/>
            <w:vAlign w:val="center"/>
          </w:tcPr>
          <w:p w:rsidR="007B4EE4" w:rsidRDefault="00B833D5">
            <w:pPr>
              <w:jc w:val="center"/>
            </w:pPr>
            <w:r>
              <w:rPr>
                <w:rFonts w:eastAsiaTheme="minorEastAsia"/>
                <w:color w:val="000000"/>
                <w:szCs w:val="21"/>
              </w:rPr>
              <w:t>43</w:t>
            </w:r>
          </w:p>
        </w:tc>
        <w:tc>
          <w:tcPr>
            <w:tcW w:w="905" w:type="dxa"/>
            <w:vAlign w:val="center"/>
          </w:tcPr>
          <w:p w:rsidR="007B4EE4" w:rsidRDefault="00B833D5">
            <w:pPr>
              <w:jc w:val="center"/>
            </w:pPr>
            <w:r>
              <w:rPr>
                <w:rFonts w:eastAsiaTheme="minorEastAsia"/>
                <w:color w:val="000000"/>
                <w:szCs w:val="21"/>
              </w:rPr>
              <w:t>C&amp;D International Investment Group Limited</w:t>
            </w:r>
          </w:p>
        </w:tc>
        <w:tc>
          <w:tcPr>
            <w:tcW w:w="1015" w:type="dxa"/>
            <w:vAlign w:val="center"/>
          </w:tcPr>
          <w:p w:rsidR="007B4EE4" w:rsidRDefault="00B833D5">
            <w:pPr>
              <w:jc w:val="center"/>
            </w:pPr>
            <w:r>
              <w:rPr>
                <w:rFonts w:eastAsiaTheme="minorEastAsia"/>
                <w:color w:val="000000"/>
                <w:szCs w:val="21"/>
              </w:rPr>
              <w:t>建发国际投资集团有限公司</w:t>
            </w:r>
          </w:p>
        </w:tc>
        <w:tc>
          <w:tcPr>
            <w:tcW w:w="1184" w:type="dxa"/>
            <w:vAlign w:val="center"/>
          </w:tcPr>
          <w:p w:rsidR="007B4EE4" w:rsidRDefault="00B833D5">
            <w:pPr>
              <w:jc w:val="center"/>
            </w:pPr>
            <w:r>
              <w:rPr>
                <w:rFonts w:eastAsiaTheme="minorEastAsia"/>
                <w:color w:val="000000"/>
                <w:szCs w:val="21"/>
              </w:rPr>
              <w:t>1908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13,839</w:t>
            </w:r>
          </w:p>
        </w:tc>
        <w:tc>
          <w:tcPr>
            <w:tcW w:w="1690" w:type="dxa"/>
            <w:vAlign w:val="center"/>
          </w:tcPr>
          <w:p w:rsidR="007B4EE4" w:rsidRDefault="00B833D5">
            <w:pPr>
              <w:jc w:val="right"/>
            </w:pPr>
            <w:r>
              <w:rPr>
                <w:rFonts w:eastAsiaTheme="minorEastAsia"/>
                <w:color w:val="000000"/>
                <w:szCs w:val="21"/>
              </w:rPr>
              <w:t>152,198.80</w:t>
            </w:r>
          </w:p>
        </w:tc>
        <w:tc>
          <w:tcPr>
            <w:tcW w:w="997" w:type="dxa"/>
            <w:vAlign w:val="center"/>
          </w:tcPr>
          <w:p w:rsidR="007B4EE4" w:rsidRDefault="00B833D5">
            <w:pPr>
              <w:jc w:val="right"/>
            </w:pPr>
            <w:r>
              <w:rPr>
                <w:rFonts w:eastAsiaTheme="minorEastAsia"/>
                <w:color w:val="000000"/>
                <w:szCs w:val="21"/>
              </w:rPr>
              <w:t>0.65</w:t>
            </w:r>
          </w:p>
        </w:tc>
      </w:tr>
      <w:tr w:rsidR="007B4EE4">
        <w:trPr>
          <w:jc w:val="center"/>
        </w:trPr>
        <w:tc>
          <w:tcPr>
            <w:tcW w:w="771" w:type="dxa"/>
            <w:vAlign w:val="center"/>
          </w:tcPr>
          <w:p w:rsidR="007B4EE4" w:rsidRDefault="00B833D5">
            <w:pPr>
              <w:jc w:val="center"/>
            </w:pPr>
            <w:r>
              <w:rPr>
                <w:rFonts w:eastAsiaTheme="minorEastAsia"/>
                <w:color w:val="000000"/>
                <w:szCs w:val="21"/>
              </w:rPr>
              <w:t>44</w:t>
            </w:r>
          </w:p>
        </w:tc>
        <w:tc>
          <w:tcPr>
            <w:tcW w:w="905" w:type="dxa"/>
            <w:vAlign w:val="center"/>
          </w:tcPr>
          <w:p w:rsidR="007B4EE4" w:rsidRDefault="00B833D5">
            <w:pPr>
              <w:jc w:val="center"/>
            </w:pPr>
            <w:r>
              <w:rPr>
                <w:rFonts w:eastAsiaTheme="minorEastAsia"/>
                <w:color w:val="000000"/>
                <w:szCs w:val="21"/>
              </w:rPr>
              <w:t>Yichang Hec Changjiang Pharmaceutical Co., Ltd.</w:t>
            </w:r>
          </w:p>
        </w:tc>
        <w:tc>
          <w:tcPr>
            <w:tcW w:w="1015" w:type="dxa"/>
            <w:vAlign w:val="center"/>
          </w:tcPr>
          <w:p w:rsidR="007B4EE4" w:rsidRDefault="00B833D5">
            <w:pPr>
              <w:jc w:val="center"/>
            </w:pPr>
            <w:r>
              <w:rPr>
                <w:rFonts w:eastAsiaTheme="minorEastAsia"/>
                <w:color w:val="000000"/>
                <w:szCs w:val="21"/>
              </w:rPr>
              <w:t>宜昌东阳光长江药业股份有限公司</w:t>
            </w:r>
          </w:p>
        </w:tc>
        <w:tc>
          <w:tcPr>
            <w:tcW w:w="1184" w:type="dxa"/>
            <w:vAlign w:val="center"/>
          </w:tcPr>
          <w:p w:rsidR="007B4EE4" w:rsidRDefault="00B833D5">
            <w:pPr>
              <w:jc w:val="center"/>
            </w:pPr>
            <w:r>
              <w:rPr>
                <w:rFonts w:eastAsiaTheme="minorEastAsia"/>
                <w:color w:val="000000"/>
                <w:szCs w:val="21"/>
              </w:rPr>
              <w:t>1558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10,400</w:t>
            </w:r>
          </w:p>
        </w:tc>
        <w:tc>
          <w:tcPr>
            <w:tcW w:w="1690" w:type="dxa"/>
            <w:vAlign w:val="center"/>
          </w:tcPr>
          <w:p w:rsidR="007B4EE4" w:rsidRDefault="00B833D5">
            <w:pPr>
              <w:jc w:val="right"/>
            </w:pPr>
            <w:r>
              <w:rPr>
                <w:rFonts w:eastAsiaTheme="minorEastAsia"/>
                <w:color w:val="000000"/>
                <w:szCs w:val="21"/>
              </w:rPr>
              <w:t>150,476.45</w:t>
            </w:r>
          </w:p>
        </w:tc>
        <w:tc>
          <w:tcPr>
            <w:tcW w:w="997" w:type="dxa"/>
            <w:vAlign w:val="center"/>
          </w:tcPr>
          <w:p w:rsidR="007B4EE4" w:rsidRDefault="00B833D5">
            <w:pPr>
              <w:jc w:val="right"/>
            </w:pPr>
            <w:r>
              <w:rPr>
                <w:rFonts w:eastAsiaTheme="minorEastAsia"/>
                <w:color w:val="000000"/>
                <w:szCs w:val="21"/>
              </w:rPr>
              <w:t>0.64</w:t>
            </w:r>
          </w:p>
        </w:tc>
      </w:tr>
      <w:tr w:rsidR="007B4EE4">
        <w:trPr>
          <w:jc w:val="center"/>
        </w:trPr>
        <w:tc>
          <w:tcPr>
            <w:tcW w:w="771" w:type="dxa"/>
            <w:vAlign w:val="center"/>
          </w:tcPr>
          <w:p w:rsidR="007B4EE4" w:rsidRDefault="00B833D5">
            <w:pPr>
              <w:jc w:val="center"/>
            </w:pPr>
            <w:r>
              <w:rPr>
                <w:rFonts w:eastAsiaTheme="minorEastAsia"/>
                <w:color w:val="000000"/>
                <w:szCs w:val="21"/>
              </w:rPr>
              <w:t>45</w:t>
            </w:r>
          </w:p>
        </w:tc>
        <w:tc>
          <w:tcPr>
            <w:tcW w:w="905" w:type="dxa"/>
            <w:vAlign w:val="center"/>
          </w:tcPr>
          <w:p w:rsidR="007B4EE4" w:rsidRDefault="00B833D5">
            <w:pPr>
              <w:jc w:val="center"/>
            </w:pPr>
            <w:r>
              <w:rPr>
                <w:rFonts w:eastAsiaTheme="minorEastAsia"/>
                <w:color w:val="000000"/>
                <w:szCs w:val="21"/>
              </w:rPr>
              <w:t>Cofco Meat Holdings Limited</w:t>
            </w:r>
          </w:p>
        </w:tc>
        <w:tc>
          <w:tcPr>
            <w:tcW w:w="1015" w:type="dxa"/>
            <w:vAlign w:val="center"/>
          </w:tcPr>
          <w:p w:rsidR="007B4EE4" w:rsidRDefault="00B833D5">
            <w:pPr>
              <w:jc w:val="center"/>
            </w:pPr>
            <w:r>
              <w:rPr>
                <w:rFonts w:eastAsiaTheme="minorEastAsia"/>
                <w:color w:val="000000"/>
                <w:szCs w:val="21"/>
              </w:rPr>
              <w:t>中粮肉食控股有限公司</w:t>
            </w:r>
          </w:p>
        </w:tc>
        <w:tc>
          <w:tcPr>
            <w:tcW w:w="1184" w:type="dxa"/>
            <w:vAlign w:val="center"/>
          </w:tcPr>
          <w:p w:rsidR="007B4EE4" w:rsidRDefault="00B833D5">
            <w:pPr>
              <w:jc w:val="center"/>
            </w:pPr>
            <w:r>
              <w:rPr>
                <w:rFonts w:eastAsiaTheme="minorEastAsia"/>
                <w:color w:val="000000"/>
                <w:szCs w:val="21"/>
              </w:rPr>
              <w:t>1610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63,546</w:t>
            </w:r>
          </w:p>
        </w:tc>
        <w:tc>
          <w:tcPr>
            <w:tcW w:w="1690" w:type="dxa"/>
            <w:vAlign w:val="center"/>
          </w:tcPr>
          <w:p w:rsidR="007B4EE4" w:rsidRDefault="00B833D5">
            <w:pPr>
              <w:jc w:val="right"/>
            </w:pPr>
            <w:r>
              <w:rPr>
                <w:rFonts w:eastAsiaTheme="minorEastAsia"/>
                <w:color w:val="000000"/>
                <w:szCs w:val="21"/>
              </w:rPr>
              <w:t>148,596.37</w:t>
            </w:r>
          </w:p>
        </w:tc>
        <w:tc>
          <w:tcPr>
            <w:tcW w:w="997" w:type="dxa"/>
            <w:vAlign w:val="center"/>
          </w:tcPr>
          <w:p w:rsidR="007B4EE4" w:rsidRDefault="00B833D5">
            <w:pPr>
              <w:jc w:val="right"/>
            </w:pPr>
            <w:r>
              <w:rPr>
                <w:rFonts w:eastAsiaTheme="minorEastAsia"/>
                <w:color w:val="000000"/>
                <w:szCs w:val="21"/>
              </w:rPr>
              <w:t>0.63</w:t>
            </w:r>
          </w:p>
        </w:tc>
      </w:tr>
      <w:tr w:rsidR="007B4EE4">
        <w:trPr>
          <w:jc w:val="center"/>
        </w:trPr>
        <w:tc>
          <w:tcPr>
            <w:tcW w:w="771" w:type="dxa"/>
            <w:vAlign w:val="center"/>
          </w:tcPr>
          <w:p w:rsidR="007B4EE4" w:rsidRDefault="00B833D5">
            <w:pPr>
              <w:jc w:val="center"/>
            </w:pPr>
            <w:r>
              <w:rPr>
                <w:rFonts w:eastAsiaTheme="minorEastAsia"/>
                <w:color w:val="000000"/>
                <w:szCs w:val="21"/>
              </w:rPr>
              <w:t>46</w:t>
            </w:r>
          </w:p>
        </w:tc>
        <w:tc>
          <w:tcPr>
            <w:tcW w:w="905" w:type="dxa"/>
            <w:vAlign w:val="center"/>
          </w:tcPr>
          <w:p w:rsidR="007B4EE4" w:rsidRDefault="00B833D5">
            <w:pPr>
              <w:jc w:val="center"/>
            </w:pPr>
            <w:r>
              <w:rPr>
                <w:rFonts w:eastAsiaTheme="minorEastAsia"/>
                <w:color w:val="000000"/>
                <w:szCs w:val="21"/>
              </w:rPr>
              <w:t>Xd Inc.</w:t>
            </w:r>
          </w:p>
        </w:tc>
        <w:tc>
          <w:tcPr>
            <w:tcW w:w="1015" w:type="dxa"/>
            <w:vAlign w:val="center"/>
          </w:tcPr>
          <w:p w:rsidR="007B4EE4" w:rsidRDefault="00B833D5">
            <w:pPr>
              <w:jc w:val="center"/>
            </w:pPr>
            <w:r>
              <w:rPr>
                <w:rFonts w:eastAsiaTheme="minorEastAsia"/>
                <w:color w:val="000000"/>
                <w:szCs w:val="21"/>
              </w:rPr>
              <w:t>心动有限公司</w:t>
            </w:r>
          </w:p>
        </w:tc>
        <w:tc>
          <w:tcPr>
            <w:tcW w:w="1184" w:type="dxa"/>
            <w:vAlign w:val="center"/>
          </w:tcPr>
          <w:p w:rsidR="007B4EE4" w:rsidRDefault="00B833D5">
            <w:pPr>
              <w:jc w:val="center"/>
            </w:pPr>
            <w:r>
              <w:rPr>
                <w:rFonts w:eastAsiaTheme="minorEastAsia"/>
                <w:color w:val="000000"/>
                <w:szCs w:val="21"/>
              </w:rPr>
              <w:t>2400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5,400</w:t>
            </w:r>
          </w:p>
        </w:tc>
        <w:tc>
          <w:tcPr>
            <w:tcW w:w="1690" w:type="dxa"/>
            <w:vAlign w:val="center"/>
          </w:tcPr>
          <w:p w:rsidR="007B4EE4" w:rsidRDefault="00B833D5">
            <w:pPr>
              <w:jc w:val="right"/>
            </w:pPr>
            <w:r>
              <w:rPr>
                <w:rFonts w:eastAsiaTheme="minorEastAsia"/>
                <w:color w:val="000000"/>
                <w:szCs w:val="21"/>
              </w:rPr>
              <w:t>146,990.76</w:t>
            </w:r>
          </w:p>
        </w:tc>
        <w:tc>
          <w:tcPr>
            <w:tcW w:w="997" w:type="dxa"/>
            <w:vAlign w:val="center"/>
          </w:tcPr>
          <w:p w:rsidR="007B4EE4" w:rsidRDefault="00B833D5">
            <w:pPr>
              <w:jc w:val="right"/>
            </w:pPr>
            <w:r>
              <w:rPr>
                <w:rFonts w:eastAsiaTheme="minorEastAsia"/>
                <w:color w:val="000000"/>
                <w:szCs w:val="21"/>
              </w:rPr>
              <w:t>0.63</w:t>
            </w:r>
          </w:p>
        </w:tc>
      </w:tr>
      <w:tr w:rsidR="007B4EE4">
        <w:trPr>
          <w:jc w:val="center"/>
        </w:trPr>
        <w:tc>
          <w:tcPr>
            <w:tcW w:w="771" w:type="dxa"/>
            <w:vAlign w:val="center"/>
          </w:tcPr>
          <w:p w:rsidR="007B4EE4" w:rsidRDefault="00B833D5">
            <w:pPr>
              <w:jc w:val="center"/>
            </w:pPr>
            <w:r>
              <w:rPr>
                <w:rFonts w:eastAsiaTheme="minorEastAsia"/>
                <w:color w:val="000000"/>
                <w:szCs w:val="21"/>
              </w:rPr>
              <w:lastRenderedPageBreak/>
              <w:t>47</w:t>
            </w:r>
          </w:p>
        </w:tc>
        <w:tc>
          <w:tcPr>
            <w:tcW w:w="905" w:type="dxa"/>
            <w:vAlign w:val="center"/>
          </w:tcPr>
          <w:p w:rsidR="007B4EE4" w:rsidRDefault="00B833D5">
            <w:pPr>
              <w:jc w:val="center"/>
            </w:pPr>
            <w:r>
              <w:rPr>
                <w:rFonts w:eastAsiaTheme="minorEastAsia"/>
                <w:color w:val="000000"/>
                <w:szCs w:val="21"/>
              </w:rPr>
              <w:t>Q Technology (Group) Company Limited</w:t>
            </w:r>
          </w:p>
        </w:tc>
        <w:tc>
          <w:tcPr>
            <w:tcW w:w="1015" w:type="dxa"/>
            <w:vAlign w:val="center"/>
          </w:tcPr>
          <w:p w:rsidR="007B4EE4" w:rsidRDefault="00B833D5">
            <w:pPr>
              <w:jc w:val="center"/>
            </w:pPr>
            <w:r>
              <w:rPr>
                <w:rFonts w:eastAsiaTheme="minorEastAsia"/>
                <w:color w:val="000000"/>
                <w:szCs w:val="21"/>
              </w:rPr>
              <w:t>丘钛科技</w:t>
            </w:r>
            <w:r>
              <w:rPr>
                <w:rFonts w:eastAsiaTheme="minorEastAsia"/>
                <w:color w:val="000000"/>
                <w:szCs w:val="21"/>
              </w:rPr>
              <w:t>(</w:t>
            </w:r>
            <w:r>
              <w:rPr>
                <w:rFonts w:eastAsiaTheme="minorEastAsia"/>
                <w:color w:val="000000"/>
                <w:szCs w:val="21"/>
              </w:rPr>
              <w:t>集团</w:t>
            </w:r>
            <w:r>
              <w:rPr>
                <w:rFonts w:eastAsiaTheme="minorEastAsia"/>
                <w:color w:val="000000"/>
                <w:szCs w:val="21"/>
              </w:rPr>
              <w:t>)</w:t>
            </w:r>
            <w:r>
              <w:rPr>
                <w:rFonts w:eastAsiaTheme="minorEastAsia"/>
                <w:color w:val="000000"/>
                <w:szCs w:val="21"/>
              </w:rPr>
              <w:t>有限公司</w:t>
            </w:r>
          </w:p>
        </w:tc>
        <w:tc>
          <w:tcPr>
            <w:tcW w:w="1184" w:type="dxa"/>
            <w:vAlign w:val="center"/>
          </w:tcPr>
          <w:p w:rsidR="007B4EE4" w:rsidRDefault="00B833D5">
            <w:pPr>
              <w:jc w:val="center"/>
            </w:pPr>
            <w:r>
              <w:rPr>
                <w:rFonts w:eastAsiaTheme="minorEastAsia"/>
                <w:color w:val="000000"/>
                <w:szCs w:val="21"/>
              </w:rPr>
              <w:t>1478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15,882</w:t>
            </w:r>
          </w:p>
        </w:tc>
        <w:tc>
          <w:tcPr>
            <w:tcW w:w="1690" w:type="dxa"/>
            <w:vAlign w:val="center"/>
          </w:tcPr>
          <w:p w:rsidR="007B4EE4" w:rsidRDefault="00B833D5">
            <w:pPr>
              <w:jc w:val="right"/>
            </w:pPr>
            <w:r>
              <w:rPr>
                <w:rFonts w:eastAsiaTheme="minorEastAsia"/>
                <w:color w:val="000000"/>
                <w:szCs w:val="21"/>
              </w:rPr>
              <w:t>146,523.27</w:t>
            </w:r>
          </w:p>
        </w:tc>
        <w:tc>
          <w:tcPr>
            <w:tcW w:w="997" w:type="dxa"/>
            <w:vAlign w:val="center"/>
          </w:tcPr>
          <w:p w:rsidR="007B4EE4" w:rsidRDefault="00B833D5">
            <w:pPr>
              <w:jc w:val="right"/>
            </w:pPr>
            <w:r>
              <w:rPr>
                <w:rFonts w:eastAsiaTheme="minorEastAsia"/>
                <w:color w:val="000000"/>
                <w:szCs w:val="21"/>
              </w:rPr>
              <w:t>0.62</w:t>
            </w:r>
          </w:p>
        </w:tc>
      </w:tr>
      <w:tr w:rsidR="007B4EE4">
        <w:trPr>
          <w:jc w:val="center"/>
        </w:trPr>
        <w:tc>
          <w:tcPr>
            <w:tcW w:w="771" w:type="dxa"/>
            <w:vAlign w:val="center"/>
          </w:tcPr>
          <w:p w:rsidR="007B4EE4" w:rsidRDefault="00B833D5">
            <w:pPr>
              <w:jc w:val="center"/>
            </w:pPr>
            <w:r>
              <w:rPr>
                <w:rFonts w:eastAsiaTheme="minorEastAsia"/>
                <w:color w:val="000000"/>
                <w:szCs w:val="21"/>
              </w:rPr>
              <w:t>48</w:t>
            </w:r>
          </w:p>
        </w:tc>
        <w:tc>
          <w:tcPr>
            <w:tcW w:w="905" w:type="dxa"/>
            <w:vAlign w:val="center"/>
          </w:tcPr>
          <w:p w:rsidR="007B4EE4" w:rsidRDefault="00B833D5">
            <w:pPr>
              <w:jc w:val="center"/>
            </w:pPr>
            <w:r>
              <w:rPr>
                <w:rFonts w:eastAsiaTheme="minorEastAsia"/>
                <w:color w:val="000000"/>
                <w:szCs w:val="21"/>
              </w:rPr>
              <w:t>Skyworth Group Limited</w:t>
            </w:r>
          </w:p>
        </w:tc>
        <w:tc>
          <w:tcPr>
            <w:tcW w:w="1015" w:type="dxa"/>
            <w:vAlign w:val="center"/>
          </w:tcPr>
          <w:p w:rsidR="007B4EE4" w:rsidRDefault="00B833D5">
            <w:pPr>
              <w:jc w:val="center"/>
            </w:pPr>
            <w:r>
              <w:rPr>
                <w:rFonts w:eastAsiaTheme="minorEastAsia"/>
                <w:color w:val="000000"/>
                <w:szCs w:val="21"/>
              </w:rPr>
              <w:t>创维集团有限公司</w:t>
            </w:r>
          </w:p>
        </w:tc>
        <w:tc>
          <w:tcPr>
            <w:tcW w:w="1184" w:type="dxa"/>
            <w:vAlign w:val="center"/>
          </w:tcPr>
          <w:p w:rsidR="007B4EE4" w:rsidRDefault="00B833D5">
            <w:pPr>
              <w:jc w:val="center"/>
            </w:pPr>
            <w:r>
              <w:rPr>
                <w:rFonts w:eastAsiaTheme="minorEastAsia"/>
                <w:color w:val="000000"/>
                <w:szCs w:val="21"/>
              </w:rPr>
              <w:t>751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72,002</w:t>
            </w:r>
          </w:p>
        </w:tc>
        <w:tc>
          <w:tcPr>
            <w:tcW w:w="1690" w:type="dxa"/>
            <w:vAlign w:val="center"/>
          </w:tcPr>
          <w:p w:rsidR="007B4EE4" w:rsidRDefault="00B833D5">
            <w:pPr>
              <w:jc w:val="right"/>
            </w:pPr>
            <w:r>
              <w:rPr>
                <w:rFonts w:eastAsiaTheme="minorEastAsia"/>
                <w:color w:val="000000"/>
                <w:szCs w:val="21"/>
              </w:rPr>
              <w:t>142,719.83</w:t>
            </w:r>
          </w:p>
        </w:tc>
        <w:tc>
          <w:tcPr>
            <w:tcW w:w="997" w:type="dxa"/>
            <w:vAlign w:val="center"/>
          </w:tcPr>
          <w:p w:rsidR="007B4EE4" w:rsidRDefault="00B833D5">
            <w:pPr>
              <w:jc w:val="right"/>
            </w:pPr>
            <w:r>
              <w:rPr>
                <w:rFonts w:eastAsiaTheme="minorEastAsia"/>
                <w:color w:val="000000"/>
                <w:szCs w:val="21"/>
              </w:rPr>
              <w:t>0.61</w:t>
            </w:r>
          </w:p>
        </w:tc>
      </w:tr>
      <w:tr w:rsidR="007B4EE4">
        <w:trPr>
          <w:jc w:val="center"/>
        </w:trPr>
        <w:tc>
          <w:tcPr>
            <w:tcW w:w="771" w:type="dxa"/>
            <w:vAlign w:val="center"/>
          </w:tcPr>
          <w:p w:rsidR="007B4EE4" w:rsidRDefault="00B833D5">
            <w:pPr>
              <w:jc w:val="center"/>
            </w:pPr>
            <w:r>
              <w:rPr>
                <w:rFonts w:eastAsiaTheme="minorEastAsia"/>
                <w:color w:val="000000"/>
                <w:szCs w:val="21"/>
              </w:rPr>
              <w:t>49</w:t>
            </w:r>
          </w:p>
        </w:tc>
        <w:tc>
          <w:tcPr>
            <w:tcW w:w="905" w:type="dxa"/>
            <w:vAlign w:val="center"/>
          </w:tcPr>
          <w:p w:rsidR="007B4EE4" w:rsidRDefault="00B833D5">
            <w:pPr>
              <w:jc w:val="center"/>
            </w:pPr>
            <w:r>
              <w:rPr>
                <w:rFonts w:eastAsiaTheme="minorEastAsia"/>
                <w:color w:val="000000"/>
                <w:szCs w:val="21"/>
              </w:rPr>
              <w:t>Shun Tak Holdings Ltd.</w:t>
            </w:r>
          </w:p>
        </w:tc>
        <w:tc>
          <w:tcPr>
            <w:tcW w:w="1015" w:type="dxa"/>
            <w:vAlign w:val="center"/>
          </w:tcPr>
          <w:p w:rsidR="007B4EE4" w:rsidRDefault="00B833D5">
            <w:pPr>
              <w:jc w:val="center"/>
            </w:pPr>
            <w:r>
              <w:rPr>
                <w:rFonts w:eastAsiaTheme="minorEastAsia"/>
                <w:color w:val="000000"/>
                <w:szCs w:val="21"/>
              </w:rPr>
              <w:t>信德集团有限公司</w:t>
            </w:r>
          </w:p>
        </w:tc>
        <w:tc>
          <w:tcPr>
            <w:tcW w:w="1184" w:type="dxa"/>
            <w:vAlign w:val="center"/>
          </w:tcPr>
          <w:p w:rsidR="007B4EE4" w:rsidRDefault="00B833D5">
            <w:pPr>
              <w:jc w:val="center"/>
            </w:pPr>
            <w:r>
              <w:rPr>
                <w:rFonts w:eastAsiaTheme="minorEastAsia"/>
                <w:color w:val="000000"/>
                <w:szCs w:val="21"/>
              </w:rPr>
              <w:t>242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53,305</w:t>
            </w:r>
          </w:p>
        </w:tc>
        <w:tc>
          <w:tcPr>
            <w:tcW w:w="1690" w:type="dxa"/>
            <w:vAlign w:val="center"/>
          </w:tcPr>
          <w:p w:rsidR="007B4EE4" w:rsidRDefault="00B833D5">
            <w:pPr>
              <w:jc w:val="right"/>
            </w:pPr>
            <w:r>
              <w:rPr>
                <w:rFonts w:eastAsiaTheme="minorEastAsia"/>
                <w:color w:val="000000"/>
                <w:szCs w:val="21"/>
              </w:rPr>
              <w:t>140,229.85</w:t>
            </w:r>
          </w:p>
        </w:tc>
        <w:tc>
          <w:tcPr>
            <w:tcW w:w="997" w:type="dxa"/>
            <w:vAlign w:val="center"/>
          </w:tcPr>
          <w:p w:rsidR="007B4EE4" w:rsidRDefault="00B833D5">
            <w:pPr>
              <w:jc w:val="right"/>
            </w:pPr>
            <w:r>
              <w:rPr>
                <w:rFonts w:eastAsiaTheme="minorEastAsia"/>
                <w:color w:val="000000"/>
                <w:szCs w:val="21"/>
              </w:rPr>
              <w:t>0.60</w:t>
            </w:r>
          </w:p>
        </w:tc>
      </w:tr>
      <w:tr w:rsidR="007B4EE4">
        <w:trPr>
          <w:jc w:val="center"/>
        </w:trPr>
        <w:tc>
          <w:tcPr>
            <w:tcW w:w="771" w:type="dxa"/>
            <w:vAlign w:val="center"/>
          </w:tcPr>
          <w:p w:rsidR="007B4EE4" w:rsidRDefault="00B833D5">
            <w:pPr>
              <w:jc w:val="center"/>
            </w:pPr>
            <w:r>
              <w:rPr>
                <w:rFonts w:eastAsiaTheme="minorEastAsia"/>
                <w:color w:val="000000"/>
                <w:szCs w:val="21"/>
              </w:rPr>
              <w:t>50</w:t>
            </w:r>
          </w:p>
        </w:tc>
        <w:tc>
          <w:tcPr>
            <w:tcW w:w="905" w:type="dxa"/>
            <w:vAlign w:val="center"/>
          </w:tcPr>
          <w:p w:rsidR="007B4EE4" w:rsidRDefault="00B833D5">
            <w:pPr>
              <w:jc w:val="center"/>
            </w:pPr>
            <w:r>
              <w:rPr>
                <w:rFonts w:eastAsiaTheme="minorEastAsia"/>
                <w:color w:val="000000"/>
                <w:szCs w:val="21"/>
              </w:rPr>
              <w:t>Frontage Holdings Corporation</w:t>
            </w:r>
          </w:p>
        </w:tc>
        <w:tc>
          <w:tcPr>
            <w:tcW w:w="1015" w:type="dxa"/>
            <w:vAlign w:val="center"/>
          </w:tcPr>
          <w:p w:rsidR="007B4EE4" w:rsidRDefault="00B833D5">
            <w:pPr>
              <w:jc w:val="center"/>
            </w:pPr>
            <w:r>
              <w:rPr>
                <w:rFonts w:eastAsiaTheme="minorEastAsia"/>
                <w:color w:val="000000"/>
                <w:szCs w:val="21"/>
              </w:rPr>
              <w:t>方达控股公司</w:t>
            </w:r>
          </w:p>
        </w:tc>
        <w:tc>
          <w:tcPr>
            <w:tcW w:w="1184" w:type="dxa"/>
            <w:vAlign w:val="center"/>
          </w:tcPr>
          <w:p w:rsidR="007B4EE4" w:rsidRDefault="00B833D5">
            <w:pPr>
              <w:jc w:val="center"/>
            </w:pPr>
            <w:r>
              <w:rPr>
                <w:rFonts w:eastAsiaTheme="minorEastAsia"/>
                <w:color w:val="000000"/>
                <w:szCs w:val="21"/>
              </w:rPr>
              <w:t>1521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31,626</w:t>
            </w:r>
          </w:p>
        </w:tc>
        <w:tc>
          <w:tcPr>
            <w:tcW w:w="1690" w:type="dxa"/>
            <w:vAlign w:val="center"/>
          </w:tcPr>
          <w:p w:rsidR="007B4EE4" w:rsidRDefault="00B833D5">
            <w:pPr>
              <w:jc w:val="right"/>
            </w:pPr>
            <w:r>
              <w:rPr>
                <w:rFonts w:eastAsiaTheme="minorEastAsia"/>
                <w:color w:val="000000"/>
                <w:szCs w:val="21"/>
              </w:rPr>
              <w:t>138,664.58</w:t>
            </w:r>
          </w:p>
        </w:tc>
        <w:tc>
          <w:tcPr>
            <w:tcW w:w="997" w:type="dxa"/>
            <w:vAlign w:val="center"/>
          </w:tcPr>
          <w:p w:rsidR="007B4EE4" w:rsidRDefault="00B833D5">
            <w:pPr>
              <w:jc w:val="right"/>
            </w:pPr>
            <w:r>
              <w:rPr>
                <w:rFonts w:eastAsiaTheme="minorEastAsia"/>
                <w:color w:val="000000"/>
                <w:szCs w:val="21"/>
              </w:rPr>
              <w:t>0.59</w:t>
            </w:r>
          </w:p>
        </w:tc>
      </w:tr>
      <w:tr w:rsidR="007B4EE4">
        <w:trPr>
          <w:jc w:val="center"/>
        </w:trPr>
        <w:tc>
          <w:tcPr>
            <w:tcW w:w="771" w:type="dxa"/>
            <w:vAlign w:val="center"/>
          </w:tcPr>
          <w:p w:rsidR="007B4EE4" w:rsidRDefault="00B833D5">
            <w:pPr>
              <w:jc w:val="center"/>
            </w:pPr>
            <w:r>
              <w:rPr>
                <w:rFonts w:eastAsiaTheme="minorEastAsia"/>
                <w:color w:val="000000"/>
                <w:szCs w:val="21"/>
              </w:rPr>
              <w:t>51</w:t>
            </w:r>
          </w:p>
        </w:tc>
        <w:tc>
          <w:tcPr>
            <w:tcW w:w="905" w:type="dxa"/>
            <w:vAlign w:val="center"/>
          </w:tcPr>
          <w:p w:rsidR="007B4EE4" w:rsidRDefault="00B833D5">
            <w:pPr>
              <w:jc w:val="center"/>
            </w:pPr>
            <w:r>
              <w:rPr>
                <w:rFonts w:eastAsiaTheme="minorEastAsia"/>
                <w:color w:val="000000"/>
                <w:szCs w:val="21"/>
              </w:rPr>
              <w:t>Stella International Holdings Ltd</w:t>
            </w:r>
          </w:p>
        </w:tc>
        <w:tc>
          <w:tcPr>
            <w:tcW w:w="1015" w:type="dxa"/>
            <w:vAlign w:val="center"/>
          </w:tcPr>
          <w:p w:rsidR="007B4EE4" w:rsidRDefault="00B833D5">
            <w:pPr>
              <w:jc w:val="center"/>
            </w:pPr>
            <w:r>
              <w:rPr>
                <w:rFonts w:eastAsiaTheme="minorEastAsia"/>
                <w:color w:val="000000"/>
                <w:szCs w:val="21"/>
              </w:rPr>
              <w:t>九兴控股有限公司</w:t>
            </w:r>
          </w:p>
        </w:tc>
        <w:tc>
          <w:tcPr>
            <w:tcW w:w="1184" w:type="dxa"/>
            <w:vAlign w:val="center"/>
          </w:tcPr>
          <w:p w:rsidR="007B4EE4" w:rsidRDefault="00B833D5">
            <w:pPr>
              <w:jc w:val="center"/>
            </w:pPr>
            <w:r>
              <w:rPr>
                <w:rFonts w:eastAsiaTheme="minorEastAsia"/>
                <w:color w:val="000000"/>
                <w:szCs w:val="21"/>
              </w:rPr>
              <w:t>1836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19,000</w:t>
            </w:r>
          </w:p>
        </w:tc>
        <w:tc>
          <w:tcPr>
            <w:tcW w:w="1690" w:type="dxa"/>
            <w:vAlign w:val="center"/>
          </w:tcPr>
          <w:p w:rsidR="007B4EE4" w:rsidRDefault="00B833D5">
            <w:pPr>
              <w:jc w:val="right"/>
            </w:pPr>
            <w:r>
              <w:rPr>
                <w:rFonts w:eastAsiaTheme="minorEastAsia"/>
                <w:color w:val="000000"/>
                <w:szCs w:val="21"/>
              </w:rPr>
              <w:t>137,975.11</w:t>
            </w:r>
          </w:p>
        </w:tc>
        <w:tc>
          <w:tcPr>
            <w:tcW w:w="997" w:type="dxa"/>
            <w:vAlign w:val="center"/>
          </w:tcPr>
          <w:p w:rsidR="007B4EE4" w:rsidRDefault="00B833D5">
            <w:pPr>
              <w:jc w:val="right"/>
            </w:pPr>
            <w:r>
              <w:rPr>
                <w:rFonts w:eastAsiaTheme="minorEastAsia"/>
                <w:color w:val="000000"/>
                <w:szCs w:val="21"/>
              </w:rPr>
              <w:t>0.59</w:t>
            </w:r>
          </w:p>
        </w:tc>
      </w:tr>
      <w:tr w:rsidR="007B4EE4">
        <w:trPr>
          <w:jc w:val="center"/>
        </w:trPr>
        <w:tc>
          <w:tcPr>
            <w:tcW w:w="771" w:type="dxa"/>
            <w:vAlign w:val="center"/>
          </w:tcPr>
          <w:p w:rsidR="007B4EE4" w:rsidRDefault="00B833D5">
            <w:pPr>
              <w:jc w:val="center"/>
            </w:pPr>
            <w:r>
              <w:rPr>
                <w:rFonts w:eastAsiaTheme="minorEastAsia"/>
                <w:color w:val="000000"/>
                <w:szCs w:val="21"/>
              </w:rPr>
              <w:t>52</w:t>
            </w:r>
          </w:p>
        </w:tc>
        <w:tc>
          <w:tcPr>
            <w:tcW w:w="905" w:type="dxa"/>
            <w:vAlign w:val="center"/>
          </w:tcPr>
          <w:p w:rsidR="007B4EE4" w:rsidRDefault="00B833D5">
            <w:pPr>
              <w:jc w:val="center"/>
            </w:pPr>
            <w:r>
              <w:rPr>
                <w:rFonts w:eastAsiaTheme="minorEastAsia"/>
                <w:color w:val="000000"/>
                <w:szCs w:val="21"/>
              </w:rPr>
              <w:t>Redco Properties Group Limited</w:t>
            </w:r>
          </w:p>
        </w:tc>
        <w:tc>
          <w:tcPr>
            <w:tcW w:w="1015" w:type="dxa"/>
            <w:vAlign w:val="center"/>
          </w:tcPr>
          <w:p w:rsidR="007B4EE4" w:rsidRDefault="00B833D5">
            <w:pPr>
              <w:jc w:val="center"/>
            </w:pPr>
            <w:r>
              <w:rPr>
                <w:rFonts w:eastAsiaTheme="minorEastAsia"/>
                <w:color w:val="000000"/>
                <w:szCs w:val="21"/>
              </w:rPr>
              <w:t>力高地产集团有限公司</w:t>
            </w:r>
          </w:p>
        </w:tc>
        <w:tc>
          <w:tcPr>
            <w:tcW w:w="1184" w:type="dxa"/>
            <w:vAlign w:val="center"/>
          </w:tcPr>
          <w:p w:rsidR="007B4EE4" w:rsidRDefault="00B833D5">
            <w:pPr>
              <w:jc w:val="center"/>
            </w:pPr>
            <w:r>
              <w:rPr>
                <w:rFonts w:eastAsiaTheme="minorEastAsia"/>
                <w:color w:val="000000"/>
                <w:szCs w:val="21"/>
              </w:rPr>
              <w:t>1622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41,772</w:t>
            </w:r>
          </w:p>
        </w:tc>
        <w:tc>
          <w:tcPr>
            <w:tcW w:w="1690" w:type="dxa"/>
            <w:vAlign w:val="center"/>
          </w:tcPr>
          <w:p w:rsidR="007B4EE4" w:rsidRDefault="00B833D5">
            <w:pPr>
              <w:jc w:val="right"/>
            </w:pPr>
            <w:r>
              <w:rPr>
                <w:rFonts w:eastAsiaTheme="minorEastAsia"/>
                <w:color w:val="000000"/>
                <w:szCs w:val="21"/>
              </w:rPr>
              <w:t>136,599.25</w:t>
            </w:r>
          </w:p>
        </w:tc>
        <w:tc>
          <w:tcPr>
            <w:tcW w:w="997" w:type="dxa"/>
            <w:vAlign w:val="center"/>
          </w:tcPr>
          <w:p w:rsidR="007B4EE4" w:rsidRDefault="00B833D5">
            <w:pPr>
              <w:jc w:val="right"/>
            </w:pPr>
            <w:r>
              <w:rPr>
                <w:rFonts w:eastAsiaTheme="minorEastAsia"/>
                <w:color w:val="000000"/>
                <w:szCs w:val="21"/>
              </w:rPr>
              <w:t>0.58</w:t>
            </w:r>
          </w:p>
        </w:tc>
      </w:tr>
      <w:tr w:rsidR="007B4EE4">
        <w:trPr>
          <w:jc w:val="center"/>
        </w:trPr>
        <w:tc>
          <w:tcPr>
            <w:tcW w:w="771" w:type="dxa"/>
            <w:vAlign w:val="center"/>
          </w:tcPr>
          <w:p w:rsidR="007B4EE4" w:rsidRDefault="00B833D5">
            <w:pPr>
              <w:jc w:val="center"/>
            </w:pPr>
            <w:r>
              <w:rPr>
                <w:rFonts w:eastAsiaTheme="minorEastAsia"/>
                <w:color w:val="000000"/>
                <w:szCs w:val="21"/>
              </w:rPr>
              <w:t>53</w:t>
            </w:r>
          </w:p>
        </w:tc>
        <w:tc>
          <w:tcPr>
            <w:tcW w:w="905" w:type="dxa"/>
            <w:vAlign w:val="center"/>
          </w:tcPr>
          <w:p w:rsidR="007B4EE4" w:rsidRDefault="00B833D5">
            <w:pPr>
              <w:jc w:val="center"/>
            </w:pPr>
            <w:r>
              <w:rPr>
                <w:rFonts w:eastAsiaTheme="minorEastAsia"/>
                <w:color w:val="000000"/>
                <w:szCs w:val="21"/>
              </w:rPr>
              <w:t>COSCO SHIPPING Energy Transportation Co., Ltd.</w:t>
            </w:r>
          </w:p>
        </w:tc>
        <w:tc>
          <w:tcPr>
            <w:tcW w:w="1015" w:type="dxa"/>
            <w:vAlign w:val="center"/>
          </w:tcPr>
          <w:p w:rsidR="007B4EE4" w:rsidRDefault="00B833D5">
            <w:pPr>
              <w:jc w:val="center"/>
            </w:pPr>
            <w:r>
              <w:rPr>
                <w:rFonts w:eastAsiaTheme="minorEastAsia"/>
                <w:color w:val="000000"/>
                <w:szCs w:val="21"/>
              </w:rPr>
              <w:t>中远海运能源运输股份有限公司</w:t>
            </w:r>
          </w:p>
        </w:tc>
        <w:tc>
          <w:tcPr>
            <w:tcW w:w="1184" w:type="dxa"/>
            <w:vAlign w:val="center"/>
          </w:tcPr>
          <w:p w:rsidR="007B4EE4" w:rsidRDefault="00B833D5">
            <w:pPr>
              <w:jc w:val="center"/>
            </w:pPr>
            <w:r>
              <w:rPr>
                <w:rFonts w:eastAsiaTheme="minorEastAsia"/>
                <w:color w:val="000000"/>
                <w:szCs w:val="21"/>
              </w:rPr>
              <w:t>1138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43,188</w:t>
            </w:r>
          </w:p>
        </w:tc>
        <w:tc>
          <w:tcPr>
            <w:tcW w:w="1690" w:type="dxa"/>
            <w:vAlign w:val="center"/>
          </w:tcPr>
          <w:p w:rsidR="007B4EE4" w:rsidRDefault="00B833D5">
            <w:pPr>
              <w:jc w:val="right"/>
            </w:pPr>
            <w:r>
              <w:rPr>
                <w:rFonts w:eastAsiaTheme="minorEastAsia"/>
                <w:color w:val="000000"/>
                <w:szCs w:val="21"/>
              </w:rPr>
              <w:t>136,495.78</w:t>
            </w:r>
          </w:p>
        </w:tc>
        <w:tc>
          <w:tcPr>
            <w:tcW w:w="997" w:type="dxa"/>
            <w:vAlign w:val="center"/>
          </w:tcPr>
          <w:p w:rsidR="007B4EE4" w:rsidRDefault="00B833D5">
            <w:pPr>
              <w:jc w:val="right"/>
            </w:pPr>
            <w:r>
              <w:rPr>
                <w:rFonts w:eastAsiaTheme="minorEastAsia"/>
                <w:color w:val="000000"/>
                <w:szCs w:val="21"/>
              </w:rPr>
              <w:t>0.58</w:t>
            </w:r>
          </w:p>
        </w:tc>
      </w:tr>
      <w:tr w:rsidR="007B4EE4">
        <w:trPr>
          <w:jc w:val="center"/>
        </w:trPr>
        <w:tc>
          <w:tcPr>
            <w:tcW w:w="771" w:type="dxa"/>
            <w:vAlign w:val="center"/>
          </w:tcPr>
          <w:p w:rsidR="007B4EE4" w:rsidRDefault="00B833D5">
            <w:pPr>
              <w:jc w:val="center"/>
            </w:pPr>
            <w:r>
              <w:rPr>
                <w:rFonts w:eastAsiaTheme="minorEastAsia"/>
                <w:color w:val="000000"/>
                <w:szCs w:val="21"/>
              </w:rPr>
              <w:t>54</w:t>
            </w:r>
          </w:p>
        </w:tc>
        <w:tc>
          <w:tcPr>
            <w:tcW w:w="905" w:type="dxa"/>
            <w:vAlign w:val="center"/>
          </w:tcPr>
          <w:p w:rsidR="007B4EE4" w:rsidRDefault="00B833D5">
            <w:pPr>
              <w:jc w:val="center"/>
            </w:pPr>
            <w:r>
              <w:rPr>
                <w:rFonts w:eastAsiaTheme="minorEastAsia"/>
                <w:color w:val="000000"/>
                <w:szCs w:val="21"/>
              </w:rPr>
              <w:t>Pacific textiles holdings Limited</w:t>
            </w:r>
          </w:p>
        </w:tc>
        <w:tc>
          <w:tcPr>
            <w:tcW w:w="1015" w:type="dxa"/>
            <w:vAlign w:val="center"/>
          </w:tcPr>
          <w:p w:rsidR="007B4EE4" w:rsidRDefault="00B833D5">
            <w:pPr>
              <w:jc w:val="center"/>
            </w:pPr>
            <w:r>
              <w:rPr>
                <w:rFonts w:eastAsiaTheme="minorEastAsia"/>
                <w:color w:val="000000"/>
                <w:szCs w:val="21"/>
              </w:rPr>
              <w:t>互太纺织控股有限公司</w:t>
            </w:r>
          </w:p>
        </w:tc>
        <w:tc>
          <w:tcPr>
            <w:tcW w:w="1184" w:type="dxa"/>
            <w:vAlign w:val="center"/>
          </w:tcPr>
          <w:p w:rsidR="007B4EE4" w:rsidRDefault="00B833D5">
            <w:pPr>
              <w:jc w:val="center"/>
            </w:pPr>
            <w:r>
              <w:rPr>
                <w:rFonts w:eastAsiaTheme="minorEastAsia"/>
                <w:color w:val="000000"/>
                <w:szCs w:val="21"/>
              </w:rPr>
              <w:t>1382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39,206</w:t>
            </w:r>
          </w:p>
        </w:tc>
        <w:tc>
          <w:tcPr>
            <w:tcW w:w="1690" w:type="dxa"/>
            <w:vAlign w:val="center"/>
          </w:tcPr>
          <w:p w:rsidR="007B4EE4" w:rsidRDefault="00B833D5">
            <w:pPr>
              <w:jc w:val="right"/>
            </w:pPr>
            <w:r>
              <w:rPr>
                <w:rFonts w:eastAsiaTheme="minorEastAsia"/>
                <w:color w:val="000000"/>
                <w:szCs w:val="21"/>
              </w:rPr>
              <w:t>133,938.11</w:t>
            </w:r>
          </w:p>
        </w:tc>
        <w:tc>
          <w:tcPr>
            <w:tcW w:w="997" w:type="dxa"/>
            <w:vAlign w:val="center"/>
          </w:tcPr>
          <w:p w:rsidR="007B4EE4" w:rsidRDefault="00B833D5">
            <w:pPr>
              <w:jc w:val="right"/>
            </w:pPr>
            <w:r>
              <w:rPr>
                <w:rFonts w:eastAsiaTheme="minorEastAsia"/>
                <w:color w:val="000000"/>
                <w:szCs w:val="21"/>
              </w:rPr>
              <w:t>0.57</w:t>
            </w:r>
          </w:p>
        </w:tc>
      </w:tr>
      <w:tr w:rsidR="007B4EE4">
        <w:trPr>
          <w:jc w:val="center"/>
        </w:trPr>
        <w:tc>
          <w:tcPr>
            <w:tcW w:w="771" w:type="dxa"/>
            <w:vAlign w:val="center"/>
          </w:tcPr>
          <w:p w:rsidR="007B4EE4" w:rsidRDefault="00B833D5">
            <w:pPr>
              <w:jc w:val="center"/>
            </w:pPr>
            <w:r>
              <w:rPr>
                <w:rFonts w:eastAsiaTheme="minorEastAsia"/>
                <w:color w:val="000000"/>
                <w:szCs w:val="21"/>
              </w:rPr>
              <w:t>55</w:t>
            </w:r>
          </w:p>
        </w:tc>
        <w:tc>
          <w:tcPr>
            <w:tcW w:w="905" w:type="dxa"/>
            <w:vAlign w:val="center"/>
          </w:tcPr>
          <w:p w:rsidR="007B4EE4" w:rsidRDefault="00B833D5">
            <w:pPr>
              <w:jc w:val="center"/>
            </w:pPr>
            <w:r>
              <w:rPr>
                <w:rFonts w:eastAsiaTheme="minorEastAsia"/>
                <w:color w:val="000000"/>
                <w:szCs w:val="21"/>
              </w:rPr>
              <w:t>Citic Telecom International Holdings Limited</w:t>
            </w:r>
          </w:p>
        </w:tc>
        <w:tc>
          <w:tcPr>
            <w:tcW w:w="1015" w:type="dxa"/>
            <w:vAlign w:val="center"/>
          </w:tcPr>
          <w:p w:rsidR="007B4EE4" w:rsidRDefault="00B833D5">
            <w:pPr>
              <w:jc w:val="center"/>
            </w:pPr>
            <w:r>
              <w:rPr>
                <w:rFonts w:eastAsiaTheme="minorEastAsia"/>
                <w:color w:val="000000"/>
                <w:szCs w:val="21"/>
              </w:rPr>
              <w:t>中信国际电讯集团有限公司</w:t>
            </w:r>
          </w:p>
        </w:tc>
        <w:tc>
          <w:tcPr>
            <w:tcW w:w="1184" w:type="dxa"/>
            <w:vAlign w:val="center"/>
          </w:tcPr>
          <w:p w:rsidR="007B4EE4" w:rsidRDefault="00B833D5">
            <w:pPr>
              <w:jc w:val="center"/>
            </w:pPr>
            <w:r>
              <w:rPr>
                <w:rFonts w:eastAsiaTheme="minorEastAsia"/>
                <w:color w:val="000000"/>
                <w:szCs w:val="21"/>
              </w:rPr>
              <w:t>1883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59,559</w:t>
            </w:r>
          </w:p>
        </w:tc>
        <w:tc>
          <w:tcPr>
            <w:tcW w:w="1690" w:type="dxa"/>
            <w:vAlign w:val="center"/>
          </w:tcPr>
          <w:p w:rsidR="007B4EE4" w:rsidRDefault="00B833D5">
            <w:pPr>
              <w:jc w:val="right"/>
            </w:pPr>
            <w:r>
              <w:rPr>
                <w:rFonts w:eastAsiaTheme="minorEastAsia"/>
                <w:color w:val="000000"/>
                <w:szCs w:val="21"/>
              </w:rPr>
              <w:t>133,832.79</w:t>
            </w:r>
          </w:p>
        </w:tc>
        <w:tc>
          <w:tcPr>
            <w:tcW w:w="997" w:type="dxa"/>
            <w:vAlign w:val="center"/>
          </w:tcPr>
          <w:p w:rsidR="007B4EE4" w:rsidRDefault="00B833D5">
            <w:pPr>
              <w:jc w:val="right"/>
            </w:pPr>
            <w:r>
              <w:rPr>
                <w:rFonts w:eastAsiaTheme="minorEastAsia"/>
                <w:color w:val="000000"/>
                <w:szCs w:val="21"/>
              </w:rPr>
              <w:t>0.57</w:t>
            </w:r>
          </w:p>
        </w:tc>
      </w:tr>
      <w:tr w:rsidR="007B4EE4">
        <w:trPr>
          <w:jc w:val="center"/>
        </w:trPr>
        <w:tc>
          <w:tcPr>
            <w:tcW w:w="771" w:type="dxa"/>
            <w:vAlign w:val="center"/>
          </w:tcPr>
          <w:p w:rsidR="007B4EE4" w:rsidRDefault="00B833D5">
            <w:pPr>
              <w:jc w:val="center"/>
            </w:pPr>
            <w:r>
              <w:rPr>
                <w:rFonts w:eastAsiaTheme="minorEastAsia"/>
                <w:color w:val="000000"/>
                <w:szCs w:val="21"/>
              </w:rPr>
              <w:t>56</w:t>
            </w:r>
          </w:p>
        </w:tc>
        <w:tc>
          <w:tcPr>
            <w:tcW w:w="905" w:type="dxa"/>
            <w:vAlign w:val="center"/>
          </w:tcPr>
          <w:p w:rsidR="007B4EE4" w:rsidRDefault="00B833D5">
            <w:pPr>
              <w:jc w:val="center"/>
            </w:pPr>
            <w:r>
              <w:rPr>
                <w:rFonts w:eastAsiaTheme="minorEastAsia"/>
                <w:color w:val="000000"/>
                <w:szCs w:val="21"/>
              </w:rPr>
              <w:t>Fufeng Group Ltd</w:t>
            </w:r>
          </w:p>
        </w:tc>
        <w:tc>
          <w:tcPr>
            <w:tcW w:w="1015" w:type="dxa"/>
            <w:vAlign w:val="center"/>
          </w:tcPr>
          <w:p w:rsidR="007B4EE4" w:rsidRDefault="00B833D5">
            <w:pPr>
              <w:jc w:val="center"/>
            </w:pPr>
            <w:r>
              <w:rPr>
                <w:rFonts w:eastAsiaTheme="minorEastAsia"/>
                <w:color w:val="000000"/>
                <w:szCs w:val="21"/>
              </w:rPr>
              <w:t>阜丰集团有限公司</w:t>
            </w:r>
          </w:p>
        </w:tc>
        <w:tc>
          <w:tcPr>
            <w:tcW w:w="1184" w:type="dxa"/>
            <w:vAlign w:val="center"/>
          </w:tcPr>
          <w:p w:rsidR="007B4EE4" w:rsidRDefault="00B833D5">
            <w:pPr>
              <w:jc w:val="center"/>
            </w:pPr>
            <w:r>
              <w:rPr>
                <w:rFonts w:eastAsiaTheme="minorEastAsia"/>
                <w:color w:val="000000"/>
                <w:szCs w:val="21"/>
              </w:rPr>
              <w:t>546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59,000</w:t>
            </w:r>
          </w:p>
        </w:tc>
        <w:tc>
          <w:tcPr>
            <w:tcW w:w="1690" w:type="dxa"/>
            <w:vAlign w:val="center"/>
          </w:tcPr>
          <w:p w:rsidR="007B4EE4" w:rsidRDefault="00B833D5">
            <w:pPr>
              <w:jc w:val="right"/>
            </w:pPr>
            <w:r>
              <w:rPr>
                <w:rFonts w:eastAsiaTheme="minorEastAsia"/>
                <w:color w:val="000000"/>
                <w:szCs w:val="21"/>
              </w:rPr>
              <w:t>133,115.61</w:t>
            </w:r>
          </w:p>
        </w:tc>
        <w:tc>
          <w:tcPr>
            <w:tcW w:w="997" w:type="dxa"/>
            <w:vAlign w:val="center"/>
          </w:tcPr>
          <w:p w:rsidR="007B4EE4" w:rsidRDefault="00B833D5">
            <w:pPr>
              <w:jc w:val="right"/>
            </w:pPr>
            <w:r>
              <w:rPr>
                <w:rFonts w:eastAsiaTheme="minorEastAsia"/>
                <w:color w:val="000000"/>
                <w:szCs w:val="21"/>
              </w:rPr>
              <w:t>0.57</w:t>
            </w:r>
          </w:p>
        </w:tc>
      </w:tr>
      <w:tr w:rsidR="007B4EE4">
        <w:trPr>
          <w:jc w:val="center"/>
        </w:trPr>
        <w:tc>
          <w:tcPr>
            <w:tcW w:w="771" w:type="dxa"/>
            <w:vAlign w:val="center"/>
          </w:tcPr>
          <w:p w:rsidR="007B4EE4" w:rsidRDefault="00B833D5">
            <w:pPr>
              <w:jc w:val="center"/>
            </w:pPr>
            <w:r>
              <w:rPr>
                <w:rFonts w:eastAsiaTheme="minorEastAsia"/>
                <w:color w:val="000000"/>
                <w:szCs w:val="21"/>
              </w:rPr>
              <w:t>57</w:t>
            </w:r>
          </w:p>
        </w:tc>
        <w:tc>
          <w:tcPr>
            <w:tcW w:w="905" w:type="dxa"/>
            <w:vAlign w:val="center"/>
          </w:tcPr>
          <w:p w:rsidR="007B4EE4" w:rsidRDefault="00B833D5">
            <w:pPr>
              <w:jc w:val="center"/>
            </w:pPr>
            <w:r>
              <w:rPr>
                <w:rFonts w:eastAsiaTheme="minorEastAsia"/>
                <w:color w:val="000000"/>
                <w:szCs w:val="21"/>
              </w:rPr>
              <w:t xml:space="preserve">Tong Ren </w:t>
            </w:r>
            <w:r>
              <w:rPr>
                <w:rFonts w:eastAsiaTheme="minorEastAsia"/>
                <w:color w:val="000000"/>
                <w:szCs w:val="21"/>
              </w:rPr>
              <w:lastRenderedPageBreak/>
              <w:t>Tang Technologies Co. Limited</w:t>
            </w:r>
          </w:p>
        </w:tc>
        <w:tc>
          <w:tcPr>
            <w:tcW w:w="1015" w:type="dxa"/>
            <w:vAlign w:val="center"/>
          </w:tcPr>
          <w:p w:rsidR="007B4EE4" w:rsidRDefault="00B833D5">
            <w:pPr>
              <w:jc w:val="center"/>
            </w:pPr>
            <w:r>
              <w:rPr>
                <w:rFonts w:eastAsiaTheme="minorEastAsia"/>
                <w:color w:val="000000"/>
                <w:szCs w:val="21"/>
              </w:rPr>
              <w:lastRenderedPageBreak/>
              <w:t>北京同仁</w:t>
            </w:r>
            <w:r>
              <w:rPr>
                <w:rFonts w:eastAsiaTheme="minorEastAsia"/>
                <w:color w:val="000000"/>
                <w:szCs w:val="21"/>
              </w:rPr>
              <w:lastRenderedPageBreak/>
              <w:t>堂科技发展股份有限公司</w:t>
            </w:r>
          </w:p>
        </w:tc>
        <w:tc>
          <w:tcPr>
            <w:tcW w:w="1184" w:type="dxa"/>
            <w:vAlign w:val="center"/>
          </w:tcPr>
          <w:p w:rsidR="007B4EE4" w:rsidRDefault="00B833D5">
            <w:pPr>
              <w:jc w:val="center"/>
            </w:pPr>
            <w:r>
              <w:rPr>
                <w:rFonts w:eastAsiaTheme="minorEastAsia"/>
                <w:color w:val="000000"/>
                <w:szCs w:val="21"/>
              </w:rPr>
              <w:lastRenderedPageBreak/>
              <w:t>1666 HK</w:t>
            </w:r>
          </w:p>
        </w:tc>
        <w:tc>
          <w:tcPr>
            <w:tcW w:w="847" w:type="dxa"/>
            <w:vAlign w:val="center"/>
          </w:tcPr>
          <w:p w:rsidR="007B4EE4" w:rsidRDefault="00B833D5">
            <w:pPr>
              <w:jc w:val="center"/>
            </w:pPr>
            <w:r>
              <w:rPr>
                <w:rFonts w:eastAsiaTheme="minorEastAsia"/>
                <w:color w:val="000000"/>
                <w:szCs w:val="21"/>
              </w:rPr>
              <w:t>香港证</w:t>
            </w:r>
            <w:r>
              <w:rPr>
                <w:rFonts w:eastAsiaTheme="minorEastAsia"/>
                <w:color w:val="000000"/>
                <w:szCs w:val="21"/>
              </w:rPr>
              <w:lastRenderedPageBreak/>
              <w:t>券交易所</w:t>
            </w:r>
          </w:p>
        </w:tc>
        <w:tc>
          <w:tcPr>
            <w:tcW w:w="1025" w:type="dxa"/>
            <w:vAlign w:val="center"/>
          </w:tcPr>
          <w:p w:rsidR="007B4EE4" w:rsidRDefault="00B833D5">
            <w:pPr>
              <w:jc w:val="center"/>
            </w:pPr>
            <w:r>
              <w:rPr>
                <w:rFonts w:eastAsiaTheme="minorEastAsia"/>
                <w:color w:val="000000"/>
                <w:szCs w:val="21"/>
              </w:rPr>
              <w:lastRenderedPageBreak/>
              <w:t>中国香港</w:t>
            </w:r>
          </w:p>
        </w:tc>
        <w:tc>
          <w:tcPr>
            <w:tcW w:w="1015" w:type="dxa"/>
            <w:vAlign w:val="center"/>
          </w:tcPr>
          <w:p w:rsidR="007B4EE4" w:rsidRDefault="00B833D5">
            <w:pPr>
              <w:jc w:val="right"/>
            </w:pPr>
            <w:r>
              <w:rPr>
                <w:rFonts w:eastAsiaTheme="minorEastAsia"/>
                <w:color w:val="000000"/>
                <w:szCs w:val="21"/>
              </w:rPr>
              <w:t>24,648</w:t>
            </w:r>
          </w:p>
        </w:tc>
        <w:tc>
          <w:tcPr>
            <w:tcW w:w="1690" w:type="dxa"/>
            <w:vAlign w:val="center"/>
          </w:tcPr>
          <w:p w:rsidR="007B4EE4" w:rsidRDefault="00B833D5">
            <w:pPr>
              <w:jc w:val="right"/>
            </w:pPr>
            <w:r>
              <w:rPr>
                <w:rFonts w:eastAsiaTheme="minorEastAsia"/>
                <w:color w:val="000000"/>
                <w:szCs w:val="21"/>
              </w:rPr>
              <w:t>132,610.22</w:t>
            </w:r>
          </w:p>
        </w:tc>
        <w:tc>
          <w:tcPr>
            <w:tcW w:w="997" w:type="dxa"/>
            <w:vAlign w:val="center"/>
          </w:tcPr>
          <w:p w:rsidR="007B4EE4" w:rsidRDefault="00B833D5">
            <w:pPr>
              <w:jc w:val="right"/>
            </w:pPr>
            <w:r>
              <w:rPr>
                <w:rFonts w:eastAsiaTheme="minorEastAsia"/>
                <w:color w:val="000000"/>
                <w:szCs w:val="21"/>
              </w:rPr>
              <w:t>0.57</w:t>
            </w:r>
          </w:p>
        </w:tc>
      </w:tr>
      <w:tr w:rsidR="007B4EE4">
        <w:trPr>
          <w:jc w:val="center"/>
        </w:trPr>
        <w:tc>
          <w:tcPr>
            <w:tcW w:w="771" w:type="dxa"/>
            <w:vAlign w:val="center"/>
          </w:tcPr>
          <w:p w:rsidR="007B4EE4" w:rsidRDefault="00B833D5">
            <w:pPr>
              <w:jc w:val="center"/>
            </w:pPr>
            <w:r>
              <w:rPr>
                <w:rFonts w:eastAsiaTheme="minorEastAsia"/>
                <w:color w:val="000000"/>
                <w:szCs w:val="21"/>
              </w:rPr>
              <w:t>58</w:t>
            </w:r>
          </w:p>
        </w:tc>
        <w:tc>
          <w:tcPr>
            <w:tcW w:w="905" w:type="dxa"/>
            <w:vAlign w:val="center"/>
          </w:tcPr>
          <w:p w:rsidR="007B4EE4" w:rsidRDefault="00B833D5">
            <w:pPr>
              <w:jc w:val="center"/>
            </w:pPr>
            <w:r>
              <w:rPr>
                <w:rFonts w:eastAsiaTheme="minorEastAsia"/>
                <w:color w:val="000000"/>
                <w:szCs w:val="21"/>
              </w:rPr>
              <w:t>China New Higher Education Group Limited</w:t>
            </w:r>
          </w:p>
        </w:tc>
        <w:tc>
          <w:tcPr>
            <w:tcW w:w="1015" w:type="dxa"/>
            <w:vAlign w:val="center"/>
          </w:tcPr>
          <w:p w:rsidR="007B4EE4" w:rsidRDefault="00B833D5">
            <w:pPr>
              <w:jc w:val="center"/>
            </w:pPr>
            <w:r>
              <w:rPr>
                <w:rFonts w:eastAsiaTheme="minorEastAsia"/>
                <w:color w:val="000000"/>
                <w:szCs w:val="21"/>
              </w:rPr>
              <w:t>中国新高教集团有限公司</w:t>
            </w:r>
          </w:p>
        </w:tc>
        <w:tc>
          <w:tcPr>
            <w:tcW w:w="1184" w:type="dxa"/>
            <w:vAlign w:val="center"/>
          </w:tcPr>
          <w:p w:rsidR="007B4EE4" w:rsidRDefault="00B833D5">
            <w:pPr>
              <w:jc w:val="center"/>
            </w:pPr>
            <w:r>
              <w:rPr>
                <w:rFonts w:eastAsiaTheme="minorEastAsia"/>
                <w:color w:val="000000"/>
                <w:szCs w:val="21"/>
              </w:rPr>
              <w:t>2001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28,209</w:t>
            </w:r>
          </w:p>
        </w:tc>
        <w:tc>
          <w:tcPr>
            <w:tcW w:w="1690" w:type="dxa"/>
            <w:vAlign w:val="center"/>
          </w:tcPr>
          <w:p w:rsidR="007B4EE4" w:rsidRDefault="00B833D5">
            <w:pPr>
              <w:jc w:val="right"/>
            </w:pPr>
            <w:r>
              <w:rPr>
                <w:rFonts w:eastAsiaTheme="minorEastAsia"/>
                <w:color w:val="000000"/>
                <w:szCs w:val="21"/>
              </w:rPr>
              <w:t>131,928.21</w:t>
            </w:r>
          </w:p>
        </w:tc>
        <w:tc>
          <w:tcPr>
            <w:tcW w:w="997" w:type="dxa"/>
            <w:vAlign w:val="center"/>
          </w:tcPr>
          <w:p w:rsidR="007B4EE4" w:rsidRDefault="00B833D5">
            <w:pPr>
              <w:jc w:val="right"/>
            </w:pPr>
            <w:r>
              <w:rPr>
                <w:rFonts w:eastAsiaTheme="minorEastAsia"/>
                <w:color w:val="000000"/>
                <w:szCs w:val="21"/>
              </w:rPr>
              <w:t>0.56</w:t>
            </w:r>
          </w:p>
        </w:tc>
      </w:tr>
      <w:tr w:rsidR="007B4EE4">
        <w:trPr>
          <w:jc w:val="center"/>
        </w:trPr>
        <w:tc>
          <w:tcPr>
            <w:tcW w:w="771" w:type="dxa"/>
            <w:vAlign w:val="center"/>
          </w:tcPr>
          <w:p w:rsidR="007B4EE4" w:rsidRDefault="00B833D5">
            <w:pPr>
              <w:jc w:val="center"/>
            </w:pPr>
            <w:r>
              <w:rPr>
                <w:rFonts w:eastAsiaTheme="minorEastAsia"/>
                <w:color w:val="000000"/>
                <w:szCs w:val="21"/>
              </w:rPr>
              <w:t>59</w:t>
            </w:r>
          </w:p>
        </w:tc>
        <w:tc>
          <w:tcPr>
            <w:tcW w:w="905" w:type="dxa"/>
            <w:vAlign w:val="center"/>
          </w:tcPr>
          <w:p w:rsidR="007B4EE4" w:rsidRDefault="00B833D5">
            <w:pPr>
              <w:jc w:val="center"/>
            </w:pPr>
            <w:r>
              <w:rPr>
                <w:rFonts w:eastAsiaTheme="minorEastAsia"/>
                <w:color w:val="000000"/>
                <w:szCs w:val="21"/>
              </w:rPr>
              <w:t>NetDragon Websoft Holdings Limited</w:t>
            </w:r>
          </w:p>
        </w:tc>
        <w:tc>
          <w:tcPr>
            <w:tcW w:w="1015" w:type="dxa"/>
            <w:vAlign w:val="center"/>
          </w:tcPr>
          <w:p w:rsidR="007B4EE4" w:rsidRDefault="00B833D5">
            <w:pPr>
              <w:jc w:val="center"/>
            </w:pPr>
            <w:r>
              <w:rPr>
                <w:rFonts w:eastAsiaTheme="minorEastAsia"/>
                <w:color w:val="000000"/>
                <w:szCs w:val="21"/>
              </w:rPr>
              <w:t>网龙网络控股有限公司</w:t>
            </w:r>
          </w:p>
        </w:tc>
        <w:tc>
          <w:tcPr>
            <w:tcW w:w="1184" w:type="dxa"/>
            <w:vAlign w:val="center"/>
          </w:tcPr>
          <w:p w:rsidR="007B4EE4" w:rsidRDefault="00B833D5">
            <w:pPr>
              <w:jc w:val="center"/>
            </w:pPr>
            <w:r>
              <w:rPr>
                <w:rFonts w:eastAsiaTheme="minorEastAsia"/>
                <w:color w:val="000000"/>
                <w:szCs w:val="21"/>
              </w:rPr>
              <w:t>777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6,628</w:t>
            </w:r>
          </w:p>
        </w:tc>
        <w:tc>
          <w:tcPr>
            <w:tcW w:w="1690" w:type="dxa"/>
            <w:vAlign w:val="center"/>
          </w:tcPr>
          <w:p w:rsidR="007B4EE4" w:rsidRDefault="00B833D5">
            <w:pPr>
              <w:jc w:val="right"/>
            </w:pPr>
            <w:r>
              <w:rPr>
                <w:rFonts w:eastAsiaTheme="minorEastAsia"/>
                <w:color w:val="000000"/>
                <w:szCs w:val="21"/>
              </w:rPr>
              <w:t>131,680.60</w:t>
            </w:r>
          </w:p>
        </w:tc>
        <w:tc>
          <w:tcPr>
            <w:tcW w:w="997" w:type="dxa"/>
            <w:vAlign w:val="center"/>
          </w:tcPr>
          <w:p w:rsidR="007B4EE4" w:rsidRDefault="00B833D5">
            <w:pPr>
              <w:jc w:val="right"/>
            </w:pPr>
            <w:r>
              <w:rPr>
                <w:rFonts w:eastAsiaTheme="minorEastAsia"/>
                <w:color w:val="000000"/>
                <w:szCs w:val="21"/>
              </w:rPr>
              <w:t>0.56</w:t>
            </w:r>
          </w:p>
        </w:tc>
      </w:tr>
      <w:tr w:rsidR="007B4EE4">
        <w:trPr>
          <w:jc w:val="center"/>
        </w:trPr>
        <w:tc>
          <w:tcPr>
            <w:tcW w:w="771" w:type="dxa"/>
            <w:vAlign w:val="center"/>
          </w:tcPr>
          <w:p w:rsidR="007B4EE4" w:rsidRDefault="00B833D5">
            <w:pPr>
              <w:jc w:val="center"/>
            </w:pPr>
            <w:r>
              <w:rPr>
                <w:rFonts w:eastAsiaTheme="minorEastAsia"/>
                <w:color w:val="000000"/>
                <w:szCs w:val="21"/>
              </w:rPr>
              <w:t>60</w:t>
            </w:r>
          </w:p>
        </w:tc>
        <w:tc>
          <w:tcPr>
            <w:tcW w:w="905" w:type="dxa"/>
            <w:vAlign w:val="center"/>
          </w:tcPr>
          <w:p w:rsidR="007B4EE4" w:rsidRDefault="00B833D5">
            <w:pPr>
              <w:jc w:val="center"/>
            </w:pPr>
            <w:r>
              <w:rPr>
                <w:rFonts w:eastAsiaTheme="minorEastAsia"/>
                <w:color w:val="000000"/>
                <w:szCs w:val="21"/>
              </w:rPr>
              <w:t>Guangzhou Baiyunshan Pharmaceutical Holdings Company Limited</w:t>
            </w:r>
          </w:p>
        </w:tc>
        <w:tc>
          <w:tcPr>
            <w:tcW w:w="1015" w:type="dxa"/>
            <w:vAlign w:val="center"/>
          </w:tcPr>
          <w:p w:rsidR="007B4EE4" w:rsidRDefault="00B833D5">
            <w:pPr>
              <w:jc w:val="center"/>
            </w:pPr>
            <w:r>
              <w:rPr>
                <w:rFonts w:eastAsiaTheme="minorEastAsia"/>
                <w:color w:val="000000"/>
                <w:szCs w:val="21"/>
              </w:rPr>
              <w:t>广州白云山医药集团股份有限公司</w:t>
            </w:r>
          </w:p>
        </w:tc>
        <w:tc>
          <w:tcPr>
            <w:tcW w:w="1184" w:type="dxa"/>
            <w:vAlign w:val="center"/>
          </w:tcPr>
          <w:p w:rsidR="007B4EE4" w:rsidRDefault="00B833D5">
            <w:pPr>
              <w:jc w:val="center"/>
            </w:pPr>
            <w:r>
              <w:rPr>
                <w:rFonts w:eastAsiaTheme="minorEastAsia"/>
                <w:color w:val="000000"/>
                <w:szCs w:val="21"/>
              </w:rPr>
              <w:t>874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7,328</w:t>
            </w:r>
          </w:p>
        </w:tc>
        <w:tc>
          <w:tcPr>
            <w:tcW w:w="1690" w:type="dxa"/>
            <w:vAlign w:val="center"/>
          </w:tcPr>
          <w:p w:rsidR="007B4EE4" w:rsidRDefault="00B833D5">
            <w:pPr>
              <w:jc w:val="right"/>
            </w:pPr>
            <w:r>
              <w:rPr>
                <w:rFonts w:eastAsiaTheme="minorEastAsia"/>
                <w:color w:val="000000"/>
                <w:szCs w:val="21"/>
              </w:rPr>
              <w:t>130,928.54</w:t>
            </w:r>
          </w:p>
        </w:tc>
        <w:tc>
          <w:tcPr>
            <w:tcW w:w="997" w:type="dxa"/>
            <w:vAlign w:val="center"/>
          </w:tcPr>
          <w:p w:rsidR="007B4EE4" w:rsidRDefault="00B833D5">
            <w:pPr>
              <w:jc w:val="right"/>
            </w:pPr>
            <w:r>
              <w:rPr>
                <w:rFonts w:eastAsiaTheme="minorEastAsia"/>
                <w:color w:val="000000"/>
                <w:szCs w:val="21"/>
              </w:rPr>
              <w:t>0.56</w:t>
            </w:r>
          </w:p>
        </w:tc>
      </w:tr>
      <w:tr w:rsidR="007B4EE4">
        <w:trPr>
          <w:jc w:val="center"/>
        </w:trPr>
        <w:tc>
          <w:tcPr>
            <w:tcW w:w="771" w:type="dxa"/>
            <w:vAlign w:val="center"/>
          </w:tcPr>
          <w:p w:rsidR="007B4EE4" w:rsidRDefault="00B833D5">
            <w:pPr>
              <w:jc w:val="center"/>
            </w:pPr>
            <w:r>
              <w:rPr>
                <w:rFonts w:eastAsiaTheme="minorEastAsia"/>
                <w:color w:val="000000"/>
                <w:szCs w:val="21"/>
              </w:rPr>
              <w:t>61</w:t>
            </w:r>
          </w:p>
        </w:tc>
        <w:tc>
          <w:tcPr>
            <w:tcW w:w="905" w:type="dxa"/>
            <w:vAlign w:val="center"/>
          </w:tcPr>
          <w:p w:rsidR="007B4EE4" w:rsidRDefault="00B833D5">
            <w:pPr>
              <w:jc w:val="center"/>
            </w:pPr>
            <w:r>
              <w:rPr>
                <w:rFonts w:eastAsiaTheme="minorEastAsia"/>
                <w:color w:val="000000"/>
                <w:szCs w:val="21"/>
              </w:rPr>
              <w:t>Sany Heavy Equipment International Holdings Company Limited</w:t>
            </w:r>
          </w:p>
        </w:tc>
        <w:tc>
          <w:tcPr>
            <w:tcW w:w="1015" w:type="dxa"/>
            <w:vAlign w:val="center"/>
          </w:tcPr>
          <w:p w:rsidR="007B4EE4" w:rsidRDefault="00B833D5">
            <w:pPr>
              <w:jc w:val="center"/>
            </w:pPr>
            <w:r>
              <w:rPr>
                <w:rFonts w:eastAsiaTheme="minorEastAsia"/>
                <w:color w:val="000000"/>
                <w:szCs w:val="21"/>
              </w:rPr>
              <w:t>三一重装国际控股有限公司</w:t>
            </w:r>
          </w:p>
        </w:tc>
        <w:tc>
          <w:tcPr>
            <w:tcW w:w="1184" w:type="dxa"/>
            <w:vAlign w:val="center"/>
          </w:tcPr>
          <w:p w:rsidR="007B4EE4" w:rsidRDefault="00B833D5">
            <w:pPr>
              <w:jc w:val="center"/>
            </w:pPr>
            <w:r>
              <w:rPr>
                <w:rFonts w:eastAsiaTheme="minorEastAsia"/>
                <w:color w:val="000000"/>
                <w:szCs w:val="21"/>
              </w:rPr>
              <w:t>631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39,548</w:t>
            </w:r>
          </w:p>
        </w:tc>
        <w:tc>
          <w:tcPr>
            <w:tcW w:w="1690" w:type="dxa"/>
            <w:vAlign w:val="center"/>
          </w:tcPr>
          <w:p w:rsidR="007B4EE4" w:rsidRDefault="00B833D5">
            <w:pPr>
              <w:jc w:val="right"/>
            </w:pPr>
            <w:r>
              <w:rPr>
                <w:rFonts w:eastAsiaTheme="minorEastAsia"/>
                <w:color w:val="000000"/>
                <w:szCs w:val="21"/>
              </w:rPr>
              <w:t>129,687.76</w:t>
            </w:r>
          </w:p>
        </w:tc>
        <w:tc>
          <w:tcPr>
            <w:tcW w:w="997" w:type="dxa"/>
            <w:vAlign w:val="center"/>
          </w:tcPr>
          <w:p w:rsidR="007B4EE4" w:rsidRDefault="00B833D5">
            <w:pPr>
              <w:jc w:val="right"/>
            </w:pPr>
            <w:r>
              <w:rPr>
                <w:rFonts w:eastAsiaTheme="minorEastAsia"/>
                <w:color w:val="000000"/>
                <w:szCs w:val="21"/>
              </w:rPr>
              <w:t>0.55</w:t>
            </w:r>
          </w:p>
        </w:tc>
      </w:tr>
      <w:tr w:rsidR="007B4EE4">
        <w:trPr>
          <w:jc w:val="center"/>
        </w:trPr>
        <w:tc>
          <w:tcPr>
            <w:tcW w:w="771" w:type="dxa"/>
            <w:vAlign w:val="center"/>
          </w:tcPr>
          <w:p w:rsidR="007B4EE4" w:rsidRDefault="00B833D5">
            <w:pPr>
              <w:jc w:val="center"/>
            </w:pPr>
            <w:r>
              <w:rPr>
                <w:rFonts w:eastAsiaTheme="minorEastAsia"/>
                <w:color w:val="000000"/>
                <w:szCs w:val="21"/>
              </w:rPr>
              <w:t>62</w:t>
            </w:r>
          </w:p>
        </w:tc>
        <w:tc>
          <w:tcPr>
            <w:tcW w:w="905" w:type="dxa"/>
            <w:vAlign w:val="center"/>
          </w:tcPr>
          <w:p w:rsidR="007B4EE4" w:rsidRDefault="00B833D5">
            <w:pPr>
              <w:jc w:val="center"/>
            </w:pPr>
            <w:r>
              <w:rPr>
                <w:rFonts w:eastAsiaTheme="minorEastAsia"/>
                <w:color w:val="000000"/>
                <w:szCs w:val="21"/>
              </w:rPr>
              <w:t>Shougang Fushan Resources Group Limited</w:t>
            </w:r>
          </w:p>
        </w:tc>
        <w:tc>
          <w:tcPr>
            <w:tcW w:w="1015" w:type="dxa"/>
            <w:vAlign w:val="center"/>
          </w:tcPr>
          <w:p w:rsidR="007B4EE4" w:rsidRDefault="00B833D5">
            <w:pPr>
              <w:jc w:val="center"/>
            </w:pPr>
            <w:r>
              <w:rPr>
                <w:rFonts w:eastAsiaTheme="minorEastAsia"/>
                <w:color w:val="000000"/>
                <w:szCs w:val="21"/>
              </w:rPr>
              <w:t>首钢福山资源集团有限公司</w:t>
            </w:r>
          </w:p>
        </w:tc>
        <w:tc>
          <w:tcPr>
            <w:tcW w:w="1184" w:type="dxa"/>
            <w:vAlign w:val="center"/>
          </w:tcPr>
          <w:p w:rsidR="007B4EE4" w:rsidRDefault="00B833D5">
            <w:pPr>
              <w:jc w:val="center"/>
            </w:pPr>
            <w:r>
              <w:rPr>
                <w:rFonts w:eastAsiaTheme="minorEastAsia"/>
                <w:color w:val="000000"/>
                <w:szCs w:val="21"/>
              </w:rPr>
              <w:t>639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87,536</w:t>
            </w:r>
          </w:p>
        </w:tc>
        <w:tc>
          <w:tcPr>
            <w:tcW w:w="1690" w:type="dxa"/>
            <w:vAlign w:val="center"/>
          </w:tcPr>
          <w:p w:rsidR="007B4EE4" w:rsidRDefault="00B833D5">
            <w:pPr>
              <w:jc w:val="right"/>
            </w:pPr>
            <w:r>
              <w:rPr>
                <w:rFonts w:eastAsiaTheme="minorEastAsia"/>
                <w:color w:val="000000"/>
                <w:szCs w:val="21"/>
              </w:rPr>
              <w:t>129,533.39</w:t>
            </w:r>
          </w:p>
        </w:tc>
        <w:tc>
          <w:tcPr>
            <w:tcW w:w="997" w:type="dxa"/>
            <w:vAlign w:val="center"/>
          </w:tcPr>
          <w:p w:rsidR="007B4EE4" w:rsidRDefault="00B833D5">
            <w:pPr>
              <w:jc w:val="right"/>
            </w:pPr>
            <w:r>
              <w:rPr>
                <w:rFonts w:eastAsiaTheme="minorEastAsia"/>
                <w:color w:val="000000"/>
                <w:szCs w:val="21"/>
              </w:rPr>
              <w:t>0.55</w:t>
            </w:r>
          </w:p>
        </w:tc>
      </w:tr>
      <w:tr w:rsidR="007B4EE4">
        <w:trPr>
          <w:jc w:val="center"/>
        </w:trPr>
        <w:tc>
          <w:tcPr>
            <w:tcW w:w="771" w:type="dxa"/>
            <w:vAlign w:val="center"/>
          </w:tcPr>
          <w:p w:rsidR="007B4EE4" w:rsidRDefault="00B833D5">
            <w:pPr>
              <w:jc w:val="center"/>
            </w:pPr>
            <w:r>
              <w:rPr>
                <w:rFonts w:eastAsiaTheme="minorEastAsia"/>
                <w:color w:val="000000"/>
                <w:szCs w:val="21"/>
              </w:rPr>
              <w:t>63</w:t>
            </w:r>
          </w:p>
        </w:tc>
        <w:tc>
          <w:tcPr>
            <w:tcW w:w="905" w:type="dxa"/>
            <w:vAlign w:val="center"/>
          </w:tcPr>
          <w:p w:rsidR="007B4EE4" w:rsidRDefault="00B833D5">
            <w:pPr>
              <w:jc w:val="center"/>
            </w:pPr>
            <w:r>
              <w:rPr>
                <w:rFonts w:eastAsiaTheme="minorEastAsia"/>
                <w:color w:val="000000"/>
                <w:szCs w:val="21"/>
              </w:rPr>
              <w:t>Huadian Power International Corporation Limited</w:t>
            </w:r>
          </w:p>
        </w:tc>
        <w:tc>
          <w:tcPr>
            <w:tcW w:w="1015" w:type="dxa"/>
            <w:vAlign w:val="center"/>
          </w:tcPr>
          <w:p w:rsidR="007B4EE4" w:rsidRDefault="00B833D5">
            <w:pPr>
              <w:jc w:val="center"/>
            </w:pPr>
            <w:r>
              <w:rPr>
                <w:rFonts w:eastAsiaTheme="minorEastAsia"/>
                <w:color w:val="000000"/>
                <w:szCs w:val="21"/>
              </w:rPr>
              <w:t>华电国际电力股份有限公司</w:t>
            </w:r>
          </w:p>
        </w:tc>
        <w:tc>
          <w:tcPr>
            <w:tcW w:w="1184" w:type="dxa"/>
            <w:vAlign w:val="center"/>
          </w:tcPr>
          <w:p w:rsidR="007B4EE4" w:rsidRDefault="00B833D5">
            <w:pPr>
              <w:jc w:val="center"/>
            </w:pPr>
            <w:r>
              <w:rPr>
                <w:rFonts w:eastAsiaTheme="minorEastAsia"/>
                <w:color w:val="000000"/>
                <w:szCs w:val="21"/>
              </w:rPr>
              <w:t>1071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63,324</w:t>
            </w:r>
          </w:p>
        </w:tc>
        <w:tc>
          <w:tcPr>
            <w:tcW w:w="1690" w:type="dxa"/>
            <w:vAlign w:val="center"/>
          </w:tcPr>
          <w:p w:rsidR="007B4EE4" w:rsidRDefault="00B833D5">
            <w:pPr>
              <w:jc w:val="right"/>
            </w:pPr>
            <w:r>
              <w:rPr>
                <w:rFonts w:eastAsiaTheme="minorEastAsia"/>
                <w:color w:val="000000"/>
                <w:szCs w:val="21"/>
              </w:rPr>
              <w:t>128,989.16</w:t>
            </w:r>
          </w:p>
        </w:tc>
        <w:tc>
          <w:tcPr>
            <w:tcW w:w="997" w:type="dxa"/>
            <w:vAlign w:val="center"/>
          </w:tcPr>
          <w:p w:rsidR="007B4EE4" w:rsidRDefault="00B833D5">
            <w:pPr>
              <w:jc w:val="right"/>
            </w:pPr>
            <w:r>
              <w:rPr>
                <w:rFonts w:eastAsiaTheme="minorEastAsia"/>
                <w:color w:val="000000"/>
                <w:szCs w:val="21"/>
              </w:rPr>
              <w:t>0.55</w:t>
            </w:r>
          </w:p>
        </w:tc>
      </w:tr>
      <w:tr w:rsidR="007B4EE4">
        <w:trPr>
          <w:jc w:val="center"/>
        </w:trPr>
        <w:tc>
          <w:tcPr>
            <w:tcW w:w="771" w:type="dxa"/>
            <w:vAlign w:val="center"/>
          </w:tcPr>
          <w:p w:rsidR="007B4EE4" w:rsidRDefault="00B833D5">
            <w:pPr>
              <w:jc w:val="center"/>
            </w:pPr>
            <w:r>
              <w:rPr>
                <w:rFonts w:eastAsiaTheme="minorEastAsia"/>
                <w:color w:val="000000"/>
                <w:szCs w:val="21"/>
              </w:rPr>
              <w:t>64</w:t>
            </w:r>
          </w:p>
        </w:tc>
        <w:tc>
          <w:tcPr>
            <w:tcW w:w="905" w:type="dxa"/>
            <w:vAlign w:val="center"/>
          </w:tcPr>
          <w:p w:rsidR="007B4EE4" w:rsidRDefault="00B833D5">
            <w:pPr>
              <w:jc w:val="center"/>
            </w:pPr>
            <w:r>
              <w:rPr>
                <w:rFonts w:eastAsiaTheme="minorEastAsia"/>
                <w:color w:val="000000"/>
                <w:szCs w:val="21"/>
              </w:rPr>
              <w:t xml:space="preserve">Sunlight </w:t>
            </w:r>
            <w:r>
              <w:rPr>
                <w:rFonts w:eastAsiaTheme="minorEastAsia"/>
                <w:color w:val="000000"/>
                <w:szCs w:val="21"/>
              </w:rPr>
              <w:lastRenderedPageBreak/>
              <w:t>Real Estate Investment Trust</w:t>
            </w:r>
          </w:p>
        </w:tc>
        <w:tc>
          <w:tcPr>
            <w:tcW w:w="1015" w:type="dxa"/>
            <w:vAlign w:val="center"/>
          </w:tcPr>
          <w:p w:rsidR="007B4EE4" w:rsidRDefault="00B833D5">
            <w:pPr>
              <w:jc w:val="center"/>
            </w:pPr>
            <w:r>
              <w:rPr>
                <w:rFonts w:eastAsiaTheme="minorEastAsia"/>
                <w:color w:val="000000"/>
                <w:szCs w:val="21"/>
              </w:rPr>
              <w:lastRenderedPageBreak/>
              <w:t>阳光房地</w:t>
            </w:r>
            <w:r>
              <w:rPr>
                <w:rFonts w:eastAsiaTheme="minorEastAsia"/>
                <w:color w:val="000000"/>
                <w:szCs w:val="21"/>
              </w:rPr>
              <w:lastRenderedPageBreak/>
              <w:t>产投资信托基金</w:t>
            </w:r>
          </w:p>
        </w:tc>
        <w:tc>
          <w:tcPr>
            <w:tcW w:w="1184" w:type="dxa"/>
            <w:vAlign w:val="center"/>
          </w:tcPr>
          <w:p w:rsidR="007B4EE4" w:rsidRDefault="00B833D5">
            <w:pPr>
              <w:jc w:val="center"/>
            </w:pPr>
            <w:r>
              <w:rPr>
                <w:rFonts w:eastAsiaTheme="minorEastAsia"/>
                <w:color w:val="000000"/>
                <w:szCs w:val="21"/>
              </w:rPr>
              <w:lastRenderedPageBreak/>
              <w:t>435 HK</w:t>
            </w:r>
          </w:p>
        </w:tc>
        <w:tc>
          <w:tcPr>
            <w:tcW w:w="847" w:type="dxa"/>
            <w:vAlign w:val="center"/>
          </w:tcPr>
          <w:p w:rsidR="007B4EE4" w:rsidRDefault="00B833D5">
            <w:pPr>
              <w:jc w:val="center"/>
            </w:pPr>
            <w:r>
              <w:rPr>
                <w:rFonts w:eastAsiaTheme="minorEastAsia"/>
                <w:color w:val="000000"/>
                <w:szCs w:val="21"/>
              </w:rPr>
              <w:t>香港证</w:t>
            </w:r>
            <w:r>
              <w:rPr>
                <w:rFonts w:eastAsiaTheme="minorEastAsia"/>
                <w:color w:val="000000"/>
                <w:szCs w:val="21"/>
              </w:rPr>
              <w:lastRenderedPageBreak/>
              <w:t>券交易所</w:t>
            </w:r>
          </w:p>
        </w:tc>
        <w:tc>
          <w:tcPr>
            <w:tcW w:w="1025" w:type="dxa"/>
            <w:vAlign w:val="center"/>
          </w:tcPr>
          <w:p w:rsidR="007B4EE4" w:rsidRDefault="00B833D5">
            <w:pPr>
              <w:jc w:val="center"/>
            </w:pPr>
            <w:r>
              <w:rPr>
                <w:rFonts w:eastAsiaTheme="minorEastAsia"/>
                <w:color w:val="000000"/>
                <w:szCs w:val="21"/>
              </w:rPr>
              <w:lastRenderedPageBreak/>
              <w:t>中国香港</w:t>
            </w:r>
          </w:p>
        </w:tc>
        <w:tc>
          <w:tcPr>
            <w:tcW w:w="1015" w:type="dxa"/>
            <w:vAlign w:val="center"/>
          </w:tcPr>
          <w:p w:rsidR="007B4EE4" w:rsidRDefault="00B833D5">
            <w:pPr>
              <w:jc w:val="right"/>
            </w:pPr>
            <w:r>
              <w:rPr>
                <w:rFonts w:eastAsiaTheme="minorEastAsia"/>
                <w:color w:val="000000"/>
                <w:szCs w:val="21"/>
              </w:rPr>
              <w:t>35,939</w:t>
            </w:r>
          </w:p>
        </w:tc>
        <w:tc>
          <w:tcPr>
            <w:tcW w:w="1690" w:type="dxa"/>
            <w:vAlign w:val="center"/>
          </w:tcPr>
          <w:p w:rsidR="007B4EE4" w:rsidRDefault="00B833D5">
            <w:pPr>
              <w:jc w:val="right"/>
            </w:pPr>
            <w:r>
              <w:rPr>
                <w:rFonts w:eastAsiaTheme="minorEastAsia"/>
                <w:color w:val="000000"/>
                <w:szCs w:val="21"/>
              </w:rPr>
              <w:t>126,388.26</w:t>
            </w:r>
          </w:p>
        </w:tc>
        <w:tc>
          <w:tcPr>
            <w:tcW w:w="997" w:type="dxa"/>
            <w:vAlign w:val="center"/>
          </w:tcPr>
          <w:p w:rsidR="007B4EE4" w:rsidRDefault="00B833D5">
            <w:pPr>
              <w:jc w:val="right"/>
            </w:pPr>
            <w:r>
              <w:rPr>
                <w:rFonts w:eastAsiaTheme="minorEastAsia"/>
                <w:color w:val="000000"/>
                <w:szCs w:val="21"/>
              </w:rPr>
              <w:t>0.54</w:t>
            </w:r>
          </w:p>
        </w:tc>
      </w:tr>
      <w:tr w:rsidR="007B4EE4">
        <w:trPr>
          <w:jc w:val="center"/>
        </w:trPr>
        <w:tc>
          <w:tcPr>
            <w:tcW w:w="771" w:type="dxa"/>
            <w:vAlign w:val="center"/>
          </w:tcPr>
          <w:p w:rsidR="007B4EE4" w:rsidRDefault="00B833D5">
            <w:pPr>
              <w:jc w:val="center"/>
            </w:pPr>
            <w:r>
              <w:rPr>
                <w:rFonts w:eastAsiaTheme="minorEastAsia"/>
                <w:color w:val="000000"/>
                <w:szCs w:val="21"/>
              </w:rPr>
              <w:t>65</w:t>
            </w:r>
          </w:p>
        </w:tc>
        <w:tc>
          <w:tcPr>
            <w:tcW w:w="905" w:type="dxa"/>
            <w:vAlign w:val="center"/>
          </w:tcPr>
          <w:p w:rsidR="007B4EE4" w:rsidRDefault="00B833D5">
            <w:pPr>
              <w:jc w:val="center"/>
            </w:pPr>
            <w:r>
              <w:rPr>
                <w:rFonts w:eastAsiaTheme="minorEastAsia"/>
                <w:color w:val="000000"/>
                <w:szCs w:val="21"/>
              </w:rPr>
              <w:t>Sinic Holdings (Group) Company Limited</w:t>
            </w:r>
          </w:p>
        </w:tc>
        <w:tc>
          <w:tcPr>
            <w:tcW w:w="1015" w:type="dxa"/>
            <w:vAlign w:val="center"/>
          </w:tcPr>
          <w:p w:rsidR="007B4EE4" w:rsidRDefault="00B833D5">
            <w:pPr>
              <w:jc w:val="center"/>
            </w:pPr>
            <w:r>
              <w:rPr>
                <w:rFonts w:eastAsiaTheme="minorEastAsia"/>
                <w:color w:val="000000"/>
                <w:szCs w:val="21"/>
              </w:rPr>
              <w:t>新力控股</w:t>
            </w:r>
            <w:r>
              <w:rPr>
                <w:rFonts w:eastAsiaTheme="minorEastAsia"/>
                <w:color w:val="000000"/>
                <w:szCs w:val="21"/>
              </w:rPr>
              <w:t>(</w:t>
            </w:r>
            <w:r>
              <w:rPr>
                <w:rFonts w:eastAsiaTheme="minorEastAsia"/>
                <w:color w:val="000000"/>
                <w:szCs w:val="21"/>
              </w:rPr>
              <w:t>集团</w:t>
            </w:r>
            <w:r>
              <w:rPr>
                <w:rFonts w:eastAsiaTheme="minorEastAsia"/>
                <w:color w:val="000000"/>
                <w:szCs w:val="21"/>
              </w:rPr>
              <w:t>)</w:t>
            </w:r>
            <w:r>
              <w:rPr>
                <w:rFonts w:eastAsiaTheme="minorEastAsia"/>
                <w:color w:val="000000"/>
                <w:szCs w:val="21"/>
              </w:rPr>
              <w:t>有限公司</w:t>
            </w:r>
          </w:p>
        </w:tc>
        <w:tc>
          <w:tcPr>
            <w:tcW w:w="1184" w:type="dxa"/>
            <w:vAlign w:val="center"/>
          </w:tcPr>
          <w:p w:rsidR="007B4EE4" w:rsidRDefault="00B833D5">
            <w:pPr>
              <w:jc w:val="center"/>
            </w:pPr>
            <w:r>
              <w:rPr>
                <w:rFonts w:eastAsiaTheme="minorEastAsia"/>
                <w:color w:val="000000"/>
                <w:szCs w:val="21"/>
              </w:rPr>
              <w:t>2103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33,000</w:t>
            </w:r>
          </w:p>
        </w:tc>
        <w:tc>
          <w:tcPr>
            <w:tcW w:w="1690" w:type="dxa"/>
            <w:vAlign w:val="center"/>
          </w:tcPr>
          <w:p w:rsidR="007B4EE4" w:rsidRDefault="00B833D5">
            <w:pPr>
              <w:jc w:val="right"/>
            </w:pPr>
            <w:r>
              <w:rPr>
                <w:rFonts w:eastAsiaTheme="minorEastAsia"/>
                <w:color w:val="000000"/>
                <w:szCs w:val="21"/>
              </w:rPr>
              <w:t>124,794.17</w:t>
            </w:r>
          </w:p>
        </w:tc>
        <w:tc>
          <w:tcPr>
            <w:tcW w:w="997" w:type="dxa"/>
            <w:vAlign w:val="center"/>
          </w:tcPr>
          <w:p w:rsidR="007B4EE4" w:rsidRDefault="00B833D5">
            <w:pPr>
              <w:jc w:val="right"/>
            </w:pPr>
            <w:r>
              <w:rPr>
                <w:rFonts w:eastAsiaTheme="minorEastAsia"/>
                <w:color w:val="000000"/>
                <w:szCs w:val="21"/>
              </w:rPr>
              <w:t>0.53</w:t>
            </w:r>
          </w:p>
        </w:tc>
      </w:tr>
      <w:tr w:rsidR="007B4EE4">
        <w:trPr>
          <w:jc w:val="center"/>
        </w:trPr>
        <w:tc>
          <w:tcPr>
            <w:tcW w:w="771" w:type="dxa"/>
            <w:vAlign w:val="center"/>
          </w:tcPr>
          <w:p w:rsidR="007B4EE4" w:rsidRDefault="00B833D5">
            <w:pPr>
              <w:jc w:val="center"/>
            </w:pPr>
            <w:r>
              <w:rPr>
                <w:rFonts w:eastAsiaTheme="minorEastAsia"/>
                <w:color w:val="000000"/>
                <w:szCs w:val="21"/>
              </w:rPr>
              <w:t>66</w:t>
            </w:r>
          </w:p>
        </w:tc>
        <w:tc>
          <w:tcPr>
            <w:tcW w:w="905" w:type="dxa"/>
            <w:vAlign w:val="center"/>
          </w:tcPr>
          <w:p w:rsidR="007B4EE4" w:rsidRDefault="00B833D5">
            <w:pPr>
              <w:jc w:val="center"/>
            </w:pPr>
            <w:r>
              <w:rPr>
                <w:rFonts w:eastAsiaTheme="minorEastAsia"/>
                <w:color w:val="000000"/>
                <w:szCs w:val="21"/>
              </w:rPr>
              <w:t>China Resources Medical Holdings Company Limited</w:t>
            </w:r>
          </w:p>
        </w:tc>
        <w:tc>
          <w:tcPr>
            <w:tcW w:w="1015" w:type="dxa"/>
            <w:vAlign w:val="center"/>
          </w:tcPr>
          <w:p w:rsidR="007B4EE4" w:rsidRDefault="00B833D5">
            <w:pPr>
              <w:jc w:val="center"/>
            </w:pPr>
            <w:r>
              <w:rPr>
                <w:rFonts w:eastAsiaTheme="minorEastAsia"/>
                <w:color w:val="000000"/>
                <w:szCs w:val="21"/>
              </w:rPr>
              <w:t>华润医疗控股有限公司</w:t>
            </w:r>
          </w:p>
        </w:tc>
        <w:tc>
          <w:tcPr>
            <w:tcW w:w="1184" w:type="dxa"/>
            <w:vAlign w:val="center"/>
          </w:tcPr>
          <w:p w:rsidR="007B4EE4" w:rsidRDefault="00B833D5">
            <w:pPr>
              <w:jc w:val="center"/>
            </w:pPr>
            <w:r>
              <w:rPr>
                <w:rFonts w:eastAsiaTheme="minorEastAsia"/>
                <w:color w:val="000000"/>
                <w:szCs w:val="21"/>
              </w:rPr>
              <w:t>1515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30,543</w:t>
            </w:r>
          </w:p>
        </w:tc>
        <w:tc>
          <w:tcPr>
            <w:tcW w:w="1690" w:type="dxa"/>
            <w:vAlign w:val="center"/>
          </w:tcPr>
          <w:p w:rsidR="007B4EE4" w:rsidRDefault="00B833D5">
            <w:pPr>
              <w:jc w:val="right"/>
            </w:pPr>
            <w:r>
              <w:rPr>
                <w:rFonts w:eastAsiaTheme="minorEastAsia"/>
                <w:color w:val="000000"/>
                <w:szCs w:val="21"/>
              </w:rPr>
              <w:t>123,314.45</w:t>
            </w:r>
          </w:p>
        </w:tc>
        <w:tc>
          <w:tcPr>
            <w:tcW w:w="997" w:type="dxa"/>
            <w:vAlign w:val="center"/>
          </w:tcPr>
          <w:p w:rsidR="007B4EE4" w:rsidRDefault="00B833D5">
            <w:pPr>
              <w:jc w:val="right"/>
            </w:pPr>
            <w:r>
              <w:rPr>
                <w:rFonts w:eastAsiaTheme="minorEastAsia"/>
                <w:color w:val="000000"/>
                <w:szCs w:val="21"/>
              </w:rPr>
              <w:t>0.53</w:t>
            </w:r>
          </w:p>
        </w:tc>
      </w:tr>
      <w:tr w:rsidR="007B4EE4">
        <w:trPr>
          <w:jc w:val="center"/>
        </w:trPr>
        <w:tc>
          <w:tcPr>
            <w:tcW w:w="771" w:type="dxa"/>
            <w:vAlign w:val="center"/>
          </w:tcPr>
          <w:p w:rsidR="007B4EE4" w:rsidRDefault="00B833D5">
            <w:pPr>
              <w:jc w:val="center"/>
            </w:pPr>
            <w:r>
              <w:rPr>
                <w:rFonts w:eastAsiaTheme="minorEastAsia"/>
                <w:color w:val="000000"/>
                <w:szCs w:val="21"/>
              </w:rPr>
              <w:t>67</w:t>
            </w:r>
          </w:p>
        </w:tc>
        <w:tc>
          <w:tcPr>
            <w:tcW w:w="905" w:type="dxa"/>
            <w:vAlign w:val="center"/>
          </w:tcPr>
          <w:p w:rsidR="007B4EE4" w:rsidRDefault="00B833D5">
            <w:pPr>
              <w:jc w:val="center"/>
            </w:pPr>
            <w:r>
              <w:rPr>
                <w:rFonts w:eastAsiaTheme="minorEastAsia"/>
                <w:color w:val="000000"/>
                <w:szCs w:val="21"/>
              </w:rPr>
              <w:t>Dongyue Group Limited</w:t>
            </w:r>
          </w:p>
        </w:tc>
        <w:tc>
          <w:tcPr>
            <w:tcW w:w="1015" w:type="dxa"/>
            <w:vAlign w:val="center"/>
          </w:tcPr>
          <w:p w:rsidR="007B4EE4" w:rsidRDefault="00B833D5">
            <w:pPr>
              <w:jc w:val="center"/>
            </w:pPr>
            <w:r>
              <w:rPr>
                <w:rFonts w:eastAsiaTheme="minorEastAsia"/>
                <w:color w:val="000000"/>
                <w:szCs w:val="21"/>
              </w:rPr>
              <w:t>东岳集团有限公司</w:t>
            </w:r>
          </w:p>
        </w:tc>
        <w:tc>
          <w:tcPr>
            <w:tcW w:w="1184" w:type="dxa"/>
            <w:vAlign w:val="center"/>
          </w:tcPr>
          <w:p w:rsidR="007B4EE4" w:rsidRDefault="00B833D5">
            <w:pPr>
              <w:jc w:val="center"/>
            </w:pPr>
            <w:r>
              <w:rPr>
                <w:rFonts w:eastAsiaTheme="minorEastAsia"/>
                <w:color w:val="000000"/>
                <w:szCs w:val="21"/>
              </w:rPr>
              <w:t>189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42,533</w:t>
            </w:r>
          </w:p>
        </w:tc>
        <w:tc>
          <w:tcPr>
            <w:tcW w:w="1690" w:type="dxa"/>
            <w:vAlign w:val="center"/>
          </w:tcPr>
          <w:p w:rsidR="007B4EE4" w:rsidRDefault="00B833D5">
            <w:pPr>
              <w:jc w:val="right"/>
            </w:pPr>
            <w:r>
              <w:rPr>
                <w:rFonts w:eastAsiaTheme="minorEastAsia"/>
                <w:color w:val="000000"/>
                <w:szCs w:val="21"/>
              </w:rPr>
              <w:t>122,381.73</w:t>
            </w:r>
          </w:p>
        </w:tc>
        <w:tc>
          <w:tcPr>
            <w:tcW w:w="997" w:type="dxa"/>
            <w:vAlign w:val="center"/>
          </w:tcPr>
          <w:p w:rsidR="007B4EE4" w:rsidRDefault="00B833D5">
            <w:pPr>
              <w:jc w:val="right"/>
            </w:pPr>
            <w:r>
              <w:rPr>
                <w:rFonts w:eastAsiaTheme="minorEastAsia"/>
                <w:color w:val="000000"/>
                <w:szCs w:val="21"/>
              </w:rPr>
              <w:t>0.52</w:t>
            </w:r>
          </w:p>
        </w:tc>
      </w:tr>
      <w:tr w:rsidR="007B4EE4">
        <w:trPr>
          <w:jc w:val="center"/>
        </w:trPr>
        <w:tc>
          <w:tcPr>
            <w:tcW w:w="771" w:type="dxa"/>
            <w:vAlign w:val="center"/>
          </w:tcPr>
          <w:p w:rsidR="007B4EE4" w:rsidRDefault="00B833D5">
            <w:pPr>
              <w:jc w:val="center"/>
            </w:pPr>
            <w:r>
              <w:rPr>
                <w:rFonts w:eastAsiaTheme="minorEastAsia"/>
                <w:color w:val="000000"/>
                <w:szCs w:val="21"/>
              </w:rPr>
              <w:t>68</w:t>
            </w:r>
          </w:p>
        </w:tc>
        <w:tc>
          <w:tcPr>
            <w:tcW w:w="905" w:type="dxa"/>
            <w:vAlign w:val="center"/>
          </w:tcPr>
          <w:p w:rsidR="007B4EE4" w:rsidRDefault="00B833D5">
            <w:pPr>
              <w:jc w:val="center"/>
            </w:pPr>
            <w:r>
              <w:rPr>
                <w:rFonts w:eastAsiaTheme="minorEastAsia"/>
                <w:color w:val="000000"/>
                <w:szCs w:val="21"/>
              </w:rPr>
              <w:t>Shenwan Hongyuan Group Co.,Ltd.</w:t>
            </w:r>
          </w:p>
        </w:tc>
        <w:tc>
          <w:tcPr>
            <w:tcW w:w="1015" w:type="dxa"/>
            <w:vAlign w:val="center"/>
          </w:tcPr>
          <w:p w:rsidR="007B4EE4" w:rsidRDefault="00B833D5">
            <w:pPr>
              <w:jc w:val="center"/>
            </w:pPr>
            <w:r>
              <w:rPr>
                <w:rFonts w:eastAsiaTheme="minorEastAsia"/>
                <w:color w:val="000000"/>
                <w:szCs w:val="21"/>
              </w:rPr>
              <w:t>申万宏源集团股份有限公司</w:t>
            </w:r>
          </w:p>
        </w:tc>
        <w:tc>
          <w:tcPr>
            <w:tcW w:w="1184" w:type="dxa"/>
            <w:vAlign w:val="center"/>
          </w:tcPr>
          <w:p w:rsidR="007B4EE4" w:rsidRDefault="00B833D5">
            <w:pPr>
              <w:jc w:val="center"/>
            </w:pPr>
            <w:r>
              <w:rPr>
                <w:rFonts w:eastAsiaTheme="minorEastAsia"/>
                <w:color w:val="000000"/>
                <w:szCs w:val="21"/>
              </w:rPr>
              <w:t>6806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62,400</w:t>
            </w:r>
          </w:p>
        </w:tc>
        <w:tc>
          <w:tcPr>
            <w:tcW w:w="1690" w:type="dxa"/>
            <w:vAlign w:val="center"/>
          </w:tcPr>
          <w:p w:rsidR="007B4EE4" w:rsidRDefault="00B833D5">
            <w:pPr>
              <w:jc w:val="right"/>
            </w:pPr>
            <w:r>
              <w:rPr>
                <w:rFonts w:eastAsiaTheme="minorEastAsia"/>
                <w:color w:val="000000"/>
                <w:szCs w:val="21"/>
              </w:rPr>
              <w:t>121,977.12</w:t>
            </w:r>
          </w:p>
        </w:tc>
        <w:tc>
          <w:tcPr>
            <w:tcW w:w="997" w:type="dxa"/>
            <w:vAlign w:val="center"/>
          </w:tcPr>
          <w:p w:rsidR="007B4EE4" w:rsidRDefault="00B833D5">
            <w:pPr>
              <w:jc w:val="right"/>
            </w:pPr>
            <w:r>
              <w:rPr>
                <w:rFonts w:eastAsiaTheme="minorEastAsia"/>
                <w:color w:val="000000"/>
                <w:szCs w:val="21"/>
              </w:rPr>
              <w:t>0.52</w:t>
            </w:r>
          </w:p>
        </w:tc>
      </w:tr>
      <w:tr w:rsidR="007B4EE4">
        <w:trPr>
          <w:jc w:val="center"/>
        </w:trPr>
        <w:tc>
          <w:tcPr>
            <w:tcW w:w="771" w:type="dxa"/>
            <w:vAlign w:val="center"/>
          </w:tcPr>
          <w:p w:rsidR="007B4EE4" w:rsidRDefault="00B833D5">
            <w:pPr>
              <w:jc w:val="center"/>
            </w:pPr>
            <w:r>
              <w:rPr>
                <w:rFonts w:eastAsiaTheme="minorEastAsia"/>
                <w:color w:val="000000"/>
                <w:szCs w:val="21"/>
              </w:rPr>
              <w:t>69</w:t>
            </w:r>
          </w:p>
        </w:tc>
        <w:tc>
          <w:tcPr>
            <w:tcW w:w="905" w:type="dxa"/>
            <w:vAlign w:val="center"/>
          </w:tcPr>
          <w:p w:rsidR="007B4EE4" w:rsidRDefault="00B833D5">
            <w:pPr>
              <w:jc w:val="center"/>
            </w:pPr>
            <w:r>
              <w:rPr>
                <w:rFonts w:eastAsiaTheme="minorEastAsia"/>
                <w:color w:val="000000"/>
                <w:szCs w:val="21"/>
              </w:rPr>
              <w:t>Maanshan Iron &amp; Steel Company Limited</w:t>
            </w:r>
          </w:p>
        </w:tc>
        <w:tc>
          <w:tcPr>
            <w:tcW w:w="1015" w:type="dxa"/>
            <w:vAlign w:val="center"/>
          </w:tcPr>
          <w:p w:rsidR="007B4EE4" w:rsidRDefault="00B833D5">
            <w:pPr>
              <w:jc w:val="center"/>
            </w:pPr>
            <w:r>
              <w:rPr>
                <w:rFonts w:eastAsiaTheme="minorEastAsia"/>
                <w:color w:val="000000"/>
                <w:szCs w:val="21"/>
              </w:rPr>
              <w:t>马鞍山钢铁股份有限公司</w:t>
            </w:r>
          </w:p>
        </w:tc>
        <w:tc>
          <w:tcPr>
            <w:tcW w:w="1184" w:type="dxa"/>
            <w:vAlign w:val="center"/>
          </w:tcPr>
          <w:p w:rsidR="007B4EE4" w:rsidRDefault="00B833D5">
            <w:pPr>
              <w:jc w:val="center"/>
            </w:pPr>
            <w:r>
              <w:rPr>
                <w:rFonts w:eastAsiaTheme="minorEastAsia"/>
                <w:color w:val="000000"/>
                <w:szCs w:val="21"/>
              </w:rPr>
              <w:t>323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63,939</w:t>
            </w:r>
          </w:p>
        </w:tc>
        <w:tc>
          <w:tcPr>
            <w:tcW w:w="1690" w:type="dxa"/>
            <w:vAlign w:val="center"/>
          </w:tcPr>
          <w:p w:rsidR="007B4EE4" w:rsidRDefault="00B833D5">
            <w:pPr>
              <w:jc w:val="right"/>
            </w:pPr>
            <w:r>
              <w:rPr>
                <w:rFonts w:eastAsiaTheme="minorEastAsia"/>
                <w:color w:val="000000"/>
                <w:szCs w:val="21"/>
              </w:rPr>
              <w:t>121,481.24</w:t>
            </w:r>
          </w:p>
        </w:tc>
        <w:tc>
          <w:tcPr>
            <w:tcW w:w="997" w:type="dxa"/>
            <w:vAlign w:val="center"/>
          </w:tcPr>
          <w:p w:rsidR="007B4EE4" w:rsidRDefault="00B833D5">
            <w:pPr>
              <w:jc w:val="right"/>
            </w:pPr>
            <w:r>
              <w:rPr>
                <w:rFonts w:eastAsiaTheme="minorEastAsia"/>
                <w:color w:val="000000"/>
                <w:szCs w:val="21"/>
              </w:rPr>
              <w:t>0.52</w:t>
            </w:r>
          </w:p>
        </w:tc>
      </w:tr>
      <w:tr w:rsidR="007B4EE4">
        <w:trPr>
          <w:jc w:val="center"/>
        </w:trPr>
        <w:tc>
          <w:tcPr>
            <w:tcW w:w="771" w:type="dxa"/>
            <w:vAlign w:val="center"/>
          </w:tcPr>
          <w:p w:rsidR="007B4EE4" w:rsidRDefault="00B833D5">
            <w:pPr>
              <w:jc w:val="center"/>
            </w:pPr>
            <w:r>
              <w:rPr>
                <w:rFonts w:eastAsiaTheme="minorEastAsia"/>
                <w:color w:val="000000"/>
                <w:szCs w:val="21"/>
              </w:rPr>
              <w:t>70</w:t>
            </w:r>
          </w:p>
        </w:tc>
        <w:tc>
          <w:tcPr>
            <w:tcW w:w="905" w:type="dxa"/>
            <w:vAlign w:val="center"/>
          </w:tcPr>
          <w:p w:rsidR="007B4EE4" w:rsidRDefault="00B833D5">
            <w:pPr>
              <w:jc w:val="center"/>
            </w:pPr>
            <w:r>
              <w:rPr>
                <w:rFonts w:eastAsiaTheme="minorEastAsia"/>
                <w:color w:val="000000"/>
                <w:szCs w:val="21"/>
              </w:rPr>
              <w:t>Asia Cement (China) Holdings Corporation</w:t>
            </w:r>
          </w:p>
        </w:tc>
        <w:tc>
          <w:tcPr>
            <w:tcW w:w="1015" w:type="dxa"/>
            <w:vAlign w:val="center"/>
          </w:tcPr>
          <w:p w:rsidR="007B4EE4" w:rsidRDefault="00B833D5">
            <w:pPr>
              <w:jc w:val="center"/>
            </w:pPr>
            <w:r>
              <w:rPr>
                <w:rFonts w:eastAsiaTheme="minorEastAsia"/>
                <w:color w:val="000000"/>
                <w:szCs w:val="21"/>
              </w:rPr>
              <w:t>亚洲水泥</w:t>
            </w:r>
            <w:r>
              <w:rPr>
                <w:rFonts w:eastAsiaTheme="minorEastAsia"/>
                <w:color w:val="000000"/>
                <w:szCs w:val="21"/>
              </w:rPr>
              <w:t>(</w:t>
            </w:r>
            <w:r>
              <w:rPr>
                <w:rFonts w:eastAsiaTheme="minorEastAsia"/>
                <w:color w:val="000000"/>
                <w:szCs w:val="21"/>
              </w:rPr>
              <w:t>中国</w:t>
            </w:r>
            <w:r>
              <w:rPr>
                <w:rFonts w:eastAsiaTheme="minorEastAsia"/>
                <w:color w:val="000000"/>
                <w:szCs w:val="21"/>
              </w:rPr>
              <w:t>)</w:t>
            </w:r>
            <w:r>
              <w:rPr>
                <w:rFonts w:eastAsiaTheme="minorEastAsia"/>
                <w:color w:val="000000"/>
                <w:szCs w:val="21"/>
              </w:rPr>
              <w:t>控股公司</w:t>
            </w:r>
          </w:p>
        </w:tc>
        <w:tc>
          <w:tcPr>
            <w:tcW w:w="1184" w:type="dxa"/>
            <w:vAlign w:val="center"/>
          </w:tcPr>
          <w:p w:rsidR="007B4EE4" w:rsidRDefault="00B833D5">
            <w:pPr>
              <w:jc w:val="center"/>
            </w:pPr>
            <w:r>
              <w:rPr>
                <w:rFonts w:eastAsiaTheme="minorEastAsia"/>
                <w:color w:val="000000"/>
                <w:szCs w:val="21"/>
              </w:rPr>
              <w:t>743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17,428</w:t>
            </w:r>
          </w:p>
        </w:tc>
        <w:tc>
          <w:tcPr>
            <w:tcW w:w="1690" w:type="dxa"/>
            <w:vAlign w:val="center"/>
          </w:tcPr>
          <w:p w:rsidR="007B4EE4" w:rsidRDefault="00B833D5">
            <w:pPr>
              <w:jc w:val="right"/>
            </w:pPr>
            <w:r>
              <w:rPr>
                <w:rFonts w:eastAsiaTheme="minorEastAsia"/>
                <w:color w:val="000000"/>
                <w:szCs w:val="21"/>
              </w:rPr>
              <w:t>120,987.69</w:t>
            </w:r>
          </w:p>
        </w:tc>
        <w:tc>
          <w:tcPr>
            <w:tcW w:w="997" w:type="dxa"/>
            <w:vAlign w:val="center"/>
          </w:tcPr>
          <w:p w:rsidR="007B4EE4" w:rsidRDefault="00B833D5">
            <w:pPr>
              <w:jc w:val="right"/>
            </w:pPr>
            <w:r>
              <w:rPr>
                <w:rFonts w:eastAsiaTheme="minorEastAsia"/>
                <w:color w:val="000000"/>
                <w:szCs w:val="21"/>
              </w:rPr>
              <w:t>0.52</w:t>
            </w:r>
          </w:p>
        </w:tc>
      </w:tr>
      <w:tr w:rsidR="007B4EE4">
        <w:trPr>
          <w:jc w:val="center"/>
        </w:trPr>
        <w:tc>
          <w:tcPr>
            <w:tcW w:w="771" w:type="dxa"/>
            <w:vAlign w:val="center"/>
          </w:tcPr>
          <w:p w:rsidR="007B4EE4" w:rsidRDefault="00B833D5">
            <w:pPr>
              <w:jc w:val="center"/>
            </w:pPr>
            <w:r>
              <w:rPr>
                <w:rFonts w:eastAsiaTheme="minorEastAsia"/>
                <w:color w:val="000000"/>
                <w:szCs w:val="21"/>
              </w:rPr>
              <w:t>71</w:t>
            </w:r>
          </w:p>
        </w:tc>
        <w:tc>
          <w:tcPr>
            <w:tcW w:w="905" w:type="dxa"/>
            <w:vAlign w:val="center"/>
          </w:tcPr>
          <w:p w:rsidR="007B4EE4" w:rsidRDefault="00B833D5">
            <w:pPr>
              <w:jc w:val="center"/>
            </w:pPr>
            <w:r>
              <w:rPr>
                <w:rFonts w:eastAsiaTheme="minorEastAsia"/>
                <w:color w:val="000000"/>
                <w:szCs w:val="21"/>
              </w:rPr>
              <w:t>Digital China Holdings Ltd.</w:t>
            </w:r>
          </w:p>
        </w:tc>
        <w:tc>
          <w:tcPr>
            <w:tcW w:w="1015" w:type="dxa"/>
            <w:vAlign w:val="center"/>
          </w:tcPr>
          <w:p w:rsidR="007B4EE4" w:rsidRDefault="00B833D5">
            <w:pPr>
              <w:jc w:val="center"/>
            </w:pPr>
            <w:r>
              <w:rPr>
                <w:rFonts w:eastAsiaTheme="minorEastAsia"/>
                <w:color w:val="000000"/>
                <w:szCs w:val="21"/>
              </w:rPr>
              <w:t>神州数码控股有限公司</w:t>
            </w:r>
          </w:p>
        </w:tc>
        <w:tc>
          <w:tcPr>
            <w:tcW w:w="1184" w:type="dxa"/>
            <w:vAlign w:val="center"/>
          </w:tcPr>
          <w:p w:rsidR="007B4EE4" w:rsidRDefault="00B833D5">
            <w:pPr>
              <w:jc w:val="center"/>
            </w:pPr>
            <w:r>
              <w:rPr>
                <w:rFonts w:eastAsiaTheme="minorEastAsia"/>
                <w:color w:val="000000"/>
                <w:szCs w:val="21"/>
              </w:rPr>
              <w:t>861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26,208</w:t>
            </w:r>
          </w:p>
        </w:tc>
        <w:tc>
          <w:tcPr>
            <w:tcW w:w="1690" w:type="dxa"/>
            <w:vAlign w:val="center"/>
          </w:tcPr>
          <w:p w:rsidR="007B4EE4" w:rsidRDefault="00B833D5">
            <w:pPr>
              <w:jc w:val="right"/>
            </w:pPr>
            <w:r>
              <w:rPr>
                <w:rFonts w:eastAsiaTheme="minorEastAsia"/>
                <w:color w:val="000000"/>
                <w:szCs w:val="21"/>
              </w:rPr>
              <w:t>119,936.57</w:t>
            </w:r>
          </w:p>
        </w:tc>
        <w:tc>
          <w:tcPr>
            <w:tcW w:w="997" w:type="dxa"/>
            <w:vAlign w:val="center"/>
          </w:tcPr>
          <w:p w:rsidR="007B4EE4" w:rsidRDefault="00B833D5">
            <w:pPr>
              <w:jc w:val="right"/>
            </w:pPr>
            <w:r>
              <w:rPr>
                <w:rFonts w:eastAsiaTheme="minorEastAsia"/>
                <w:color w:val="000000"/>
                <w:szCs w:val="21"/>
              </w:rPr>
              <w:t>0.51</w:t>
            </w:r>
          </w:p>
        </w:tc>
      </w:tr>
      <w:tr w:rsidR="007B4EE4">
        <w:trPr>
          <w:jc w:val="center"/>
        </w:trPr>
        <w:tc>
          <w:tcPr>
            <w:tcW w:w="771" w:type="dxa"/>
            <w:vAlign w:val="center"/>
          </w:tcPr>
          <w:p w:rsidR="007B4EE4" w:rsidRDefault="00B833D5">
            <w:pPr>
              <w:jc w:val="center"/>
            </w:pPr>
            <w:r>
              <w:rPr>
                <w:rFonts w:eastAsiaTheme="minorEastAsia"/>
                <w:color w:val="000000"/>
                <w:szCs w:val="21"/>
              </w:rPr>
              <w:t>72</w:t>
            </w:r>
          </w:p>
        </w:tc>
        <w:tc>
          <w:tcPr>
            <w:tcW w:w="905" w:type="dxa"/>
            <w:vAlign w:val="center"/>
          </w:tcPr>
          <w:p w:rsidR="007B4EE4" w:rsidRDefault="00B833D5">
            <w:pPr>
              <w:jc w:val="center"/>
            </w:pPr>
            <w:r>
              <w:rPr>
                <w:rFonts w:eastAsiaTheme="minorEastAsia"/>
                <w:color w:val="000000"/>
                <w:szCs w:val="21"/>
              </w:rPr>
              <w:t>Chow Sang Sang Holdings International Ltd.</w:t>
            </w:r>
          </w:p>
        </w:tc>
        <w:tc>
          <w:tcPr>
            <w:tcW w:w="1015" w:type="dxa"/>
            <w:vAlign w:val="center"/>
          </w:tcPr>
          <w:p w:rsidR="007B4EE4" w:rsidRDefault="00B833D5">
            <w:pPr>
              <w:jc w:val="center"/>
            </w:pPr>
            <w:r>
              <w:rPr>
                <w:rFonts w:eastAsiaTheme="minorEastAsia"/>
                <w:color w:val="000000"/>
                <w:szCs w:val="21"/>
              </w:rPr>
              <w:t>周生生集团国际有限公司</w:t>
            </w:r>
          </w:p>
        </w:tc>
        <w:tc>
          <w:tcPr>
            <w:tcW w:w="1184" w:type="dxa"/>
            <w:vAlign w:val="center"/>
          </w:tcPr>
          <w:p w:rsidR="007B4EE4" w:rsidRDefault="00B833D5">
            <w:pPr>
              <w:jc w:val="center"/>
            </w:pPr>
            <w:r>
              <w:rPr>
                <w:rFonts w:eastAsiaTheme="minorEastAsia"/>
                <w:color w:val="000000"/>
                <w:szCs w:val="21"/>
              </w:rPr>
              <w:t>116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15,935</w:t>
            </w:r>
          </w:p>
        </w:tc>
        <w:tc>
          <w:tcPr>
            <w:tcW w:w="1690" w:type="dxa"/>
            <w:vAlign w:val="center"/>
          </w:tcPr>
          <w:p w:rsidR="007B4EE4" w:rsidRDefault="00B833D5">
            <w:pPr>
              <w:jc w:val="right"/>
            </w:pPr>
            <w:r>
              <w:rPr>
                <w:rFonts w:eastAsiaTheme="minorEastAsia"/>
                <w:color w:val="000000"/>
                <w:szCs w:val="21"/>
              </w:rPr>
              <w:t>119,502.02</w:t>
            </w:r>
          </w:p>
        </w:tc>
        <w:tc>
          <w:tcPr>
            <w:tcW w:w="997" w:type="dxa"/>
            <w:vAlign w:val="center"/>
          </w:tcPr>
          <w:p w:rsidR="007B4EE4" w:rsidRDefault="00B833D5">
            <w:pPr>
              <w:jc w:val="right"/>
            </w:pPr>
            <w:r>
              <w:rPr>
                <w:rFonts w:eastAsiaTheme="minorEastAsia"/>
                <w:color w:val="000000"/>
                <w:szCs w:val="21"/>
              </w:rPr>
              <w:t>0.51</w:t>
            </w:r>
          </w:p>
        </w:tc>
      </w:tr>
      <w:tr w:rsidR="007B4EE4">
        <w:trPr>
          <w:jc w:val="center"/>
        </w:trPr>
        <w:tc>
          <w:tcPr>
            <w:tcW w:w="771" w:type="dxa"/>
            <w:vAlign w:val="center"/>
          </w:tcPr>
          <w:p w:rsidR="007B4EE4" w:rsidRDefault="00B833D5">
            <w:pPr>
              <w:jc w:val="center"/>
            </w:pPr>
            <w:r>
              <w:rPr>
                <w:rFonts w:eastAsiaTheme="minorEastAsia"/>
                <w:color w:val="000000"/>
                <w:szCs w:val="21"/>
              </w:rPr>
              <w:t>73</w:t>
            </w:r>
          </w:p>
        </w:tc>
        <w:tc>
          <w:tcPr>
            <w:tcW w:w="905" w:type="dxa"/>
            <w:vAlign w:val="center"/>
          </w:tcPr>
          <w:p w:rsidR="007B4EE4" w:rsidRDefault="00B833D5">
            <w:pPr>
              <w:jc w:val="center"/>
            </w:pPr>
            <w:r>
              <w:rPr>
                <w:rFonts w:eastAsiaTheme="minorEastAsia"/>
                <w:color w:val="000000"/>
                <w:szCs w:val="21"/>
              </w:rPr>
              <w:t xml:space="preserve">Xinyi Energy Holdings </w:t>
            </w:r>
            <w:r>
              <w:rPr>
                <w:rFonts w:eastAsiaTheme="minorEastAsia"/>
                <w:color w:val="000000"/>
                <w:szCs w:val="21"/>
              </w:rPr>
              <w:lastRenderedPageBreak/>
              <w:t>Limited</w:t>
            </w:r>
          </w:p>
        </w:tc>
        <w:tc>
          <w:tcPr>
            <w:tcW w:w="1015" w:type="dxa"/>
            <w:vAlign w:val="center"/>
          </w:tcPr>
          <w:p w:rsidR="007B4EE4" w:rsidRDefault="00B833D5">
            <w:pPr>
              <w:jc w:val="center"/>
            </w:pPr>
            <w:r>
              <w:rPr>
                <w:rFonts w:eastAsiaTheme="minorEastAsia"/>
                <w:color w:val="000000"/>
                <w:szCs w:val="21"/>
              </w:rPr>
              <w:lastRenderedPageBreak/>
              <w:t>信义能源控股有限公司</w:t>
            </w:r>
          </w:p>
        </w:tc>
        <w:tc>
          <w:tcPr>
            <w:tcW w:w="1184" w:type="dxa"/>
            <w:vAlign w:val="center"/>
          </w:tcPr>
          <w:p w:rsidR="007B4EE4" w:rsidRDefault="00B833D5">
            <w:pPr>
              <w:jc w:val="center"/>
            </w:pPr>
            <w:r>
              <w:rPr>
                <w:rFonts w:eastAsiaTheme="minorEastAsia"/>
                <w:color w:val="000000"/>
                <w:szCs w:val="21"/>
              </w:rPr>
              <w:t>3868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52,946</w:t>
            </w:r>
          </w:p>
        </w:tc>
        <w:tc>
          <w:tcPr>
            <w:tcW w:w="1690" w:type="dxa"/>
            <w:vAlign w:val="center"/>
          </w:tcPr>
          <w:p w:rsidR="007B4EE4" w:rsidRDefault="00B833D5">
            <w:pPr>
              <w:jc w:val="right"/>
            </w:pPr>
            <w:r>
              <w:rPr>
                <w:rFonts w:eastAsiaTheme="minorEastAsia"/>
                <w:color w:val="000000"/>
                <w:szCs w:val="21"/>
              </w:rPr>
              <w:t>118,489.34</w:t>
            </w:r>
          </w:p>
        </w:tc>
        <w:tc>
          <w:tcPr>
            <w:tcW w:w="997" w:type="dxa"/>
            <w:vAlign w:val="center"/>
          </w:tcPr>
          <w:p w:rsidR="007B4EE4" w:rsidRDefault="00B833D5">
            <w:pPr>
              <w:jc w:val="right"/>
            </w:pPr>
            <w:r>
              <w:rPr>
                <w:rFonts w:eastAsiaTheme="minorEastAsia"/>
                <w:color w:val="000000"/>
                <w:szCs w:val="21"/>
              </w:rPr>
              <w:t>0.51</w:t>
            </w:r>
          </w:p>
        </w:tc>
      </w:tr>
      <w:tr w:rsidR="007B4EE4">
        <w:trPr>
          <w:jc w:val="center"/>
        </w:trPr>
        <w:tc>
          <w:tcPr>
            <w:tcW w:w="771" w:type="dxa"/>
            <w:vAlign w:val="center"/>
          </w:tcPr>
          <w:p w:rsidR="007B4EE4" w:rsidRDefault="00B833D5">
            <w:pPr>
              <w:jc w:val="center"/>
            </w:pPr>
            <w:r>
              <w:rPr>
                <w:rFonts w:eastAsiaTheme="minorEastAsia"/>
                <w:color w:val="000000"/>
                <w:szCs w:val="21"/>
              </w:rPr>
              <w:t>74</w:t>
            </w:r>
          </w:p>
        </w:tc>
        <w:tc>
          <w:tcPr>
            <w:tcW w:w="905" w:type="dxa"/>
            <w:vAlign w:val="center"/>
          </w:tcPr>
          <w:p w:rsidR="007B4EE4" w:rsidRDefault="00B833D5">
            <w:pPr>
              <w:jc w:val="center"/>
            </w:pPr>
            <w:r>
              <w:rPr>
                <w:rFonts w:eastAsiaTheme="minorEastAsia"/>
                <w:color w:val="000000"/>
                <w:szCs w:val="21"/>
              </w:rPr>
              <w:t>Metallurgical Corporation of China Ltd.</w:t>
            </w:r>
          </w:p>
        </w:tc>
        <w:tc>
          <w:tcPr>
            <w:tcW w:w="1015" w:type="dxa"/>
            <w:vAlign w:val="center"/>
          </w:tcPr>
          <w:p w:rsidR="007B4EE4" w:rsidRDefault="00B833D5">
            <w:pPr>
              <w:jc w:val="center"/>
            </w:pPr>
            <w:r>
              <w:rPr>
                <w:rFonts w:eastAsiaTheme="minorEastAsia"/>
                <w:color w:val="000000"/>
                <w:szCs w:val="21"/>
              </w:rPr>
              <w:t>中国冶金科工股份有限公司</w:t>
            </w:r>
          </w:p>
        </w:tc>
        <w:tc>
          <w:tcPr>
            <w:tcW w:w="1184" w:type="dxa"/>
            <w:vAlign w:val="center"/>
          </w:tcPr>
          <w:p w:rsidR="007B4EE4" w:rsidRDefault="00B833D5">
            <w:pPr>
              <w:jc w:val="center"/>
            </w:pPr>
            <w:r>
              <w:rPr>
                <w:rFonts w:eastAsiaTheme="minorEastAsia"/>
                <w:color w:val="000000"/>
                <w:szCs w:val="21"/>
              </w:rPr>
              <w:t>1618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104,000</w:t>
            </w:r>
          </w:p>
        </w:tc>
        <w:tc>
          <w:tcPr>
            <w:tcW w:w="1690" w:type="dxa"/>
            <w:vAlign w:val="center"/>
          </w:tcPr>
          <w:p w:rsidR="007B4EE4" w:rsidRDefault="00B833D5">
            <w:pPr>
              <w:jc w:val="right"/>
            </w:pPr>
            <w:r>
              <w:rPr>
                <w:rFonts w:eastAsiaTheme="minorEastAsia"/>
                <w:color w:val="000000"/>
                <w:szCs w:val="21"/>
              </w:rPr>
              <w:t>116,847.24</w:t>
            </w:r>
          </w:p>
        </w:tc>
        <w:tc>
          <w:tcPr>
            <w:tcW w:w="997" w:type="dxa"/>
            <w:vAlign w:val="center"/>
          </w:tcPr>
          <w:p w:rsidR="007B4EE4" w:rsidRDefault="00B833D5">
            <w:pPr>
              <w:jc w:val="right"/>
            </w:pPr>
            <w:r>
              <w:rPr>
                <w:rFonts w:eastAsiaTheme="minorEastAsia"/>
                <w:color w:val="000000"/>
                <w:szCs w:val="21"/>
              </w:rPr>
              <w:t>0.50</w:t>
            </w:r>
          </w:p>
        </w:tc>
      </w:tr>
      <w:tr w:rsidR="007B4EE4">
        <w:trPr>
          <w:jc w:val="center"/>
        </w:trPr>
        <w:tc>
          <w:tcPr>
            <w:tcW w:w="771" w:type="dxa"/>
            <w:vAlign w:val="center"/>
          </w:tcPr>
          <w:p w:rsidR="007B4EE4" w:rsidRDefault="00B833D5">
            <w:pPr>
              <w:jc w:val="center"/>
            </w:pPr>
            <w:r>
              <w:rPr>
                <w:rFonts w:eastAsiaTheme="minorEastAsia"/>
                <w:color w:val="000000"/>
                <w:szCs w:val="21"/>
              </w:rPr>
              <w:t>75</w:t>
            </w:r>
          </w:p>
        </w:tc>
        <w:tc>
          <w:tcPr>
            <w:tcW w:w="905" w:type="dxa"/>
            <w:vAlign w:val="center"/>
          </w:tcPr>
          <w:p w:rsidR="007B4EE4" w:rsidRDefault="00B833D5">
            <w:pPr>
              <w:jc w:val="center"/>
            </w:pPr>
            <w:r>
              <w:rPr>
                <w:rFonts w:eastAsiaTheme="minorEastAsia"/>
                <w:color w:val="000000"/>
                <w:szCs w:val="21"/>
              </w:rPr>
              <w:t>China Maple Leaf Educational Systems Limited</w:t>
            </w:r>
          </w:p>
        </w:tc>
        <w:tc>
          <w:tcPr>
            <w:tcW w:w="1015" w:type="dxa"/>
            <w:vAlign w:val="center"/>
          </w:tcPr>
          <w:p w:rsidR="007B4EE4" w:rsidRDefault="00B833D5">
            <w:pPr>
              <w:jc w:val="center"/>
            </w:pPr>
            <w:r>
              <w:rPr>
                <w:rFonts w:eastAsiaTheme="minorEastAsia"/>
                <w:color w:val="000000"/>
                <w:szCs w:val="21"/>
              </w:rPr>
              <w:t>中国枫叶教育集团有限公司</w:t>
            </w:r>
          </w:p>
        </w:tc>
        <w:tc>
          <w:tcPr>
            <w:tcW w:w="1184" w:type="dxa"/>
            <w:vAlign w:val="center"/>
          </w:tcPr>
          <w:p w:rsidR="007B4EE4" w:rsidRDefault="00B833D5">
            <w:pPr>
              <w:jc w:val="center"/>
            </w:pPr>
            <w:r>
              <w:rPr>
                <w:rFonts w:eastAsiaTheme="minorEastAsia"/>
                <w:color w:val="000000"/>
                <w:szCs w:val="21"/>
              </w:rPr>
              <w:t>1317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54,000</w:t>
            </w:r>
          </w:p>
        </w:tc>
        <w:tc>
          <w:tcPr>
            <w:tcW w:w="1690" w:type="dxa"/>
            <w:vAlign w:val="center"/>
          </w:tcPr>
          <w:p w:rsidR="007B4EE4" w:rsidRDefault="00B833D5">
            <w:pPr>
              <w:jc w:val="right"/>
            </w:pPr>
            <w:r>
              <w:rPr>
                <w:rFonts w:eastAsiaTheme="minorEastAsia"/>
                <w:color w:val="000000"/>
                <w:szCs w:val="21"/>
              </w:rPr>
              <w:t>116,408.79</w:t>
            </w:r>
          </w:p>
        </w:tc>
        <w:tc>
          <w:tcPr>
            <w:tcW w:w="997" w:type="dxa"/>
            <w:vAlign w:val="center"/>
          </w:tcPr>
          <w:p w:rsidR="007B4EE4" w:rsidRDefault="00B833D5">
            <w:pPr>
              <w:jc w:val="right"/>
            </w:pPr>
            <w:r>
              <w:rPr>
                <w:rFonts w:eastAsiaTheme="minorEastAsia"/>
                <w:color w:val="000000"/>
                <w:szCs w:val="21"/>
              </w:rPr>
              <w:t>0.50</w:t>
            </w:r>
          </w:p>
        </w:tc>
      </w:tr>
      <w:tr w:rsidR="007B4EE4">
        <w:trPr>
          <w:jc w:val="center"/>
        </w:trPr>
        <w:tc>
          <w:tcPr>
            <w:tcW w:w="771" w:type="dxa"/>
            <w:vAlign w:val="center"/>
          </w:tcPr>
          <w:p w:rsidR="007B4EE4" w:rsidRDefault="00B833D5">
            <w:pPr>
              <w:jc w:val="center"/>
            </w:pPr>
            <w:r>
              <w:rPr>
                <w:rFonts w:eastAsiaTheme="minorEastAsia"/>
                <w:color w:val="000000"/>
                <w:szCs w:val="21"/>
              </w:rPr>
              <w:t>76</w:t>
            </w:r>
          </w:p>
        </w:tc>
        <w:tc>
          <w:tcPr>
            <w:tcW w:w="905" w:type="dxa"/>
            <w:vAlign w:val="center"/>
          </w:tcPr>
          <w:p w:rsidR="007B4EE4" w:rsidRDefault="00B833D5">
            <w:pPr>
              <w:jc w:val="center"/>
            </w:pPr>
            <w:r>
              <w:rPr>
                <w:rFonts w:eastAsiaTheme="minorEastAsia"/>
                <w:color w:val="000000"/>
                <w:szCs w:val="21"/>
              </w:rPr>
              <w:t>Sinotrans Limited</w:t>
            </w:r>
          </w:p>
        </w:tc>
        <w:tc>
          <w:tcPr>
            <w:tcW w:w="1015" w:type="dxa"/>
            <w:vAlign w:val="center"/>
          </w:tcPr>
          <w:p w:rsidR="007B4EE4" w:rsidRDefault="00B833D5">
            <w:pPr>
              <w:jc w:val="center"/>
            </w:pPr>
            <w:r>
              <w:rPr>
                <w:rFonts w:eastAsiaTheme="minorEastAsia"/>
                <w:color w:val="000000"/>
                <w:szCs w:val="21"/>
              </w:rPr>
              <w:t>中国外运股份有限公司</w:t>
            </w:r>
          </w:p>
        </w:tc>
        <w:tc>
          <w:tcPr>
            <w:tcW w:w="1184" w:type="dxa"/>
            <w:vAlign w:val="center"/>
          </w:tcPr>
          <w:p w:rsidR="007B4EE4" w:rsidRDefault="00B833D5">
            <w:pPr>
              <w:jc w:val="center"/>
            </w:pPr>
            <w:r>
              <w:rPr>
                <w:rFonts w:eastAsiaTheme="minorEastAsia"/>
                <w:color w:val="000000"/>
                <w:szCs w:val="21"/>
              </w:rPr>
              <w:t>598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78,000</w:t>
            </w:r>
          </w:p>
        </w:tc>
        <w:tc>
          <w:tcPr>
            <w:tcW w:w="1690" w:type="dxa"/>
            <w:vAlign w:val="center"/>
          </w:tcPr>
          <w:p w:rsidR="007B4EE4" w:rsidRDefault="00B833D5">
            <w:pPr>
              <w:jc w:val="right"/>
            </w:pPr>
            <w:r>
              <w:rPr>
                <w:rFonts w:eastAsiaTheme="minorEastAsia"/>
                <w:color w:val="000000"/>
                <w:szCs w:val="21"/>
              </w:rPr>
              <w:t>111,859.86</w:t>
            </w:r>
          </w:p>
        </w:tc>
        <w:tc>
          <w:tcPr>
            <w:tcW w:w="997" w:type="dxa"/>
            <w:vAlign w:val="center"/>
          </w:tcPr>
          <w:p w:rsidR="007B4EE4" w:rsidRDefault="00B833D5">
            <w:pPr>
              <w:jc w:val="right"/>
            </w:pPr>
            <w:r>
              <w:rPr>
                <w:rFonts w:eastAsiaTheme="minorEastAsia"/>
                <w:color w:val="000000"/>
                <w:szCs w:val="21"/>
              </w:rPr>
              <w:t>0.48</w:t>
            </w:r>
          </w:p>
        </w:tc>
      </w:tr>
      <w:tr w:rsidR="007B4EE4">
        <w:trPr>
          <w:jc w:val="center"/>
        </w:trPr>
        <w:tc>
          <w:tcPr>
            <w:tcW w:w="771" w:type="dxa"/>
            <w:vAlign w:val="center"/>
          </w:tcPr>
          <w:p w:rsidR="007B4EE4" w:rsidRDefault="00B833D5">
            <w:pPr>
              <w:jc w:val="center"/>
            </w:pPr>
            <w:r>
              <w:rPr>
                <w:rFonts w:eastAsiaTheme="minorEastAsia"/>
                <w:color w:val="000000"/>
                <w:szCs w:val="21"/>
              </w:rPr>
              <w:t>77</w:t>
            </w:r>
          </w:p>
        </w:tc>
        <w:tc>
          <w:tcPr>
            <w:tcW w:w="905" w:type="dxa"/>
            <w:vAlign w:val="center"/>
          </w:tcPr>
          <w:p w:rsidR="007B4EE4" w:rsidRDefault="00B833D5">
            <w:pPr>
              <w:jc w:val="center"/>
            </w:pPr>
            <w:r>
              <w:rPr>
                <w:rFonts w:eastAsiaTheme="minorEastAsia"/>
                <w:color w:val="000000"/>
                <w:szCs w:val="21"/>
              </w:rPr>
              <w:t>Orient Securities Company Limited</w:t>
            </w:r>
          </w:p>
        </w:tc>
        <w:tc>
          <w:tcPr>
            <w:tcW w:w="1015" w:type="dxa"/>
            <w:vAlign w:val="center"/>
          </w:tcPr>
          <w:p w:rsidR="007B4EE4" w:rsidRDefault="00B833D5">
            <w:pPr>
              <w:jc w:val="center"/>
            </w:pPr>
            <w:r>
              <w:rPr>
                <w:rFonts w:eastAsiaTheme="minorEastAsia"/>
                <w:color w:val="000000"/>
                <w:szCs w:val="21"/>
              </w:rPr>
              <w:t>东方证券股份有限公司</w:t>
            </w:r>
          </w:p>
        </w:tc>
        <w:tc>
          <w:tcPr>
            <w:tcW w:w="1184" w:type="dxa"/>
            <w:vAlign w:val="center"/>
          </w:tcPr>
          <w:p w:rsidR="007B4EE4" w:rsidRDefault="00B833D5">
            <w:pPr>
              <w:jc w:val="center"/>
            </w:pPr>
            <w:r>
              <w:rPr>
                <w:rFonts w:eastAsiaTheme="minorEastAsia"/>
                <w:color w:val="000000"/>
                <w:szCs w:val="21"/>
              </w:rPr>
              <w:t>3958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28,200</w:t>
            </w:r>
          </w:p>
        </w:tc>
        <w:tc>
          <w:tcPr>
            <w:tcW w:w="1690" w:type="dxa"/>
            <w:vAlign w:val="center"/>
          </w:tcPr>
          <w:p w:rsidR="007B4EE4" w:rsidRDefault="00B833D5">
            <w:pPr>
              <w:jc w:val="right"/>
            </w:pPr>
            <w:r>
              <w:rPr>
                <w:rFonts w:eastAsiaTheme="minorEastAsia"/>
                <w:color w:val="000000"/>
                <w:szCs w:val="21"/>
              </w:rPr>
              <w:t>110,248.55</w:t>
            </w:r>
          </w:p>
        </w:tc>
        <w:tc>
          <w:tcPr>
            <w:tcW w:w="997" w:type="dxa"/>
            <w:vAlign w:val="center"/>
          </w:tcPr>
          <w:p w:rsidR="007B4EE4" w:rsidRDefault="00B833D5">
            <w:pPr>
              <w:jc w:val="right"/>
            </w:pPr>
            <w:r>
              <w:rPr>
                <w:rFonts w:eastAsiaTheme="minorEastAsia"/>
                <w:color w:val="000000"/>
                <w:szCs w:val="21"/>
              </w:rPr>
              <w:t>0.47</w:t>
            </w:r>
          </w:p>
        </w:tc>
      </w:tr>
      <w:tr w:rsidR="007B4EE4">
        <w:trPr>
          <w:jc w:val="center"/>
        </w:trPr>
        <w:tc>
          <w:tcPr>
            <w:tcW w:w="771" w:type="dxa"/>
            <w:vAlign w:val="center"/>
          </w:tcPr>
          <w:p w:rsidR="007B4EE4" w:rsidRDefault="00B833D5">
            <w:pPr>
              <w:jc w:val="center"/>
            </w:pPr>
            <w:r>
              <w:rPr>
                <w:rFonts w:eastAsiaTheme="minorEastAsia"/>
                <w:color w:val="000000"/>
                <w:szCs w:val="21"/>
              </w:rPr>
              <w:t>78</w:t>
            </w:r>
          </w:p>
        </w:tc>
        <w:tc>
          <w:tcPr>
            <w:tcW w:w="905" w:type="dxa"/>
            <w:vAlign w:val="center"/>
          </w:tcPr>
          <w:p w:rsidR="007B4EE4" w:rsidRDefault="00B833D5">
            <w:pPr>
              <w:jc w:val="center"/>
            </w:pPr>
            <w:r>
              <w:rPr>
                <w:rFonts w:eastAsiaTheme="minorEastAsia"/>
                <w:color w:val="000000"/>
                <w:szCs w:val="21"/>
              </w:rPr>
              <w:t>TCL Electronics Holdings Limited</w:t>
            </w:r>
          </w:p>
        </w:tc>
        <w:tc>
          <w:tcPr>
            <w:tcW w:w="1015" w:type="dxa"/>
            <w:vAlign w:val="center"/>
          </w:tcPr>
          <w:p w:rsidR="007B4EE4" w:rsidRDefault="00B833D5">
            <w:pPr>
              <w:jc w:val="center"/>
            </w:pPr>
            <w:r>
              <w:rPr>
                <w:rFonts w:eastAsiaTheme="minorEastAsia"/>
                <w:color w:val="000000"/>
                <w:szCs w:val="21"/>
              </w:rPr>
              <w:t>TCL</w:t>
            </w:r>
            <w:r>
              <w:rPr>
                <w:rFonts w:eastAsiaTheme="minorEastAsia"/>
                <w:color w:val="000000"/>
                <w:szCs w:val="21"/>
              </w:rPr>
              <w:t>电子控股有限公司</w:t>
            </w:r>
          </w:p>
        </w:tc>
        <w:tc>
          <w:tcPr>
            <w:tcW w:w="1184" w:type="dxa"/>
            <w:vAlign w:val="center"/>
          </w:tcPr>
          <w:p w:rsidR="007B4EE4" w:rsidRDefault="00B833D5">
            <w:pPr>
              <w:jc w:val="center"/>
            </w:pPr>
            <w:r>
              <w:rPr>
                <w:rFonts w:eastAsiaTheme="minorEastAsia"/>
                <w:color w:val="000000"/>
                <w:szCs w:val="21"/>
              </w:rPr>
              <w:t>1070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31,525</w:t>
            </w:r>
          </w:p>
        </w:tc>
        <w:tc>
          <w:tcPr>
            <w:tcW w:w="1690" w:type="dxa"/>
            <w:vAlign w:val="center"/>
          </w:tcPr>
          <w:p w:rsidR="007B4EE4" w:rsidRDefault="00B833D5">
            <w:pPr>
              <w:jc w:val="right"/>
            </w:pPr>
            <w:r>
              <w:rPr>
                <w:rFonts w:eastAsiaTheme="minorEastAsia"/>
                <w:color w:val="000000"/>
                <w:szCs w:val="21"/>
              </w:rPr>
              <w:t>109,137.58</w:t>
            </w:r>
          </w:p>
        </w:tc>
        <w:tc>
          <w:tcPr>
            <w:tcW w:w="997" w:type="dxa"/>
            <w:vAlign w:val="center"/>
          </w:tcPr>
          <w:p w:rsidR="007B4EE4" w:rsidRDefault="00B833D5">
            <w:pPr>
              <w:jc w:val="right"/>
            </w:pPr>
            <w:r>
              <w:rPr>
                <w:rFonts w:eastAsiaTheme="minorEastAsia"/>
                <w:color w:val="000000"/>
                <w:szCs w:val="21"/>
              </w:rPr>
              <w:t>0.47</w:t>
            </w:r>
          </w:p>
        </w:tc>
      </w:tr>
      <w:tr w:rsidR="007B4EE4">
        <w:trPr>
          <w:jc w:val="center"/>
        </w:trPr>
        <w:tc>
          <w:tcPr>
            <w:tcW w:w="771" w:type="dxa"/>
            <w:vAlign w:val="center"/>
          </w:tcPr>
          <w:p w:rsidR="007B4EE4" w:rsidRDefault="00B833D5">
            <w:pPr>
              <w:jc w:val="center"/>
            </w:pPr>
            <w:r>
              <w:rPr>
                <w:rFonts w:eastAsiaTheme="minorEastAsia"/>
                <w:color w:val="000000"/>
                <w:szCs w:val="21"/>
              </w:rPr>
              <w:t>79</w:t>
            </w:r>
          </w:p>
        </w:tc>
        <w:tc>
          <w:tcPr>
            <w:tcW w:w="905" w:type="dxa"/>
            <w:vAlign w:val="center"/>
          </w:tcPr>
          <w:p w:rsidR="007B4EE4" w:rsidRDefault="00B833D5">
            <w:pPr>
              <w:jc w:val="center"/>
            </w:pPr>
            <w:r>
              <w:rPr>
                <w:rFonts w:eastAsiaTheme="minorEastAsia"/>
                <w:color w:val="000000"/>
                <w:szCs w:val="21"/>
              </w:rPr>
              <w:t>BBMG Corporation</w:t>
            </w:r>
          </w:p>
        </w:tc>
        <w:tc>
          <w:tcPr>
            <w:tcW w:w="1015" w:type="dxa"/>
            <w:vAlign w:val="center"/>
          </w:tcPr>
          <w:p w:rsidR="007B4EE4" w:rsidRDefault="00B833D5">
            <w:pPr>
              <w:jc w:val="center"/>
            </w:pPr>
            <w:r>
              <w:rPr>
                <w:rFonts w:eastAsiaTheme="minorEastAsia"/>
                <w:color w:val="000000"/>
                <w:szCs w:val="21"/>
              </w:rPr>
              <w:t>北京金隅集团股份有限公司</w:t>
            </w:r>
          </w:p>
        </w:tc>
        <w:tc>
          <w:tcPr>
            <w:tcW w:w="1184" w:type="dxa"/>
            <w:vAlign w:val="center"/>
          </w:tcPr>
          <w:p w:rsidR="007B4EE4" w:rsidRDefault="00B833D5">
            <w:pPr>
              <w:jc w:val="center"/>
            </w:pPr>
            <w:r>
              <w:rPr>
                <w:rFonts w:eastAsiaTheme="minorEastAsia"/>
                <w:color w:val="000000"/>
                <w:szCs w:val="21"/>
              </w:rPr>
              <w:t>2009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79,106</w:t>
            </w:r>
          </w:p>
        </w:tc>
        <w:tc>
          <w:tcPr>
            <w:tcW w:w="1690" w:type="dxa"/>
            <w:vAlign w:val="center"/>
          </w:tcPr>
          <w:p w:rsidR="007B4EE4" w:rsidRDefault="00B833D5">
            <w:pPr>
              <w:jc w:val="right"/>
            </w:pPr>
            <w:r>
              <w:rPr>
                <w:rFonts w:eastAsiaTheme="minorEastAsia"/>
                <w:color w:val="000000"/>
                <w:szCs w:val="21"/>
              </w:rPr>
              <w:t>109,110.46</w:t>
            </w:r>
          </w:p>
        </w:tc>
        <w:tc>
          <w:tcPr>
            <w:tcW w:w="997" w:type="dxa"/>
            <w:vAlign w:val="center"/>
          </w:tcPr>
          <w:p w:rsidR="007B4EE4" w:rsidRDefault="00B833D5">
            <w:pPr>
              <w:jc w:val="right"/>
            </w:pPr>
            <w:r>
              <w:rPr>
                <w:rFonts w:eastAsiaTheme="minorEastAsia"/>
                <w:color w:val="000000"/>
                <w:szCs w:val="21"/>
              </w:rPr>
              <w:t>0.47</w:t>
            </w:r>
          </w:p>
        </w:tc>
      </w:tr>
      <w:tr w:rsidR="007B4EE4">
        <w:trPr>
          <w:jc w:val="center"/>
        </w:trPr>
        <w:tc>
          <w:tcPr>
            <w:tcW w:w="771" w:type="dxa"/>
            <w:vAlign w:val="center"/>
          </w:tcPr>
          <w:p w:rsidR="007B4EE4" w:rsidRDefault="00B833D5">
            <w:pPr>
              <w:jc w:val="center"/>
            </w:pPr>
            <w:r>
              <w:rPr>
                <w:rFonts w:eastAsiaTheme="minorEastAsia"/>
                <w:color w:val="000000"/>
                <w:szCs w:val="21"/>
              </w:rPr>
              <w:t>80</w:t>
            </w:r>
          </w:p>
        </w:tc>
        <w:tc>
          <w:tcPr>
            <w:tcW w:w="905" w:type="dxa"/>
            <w:vAlign w:val="center"/>
          </w:tcPr>
          <w:p w:rsidR="007B4EE4" w:rsidRDefault="00B833D5">
            <w:pPr>
              <w:jc w:val="center"/>
            </w:pPr>
            <w:r>
              <w:rPr>
                <w:rFonts w:eastAsiaTheme="minorEastAsia"/>
                <w:color w:val="000000"/>
                <w:szCs w:val="21"/>
              </w:rPr>
              <w:t>Xtep International Holdings Limited</w:t>
            </w:r>
          </w:p>
        </w:tc>
        <w:tc>
          <w:tcPr>
            <w:tcW w:w="1015" w:type="dxa"/>
            <w:vAlign w:val="center"/>
          </w:tcPr>
          <w:p w:rsidR="007B4EE4" w:rsidRDefault="00B833D5">
            <w:pPr>
              <w:jc w:val="center"/>
            </w:pPr>
            <w:r>
              <w:rPr>
                <w:rFonts w:eastAsiaTheme="minorEastAsia"/>
                <w:color w:val="000000"/>
                <w:szCs w:val="21"/>
              </w:rPr>
              <w:t>特步国际控股有限公司</w:t>
            </w:r>
          </w:p>
        </w:tc>
        <w:tc>
          <w:tcPr>
            <w:tcW w:w="1184" w:type="dxa"/>
            <w:vAlign w:val="center"/>
          </w:tcPr>
          <w:p w:rsidR="007B4EE4" w:rsidRDefault="00B833D5">
            <w:pPr>
              <w:jc w:val="center"/>
            </w:pPr>
            <w:r>
              <w:rPr>
                <w:rFonts w:eastAsiaTheme="minorEastAsia"/>
                <w:color w:val="000000"/>
                <w:szCs w:val="21"/>
              </w:rPr>
              <w:t>1368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45,250</w:t>
            </w:r>
          </w:p>
        </w:tc>
        <w:tc>
          <w:tcPr>
            <w:tcW w:w="1690" w:type="dxa"/>
            <w:vAlign w:val="center"/>
          </w:tcPr>
          <w:p w:rsidR="007B4EE4" w:rsidRDefault="00B833D5">
            <w:pPr>
              <w:jc w:val="right"/>
            </w:pPr>
            <w:r>
              <w:rPr>
                <w:rFonts w:eastAsiaTheme="minorEastAsia"/>
                <w:color w:val="000000"/>
                <w:szCs w:val="21"/>
              </w:rPr>
              <w:t>106,639.55</w:t>
            </w:r>
          </w:p>
        </w:tc>
        <w:tc>
          <w:tcPr>
            <w:tcW w:w="997" w:type="dxa"/>
            <w:vAlign w:val="center"/>
          </w:tcPr>
          <w:p w:rsidR="007B4EE4" w:rsidRDefault="00B833D5">
            <w:pPr>
              <w:jc w:val="right"/>
            </w:pPr>
            <w:r>
              <w:rPr>
                <w:rFonts w:eastAsiaTheme="minorEastAsia"/>
                <w:color w:val="000000"/>
                <w:szCs w:val="21"/>
              </w:rPr>
              <w:t>0.45</w:t>
            </w:r>
          </w:p>
        </w:tc>
      </w:tr>
      <w:tr w:rsidR="007B4EE4">
        <w:trPr>
          <w:jc w:val="center"/>
        </w:trPr>
        <w:tc>
          <w:tcPr>
            <w:tcW w:w="771" w:type="dxa"/>
            <w:vAlign w:val="center"/>
          </w:tcPr>
          <w:p w:rsidR="007B4EE4" w:rsidRDefault="00B833D5">
            <w:pPr>
              <w:jc w:val="center"/>
            </w:pPr>
            <w:r>
              <w:rPr>
                <w:rFonts w:eastAsiaTheme="minorEastAsia"/>
                <w:color w:val="000000"/>
                <w:szCs w:val="21"/>
              </w:rPr>
              <w:t>81</w:t>
            </w:r>
          </w:p>
        </w:tc>
        <w:tc>
          <w:tcPr>
            <w:tcW w:w="905" w:type="dxa"/>
            <w:vAlign w:val="center"/>
          </w:tcPr>
          <w:p w:rsidR="007B4EE4" w:rsidRDefault="00B833D5">
            <w:pPr>
              <w:jc w:val="center"/>
            </w:pPr>
            <w:r>
              <w:rPr>
                <w:rFonts w:eastAsiaTheme="minorEastAsia"/>
                <w:color w:val="000000"/>
                <w:szCs w:val="21"/>
              </w:rPr>
              <w:t>Sinopec Kantons Holdings Ltd.</w:t>
            </w:r>
          </w:p>
        </w:tc>
        <w:tc>
          <w:tcPr>
            <w:tcW w:w="1015" w:type="dxa"/>
            <w:vAlign w:val="center"/>
          </w:tcPr>
          <w:p w:rsidR="007B4EE4" w:rsidRDefault="00B833D5">
            <w:pPr>
              <w:jc w:val="center"/>
            </w:pPr>
            <w:r>
              <w:rPr>
                <w:rFonts w:eastAsiaTheme="minorEastAsia"/>
                <w:color w:val="000000"/>
                <w:szCs w:val="21"/>
              </w:rPr>
              <w:t>中石化冠德控股有限公司</w:t>
            </w:r>
          </w:p>
        </w:tc>
        <w:tc>
          <w:tcPr>
            <w:tcW w:w="1184" w:type="dxa"/>
            <w:vAlign w:val="center"/>
          </w:tcPr>
          <w:p w:rsidR="007B4EE4" w:rsidRDefault="00B833D5">
            <w:pPr>
              <w:jc w:val="center"/>
            </w:pPr>
            <w:r>
              <w:rPr>
                <w:rFonts w:eastAsiaTheme="minorEastAsia"/>
                <w:color w:val="000000"/>
                <w:szCs w:val="21"/>
              </w:rPr>
              <w:t>934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38,988</w:t>
            </w:r>
          </w:p>
        </w:tc>
        <w:tc>
          <w:tcPr>
            <w:tcW w:w="1690" w:type="dxa"/>
            <w:vAlign w:val="center"/>
          </w:tcPr>
          <w:p w:rsidR="007B4EE4" w:rsidRDefault="00B833D5">
            <w:pPr>
              <w:jc w:val="right"/>
            </w:pPr>
            <w:r>
              <w:rPr>
                <w:rFonts w:eastAsiaTheme="minorEastAsia"/>
                <w:color w:val="000000"/>
                <w:szCs w:val="21"/>
              </w:rPr>
              <w:t>105,771.20</w:t>
            </w:r>
          </w:p>
        </w:tc>
        <w:tc>
          <w:tcPr>
            <w:tcW w:w="997" w:type="dxa"/>
            <w:vAlign w:val="center"/>
          </w:tcPr>
          <w:p w:rsidR="007B4EE4" w:rsidRDefault="00B833D5">
            <w:pPr>
              <w:jc w:val="right"/>
            </w:pPr>
            <w:r>
              <w:rPr>
                <w:rFonts w:eastAsiaTheme="minorEastAsia"/>
                <w:color w:val="000000"/>
                <w:szCs w:val="21"/>
              </w:rPr>
              <w:t>0.45</w:t>
            </w:r>
          </w:p>
        </w:tc>
      </w:tr>
      <w:tr w:rsidR="007B4EE4">
        <w:trPr>
          <w:jc w:val="center"/>
        </w:trPr>
        <w:tc>
          <w:tcPr>
            <w:tcW w:w="771" w:type="dxa"/>
            <w:vAlign w:val="center"/>
          </w:tcPr>
          <w:p w:rsidR="007B4EE4" w:rsidRDefault="00B833D5">
            <w:pPr>
              <w:jc w:val="center"/>
            </w:pPr>
            <w:r>
              <w:rPr>
                <w:rFonts w:eastAsiaTheme="minorEastAsia"/>
                <w:color w:val="000000"/>
                <w:szCs w:val="21"/>
              </w:rPr>
              <w:t>82</w:t>
            </w:r>
          </w:p>
        </w:tc>
        <w:tc>
          <w:tcPr>
            <w:tcW w:w="905" w:type="dxa"/>
            <w:vAlign w:val="center"/>
          </w:tcPr>
          <w:p w:rsidR="007B4EE4" w:rsidRDefault="00B833D5">
            <w:pPr>
              <w:jc w:val="center"/>
            </w:pPr>
            <w:r>
              <w:rPr>
                <w:rFonts w:eastAsiaTheme="minorEastAsia"/>
                <w:color w:val="000000"/>
                <w:szCs w:val="21"/>
              </w:rPr>
              <w:t>West China Cement Limited</w:t>
            </w:r>
          </w:p>
        </w:tc>
        <w:tc>
          <w:tcPr>
            <w:tcW w:w="1015" w:type="dxa"/>
            <w:vAlign w:val="center"/>
          </w:tcPr>
          <w:p w:rsidR="007B4EE4" w:rsidRDefault="00B833D5">
            <w:pPr>
              <w:jc w:val="center"/>
            </w:pPr>
            <w:r>
              <w:rPr>
                <w:rFonts w:eastAsiaTheme="minorEastAsia"/>
                <w:color w:val="000000"/>
                <w:szCs w:val="21"/>
              </w:rPr>
              <w:t>中国西部水泥有限公司</w:t>
            </w:r>
          </w:p>
        </w:tc>
        <w:tc>
          <w:tcPr>
            <w:tcW w:w="1184" w:type="dxa"/>
            <w:vAlign w:val="center"/>
          </w:tcPr>
          <w:p w:rsidR="007B4EE4" w:rsidRDefault="00B833D5">
            <w:pPr>
              <w:jc w:val="center"/>
            </w:pPr>
            <w:r>
              <w:rPr>
                <w:rFonts w:eastAsiaTheme="minorEastAsia"/>
                <w:color w:val="000000"/>
                <w:szCs w:val="21"/>
              </w:rPr>
              <w:t>2233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79,234</w:t>
            </w:r>
          </w:p>
        </w:tc>
        <w:tc>
          <w:tcPr>
            <w:tcW w:w="1690" w:type="dxa"/>
            <w:vAlign w:val="center"/>
          </w:tcPr>
          <w:p w:rsidR="007B4EE4" w:rsidRDefault="00B833D5">
            <w:pPr>
              <w:jc w:val="right"/>
            </w:pPr>
            <w:r>
              <w:rPr>
                <w:rFonts w:eastAsiaTheme="minorEastAsia"/>
                <w:color w:val="000000"/>
                <w:szCs w:val="21"/>
              </w:rPr>
              <w:t>102,049.46</w:t>
            </w:r>
          </w:p>
        </w:tc>
        <w:tc>
          <w:tcPr>
            <w:tcW w:w="997" w:type="dxa"/>
            <w:vAlign w:val="center"/>
          </w:tcPr>
          <w:p w:rsidR="007B4EE4" w:rsidRDefault="00B833D5">
            <w:pPr>
              <w:jc w:val="right"/>
            </w:pPr>
            <w:r>
              <w:rPr>
                <w:rFonts w:eastAsiaTheme="minorEastAsia"/>
                <w:color w:val="000000"/>
                <w:szCs w:val="21"/>
              </w:rPr>
              <w:t>0.43</w:t>
            </w:r>
          </w:p>
        </w:tc>
      </w:tr>
      <w:tr w:rsidR="007B4EE4">
        <w:trPr>
          <w:jc w:val="center"/>
        </w:trPr>
        <w:tc>
          <w:tcPr>
            <w:tcW w:w="771" w:type="dxa"/>
            <w:vAlign w:val="center"/>
          </w:tcPr>
          <w:p w:rsidR="007B4EE4" w:rsidRDefault="00B833D5">
            <w:pPr>
              <w:jc w:val="center"/>
            </w:pPr>
            <w:r>
              <w:rPr>
                <w:rFonts w:eastAsiaTheme="minorEastAsia"/>
                <w:color w:val="000000"/>
                <w:szCs w:val="21"/>
              </w:rPr>
              <w:t>83</w:t>
            </w:r>
          </w:p>
        </w:tc>
        <w:tc>
          <w:tcPr>
            <w:tcW w:w="905" w:type="dxa"/>
            <w:vAlign w:val="center"/>
          </w:tcPr>
          <w:p w:rsidR="007B4EE4" w:rsidRDefault="00B833D5">
            <w:pPr>
              <w:jc w:val="center"/>
            </w:pPr>
            <w:r>
              <w:rPr>
                <w:rFonts w:eastAsiaTheme="minorEastAsia"/>
                <w:color w:val="000000"/>
                <w:szCs w:val="21"/>
              </w:rPr>
              <w:t>Datang Internatio</w:t>
            </w:r>
            <w:r>
              <w:rPr>
                <w:rFonts w:eastAsiaTheme="minorEastAsia"/>
                <w:color w:val="000000"/>
                <w:szCs w:val="21"/>
              </w:rPr>
              <w:lastRenderedPageBreak/>
              <w:t>nal Power Generation Co.,Ltd.</w:t>
            </w:r>
          </w:p>
        </w:tc>
        <w:tc>
          <w:tcPr>
            <w:tcW w:w="1015" w:type="dxa"/>
            <w:vAlign w:val="center"/>
          </w:tcPr>
          <w:p w:rsidR="007B4EE4" w:rsidRDefault="00B833D5">
            <w:pPr>
              <w:jc w:val="center"/>
            </w:pPr>
            <w:r>
              <w:rPr>
                <w:rFonts w:eastAsiaTheme="minorEastAsia"/>
                <w:color w:val="000000"/>
                <w:szCs w:val="21"/>
              </w:rPr>
              <w:lastRenderedPageBreak/>
              <w:t>大唐国际发电股份</w:t>
            </w:r>
            <w:r>
              <w:rPr>
                <w:rFonts w:eastAsiaTheme="minorEastAsia"/>
                <w:color w:val="000000"/>
                <w:szCs w:val="21"/>
              </w:rPr>
              <w:lastRenderedPageBreak/>
              <w:t>有限公司</w:t>
            </w:r>
          </w:p>
        </w:tc>
        <w:tc>
          <w:tcPr>
            <w:tcW w:w="1184" w:type="dxa"/>
            <w:vAlign w:val="center"/>
          </w:tcPr>
          <w:p w:rsidR="007B4EE4" w:rsidRDefault="00B833D5">
            <w:pPr>
              <w:jc w:val="center"/>
            </w:pPr>
            <w:r>
              <w:rPr>
                <w:rFonts w:eastAsiaTheme="minorEastAsia"/>
                <w:color w:val="000000"/>
                <w:szCs w:val="21"/>
              </w:rPr>
              <w:lastRenderedPageBreak/>
              <w:t>991 HK</w:t>
            </w:r>
          </w:p>
        </w:tc>
        <w:tc>
          <w:tcPr>
            <w:tcW w:w="847" w:type="dxa"/>
            <w:vAlign w:val="center"/>
          </w:tcPr>
          <w:p w:rsidR="007B4EE4" w:rsidRDefault="00B833D5">
            <w:pPr>
              <w:jc w:val="center"/>
            </w:pPr>
            <w:r>
              <w:rPr>
                <w:rFonts w:eastAsiaTheme="minorEastAsia"/>
                <w:color w:val="000000"/>
                <w:szCs w:val="21"/>
              </w:rPr>
              <w:t>香港证券交易</w:t>
            </w:r>
            <w:r>
              <w:rPr>
                <w:rFonts w:eastAsiaTheme="minorEastAsia"/>
                <w:color w:val="000000"/>
                <w:szCs w:val="21"/>
              </w:rPr>
              <w:lastRenderedPageBreak/>
              <w:t>所</w:t>
            </w:r>
          </w:p>
        </w:tc>
        <w:tc>
          <w:tcPr>
            <w:tcW w:w="1025" w:type="dxa"/>
            <w:vAlign w:val="center"/>
          </w:tcPr>
          <w:p w:rsidR="007B4EE4" w:rsidRDefault="00B833D5">
            <w:pPr>
              <w:jc w:val="center"/>
            </w:pPr>
            <w:r>
              <w:rPr>
                <w:rFonts w:eastAsiaTheme="minorEastAsia"/>
                <w:color w:val="000000"/>
                <w:szCs w:val="21"/>
              </w:rPr>
              <w:lastRenderedPageBreak/>
              <w:t>中国香港</w:t>
            </w:r>
          </w:p>
        </w:tc>
        <w:tc>
          <w:tcPr>
            <w:tcW w:w="1015" w:type="dxa"/>
            <w:vAlign w:val="center"/>
          </w:tcPr>
          <w:p w:rsidR="007B4EE4" w:rsidRDefault="00B833D5">
            <w:pPr>
              <w:jc w:val="right"/>
            </w:pPr>
            <w:r>
              <w:rPr>
                <w:rFonts w:eastAsiaTheme="minorEastAsia"/>
                <w:color w:val="000000"/>
                <w:szCs w:val="21"/>
              </w:rPr>
              <w:t>109,783</w:t>
            </w:r>
          </w:p>
        </w:tc>
        <w:tc>
          <w:tcPr>
            <w:tcW w:w="1690" w:type="dxa"/>
            <w:vAlign w:val="center"/>
          </w:tcPr>
          <w:p w:rsidR="007B4EE4" w:rsidRDefault="00B833D5">
            <w:pPr>
              <w:jc w:val="right"/>
            </w:pPr>
            <w:r>
              <w:rPr>
                <w:rFonts w:eastAsiaTheme="minorEastAsia"/>
                <w:color w:val="000000"/>
                <w:szCs w:val="21"/>
              </w:rPr>
              <w:t>101,282.99</w:t>
            </w:r>
          </w:p>
        </w:tc>
        <w:tc>
          <w:tcPr>
            <w:tcW w:w="997" w:type="dxa"/>
            <w:vAlign w:val="center"/>
          </w:tcPr>
          <w:p w:rsidR="007B4EE4" w:rsidRDefault="00B833D5">
            <w:pPr>
              <w:jc w:val="right"/>
            </w:pPr>
            <w:r>
              <w:rPr>
                <w:rFonts w:eastAsiaTheme="minorEastAsia"/>
                <w:color w:val="000000"/>
                <w:szCs w:val="21"/>
              </w:rPr>
              <w:t>0.43</w:t>
            </w:r>
          </w:p>
        </w:tc>
      </w:tr>
      <w:tr w:rsidR="007B4EE4">
        <w:trPr>
          <w:jc w:val="center"/>
        </w:trPr>
        <w:tc>
          <w:tcPr>
            <w:tcW w:w="771" w:type="dxa"/>
            <w:vAlign w:val="center"/>
          </w:tcPr>
          <w:p w:rsidR="007B4EE4" w:rsidRDefault="00B833D5">
            <w:pPr>
              <w:jc w:val="center"/>
            </w:pPr>
            <w:r>
              <w:rPr>
                <w:rFonts w:eastAsiaTheme="minorEastAsia"/>
                <w:color w:val="000000"/>
                <w:szCs w:val="21"/>
              </w:rPr>
              <w:t>84</w:t>
            </w:r>
          </w:p>
        </w:tc>
        <w:tc>
          <w:tcPr>
            <w:tcW w:w="905" w:type="dxa"/>
            <w:vAlign w:val="center"/>
          </w:tcPr>
          <w:p w:rsidR="007B4EE4" w:rsidRDefault="00B833D5">
            <w:pPr>
              <w:jc w:val="center"/>
            </w:pPr>
            <w:r>
              <w:rPr>
                <w:rFonts w:eastAsiaTheme="minorEastAsia"/>
                <w:color w:val="000000"/>
                <w:szCs w:val="21"/>
              </w:rPr>
              <w:t>Dexin China Holdings Company Limited</w:t>
            </w:r>
          </w:p>
        </w:tc>
        <w:tc>
          <w:tcPr>
            <w:tcW w:w="1015" w:type="dxa"/>
            <w:vAlign w:val="center"/>
          </w:tcPr>
          <w:p w:rsidR="007B4EE4" w:rsidRDefault="00B833D5">
            <w:pPr>
              <w:jc w:val="center"/>
            </w:pPr>
            <w:r>
              <w:rPr>
                <w:rFonts w:eastAsiaTheme="minorEastAsia"/>
                <w:color w:val="000000"/>
                <w:szCs w:val="21"/>
              </w:rPr>
              <w:t>德信中国控股有限公司</w:t>
            </w:r>
          </w:p>
        </w:tc>
        <w:tc>
          <w:tcPr>
            <w:tcW w:w="1184" w:type="dxa"/>
            <w:vAlign w:val="center"/>
          </w:tcPr>
          <w:p w:rsidR="007B4EE4" w:rsidRDefault="00B833D5">
            <w:pPr>
              <w:jc w:val="center"/>
            </w:pPr>
            <w:r>
              <w:rPr>
                <w:rFonts w:eastAsiaTheme="minorEastAsia"/>
                <w:color w:val="000000"/>
                <w:szCs w:val="21"/>
              </w:rPr>
              <w:t>2019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35,067</w:t>
            </w:r>
          </w:p>
        </w:tc>
        <w:tc>
          <w:tcPr>
            <w:tcW w:w="1690" w:type="dxa"/>
            <w:vAlign w:val="center"/>
          </w:tcPr>
          <w:p w:rsidR="007B4EE4" w:rsidRDefault="00B833D5">
            <w:pPr>
              <w:jc w:val="right"/>
            </w:pPr>
            <w:r>
              <w:rPr>
                <w:rFonts w:eastAsiaTheme="minorEastAsia"/>
                <w:color w:val="000000"/>
                <w:szCs w:val="21"/>
              </w:rPr>
              <w:t>100,899.54</w:t>
            </w:r>
          </w:p>
        </w:tc>
        <w:tc>
          <w:tcPr>
            <w:tcW w:w="997" w:type="dxa"/>
            <w:vAlign w:val="center"/>
          </w:tcPr>
          <w:p w:rsidR="007B4EE4" w:rsidRDefault="00B833D5">
            <w:pPr>
              <w:jc w:val="right"/>
            </w:pPr>
            <w:r>
              <w:rPr>
                <w:rFonts w:eastAsiaTheme="minorEastAsia"/>
                <w:color w:val="000000"/>
                <w:szCs w:val="21"/>
              </w:rPr>
              <w:t>0.43</w:t>
            </w:r>
          </w:p>
        </w:tc>
      </w:tr>
      <w:tr w:rsidR="007B4EE4">
        <w:trPr>
          <w:jc w:val="center"/>
        </w:trPr>
        <w:tc>
          <w:tcPr>
            <w:tcW w:w="771" w:type="dxa"/>
            <w:vAlign w:val="center"/>
          </w:tcPr>
          <w:p w:rsidR="007B4EE4" w:rsidRDefault="00B833D5">
            <w:pPr>
              <w:jc w:val="center"/>
            </w:pPr>
            <w:r>
              <w:rPr>
                <w:rFonts w:eastAsiaTheme="minorEastAsia"/>
                <w:color w:val="000000"/>
                <w:szCs w:val="21"/>
              </w:rPr>
              <w:t>85</w:t>
            </w:r>
          </w:p>
        </w:tc>
        <w:tc>
          <w:tcPr>
            <w:tcW w:w="905" w:type="dxa"/>
            <w:vAlign w:val="center"/>
          </w:tcPr>
          <w:p w:rsidR="007B4EE4" w:rsidRDefault="00B833D5">
            <w:pPr>
              <w:jc w:val="center"/>
            </w:pPr>
            <w:r>
              <w:rPr>
                <w:rFonts w:eastAsiaTheme="minorEastAsia"/>
                <w:color w:val="000000"/>
                <w:szCs w:val="21"/>
              </w:rPr>
              <w:t>Tiangong International Company Limited</w:t>
            </w:r>
          </w:p>
        </w:tc>
        <w:tc>
          <w:tcPr>
            <w:tcW w:w="1015" w:type="dxa"/>
            <w:vAlign w:val="center"/>
          </w:tcPr>
          <w:p w:rsidR="007B4EE4" w:rsidRDefault="00B833D5">
            <w:pPr>
              <w:jc w:val="center"/>
            </w:pPr>
            <w:r>
              <w:rPr>
                <w:rFonts w:eastAsiaTheme="minorEastAsia"/>
                <w:color w:val="000000"/>
                <w:szCs w:val="21"/>
              </w:rPr>
              <w:t>天工国际有限公司</w:t>
            </w:r>
          </w:p>
        </w:tc>
        <w:tc>
          <w:tcPr>
            <w:tcW w:w="1184" w:type="dxa"/>
            <w:vAlign w:val="center"/>
          </w:tcPr>
          <w:p w:rsidR="007B4EE4" w:rsidRDefault="00B833D5">
            <w:pPr>
              <w:jc w:val="center"/>
            </w:pPr>
            <w:r>
              <w:rPr>
                <w:rFonts w:eastAsiaTheme="minorEastAsia"/>
                <w:color w:val="000000"/>
                <w:szCs w:val="21"/>
              </w:rPr>
              <w:t>826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44,000</w:t>
            </w:r>
          </w:p>
        </w:tc>
        <w:tc>
          <w:tcPr>
            <w:tcW w:w="1690" w:type="dxa"/>
            <w:vAlign w:val="center"/>
          </w:tcPr>
          <w:p w:rsidR="007B4EE4" w:rsidRDefault="00B833D5">
            <w:pPr>
              <w:jc w:val="right"/>
            </w:pPr>
            <w:r>
              <w:rPr>
                <w:rFonts w:eastAsiaTheme="minorEastAsia"/>
                <w:color w:val="000000"/>
                <w:szCs w:val="21"/>
              </w:rPr>
              <w:t>100,478.40</w:t>
            </w:r>
          </w:p>
        </w:tc>
        <w:tc>
          <w:tcPr>
            <w:tcW w:w="997" w:type="dxa"/>
            <w:vAlign w:val="center"/>
          </w:tcPr>
          <w:p w:rsidR="007B4EE4" w:rsidRDefault="00B833D5">
            <w:pPr>
              <w:jc w:val="right"/>
            </w:pPr>
            <w:r>
              <w:rPr>
                <w:rFonts w:eastAsiaTheme="minorEastAsia"/>
                <w:color w:val="000000"/>
                <w:szCs w:val="21"/>
              </w:rPr>
              <w:t>0.43</w:t>
            </w:r>
          </w:p>
        </w:tc>
      </w:tr>
      <w:tr w:rsidR="007B4EE4">
        <w:trPr>
          <w:jc w:val="center"/>
        </w:trPr>
        <w:tc>
          <w:tcPr>
            <w:tcW w:w="771" w:type="dxa"/>
            <w:vAlign w:val="center"/>
          </w:tcPr>
          <w:p w:rsidR="007B4EE4" w:rsidRDefault="00B833D5">
            <w:pPr>
              <w:jc w:val="center"/>
            </w:pPr>
            <w:r>
              <w:rPr>
                <w:rFonts w:eastAsiaTheme="minorEastAsia"/>
                <w:color w:val="000000"/>
                <w:szCs w:val="21"/>
              </w:rPr>
              <w:t>86</w:t>
            </w:r>
          </w:p>
        </w:tc>
        <w:tc>
          <w:tcPr>
            <w:tcW w:w="905" w:type="dxa"/>
            <w:vAlign w:val="center"/>
          </w:tcPr>
          <w:p w:rsidR="007B4EE4" w:rsidRDefault="00B833D5">
            <w:pPr>
              <w:jc w:val="center"/>
            </w:pPr>
            <w:r>
              <w:rPr>
                <w:rFonts w:eastAsiaTheme="minorEastAsia"/>
                <w:color w:val="000000"/>
                <w:szCs w:val="21"/>
              </w:rPr>
              <w:t>China Harmony Auto Holding Ltd</w:t>
            </w:r>
          </w:p>
        </w:tc>
        <w:tc>
          <w:tcPr>
            <w:tcW w:w="1015" w:type="dxa"/>
            <w:vAlign w:val="center"/>
          </w:tcPr>
          <w:p w:rsidR="007B4EE4" w:rsidRDefault="00B833D5">
            <w:pPr>
              <w:jc w:val="center"/>
            </w:pPr>
            <w:r>
              <w:rPr>
                <w:rFonts w:eastAsiaTheme="minorEastAsia"/>
                <w:color w:val="000000"/>
                <w:szCs w:val="21"/>
              </w:rPr>
              <w:t>中国和谐新能源汽车控股有限公司</w:t>
            </w:r>
          </w:p>
        </w:tc>
        <w:tc>
          <w:tcPr>
            <w:tcW w:w="1184" w:type="dxa"/>
            <w:vAlign w:val="center"/>
          </w:tcPr>
          <w:p w:rsidR="007B4EE4" w:rsidRDefault="00B833D5">
            <w:pPr>
              <w:jc w:val="center"/>
            </w:pPr>
            <w:r>
              <w:rPr>
                <w:rFonts w:eastAsiaTheme="minorEastAsia"/>
                <w:color w:val="000000"/>
                <w:szCs w:val="21"/>
              </w:rPr>
              <w:t>3836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28,367</w:t>
            </w:r>
          </w:p>
        </w:tc>
        <w:tc>
          <w:tcPr>
            <w:tcW w:w="1690" w:type="dxa"/>
            <w:vAlign w:val="center"/>
          </w:tcPr>
          <w:p w:rsidR="007B4EE4" w:rsidRDefault="00B833D5">
            <w:pPr>
              <w:jc w:val="right"/>
            </w:pPr>
            <w:r>
              <w:rPr>
                <w:rFonts w:eastAsiaTheme="minorEastAsia"/>
                <w:color w:val="000000"/>
                <w:szCs w:val="21"/>
              </w:rPr>
              <w:t>99,759.48</w:t>
            </w:r>
          </w:p>
        </w:tc>
        <w:tc>
          <w:tcPr>
            <w:tcW w:w="997" w:type="dxa"/>
            <w:vAlign w:val="center"/>
          </w:tcPr>
          <w:p w:rsidR="007B4EE4" w:rsidRDefault="00B833D5">
            <w:pPr>
              <w:jc w:val="right"/>
            </w:pPr>
            <w:r>
              <w:rPr>
                <w:rFonts w:eastAsiaTheme="minorEastAsia"/>
                <w:color w:val="000000"/>
                <w:szCs w:val="21"/>
              </w:rPr>
              <w:t>0.43</w:t>
            </w:r>
          </w:p>
        </w:tc>
      </w:tr>
      <w:tr w:rsidR="007B4EE4">
        <w:trPr>
          <w:jc w:val="center"/>
        </w:trPr>
        <w:tc>
          <w:tcPr>
            <w:tcW w:w="771" w:type="dxa"/>
            <w:vAlign w:val="center"/>
          </w:tcPr>
          <w:p w:rsidR="007B4EE4" w:rsidRDefault="00B833D5">
            <w:pPr>
              <w:jc w:val="center"/>
            </w:pPr>
            <w:r>
              <w:rPr>
                <w:rFonts w:eastAsiaTheme="minorEastAsia"/>
                <w:color w:val="000000"/>
                <w:szCs w:val="21"/>
              </w:rPr>
              <w:t>87</w:t>
            </w:r>
          </w:p>
        </w:tc>
        <w:tc>
          <w:tcPr>
            <w:tcW w:w="905" w:type="dxa"/>
            <w:vAlign w:val="center"/>
          </w:tcPr>
          <w:p w:rsidR="007B4EE4" w:rsidRDefault="00B833D5">
            <w:pPr>
              <w:jc w:val="center"/>
            </w:pPr>
            <w:r>
              <w:rPr>
                <w:rFonts w:eastAsiaTheme="minorEastAsia"/>
                <w:color w:val="000000"/>
                <w:szCs w:val="21"/>
              </w:rPr>
              <w:t>Prosperity REIT</w:t>
            </w:r>
          </w:p>
        </w:tc>
        <w:tc>
          <w:tcPr>
            <w:tcW w:w="1015" w:type="dxa"/>
            <w:vAlign w:val="center"/>
          </w:tcPr>
          <w:p w:rsidR="007B4EE4" w:rsidRDefault="00B833D5">
            <w:pPr>
              <w:jc w:val="center"/>
            </w:pPr>
            <w:r>
              <w:rPr>
                <w:rFonts w:eastAsiaTheme="minorEastAsia"/>
                <w:color w:val="000000"/>
                <w:szCs w:val="21"/>
              </w:rPr>
              <w:t>泓富产业信托</w:t>
            </w:r>
          </w:p>
        </w:tc>
        <w:tc>
          <w:tcPr>
            <w:tcW w:w="1184" w:type="dxa"/>
            <w:vAlign w:val="center"/>
          </w:tcPr>
          <w:p w:rsidR="007B4EE4" w:rsidRDefault="00B833D5">
            <w:pPr>
              <w:jc w:val="center"/>
            </w:pPr>
            <w:r>
              <w:rPr>
                <w:rFonts w:eastAsiaTheme="minorEastAsia"/>
                <w:color w:val="000000"/>
                <w:szCs w:val="21"/>
              </w:rPr>
              <w:t>808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47,000</w:t>
            </w:r>
          </w:p>
        </w:tc>
        <w:tc>
          <w:tcPr>
            <w:tcW w:w="1690" w:type="dxa"/>
            <w:vAlign w:val="center"/>
          </w:tcPr>
          <w:p w:rsidR="007B4EE4" w:rsidRDefault="00B833D5">
            <w:pPr>
              <w:jc w:val="right"/>
            </w:pPr>
            <w:r>
              <w:rPr>
                <w:rFonts w:eastAsiaTheme="minorEastAsia"/>
                <w:color w:val="000000"/>
                <w:szCs w:val="21"/>
              </w:rPr>
              <w:t>99,172.18</w:t>
            </w:r>
          </w:p>
        </w:tc>
        <w:tc>
          <w:tcPr>
            <w:tcW w:w="997" w:type="dxa"/>
            <w:vAlign w:val="center"/>
          </w:tcPr>
          <w:p w:rsidR="007B4EE4" w:rsidRDefault="00B833D5">
            <w:pPr>
              <w:jc w:val="right"/>
            </w:pPr>
            <w:r>
              <w:rPr>
                <w:rFonts w:eastAsiaTheme="minorEastAsia"/>
                <w:color w:val="000000"/>
                <w:szCs w:val="21"/>
              </w:rPr>
              <w:t>0.42</w:t>
            </w:r>
          </w:p>
        </w:tc>
      </w:tr>
      <w:tr w:rsidR="007B4EE4">
        <w:trPr>
          <w:jc w:val="center"/>
        </w:trPr>
        <w:tc>
          <w:tcPr>
            <w:tcW w:w="771" w:type="dxa"/>
            <w:vAlign w:val="center"/>
          </w:tcPr>
          <w:p w:rsidR="007B4EE4" w:rsidRDefault="00B833D5">
            <w:pPr>
              <w:jc w:val="center"/>
            </w:pPr>
            <w:r>
              <w:rPr>
                <w:rFonts w:eastAsiaTheme="minorEastAsia"/>
                <w:color w:val="000000"/>
                <w:szCs w:val="21"/>
              </w:rPr>
              <w:t>88</w:t>
            </w:r>
          </w:p>
        </w:tc>
        <w:tc>
          <w:tcPr>
            <w:tcW w:w="905" w:type="dxa"/>
            <w:vAlign w:val="center"/>
          </w:tcPr>
          <w:p w:rsidR="007B4EE4" w:rsidRDefault="00B833D5">
            <w:pPr>
              <w:jc w:val="center"/>
            </w:pPr>
            <w:r>
              <w:rPr>
                <w:rFonts w:eastAsiaTheme="minorEastAsia"/>
                <w:color w:val="000000"/>
                <w:szCs w:val="21"/>
              </w:rPr>
              <w:t>Central China Real Estate Ltd</w:t>
            </w:r>
          </w:p>
        </w:tc>
        <w:tc>
          <w:tcPr>
            <w:tcW w:w="1015" w:type="dxa"/>
            <w:vAlign w:val="center"/>
          </w:tcPr>
          <w:p w:rsidR="007B4EE4" w:rsidRDefault="00B833D5">
            <w:pPr>
              <w:jc w:val="center"/>
            </w:pPr>
            <w:r>
              <w:rPr>
                <w:rFonts w:eastAsiaTheme="minorEastAsia"/>
                <w:color w:val="000000"/>
                <w:szCs w:val="21"/>
              </w:rPr>
              <w:t>建业地产股份有限公司</w:t>
            </w:r>
          </w:p>
        </w:tc>
        <w:tc>
          <w:tcPr>
            <w:tcW w:w="1184" w:type="dxa"/>
            <w:vAlign w:val="center"/>
          </w:tcPr>
          <w:p w:rsidR="007B4EE4" w:rsidRDefault="00B833D5">
            <w:pPr>
              <w:jc w:val="center"/>
            </w:pPr>
            <w:r>
              <w:rPr>
                <w:rFonts w:eastAsiaTheme="minorEastAsia"/>
                <w:color w:val="000000"/>
                <w:szCs w:val="21"/>
              </w:rPr>
              <w:t>832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30,000</w:t>
            </w:r>
          </w:p>
        </w:tc>
        <w:tc>
          <w:tcPr>
            <w:tcW w:w="1690" w:type="dxa"/>
            <w:vAlign w:val="center"/>
          </w:tcPr>
          <w:p w:rsidR="007B4EE4" w:rsidRDefault="00B833D5">
            <w:pPr>
              <w:jc w:val="right"/>
            </w:pPr>
            <w:r>
              <w:rPr>
                <w:rFonts w:eastAsiaTheme="minorEastAsia"/>
                <w:color w:val="000000"/>
                <w:szCs w:val="21"/>
              </w:rPr>
              <w:t>98,925.55</w:t>
            </w:r>
          </w:p>
        </w:tc>
        <w:tc>
          <w:tcPr>
            <w:tcW w:w="997" w:type="dxa"/>
            <w:vAlign w:val="center"/>
          </w:tcPr>
          <w:p w:rsidR="007B4EE4" w:rsidRDefault="00B833D5">
            <w:pPr>
              <w:jc w:val="right"/>
            </w:pPr>
            <w:r>
              <w:rPr>
                <w:rFonts w:eastAsiaTheme="minorEastAsia"/>
                <w:color w:val="000000"/>
                <w:szCs w:val="21"/>
              </w:rPr>
              <w:t>0.42</w:t>
            </w:r>
          </w:p>
        </w:tc>
      </w:tr>
      <w:tr w:rsidR="007B4EE4">
        <w:trPr>
          <w:jc w:val="center"/>
        </w:trPr>
        <w:tc>
          <w:tcPr>
            <w:tcW w:w="771" w:type="dxa"/>
            <w:vAlign w:val="center"/>
          </w:tcPr>
          <w:p w:rsidR="007B4EE4" w:rsidRDefault="00B833D5">
            <w:pPr>
              <w:jc w:val="center"/>
            </w:pPr>
            <w:r>
              <w:rPr>
                <w:rFonts w:eastAsiaTheme="minorEastAsia"/>
                <w:color w:val="000000"/>
                <w:szCs w:val="21"/>
              </w:rPr>
              <w:t>89</w:t>
            </w:r>
          </w:p>
        </w:tc>
        <w:tc>
          <w:tcPr>
            <w:tcW w:w="905" w:type="dxa"/>
            <w:vAlign w:val="center"/>
          </w:tcPr>
          <w:p w:rsidR="007B4EE4" w:rsidRDefault="00B833D5">
            <w:pPr>
              <w:jc w:val="center"/>
            </w:pPr>
            <w:r>
              <w:rPr>
                <w:rFonts w:eastAsiaTheme="minorEastAsia"/>
                <w:color w:val="000000"/>
                <w:szCs w:val="21"/>
              </w:rPr>
              <w:t>GCL-Poly Energy Holdings Limited</w:t>
            </w:r>
          </w:p>
        </w:tc>
        <w:tc>
          <w:tcPr>
            <w:tcW w:w="1015" w:type="dxa"/>
            <w:vAlign w:val="center"/>
          </w:tcPr>
          <w:p w:rsidR="007B4EE4" w:rsidRDefault="00B833D5">
            <w:pPr>
              <w:jc w:val="center"/>
            </w:pPr>
            <w:r>
              <w:rPr>
                <w:rFonts w:eastAsiaTheme="minorEastAsia"/>
                <w:color w:val="000000"/>
                <w:szCs w:val="21"/>
              </w:rPr>
              <w:t>保利协鑫能源控股有限公司</w:t>
            </w:r>
          </w:p>
        </w:tc>
        <w:tc>
          <w:tcPr>
            <w:tcW w:w="1184" w:type="dxa"/>
            <w:vAlign w:val="center"/>
          </w:tcPr>
          <w:p w:rsidR="007B4EE4" w:rsidRDefault="00B833D5">
            <w:pPr>
              <w:jc w:val="center"/>
            </w:pPr>
            <w:r>
              <w:rPr>
                <w:rFonts w:eastAsiaTheme="minorEastAsia"/>
                <w:color w:val="000000"/>
                <w:szCs w:val="21"/>
              </w:rPr>
              <w:t>3800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494,000</w:t>
            </w:r>
          </w:p>
        </w:tc>
        <w:tc>
          <w:tcPr>
            <w:tcW w:w="1690" w:type="dxa"/>
            <w:vAlign w:val="center"/>
          </w:tcPr>
          <w:p w:rsidR="007B4EE4" w:rsidRDefault="00B833D5">
            <w:pPr>
              <w:jc w:val="right"/>
            </w:pPr>
            <w:r>
              <w:rPr>
                <w:rFonts w:eastAsiaTheme="minorEastAsia"/>
                <w:color w:val="000000"/>
                <w:szCs w:val="21"/>
              </w:rPr>
              <w:t>98,821.42</w:t>
            </w:r>
          </w:p>
        </w:tc>
        <w:tc>
          <w:tcPr>
            <w:tcW w:w="997" w:type="dxa"/>
            <w:vAlign w:val="center"/>
          </w:tcPr>
          <w:p w:rsidR="007B4EE4" w:rsidRDefault="00B833D5">
            <w:pPr>
              <w:jc w:val="right"/>
            </w:pPr>
            <w:r>
              <w:rPr>
                <w:rFonts w:eastAsiaTheme="minorEastAsia"/>
                <w:color w:val="000000"/>
                <w:szCs w:val="21"/>
              </w:rPr>
              <w:t>0.42</w:t>
            </w:r>
          </w:p>
        </w:tc>
      </w:tr>
      <w:tr w:rsidR="007B4EE4">
        <w:trPr>
          <w:jc w:val="center"/>
        </w:trPr>
        <w:tc>
          <w:tcPr>
            <w:tcW w:w="771" w:type="dxa"/>
            <w:vAlign w:val="center"/>
          </w:tcPr>
          <w:p w:rsidR="007B4EE4" w:rsidRDefault="00B833D5">
            <w:pPr>
              <w:jc w:val="center"/>
            </w:pPr>
            <w:r>
              <w:rPr>
                <w:rFonts w:eastAsiaTheme="minorEastAsia"/>
                <w:color w:val="000000"/>
                <w:szCs w:val="21"/>
              </w:rPr>
              <w:t>90</w:t>
            </w:r>
          </w:p>
        </w:tc>
        <w:tc>
          <w:tcPr>
            <w:tcW w:w="905" w:type="dxa"/>
            <w:vAlign w:val="center"/>
          </w:tcPr>
          <w:p w:rsidR="007B4EE4" w:rsidRDefault="00B833D5">
            <w:pPr>
              <w:jc w:val="center"/>
            </w:pPr>
            <w:r>
              <w:rPr>
                <w:rFonts w:eastAsiaTheme="minorEastAsia"/>
                <w:color w:val="000000"/>
                <w:szCs w:val="21"/>
              </w:rPr>
              <w:t>Road King Infrastructure Ltd.</w:t>
            </w:r>
          </w:p>
        </w:tc>
        <w:tc>
          <w:tcPr>
            <w:tcW w:w="1015" w:type="dxa"/>
            <w:vAlign w:val="center"/>
          </w:tcPr>
          <w:p w:rsidR="007B4EE4" w:rsidRDefault="00B833D5">
            <w:pPr>
              <w:jc w:val="center"/>
            </w:pPr>
            <w:r>
              <w:rPr>
                <w:rFonts w:eastAsiaTheme="minorEastAsia"/>
                <w:color w:val="000000"/>
                <w:szCs w:val="21"/>
              </w:rPr>
              <w:t>路劲基建有限公司</w:t>
            </w:r>
          </w:p>
        </w:tc>
        <w:tc>
          <w:tcPr>
            <w:tcW w:w="1184" w:type="dxa"/>
            <w:vAlign w:val="center"/>
          </w:tcPr>
          <w:p w:rsidR="007B4EE4" w:rsidRDefault="00B833D5">
            <w:pPr>
              <w:jc w:val="center"/>
            </w:pPr>
            <w:r>
              <w:rPr>
                <w:rFonts w:eastAsiaTheme="minorEastAsia"/>
                <w:color w:val="000000"/>
                <w:szCs w:val="21"/>
              </w:rPr>
              <w:t>1098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10,282</w:t>
            </w:r>
          </w:p>
        </w:tc>
        <w:tc>
          <w:tcPr>
            <w:tcW w:w="1690" w:type="dxa"/>
            <w:vAlign w:val="center"/>
          </w:tcPr>
          <w:p w:rsidR="007B4EE4" w:rsidRDefault="00B833D5">
            <w:pPr>
              <w:jc w:val="right"/>
            </w:pPr>
            <w:r>
              <w:rPr>
                <w:rFonts w:eastAsiaTheme="minorEastAsia"/>
                <w:color w:val="000000"/>
                <w:szCs w:val="21"/>
              </w:rPr>
              <w:t>98,428.06</w:t>
            </w:r>
          </w:p>
        </w:tc>
        <w:tc>
          <w:tcPr>
            <w:tcW w:w="997" w:type="dxa"/>
            <w:vAlign w:val="center"/>
          </w:tcPr>
          <w:p w:rsidR="007B4EE4" w:rsidRDefault="00B833D5">
            <w:pPr>
              <w:jc w:val="right"/>
            </w:pPr>
            <w:r>
              <w:rPr>
                <w:rFonts w:eastAsiaTheme="minorEastAsia"/>
                <w:color w:val="000000"/>
                <w:szCs w:val="21"/>
              </w:rPr>
              <w:t>0.42</w:t>
            </w:r>
          </w:p>
        </w:tc>
      </w:tr>
      <w:tr w:rsidR="007B4EE4">
        <w:trPr>
          <w:jc w:val="center"/>
        </w:trPr>
        <w:tc>
          <w:tcPr>
            <w:tcW w:w="771" w:type="dxa"/>
            <w:vAlign w:val="center"/>
          </w:tcPr>
          <w:p w:rsidR="007B4EE4" w:rsidRDefault="00B833D5">
            <w:pPr>
              <w:jc w:val="center"/>
            </w:pPr>
            <w:r>
              <w:rPr>
                <w:rFonts w:eastAsiaTheme="minorEastAsia"/>
                <w:color w:val="000000"/>
                <w:szCs w:val="21"/>
              </w:rPr>
              <w:t>91</w:t>
            </w:r>
          </w:p>
        </w:tc>
        <w:tc>
          <w:tcPr>
            <w:tcW w:w="905" w:type="dxa"/>
            <w:vAlign w:val="center"/>
          </w:tcPr>
          <w:p w:rsidR="007B4EE4" w:rsidRDefault="00B833D5">
            <w:pPr>
              <w:jc w:val="center"/>
            </w:pPr>
            <w:r>
              <w:rPr>
                <w:rFonts w:eastAsiaTheme="minorEastAsia"/>
                <w:color w:val="000000"/>
                <w:szCs w:val="21"/>
              </w:rPr>
              <w:t>VSTECS Holdings Limited</w:t>
            </w:r>
          </w:p>
        </w:tc>
        <w:tc>
          <w:tcPr>
            <w:tcW w:w="1015" w:type="dxa"/>
            <w:vAlign w:val="center"/>
          </w:tcPr>
          <w:p w:rsidR="007B4EE4" w:rsidRDefault="00B833D5">
            <w:pPr>
              <w:jc w:val="center"/>
            </w:pPr>
            <w:r>
              <w:rPr>
                <w:rFonts w:eastAsiaTheme="minorEastAsia"/>
                <w:color w:val="000000"/>
                <w:szCs w:val="21"/>
              </w:rPr>
              <w:t>伟仕佳杰控股有限公司</w:t>
            </w:r>
          </w:p>
        </w:tc>
        <w:tc>
          <w:tcPr>
            <w:tcW w:w="1184" w:type="dxa"/>
            <w:vAlign w:val="center"/>
          </w:tcPr>
          <w:p w:rsidR="007B4EE4" w:rsidRDefault="00B833D5">
            <w:pPr>
              <w:jc w:val="center"/>
            </w:pPr>
            <w:r>
              <w:rPr>
                <w:rFonts w:eastAsiaTheme="minorEastAsia"/>
                <w:color w:val="000000"/>
                <w:szCs w:val="21"/>
              </w:rPr>
              <w:t>856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25,640</w:t>
            </w:r>
          </w:p>
        </w:tc>
        <w:tc>
          <w:tcPr>
            <w:tcW w:w="1690" w:type="dxa"/>
            <w:vAlign w:val="center"/>
          </w:tcPr>
          <w:p w:rsidR="007B4EE4" w:rsidRDefault="00B833D5">
            <w:pPr>
              <w:jc w:val="right"/>
            </w:pPr>
            <w:r>
              <w:rPr>
                <w:rFonts w:eastAsiaTheme="minorEastAsia"/>
                <w:color w:val="000000"/>
                <w:szCs w:val="21"/>
              </w:rPr>
              <w:t>97,898.11</w:t>
            </w:r>
          </w:p>
        </w:tc>
        <w:tc>
          <w:tcPr>
            <w:tcW w:w="997" w:type="dxa"/>
            <w:vAlign w:val="center"/>
          </w:tcPr>
          <w:p w:rsidR="007B4EE4" w:rsidRDefault="00B833D5">
            <w:pPr>
              <w:jc w:val="right"/>
            </w:pPr>
            <w:r>
              <w:rPr>
                <w:rFonts w:eastAsiaTheme="minorEastAsia"/>
                <w:color w:val="000000"/>
                <w:szCs w:val="21"/>
              </w:rPr>
              <w:t>0.42</w:t>
            </w:r>
          </w:p>
        </w:tc>
      </w:tr>
      <w:tr w:rsidR="007B4EE4">
        <w:trPr>
          <w:jc w:val="center"/>
        </w:trPr>
        <w:tc>
          <w:tcPr>
            <w:tcW w:w="771" w:type="dxa"/>
            <w:vAlign w:val="center"/>
          </w:tcPr>
          <w:p w:rsidR="007B4EE4" w:rsidRDefault="00B833D5">
            <w:pPr>
              <w:jc w:val="center"/>
            </w:pPr>
            <w:r>
              <w:rPr>
                <w:rFonts w:eastAsiaTheme="minorEastAsia"/>
                <w:color w:val="000000"/>
                <w:szCs w:val="21"/>
              </w:rPr>
              <w:t>92</w:t>
            </w:r>
          </w:p>
        </w:tc>
        <w:tc>
          <w:tcPr>
            <w:tcW w:w="905" w:type="dxa"/>
            <w:vAlign w:val="center"/>
          </w:tcPr>
          <w:p w:rsidR="007B4EE4" w:rsidRDefault="00B833D5">
            <w:pPr>
              <w:jc w:val="center"/>
            </w:pPr>
            <w:r>
              <w:rPr>
                <w:rFonts w:eastAsiaTheme="minorEastAsia"/>
                <w:color w:val="000000"/>
                <w:szCs w:val="21"/>
              </w:rPr>
              <w:t>China Tian Lun Gas Holdings Limited</w:t>
            </w:r>
          </w:p>
        </w:tc>
        <w:tc>
          <w:tcPr>
            <w:tcW w:w="1015" w:type="dxa"/>
            <w:vAlign w:val="center"/>
          </w:tcPr>
          <w:p w:rsidR="007B4EE4" w:rsidRDefault="00B833D5">
            <w:pPr>
              <w:jc w:val="center"/>
            </w:pPr>
            <w:r>
              <w:rPr>
                <w:rFonts w:eastAsiaTheme="minorEastAsia"/>
                <w:color w:val="000000"/>
                <w:szCs w:val="21"/>
              </w:rPr>
              <w:t>中国天伦燃气控股有限公司</w:t>
            </w:r>
          </w:p>
        </w:tc>
        <w:tc>
          <w:tcPr>
            <w:tcW w:w="1184" w:type="dxa"/>
            <w:vAlign w:val="center"/>
          </w:tcPr>
          <w:p w:rsidR="007B4EE4" w:rsidRDefault="00B833D5">
            <w:pPr>
              <w:jc w:val="center"/>
            </w:pPr>
            <w:r>
              <w:rPr>
                <w:rFonts w:eastAsiaTheme="minorEastAsia"/>
                <w:color w:val="000000"/>
                <w:szCs w:val="21"/>
              </w:rPr>
              <w:t>1600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18,000</w:t>
            </w:r>
          </w:p>
        </w:tc>
        <w:tc>
          <w:tcPr>
            <w:tcW w:w="1690" w:type="dxa"/>
            <w:vAlign w:val="center"/>
          </w:tcPr>
          <w:p w:rsidR="007B4EE4" w:rsidRDefault="00B833D5">
            <w:pPr>
              <w:jc w:val="right"/>
            </w:pPr>
            <w:r>
              <w:rPr>
                <w:rFonts w:eastAsiaTheme="minorEastAsia"/>
                <w:color w:val="000000"/>
                <w:szCs w:val="21"/>
              </w:rPr>
              <w:t>97,336.17</w:t>
            </w:r>
          </w:p>
        </w:tc>
        <w:tc>
          <w:tcPr>
            <w:tcW w:w="997" w:type="dxa"/>
            <w:vAlign w:val="center"/>
          </w:tcPr>
          <w:p w:rsidR="007B4EE4" w:rsidRDefault="00B833D5">
            <w:pPr>
              <w:jc w:val="right"/>
            </w:pPr>
            <w:r>
              <w:rPr>
                <w:rFonts w:eastAsiaTheme="minorEastAsia"/>
                <w:color w:val="000000"/>
                <w:szCs w:val="21"/>
              </w:rPr>
              <w:t>0.41</w:t>
            </w:r>
          </w:p>
        </w:tc>
      </w:tr>
      <w:tr w:rsidR="007B4EE4">
        <w:trPr>
          <w:jc w:val="center"/>
        </w:trPr>
        <w:tc>
          <w:tcPr>
            <w:tcW w:w="771" w:type="dxa"/>
            <w:vAlign w:val="center"/>
          </w:tcPr>
          <w:p w:rsidR="007B4EE4" w:rsidRDefault="00B833D5">
            <w:pPr>
              <w:jc w:val="center"/>
            </w:pPr>
            <w:r>
              <w:rPr>
                <w:rFonts w:eastAsiaTheme="minorEastAsia"/>
                <w:color w:val="000000"/>
                <w:szCs w:val="21"/>
              </w:rPr>
              <w:t>93</w:t>
            </w:r>
          </w:p>
        </w:tc>
        <w:tc>
          <w:tcPr>
            <w:tcW w:w="905" w:type="dxa"/>
            <w:vAlign w:val="center"/>
          </w:tcPr>
          <w:p w:rsidR="007B4EE4" w:rsidRDefault="00B833D5">
            <w:pPr>
              <w:jc w:val="center"/>
            </w:pPr>
            <w:r>
              <w:rPr>
                <w:rFonts w:eastAsiaTheme="minorEastAsia"/>
                <w:color w:val="000000"/>
                <w:szCs w:val="21"/>
              </w:rPr>
              <w:t>Vpower Group Internatio</w:t>
            </w:r>
            <w:r>
              <w:rPr>
                <w:rFonts w:eastAsiaTheme="minorEastAsia"/>
                <w:color w:val="000000"/>
                <w:szCs w:val="21"/>
              </w:rPr>
              <w:lastRenderedPageBreak/>
              <w:t>nal Holdings Limited</w:t>
            </w:r>
          </w:p>
        </w:tc>
        <w:tc>
          <w:tcPr>
            <w:tcW w:w="1015" w:type="dxa"/>
            <w:vAlign w:val="center"/>
          </w:tcPr>
          <w:p w:rsidR="007B4EE4" w:rsidRDefault="00B833D5">
            <w:pPr>
              <w:jc w:val="center"/>
            </w:pPr>
            <w:r>
              <w:rPr>
                <w:rFonts w:eastAsiaTheme="minorEastAsia"/>
                <w:color w:val="000000"/>
                <w:szCs w:val="21"/>
              </w:rPr>
              <w:lastRenderedPageBreak/>
              <w:t>伟能集团国际控股有限公司</w:t>
            </w:r>
          </w:p>
        </w:tc>
        <w:tc>
          <w:tcPr>
            <w:tcW w:w="1184" w:type="dxa"/>
            <w:vAlign w:val="center"/>
          </w:tcPr>
          <w:p w:rsidR="007B4EE4" w:rsidRDefault="00B833D5">
            <w:pPr>
              <w:jc w:val="center"/>
            </w:pPr>
            <w:r>
              <w:rPr>
                <w:rFonts w:eastAsiaTheme="minorEastAsia"/>
                <w:color w:val="000000"/>
                <w:szCs w:val="21"/>
              </w:rPr>
              <w:t>1608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25,000</w:t>
            </w:r>
          </w:p>
        </w:tc>
        <w:tc>
          <w:tcPr>
            <w:tcW w:w="1690" w:type="dxa"/>
            <w:vAlign w:val="center"/>
          </w:tcPr>
          <w:p w:rsidR="007B4EE4" w:rsidRDefault="00B833D5">
            <w:pPr>
              <w:jc w:val="right"/>
            </w:pPr>
            <w:r>
              <w:rPr>
                <w:rFonts w:eastAsiaTheme="minorEastAsia"/>
                <w:color w:val="000000"/>
                <w:szCs w:val="21"/>
              </w:rPr>
              <w:t>96,596.28</w:t>
            </w:r>
          </w:p>
        </w:tc>
        <w:tc>
          <w:tcPr>
            <w:tcW w:w="997" w:type="dxa"/>
            <w:vAlign w:val="center"/>
          </w:tcPr>
          <w:p w:rsidR="007B4EE4" w:rsidRDefault="00B833D5">
            <w:pPr>
              <w:jc w:val="right"/>
            </w:pPr>
            <w:r>
              <w:rPr>
                <w:rFonts w:eastAsiaTheme="minorEastAsia"/>
                <w:color w:val="000000"/>
                <w:szCs w:val="21"/>
              </w:rPr>
              <w:t>0.41</w:t>
            </w:r>
          </w:p>
        </w:tc>
      </w:tr>
      <w:tr w:rsidR="007B4EE4">
        <w:trPr>
          <w:jc w:val="center"/>
        </w:trPr>
        <w:tc>
          <w:tcPr>
            <w:tcW w:w="771" w:type="dxa"/>
            <w:vAlign w:val="center"/>
          </w:tcPr>
          <w:p w:rsidR="007B4EE4" w:rsidRDefault="00B833D5">
            <w:pPr>
              <w:jc w:val="center"/>
            </w:pPr>
            <w:r>
              <w:rPr>
                <w:rFonts w:eastAsiaTheme="minorEastAsia"/>
                <w:color w:val="000000"/>
                <w:szCs w:val="21"/>
              </w:rPr>
              <w:t>94</w:t>
            </w:r>
          </w:p>
        </w:tc>
        <w:tc>
          <w:tcPr>
            <w:tcW w:w="905" w:type="dxa"/>
            <w:vAlign w:val="center"/>
          </w:tcPr>
          <w:p w:rsidR="007B4EE4" w:rsidRDefault="00B833D5">
            <w:pPr>
              <w:jc w:val="center"/>
            </w:pPr>
            <w:r>
              <w:rPr>
                <w:rFonts w:eastAsiaTheme="minorEastAsia"/>
                <w:color w:val="000000"/>
                <w:szCs w:val="21"/>
              </w:rPr>
              <w:t>iDreamSky Technology Holdings Limited</w:t>
            </w:r>
          </w:p>
        </w:tc>
        <w:tc>
          <w:tcPr>
            <w:tcW w:w="1015" w:type="dxa"/>
            <w:vAlign w:val="center"/>
          </w:tcPr>
          <w:p w:rsidR="007B4EE4" w:rsidRDefault="00B833D5">
            <w:pPr>
              <w:jc w:val="center"/>
            </w:pPr>
            <w:r>
              <w:rPr>
                <w:rFonts w:eastAsiaTheme="minorEastAsia"/>
                <w:color w:val="000000"/>
                <w:szCs w:val="21"/>
              </w:rPr>
              <w:t>创梦天地科技控股有限公司</w:t>
            </w:r>
          </w:p>
        </w:tc>
        <w:tc>
          <w:tcPr>
            <w:tcW w:w="1184" w:type="dxa"/>
            <w:vAlign w:val="center"/>
          </w:tcPr>
          <w:p w:rsidR="007B4EE4" w:rsidRDefault="00B833D5">
            <w:pPr>
              <w:jc w:val="center"/>
            </w:pPr>
            <w:r>
              <w:rPr>
                <w:rFonts w:eastAsiaTheme="minorEastAsia"/>
                <w:color w:val="000000"/>
                <w:szCs w:val="21"/>
              </w:rPr>
              <w:t>1119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21,200</w:t>
            </w:r>
          </w:p>
        </w:tc>
        <w:tc>
          <w:tcPr>
            <w:tcW w:w="1690" w:type="dxa"/>
            <w:vAlign w:val="center"/>
          </w:tcPr>
          <w:p w:rsidR="007B4EE4" w:rsidRDefault="00B833D5">
            <w:pPr>
              <w:jc w:val="right"/>
            </w:pPr>
            <w:r>
              <w:rPr>
                <w:rFonts w:eastAsiaTheme="minorEastAsia"/>
                <w:color w:val="000000"/>
                <w:szCs w:val="21"/>
              </w:rPr>
              <w:t>96,243.69</w:t>
            </w:r>
          </w:p>
        </w:tc>
        <w:tc>
          <w:tcPr>
            <w:tcW w:w="997" w:type="dxa"/>
            <w:vAlign w:val="center"/>
          </w:tcPr>
          <w:p w:rsidR="007B4EE4" w:rsidRDefault="00B833D5">
            <w:pPr>
              <w:jc w:val="right"/>
            </w:pPr>
            <w:r>
              <w:rPr>
                <w:rFonts w:eastAsiaTheme="minorEastAsia"/>
                <w:color w:val="000000"/>
                <w:szCs w:val="21"/>
              </w:rPr>
              <w:t>0.41</w:t>
            </w:r>
          </w:p>
        </w:tc>
      </w:tr>
      <w:tr w:rsidR="007B4EE4">
        <w:trPr>
          <w:jc w:val="center"/>
        </w:trPr>
        <w:tc>
          <w:tcPr>
            <w:tcW w:w="771" w:type="dxa"/>
            <w:vAlign w:val="center"/>
          </w:tcPr>
          <w:p w:rsidR="007B4EE4" w:rsidRDefault="00B833D5">
            <w:pPr>
              <w:jc w:val="center"/>
            </w:pPr>
            <w:r>
              <w:rPr>
                <w:rFonts w:eastAsiaTheme="minorEastAsia"/>
                <w:color w:val="000000"/>
                <w:szCs w:val="21"/>
              </w:rPr>
              <w:t>95</w:t>
            </w:r>
          </w:p>
        </w:tc>
        <w:tc>
          <w:tcPr>
            <w:tcW w:w="905" w:type="dxa"/>
            <w:vAlign w:val="center"/>
          </w:tcPr>
          <w:p w:rsidR="007B4EE4" w:rsidRDefault="00B833D5">
            <w:pPr>
              <w:jc w:val="center"/>
            </w:pPr>
            <w:r>
              <w:rPr>
                <w:rFonts w:eastAsiaTheme="minorEastAsia"/>
                <w:color w:val="000000"/>
                <w:szCs w:val="21"/>
              </w:rPr>
              <w:t>Beijing Tong Ren Tang Chinese Medicine Company Limited</w:t>
            </w:r>
          </w:p>
        </w:tc>
        <w:tc>
          <w:tcPr>
            <w:tcW w:w="1015" w:type="dxa"/>
            <w:vAlign w:val="center"/>
          </w:tcPr>
          <w:p w:rsidR="007B4EE4" w:rsidRDefault="00B833D5">
            <w:pPr>
              <w:jc w:val="center"/>
            </w:pPr>
            <w:r>
              <w:rPr>
                <w:rFonts w:eastAsiaTheme="minorEastAsia"/>
                <w:color w:val="000000"/>
                <w:szCs w:val="21"/>
              </w:rPr>
              <w:t>北京同仁堂国药有限公司</w:t>
            </w:r>
          </w:p>
        </w:tc>
        <w:tc>
          <w:tcPr>
            <w:tcW w:w="1184" w:type="dxa"/>
            <w:vAlign w:val="center"/>
          </w:tcPr>
          <w:p w:rsidR="007B4EE4" w:rsidRDefault="00B833D5">
            <w:pPr>
              <w:jc w:val="center"/>
            </w:pPr>
            <w:r>
              <w:rPr>
                <w:rFonts w:eastAsiaTheme="minorEastAsia"/>
                <w:color w:val="000000"/>
                <w:szCs w:val="21"/>
              </w:rPr>
              <w:t>3613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9,845</w:t>
            </w:r>
          </w:p>
        </w:tc>
        <w:tc>
          <w:tcPr>
            <w:tcW w:w="1690" w:type="dxa"/>
            <w:vAlign w:val="center"/>
          </w:tcPr>
          <w:p w:rsidR="007B4EE4" w:rsidRDefault="00B833D5">
            <w:pPr>
              <w:jc w:val="right"/>
            </w:pPr>
            <w:r>
              <w:rPr>
                <w:rFonts w:eastAsiaTheme="minorEastAsia"/>
                <w:color w:val="000000"/>
                <w:szCs w:val="21"/>
              </w:rPr>
              <w:t>93,885.01</w:t>
            </w:r>
          </w:p>
        </w:tc>
        <w:tc>
          <w:tcPr>
            <w:tcW w:w="997" w:type="dxa"/>
            <w:vAlign w:val="center"/>
          </w:tcPr>
          <w:p w:rsidR="007B4EE4" w:rsidRDefault="00B833D5">
            <w:pPr>
              <w:jc w:val="right"/>
            </w:pPr>
            <w:r>
              <w:rPr>
                <w:rFonts w:eastAsiaTheme="minorEastAsia"/>
                <w:color w:val="000000"/>
                <w:szCs w:val="21"/>
              </w:rPr>
              <w:t>0.40</w:t>
            </w:r>
          </w:p>
        </w:tc>
      </w:tr>
      <w:tr w:rsidR="007B4EE4">
        <w:trPr>
          <w:jc w:val="center"/>
        </w:trPr>
        <w:tc>
          <w:tcPr>
            <w:tcW w:w="771" w:type="dxa"/>
            <w:vAlign w:val="center"/>
          </w:tcPr>
          <w:p w:rsidR="007B4EE4" w:rsidRDefault="00B833D5">
            <w:pPr>
              <w:jc w:val="center"/>
            </w:pPr>
            <w:r>
              <w:rPr>
                <w:rFonts w:eastAsiaTheme="minorEastAsia"/>
                <w:color w:val="000000"/>
                <w:szCs w:val="21"/>
              </w:rPr>
              <w:t>96</w:t>
            </w:r>
          </w:p>
        </w:tc>
        <w:tc>
          <w:tcPr>
            <w:tcW w:w="905" w:type="dxa"/>
            <w:vAlign w:val="center"/>
          </w:tcPr>
          <w:p w:rsidR="007B4EE4" w:rsidRDefault="00B833D5">
            <w:pPr>
              <w:jc w:val="center"/>
            </w:pPr>
            <w:r>
              <w:rPr>
                <w:rFonts w:eastAsiaTheme="minorEastAsia"/>
                <w:color w:val="000000"/>
                <w:szCs w:val="21"/>
              </w:rPr>
              <w:t>Angang Steel Company Limited</w:t>
            </w:r>
          </w:p>
        </w:tc>
        <w:tc>
          <w:tcPr>
            <w:tcW w:w="1015" w:type="dxa"/>
            <w:vAlign w:val="center"/>
          </w:tcPr>
          <w:p w:rsidR="007B4EE4" w:rsidRDefault="00B833D5">
            <w:pPr>
              <w:jc w:val="center"/>
            </w:pPr>
            <w:r>
              <w:rPr>
                <w:rFonts w:eastAsiaTheme="minorEastAsia"/>
                <w:color w:val="000000"/>
                <w:szCs w:val="21"/>
              </w:rPr>
              <w:t>鞍钢股份有限公司</w:t>
            </w:r>
          </w:p>
        </w:tc>
        <w:tc>
          <w:tcPr>
            <w:tcW w:w="1184" w:type="dxa"/>
            <w:vAlign w:val="center"/>
          </w:tcPr>
          <w:p w:rsidR="007B4EE4" w:rsidRDefault="00B833D5">
            <w:pPr>
              <w:jc w:val="center"/>
            </w:pPr>
            <w:r>
              <w:rPr>
                <w:rFonts w:eastAsiaTheme="minorEastAsia"/>
                <w:color w:val="000000"/>
                <w:szCs w:val="21"/>
              </w:rPr>
              <w:t>347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53,339</w:t>
            </w:r>
          </w:p>
        </w:tc>
        <w:tc>
          <w:tcPr>
            <w:tcW w:w="1690" w:type="dxa"/>
            <w:vAlign w:val="center"/>
          </w:tcPr>
          <w:p w:rsidR="007B4EE4" w:rsidRDefault="00B833D5">
            <w:pPr>
              <w:jc w:val="right"/>
            </w:pPr>
            <w:r>
              <w:rPr>
                <w:rFonts w:eastAsiaTheme="minorEastAsia"/>
                <w:color w:val="000000"/>
                <w:szCs w:val="21"/>
              </w:rPr>
              <w:t>92,084.53</w:t>
            </w:r>
          </w:p>
        </w:tc>
        <w:tc>
          <w:tcPr>
            <w:tcW w:w="997" w:type="dxa"/>
            <w:vAlign w:val="center"/>
          </w:tcPr>
          <w:p w:rsidR="007B4EE4" w:rsidRDefault="00B833D5">
            <w:pPr>
              <w:jc w:val="right"/>
            </w:pPr>
            <w:r>
              <w:rPr>
                <w:rFonts w:eastAsiaTheme="minorEastAsia"/>
                <w:color w:val="000000"/>
                <w:szCs w:val="21"/>
              </w:rPr>
              <w:t>0.39</w:t>
            </w:r>
          </w:p>
        </w:tc>
      </w:tr>
      <w:tr w:rsidR="007B4EE4">
        <w:trPr>
          <w:jc w:val="center"/>
        </w:trPr>
        <w:tc>
          <w:tcPr>
            <w:tcW w:w="771" w:type="dxa"/>
            <w:vAlign w:val="center"/>
          </w:tcPr>
          <w:p w:rsidR="007B4EE4" w:rsidRDefault="00B833D5">
            <w:pPr>
              <w:jc w:val="center"/>
            </w:pPr>
            <w:r>
              <w:rPr>
                <w:rFonts w:eastAsiaTheme="minorEastAsia"/>
                <w:color w:val="000000"/>
                <w:szCs w:val="21"/>
              </w:rPr>
              <w:t>97</w:t>
            </w:r>
          </w:p>
        </w:tc>
        <w:tc>
          <w:tcPr>
            <w:tcW w:w="905" w:type="dxa"/>
            <w:vAlign w:val="center"/>
          </w:tcPr>
          <w:p w:rsidR="007B4EE4" w:rsidRDefault="00B833D5">
            <w:pPr>
              <w:jc w:val="center"/>
            </w:pPr>
            <w:r>
              <w:rPr>
                <w:rFonts w:eastAsiaTheme="minorEastAsia"/>
                <w:color w:val="000000"/>
                <w:szCs w:val="21"/>
              </w:rPr>
              <w:t>Yangtze Optical Fibre and Cable Joint Stock Limited Company</w:t>
            </w:r>
          </w:p>
        </w:tc>
        <w:tc>
          <w:tcPr>
            <w:tcW w:w="1015" w:type="dxa"/>
            <w:vAlign w:val="center"/>
          </w:tcPr>
          <w:p w:rsidR="007B4EE4" w:rsidRDefault="00B833D5">
            <w:pPr>
              <w:jc w:val="center"/>
            </w:pPr>
            <w:r>
              <w:rPr>
                <w:rFonts w:eastAsiaTheme="minorEastAsia"/>
                <w:color w:val="000000"/>
                <w:szCs w:val="21"/>
              </w:rPr>
              <w:t>长飞光纤光缆股份有限公司</w:t>
            </w:r>
          </w:p>
        </w:tc>
        <w:tc>
          <w:tcPr>
            <w:tcW w:w="1184" w:type="dxa"/>
            <w:vAlign w:val="center"/>
          </w:tcPr>
          <w:p w:rsidR="007B4EE4" w:rsidRDefault="00B833D5">
            <w:pPr>
              <w:jc w:val="center"/>
            </w:pPr>
            <w:r>
              <w:rPr>
                <w:rFonts w:eastAsiaTheme="minorEastAsia"/>
                <w:color w:val="000000"/>
                <w:szCs w:val="21"/>
              </w:rPr>
              <w:t>6869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6,891</w:t>
            </w:r>
          </w:p>
        </w:tc>
        <w:tc>
          <w:tcPr>
            <w:tcW w:w="1690" w:type="dxa"/>
            <w:vAlign w:val="center"/>
          </w:tcPr>
          <w:p w:rsidR="007B4EE4" w:rsidRDefault="00B833D5">
            <w:pPr>
              <w:jc w:val="right"/>
            </w:pPr>
            <w:r>
              <w:rPr>
                <w:rFonts w:eastAsiaTheme="minorEastAsia"/>
                <w:color w:val="000000"/>
                <w:szCs w:val="21"/>
              </w:rPr>
              <w:t>89,633.89</w:t>
            </w:r>
          </w:p>
        </w:tc>
        <w:tc>
          <w:tcPr>
            <w:tcW w:w="997" w:type="dxa"/>
            <w:vAlign w:val="center"/>
          </w:tcPr>
          <w:p w:rsidR="007B4EE4" w:rsidRDefault="00B833D5">
            <w:pPr>
              <w:jc w:val="right"/>
            </w:pPr>
            <w:r>
              <w:rPr>
                <w:rFonts w:eastAsiaTheme="minorEastAsia"/>
                <w:color w:val="000000"/>
                <w:szCs w:val="21"/>
              </w:rPr>
              <w:t>0.38</w:t>
            </w:r>
          </w:p>
        </w:tc>
      </w:tr>
      <w:tr w:rsidR="007B4EE4">
        <w:trPr>
          <w:jc w:val="center"/>
        </w:trPr>
        <w:tc>
          <w:tcPr>
            <w:tcW w:w="771" w:type="dxa"/>
            <w:vAlign w:val="center"/>
          </w:tcPr>
          <w:p w:rsidR="007B4EE4" w:rsidRDefault="00B833D5">
            <w:pPr>
              <w:jc w:val="center"/>
            </w:pPr>
            <w:r>
              <w:rPr>
                <w:rFonts w:eastAsiaTheme="minorEastAsia"/>
                <w:color w:val="000000"/>
                <w:szCs w:val="21"/>
              </w:rPr>
              <w:t>98</w:t>
            </w:r>
          </w:p>
        </w:tc>
        <w:tc>
          <w:tcPr>
            <w:tcW w:w="905" w:type="dxa"/>
            <w:vAlign w:val="center"/>
          </w:tcPr>
          <w:p w:rsidR="007B4EE4" w:rsidRDefault="00B833D5">
            <w:pPr>
              <w:jc w:val="center"/>
            </w:pPr>
            <w:r>
              <w:rPr>
                <w:rFonts w:eastAsiaTheme="minorEastAsia"/>
                <w:color w:val="000000"/>
                <w:szCs w:val="21"/>
              </w:rPr>
              <w:t>China Foods Limited</w:t>
            </w:r>
          </w:p>
        </w:tc>
        <w:tc>
          <w:tcPr>
            <w:tcW w:w="1015" w:type="dxa"/>
            <w:vAlign w:val="center"/>
          </w:tcPr>
          <w:p w:rsidR="007B4EE4" w:rsidRDefault="00B833D5">
            <w:pPr>
              <w:jc w:val="center"/>
            </w:pPr>
            <w:r>
              <w:rPr>
                <w:rFonts w:eastAsiaTheme="minorEastAsia"/>
                <w:color w:val="000000"/>
                <w:szCs w:val="21"/>
              </w:rPr>
              <w:t>中国食品有限公司</w:t>
            </w:r>
          </w:p>
        </w:tc>
        <w:tc>
          <w:tcPr>
            <w:tcW w:w="1184" w:type="dxa"/>
            <w:vAlign w:val="center"/>
          </w:tcPr>
          <w:p w:rsidR="007B4EE4" w:rsidRDefault="00B833D5">
            <w:pPr>
              <w:jc w:val="center"/>
            </w:pPr>
            <w:r>
              <w:rPr>
                <w:rFonts w:eastAsiaTheme="minorEastAsia"/>
                <w:color w:val="000000"/>
                <w:szCs w:val="21"/>
              </w:rPr>
              <w:t>506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32,899</w:t>
            </w:r>
          </w:p>
        </w:tc>
        <w:tc>
          <w:tcPr>
            <w:tcW w:w="1690" w:type="dxa"/>
            <w:vAlign w:val="center"/>
          </w:tcPr>
          <w:p w:rsidR="007B4EE4" w:rsidRDefault="00B833D5">
            <w:pPr>
              <w:jc w:val="right"/>
            </w:pPr>
            <w:r>
              <w:rPr>
                <w:rFonts w:eastAsiaTheme="minorEastAsia"/>
                <w:color w:val="000000"/>
                <w:szCs w:val="21"/>
              </w:rPr>
              <w:t>88,350.71</w:t>
            </w:r>
          </w:p>
        </w:tc>
        <w:tc>
          <w:tcPr>
            <w:tcW w:w="997" w:type="dxa"/>
            <w:vAlign w:val="center"/>
          </w:tcPr>
          <w:p w:rsidR="007B4EE4" w:rsidRDefault="00B833D5">
            <w:pPr>
              <w:jc w:val="right"/>
            </w:pPr>
            <w:r>
              <w:rPr>
                <w:rFonts w:eastAsiaTheme="minorEastAsia"/>
                <w:color w:val="000000"/>
                <w:szCs w:val="21"/>
              </w:rPr>
              <w:t>0.38</w:t>
            </w:r>
          </w:p>
        </w:tc>
      </w:tr>
      <w:tr w:rsidR="007B4EE4">
        <w:trPr>
          <w:jc w:val="center"/>
        </w:trPr>
        <w:tc>
          <w:tcPr>
            <w:tcW w:w="771" w:type="dxa"/>
            <w:vAlign w:val="center"/>
          </w:tcPr>
          <w:p w:rsidR="007B4EE4" w:rsidRDefault="00B833D5">
            <w:pPr>
              <w:jc w:val="center"/>
            </w:pPr>
            <w:r>
              <w:rPr>
                <w:rFonts w:eastAsiaTheme="minorEastAsia"/>
                <w:color w:val="000000"/>
                <w:szCs w:val="21"/>
              </w:rPr>
              <w:t>99</w:t>
            </w:r>
          </w:p>
        </w:tc>
        <w:tc>
          <w:tcPr>
            <w:tcW w:w="905" w:type="dxa"/>
            <w:vAlign w:val="center"/>
          </w:tcPr>
          <w:p w:rsidR="007B4EE4" w:rsidRDefault="00B833D5">
            <w:pPr>
              <w:jc w:val="center"/>
            </w:pPr>
            <w:r>
              <w:rPr>
                <w:rFonts w:eastAsiaTheme="minorEastAsia"/>
                <w:color w:val="000000"/>
                <w:szCs w:val="21"/>
              </w:rPr>
              <w:t>C-Mer Eye Care Holdings Limited</w:t>
            </w:r>
          </w:p>
        </w:tc>
        <w:tc>
          <w:tcPr>
            <w:tcW w:w="1015" w:type="dxa"/>
            <w:vAlign w:val="center"/>
          </w:tcPr>
          <w:p w:rsidR="007B4EE4" w:rsidRDefault="00B833D5">
            <w:pPr>
              <w:jc w:val="center"/>
            </w:pPr>
            <w:r>
              <w:rPr>
                <w:rFonts w:eastAsiaTheme="minorEastAsia"/>
                <w:color w:val="000000"/>
                <w:szCs w:val="21"/>
              </w:rPr>
              <w:t>希玛眼科医疗控股有限公司</w:t>
            </w:r>
          </w:p>
        </w:tc>
        <w:tc>
          <w:tcPr>
            <w:tcW w:w="1184" w:type="dxa"/>
            <w:vAlign w:val="center"/>
          </w:tcPr>
          <w:p w:rsidR="007B4EE4" w:rsidRDefault="00B833D5">
            <w:pPr>
              <w:jc w:val="center"/>
            </w:pPr>
            <w:r>
              <w:rPr>
                <w:rFonts w:eastAsiaTheme="minorEastAsia"/>
                <w:color w:val="000000"/>
                <w:szCs w:val="21"/>
              </w:rPr>
              <w:t>3309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14,478</w:t>
            </w:r>
          </w:p>
        </w:tc>
        <w:tc>
          <w:tcPr>
            <w:tcW w:w="1690" w:type="dxa"/>
            <w:vAlign w:val="center"/>
          </w:tcPr>
          <w:p w:rsidR="007B4EE4" w:rsidRDefault="00B833D5">
            <w:pPr>
              <w:jc w:val="right"/>
            </w:pPr>
            <w:r>
              <w:rPr>
                <w:rFonts w:eastAsiaTheme="minorEastAsia"/>
                <w:color w:val="000000"/>
                <w:szCs w:val="21"/>
              </w:rPr>
              <w:t>87,812.57</w:t>
            </w:r>
          </w:p>
        </w:tc>
        <w:tc>
          <w:tcPr>
            <w:tcW w:w="997" w:type="dxa"/>
            <w:vAlign w:val="center"/>
          </w:tcPr>
          <w:p w:rsidR="007B4EE4" w:rsidRDefault="00B833D5">
            <w:pPr>
              <w:jc w:val="right"/>
            </w:pPr>
            <w:r>
              <w:rPr>
                <w:rFonts w:eastAsiaTheme="minorEastAsia"/>
                <w:color w:val="000000"/>
                <w:szCs w:val="21"/>
              </w:rPr>
              <w:t>0.37</w:t>
            </w:r>
          </w:p>
        </w:tc>
      </w:tr>
      <w:tr w:rsidR="007B4EE4">
        <w:trPr>
          <w:jc w:val="center"/>
        </w:trPr>
        <w:tc>
          <w:tcPr>
            <w:tcW w:w="771" w:type="dxa"/>
            <w:vAlign w:val="center"/>
          </w:tcPr>
          <w:p w:rsidR="007B4EE4" w:rsidRDefault="00B833D5">
            <w:pPr>
              <w:jc w:val="center"/>
            </w:pPr>
            <w:r>
              <w:rPr>
                <w:rFonts w:eastAsiaTheme="minorEastAsia"/>
                <w:color w:val="000000"/>
                <w:szCs w:val="21"/>
              </w:rPr>
              <w:t>100</w:t>
            </w:r>
          </w:p>
        </w:tc>
        <w:tc>
          <w:tcPr>
            <w:tcW w:w="905" w:type="dxa"/>
            <w:vAlign w:val="center"/>
          </w:tcPr>
          <w:p w:rsidR="007B4EE4" w:rsidRDefault="00B833D5">
            <w:pPr>
              <w:jc w:val="center"/>
            </w:pPr>
            <w:r>
              <w:rPr>
                <w:rFonts w:eastAsiaTheme="minorEastAsia"/>
                <w:color w:val="000000"/>
                <w:szCs w:val="21"/>
              </w:rPr>
              <w:t>PAX Global Technology Limited</w:t>
            </w:r>
          </w:p>
        </w:tc>
        <w:tc>
          <w:tcPr>
            <w:tcW w:w="1015" w:type="dxa"/>
            <w:vAlign w:val="center"/>
          </w:tcPr>
          <w:p w:rsidR="007B4EE4" w:rsidRDefault="00B833D5">
            <w:pPr>
              <w:jc w:val="center"/>
            </w:pPr>
            <w:r>
              <w:rPr>
                <w:rFonts w:eastAsiaTheme="minorEastAsia"/>
                <w:color w:val="000000"/>
                <w:szCs w:val="21"/>
              </w:rPr>
              <w:t>百富环球科技有限公司</w:t>
            </w:r>
          </w:p>
        </w:tc>
        <w:tc>
          <w:tcPr>
            <w:tcW w:w="1184" w:type="dxa"/>
            <w:vAlign w:val="center"/>
          </w:tcPr>
          <w:p w:rsidR="007B4EE4" w:rsidRDefault="00B833D5">
            <w:pPr>
              <w:jc w:val="center"/>
            </w:pPr>
            <w:r>
              <w:rPr>
                <w:rFonts w:eastAsiaTheme="minorEastAsia"/>
                <w:color w:val="000000"/>
                <w:szCs w:val="21"/>
              </w:rPr>
              <w:t>327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27,847</w:t>
            </w:r>
          </w:p>
        </w:tc>
        <w:tc>
          <w:tcPr>
            <w:tcW w:w="1690" w:type="dxa"/>
            <w:vAlign w:val="center"/>
          </w:tcPr>
          <w:p w:rsidR="007B4EE4" w:rsidRDefault="00B833D5">
            <w:pPr>
              <w:jc w:val="right"/>
            </w:pPr>
            <w:r>
              <w:rPr>
                <w:rFonts w:eastAsiaTheme="minorEastAsia"/>
                <w:color w:val="000000"/>
                <w:szCs w:val="21"/>
              </w:rPr>
              <w:t>85,721.22</w:t>
            </w:r>
          </w:p>
        </w:tc>
        <w:tc>
          <w:tcPr>
            <w:tcW w:w="997" w:type="dxa"/>
            <w:vAlign w:val="center"/>
          </w:tcPr>
          <w:p w:rsidR="007B4EE4" w:rsidRDefault="00B833D5">
            <w:pPr>
              <w:jc w:val="right"/>
            </w:pPr>
            <w:r>
              <w:rPr>
                <w:rFonts w:eastAsiaTheme="minorEastAsia"/>
                <w:color w:val="000000"/>
                <w:szCs w:val="21"/>
              </w:rPr>
              <w:t>0.37</w:t>
            </w:r>
          </w:p>
        </w:tc>
      </w:tr>
      <w:tr w:rsidR="007B4EE4">
        <w:trPr>
          <w:jc w:val="center"/>
        </w:trPr>
        <w:tc>
          <w:tcPr>
            <w:tcW w:w="771" w:type="dxa"/>
            <w:vAlign w:val="center"/>
          </w:tcPr>
          <w:p w:rsidR="007B4EE4" w:rsidRDefault="00B833D5">
            <w:pPr>
              <w:jc w:val="center"/>
            </w:pPr>
            <w:r>
              <w:rPr>
                <w:rFonts w:eastAsiaTheme="minorEastAsia"/>
                <w:color w:val="000000"/>
                <w:szCs w:val="21"/>
              </w:rPr>
              <w:t>101</w:t>
            </w:r>
          </w:p>
        </w:tc>
        <w:tc>
          <w:tcPr>
            <w:tcW w:w="905" w:type="dxa"/>
            <w:vAlign w:val="center"/>
          </w:tcPr>
          <w:p w:rsidR="007B4EE4" w:rsidRDefault="00B833D5">
            <w:pPr>
              <w:jc w:val="center"/>
            </w:pPr>
            <w:r>
              <w:rPr>
                <w:rFonts w:eastAsiaTheme="minorEastAsia"/>
                <w:color w:val="000000"/>
                <w:szCs w:val="21"/>
              </w:rPr>
              <w:t>Redsun Properties Group Limited</w:t>
            </w:r>
          </w:p>
        </w:tc>
        <w:tc>
          <w:tcPr>
            <w:tcW w:w="1015" w:type="dxa"/>
            <w:vAlign w:val="center"/>
          </w:tcPr>
          <w:p w:rsidR="007B4EE4" w:rsidRDefault="00B833D5">
            <w:pPr>
              <w:jc w:val="center"/>
            </w:pPr>
            <w:r>
              <w:rPr>
                <w:rFonts w:eastAsiaTheme="minorEastAsia"/>
                <w:color w:val="000000"/>
                <w:szCs w:val="21"/>
              </w:rPr>
              <w:t>弘阳地产集团有限公司</w:t>
            </w:r>
          </w:p>
        </w:tc>
        <w:tc>
          <w:tcPr>
            <w:tcW w:w="1184" w:type="dxa"/>
            <w:vAlign w:val="center"/>
          </w:tcPr>
          <w:p w:rsidR="007B4EE4" w:rsidRDefault="00B833D5">
            <w:pPr>
              <w:jc w:val="center"/>
            </w:pPr>
            <w:r>
              <w:rPr>
                <w:rFonts w:eastAsiaTheme="minorEastAsia"/>
                <w:color w:val="000000"/>
                <w:szCs w:val="21"/>
              </w:rPr>
              <w:t>1996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36,000</w:t>
            </w:r>
          </w:p>
        </w:tc>
        <w:tc>
          <w:tcPr>
            <w:tcW w:w="1690" w:type="dxa"/>
            <w:vAlign w:val="center"/>
          </w:tcPr>
          <w:p w:rsidR="007B4EE4" w:rsidRDefault="00B833D5">
            <w:pPr>
              <w:jc w:val="right"/>
            </w:pPr>
            <w:r>
              <w:rPr>
                <w:rFonts w:eastAsiaTheme="minorEastAsia"/>
                <w:color w:val="000000"/>
                <w:szCs w:val="21"/>
              </w:rPr>
              <w:t>83,524.95</w:t>
            </w:r>
          </w:p>
        </w:tc>
        <w:tc>
          <w:tcPr>
            <w:tcW w:w="997" w:type="dxa"/>
            <w:vAlign w:val="center"/>
          </w:tcPr>
          <w:p w:rsidR="007B4EE4" w:rsidRDefault="00B833D5">
            <w:pPr>
              <w:jc w:val="right"/>
            </w:pPr>
            <w:r>
              <w:rPr>
                <w:rFonts w:eastAsiaTheme="minorEastAsia"/>
                <w:color w:val="000000"/>
                <w:szCs w:val="21"/>
              </w:rPr>
              <w:t>0.36</w:t>
            </w:r>
          </w:p>
        </w:tc>
      </w:tr>
      <w:tr w:rsidR="007B4EE4">
        <w:trPr>
          <w:jc w:val="center"/>
        </w:trPr>
        <w:tc>
          <w:tcPr>
            <w:tcW w:w="771" w:type="dxa"/>
            <w:vAlign w:val="center"/>
          </w:tcPr>
          <w:p w:rsidR="007B4EE4" w:rsidRDefault="00B833D5">
            <w:pPr>
              <w:jc w:val="center"/>
            </w:pPr>
            <w:r>
              <w:rPr>
                <w:rFonts w:eastAsiaTheme="minorEastAsia"/>
                <w:color w:val="000000"/>
                <w:szCs w:val="21"/>
              </w:rPr>
              <w:t>102</w:t>
            </w:r>
          </w:p>
        </w:tc>
        <w:tc>
          <w:tcPr>
            <w:tcW w:w="905" w:type="dxa"/>
            <w:vAlign w:val="center"/>
          </w:tcPr>
          <w:p w:rsidR="007B4EE4" w:rsidRDefault="00B833D5">
            <w:pPr>
              <w:jc w:val="center"/>
            </w:pPr>
            <w:r>
              <w:rPr>
                <w:rFonts w:eastAsiaTheme="minorEastAsia"/>
                <w:color w:val="000000"/>
                <w:szCs w:val="21"/>
              </w:rPr>
              <w:t>Bank of Chongqin</w:t>
            </w:r>
            <w:r>
              <w:rPr>
                <w:rFonts w:eastAsiaTheme="minorEastAsia"/>
                <w:color w:val="000000"/>
                <w:szCs w:val="21"/>
              </w:rPr>
              <w:lastRenderedPageBreak/>
              <w:t>g Co., Ltd.</w:t>
            </w:r>
          </w:p>
        </w:tc>
        <w:tc>
          <w:tcPr>
            <w:tcW w:w="1015" w:type="dxa"/>
            <w:vAlign w:val="center"/>
          </w:tcPr>
          <w:p w:rsidR="007B4EE4" w:rsidRDefault="00B833D5">
            <w:pPr>
              <w:jc w:val="center"/>
            </w:pPr>
            <w:r>
              <w:rPr>
                <w:rFonts w:eastAsiaTheme="minorEastAsia"/>
                <w:color w:val="000000"/>
                <w:szCs w:val="21"/>
              </w:rPr>
              <w:lastRenderedPageBreak/>
              <w:t>重庆银行股份有限</w:t>
            </w:r>
            <w:r>
              <w:rPr>
                <w:rFonts w:eastAsiaTheme="minorEastAsia"/>
                <w:color w:val="000000"/>
                <w:szCs w:val="21"/>
              </w:rPr>
              <w:lastRenderedPageBreak/>
              <w:t>公司</w:t>
            </w:r>
          </w:p>
        </w:tc>
        <w:tc>
          <w:tcPr>
            <w:tcW w:w="1184" w:type="dxa"/>
            <w:vAlign w:val="center"/>
          </w:tcPr>
          <w:p w:rsidR="007B4EE4" w:rsidRDefault="00B833D5">
            <w:pPr>
              <w:jc w:val="center"/>
            </w:pPr>
            <w:r>
              <w:rPr>
                <w:rFonts w:eastAsiaTheme="minorEastAsia"/>
                <w:color w:val="000000"/>
                <w:szCs w:val="21"/>
              </w:rPr>
              <w:lastRenderedPageBreak/>
              <w:t>1963 HK</w:t>
            </w:r>
          </w:p>
        </w:tc>
        <w:tc>
          <w:tcPr>
            <w:tcW w:w="847" w:type="dxa"/>
            <w:vAlign w:val="center"/>
          </w:tcPr>
          <w:p w:rsidR="007B4EE4" w:rsidRDefault="00B833D5">
            <w:pPr>
              <w:jc w:val="center"/>
            </w:pPr>
            <w:r>
              <w:rPr>
                <w:rFonts w:eastAsiaTheme="minorEastAsia"/>
                <w:color w:val="000000"/>
                <w:szCs w:val="21"/>
              </w:rPr>
              <w:t>香港证券交易</w:t>
            </w:r>
            <w:r>
              <w:rPr>
                <w:rFonts w:eastAsiaTheme="minorEastAsia"/>
                <w:color w:val="000000"/>
                <w:szCs w:val="21"/>
              </w:rPr>
              <w:lastRenderedPageBreak/>
              <w:t>所</w:t>
            </w:r>
          </w:p>
        </w:tc>
        <w:tc>
          <w:tcPr>
            <w:tcW w:w="1025" w:type="dxa"/>
            <w:vAlign w:val="center"/>
          </w:tcPr>
          <w:p w:rsidR="007B4EE4" w:rsidRDefault="00B833D5">
            <w:pPr>
              <w:jc w:val="center"/>
            </w:pPr>
            <w:r>
              <w:rPr>
                <w:rFonts w:eastAsiaTheme="minorEastAsia"/>
                <w:color w:val="000000"/>
                <w:szCs w:val="21"/>
              </w:rPr>
              <w:lastRenderedPageBreak/>
              <w:t>中国香港</w:t>
            </w:r>
          </w:p>
        </w:tc>
        <w:tc>
          <w:tcPr>
            <w:tcW w:w="1015" w:type="dxa"/>
            <w:vAlign w:val="center"/>
          </w:tcPr>
          <w:p w:rsidR="007B4EE4" w:rsidRDefault="00B833D5">
            <w:pPr>
              <w:jc w:val="right"/>
            </w:pPr>
            <w:r>
              <w:rPr>
                <w:rFonts w:eastAsiaTheme="minorEastAsia"/>
                <w:color w:val="000000"/>
                <w:szCs w:val="21"/>
              </w:rPr>
              <w:t>23,262</w:t>
            </w:r>
          </w:p>
        </w:tc>
        <w:tc>
          <w:tcPr>
            <w:tcW w:w="1690" w:type="dxa"/>
            <w:vAlign w:val="center"/>
          </w:tcPr>
          <w:p w:rsidR="007B4EE4" w:rsidRDefault="00B833D5">
            <w:pPr>
              <w:jc w:val="right"/>
            </w:pPr>
            <w:r>
              <w:rPr>
                <w:rFonts w:eastAsiaTheme="minorEastAsia"/>
                <w:color w:val="000000"/>
                <w:szCs w:val="21"/>
              </w:rPr>
              <w:t>82,443.95</w:t>
            </w:r>
          </w:p>
        </w:tc>
        <w:tc>
          <w:tcPr>
            <w:tcW w:w="997" w:type="dxa"/>
            <w:vAlign w:val="center"/>
          </w:tcPr>
          <w:p w:rsidR="007B4EE4" w:rsidRDefault="00B833D5">
            <w:pPr>
              <w:jc w:val="right"/>
            </w:pPr>
            <w:r>
              <w:rPr>
                <w:rFonts w:eastAsiaTheme="minorEastAsia"/>
                <w:color w:val="000000"/>
                <w:szCs w:val="21"/>
              </w:rPr>
              <w:t>0.35</w:t>
            </w:r>
          </w:p>
        </w:tc>
      </w:tr>
      <w:tr w:rsidR="007B4EE4">
        <w:trPr>
          <w:jc w:val="center"/>
        </w:trPr>
        <w:tc>
          <w:tcPr>
            <w:tcW w:w="771" w:type="dxa"/>
            <w:vAlign w:val="center"/>
          </w:tcPr>
          <w:p w:rsidR="007B4EE4" w:rsidRDefault="00B833D5">
            <w:pPr>
              <w:jc w:val="center"/>
            </w:pPr>
            <w:r>
              <w:rPr>
                <w:rFonts w:eastAsiaTheme="minorEastAsia"/>
                <w:color w:val="000000"/>
                <w:szCs w:val="21"/>
              </w:rPr>
              <w:t>103</w:t>
            </w:r>
          </w:p>
        </w:tc>
        <w:tc>
          <w:tcPr>
            <w:tcW w:w="905" w:type="dxa"/>
            <w:vAlign w:val="center"/>
          </w:tcPr>
          <w:p w:rsidR="007B4EE4" w:rsidRDefault="00B833D5">
            <w:pPr>
              <w:jc w:val="center"/>
            </w:pPr>
            <w:r>
              <w:rPr>
                <w:rFonts w:eastAsiaTheme="minorEastAsia"/>
                <w:color w:val="000000"/>
                <w:szCs w:val="21"/>
              </w:rPr>
              <w:t>China Travel International Investment Hong Kong Ltd.</w:t>
            </w:r>
          </w:p>
        </w:tc>
        <w:tc>
          <w:tcPr>
            <w:tcW w:w="1015" w:type="dxa"/>
            <w:vAlign w:val="center"/>
          </w:tcPr>
          <w:p w:rsidR="007B4EE4" w:rsidRDefault="00B833D5">
            <w:pPr>
              <w:jc w:val="center"/>
            </w:pPr>
            <w:r>
              <w:rPr>
                <w:rFonts w:eastAsiaTheme="minorEastAsia"/>
                <w:color w:val="000000"/>
                <w:szCs w:val="21"/>
              </w:rPr>
              <w:t>香港中旅国际投资有限公司</w:t>
            </w:r>
          </w:p>
        </w:tc>
        <w:tc>
          <w:tcPr>
            <w:tcW w:w="1184" w:type="dxa"/>
            <w:vAlign w:val="center"/>
          </w:tcPr>
          <w:p w:rsidR="007B4EE4" w:rsidRDefault="00B833D5">
            <w:pPr>
              <w:jc w:val="center"/>
            </w:pPr>
            <w:r>
              <w:rPr>
                <w:rFonts w:eastAsiaTheme="minorEastAsia"/>
                <w:color w:val="000000"/>
                <w:szCs w:val="21"/>
              </w:rPr>
              <w:t>308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80,825</w:t>
            </w:r>
          </w:p>
        </w:tc>
        <w:tc>
          <w:tcPr>
            <w:tcW w:w="1690" w:type="dxa"/>
            <w:vAlign w:val="center"/>
          </w:tcPr>
          <w:p w:rsidR="007B4EE4" w:rsidRDefault="00B833D5">
            <w:pPr>
              <w:jc w:val="right"/>
            </w:pPr>
            <w:r>
              <w:rPr>
                <w:rFonts w:eastAsiaTheme="minorEastAsia"/>
                <w:color w:val="000000"/>
                <w:szCs w:val="21"/>
              </w:rPr>
              <w:t>81,211.67</w:t>
            </w:r>
          </w:p>
        </w:tc>
        <w:tc>
          <w:tcPr>
            <w:tcW w:w="997" w:type="dxa"/>
            <w:vAlign w:val="center"/>
          </w:tcPr>
          <w:p w:rsidR="007B4EE4" w:rsidRDefault="00B833D5">
            <w:pPr>
              <w:jc w:val="right"/>
            </w:pPr>
            <w:r>
              <w:rPr>
                <w:rFonts w:eastAsiaTheme="minorEastAsia"/>
                <w:color w:val="000000"/>
                <w:szCs w:val="21"/>
              </w:rPr>
              <w:t>0.35</w:t>
            </w:r>
          </w:p>
        </w:tc>
      </w:tr>
      <w:tr w:rsidR="007B4EE4">
        <w:trPr>
          <w:jc w:val="center"/>
        </w:trPr>
        <w:tc>
          <w:tcPr>
            <w:tcW w:w="771" w:type="dxa"/>
            <w:vAlign w:val="center"/>
          </w:tcPr>
          <w:p w:rsidR="007B4EE4" w:rsidRDefault="00B833D5">
            <w:pPr>
              <w:jc w:val="center"/>
            </w:pPr>
            <w:r>
              <w:rPr>
                <w:rFonts w:eastAsiaTheme="minorEastAsia"/>
                <w:color w:val="000000"/>
                <w:szCs w:val="21"/>
              </w:rPr>
              <w:t>104</w:t>
            </w:r>
          </w:p>
        </w:tc>
        <w:tc>
          <w:tcPr>
            <w:tcW w:w="905" w:type="dxa"/>
            <w:vAlign w:val="center"/>
          </w:tcPr>
          <w:p w:rsidR="007B4EE4" w:rsidRDefault="00B833D5">
            <w:pPr>
              <w:jc w:val="center"/>
            </w:pPr>
            <w:r>
              <w:rPr>
                <w:rFonts w:eastAsiaTheme="minorEastAsia"/>
                <w:color w:val="000000"/>
                <w:szCs w:val="21"/>
              </w:rPr>
              <w:t>China Dongxiang (Group) Co., Ltd.</w:t>
            </w:r>
          </w:p>
        </w:tc>
        <w:tc>
          <w:tcPr>
            <w:tcW w:w="1015" w:type="dxa"/>
            <w:vAlign w:val="center"/>
          </w:tcPr>
          <w:p w:rsidR="007B4EE4" w:rsidRDefault="00B833D5">
            <w:pPr>
              <w:jc w:val="center"/>
            </w:pPr>
            <w:r>
              <w:rPr>
                <w:rFonts w:eastAsiaTheme="minorEastAsia"/>
                <w:color w:val="000000"/>
                <w:szCs w:val="21"/>
              </w:rPr>
              <w:t>中国动向</w:t>
            </w:r>
            <w:r>
              <w:rPr>
                <w:rFonts w:eastAsiaTheme="minorEastAsia"/>
                <w:color w:val="000000"/>
                <w:szCs w:val="21"/>
              </w:rPr>
              <w:t>(</w:t>
            </w:r>
            <w:r>
              <w:rPr>
                <w:rFonts w:eastAsiaTheme="minorEastAsia"/>
                <w:color w:val="000000"/>
                <w:szCs w:val="21"/>
              </w:rPr>
              <w:t>集团</w:t>
            </w:r>
            <w:r>
              <w:rPr>
                <w:rFonts w:eastAsiaTheme="minorEastAsia"/>
                <w:color w:val="000000"/>
                <w:szCs w:val="21"/>
              </w:rPr>
              <w:t>)</w:t>
            </w:r>
            <w:r>
              <w:rPr>
                <w:rFonts w:eastAsiaTheme="minorEastAsia"/>
                <w:color w:val="000000"/>
                <w:szCs w:val="21"/>
              </w:rPr>
              <w:t>有限公司</w:t>
            </w:r>
          </w:p>
        </w:tc>
        <w:tc>
          <w:tcPr>
            <w:tcW w:w="1184" w:type="dxa"/>
            <w:vAlign w:val="center"/>
          </w:tcPr>
          <w:p w:rsidR="007B4EE4" w:rsidRDefault="00B833D5">
            <w:pPr>
              <w:jc w:val="center"/>
            </w:pPr>
            <w:r>
              <w:rPr>
                <w:rFonts w:eastAsiaTheme="minorEastAsia"/>
                <w:color w:val="000000"/>
                <w:szCs w:val="21"/>
              </w:rPr>
              <w:t>3818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127,459</w:t>
            </w:r>
          </w:p>
        </w:tc>
        <w:tc>
          <w:tcPr>
            <w:tcW w:w="1690" w:type="dxa"/>
            <w:vAlign w:val="center"/>
          </w:tcPr>
          <w:p w:rsidR="007B4EE4" w:rsidRDefault="00B833D5">
            <w:pPr>
              <w:jc w:val="right"/>
            </w:pPr>
            <w:r>
              <w:rPr>
                <w:rFonts w:eastAsiaTheme="minorEastAsia"/>
                <w:color w:val="000000"/>
                <w:szCs w:val="21"/>
              </w:rPr>
              <w:t>80,334.04</w:t>
            </w:r>
          </w:p>
        </w:tc>
        <w:tc>
          <w:tcPr>
            <w:tcW w:w="997" w:type="dxa"/>
            <w:vAlign w:val="center"/>
          </w:tcPr>
          <w:p w:rsidR="007B4EE4" w:rsidRDefault="00B833D5">
            <w:pPr>
              <w:jc w:val="right"/>
            </w:pPr>
            <w:r>
              <w:rPr>
                <w:rFonts w:eastAsiaTheme="minorEastAsia"/>
                <w:color w:val="000000"/>
                <w:szCs w:val="21"/>
              </w:rPr>
              <w:t>0.34</w:t>
            </w:r>
          </w:p>
        </w:tc>
      </w:tr>
      <w:tr w:rsidR="007B4EE4">
        <w:trPr>
          <w:jc w:val="center"/>
        </w:trPr>
        <w:tc>
          <w:tcPr>
            <w:tcW w:w="771" w:type="dxa"/>
            <w:vAlign w:val="center"/>
          </w:tcPr>
          <w:p w:rsidR="007B4EE4" w:rsidRDefault="00B833D5">
            <w:pPr>
              <w:jc w:val="center"/>
            </w:pPr>
            <w:r>
              <w:rPr>
                <w:rFonts w:eastAsiaTheme="minorEastAsia"/>
                <w:color w:val="000000"/>
                <w:szCs w:val="21"/>
              </w:rPr>
              <w:t>105</w:t>
            </w:r>
          </w:p>
        </w:tc>
        <w:tc>
          <w:tcPr>
            <w:tcW w:w="905" w:type="dxa"/>
            <w:vAlign w:val="center"/>
          </w:tcPr>
          <w:p w:rsidR="007B4EE4" w:rsidRDefault="00B833D5">
            <w:pPr>
              <w:jc w:val="center"/>
            </w:pPr>
            <w:r>
              <w:rPr>
                <w:rFonts w:eastAsiaTheme="minorEastAsia"/>
                <w:color w:val="000000"/>
                <w:szCs w:val="21"/>
              </w:rPr>
              <w:t>Sheng Ye Capital Limitde</w:t>
            </w:r>
          </w:p>
        </w:tc>
        <w:tc>
          <w:tcPr>
            <w:tcW w:w="1015" w:type="dxa"/>
            <w:vAlign w:val="center"/>
          </w:tcPr>
          <w:p w:rsidR="007B4EE4" w:rsidRDefault="00B833D5">
            <w:pPr>
              <w:jc w:val="center"/>
            </w:pPr>
            <w:r>
              <w:rPr>
                <w:rFonts w:eastAsiaTheme="minorEastAsia"/>
                <w:color w:val="000000"/>
                <w:szCs w:val="21"/>
              </w:rPr>
              <w:t>盛业资本有限公司</w:t>
            </w:r>
          </w:p>
        </w:tc>
        <w:tc>
          <w:tcPr>
            <w:tcW w:w="1184" w:type="dxa"/>
            <w:vAlign w:val="center"/>
          </w:tcPr>
          <w:p w:rsidR="007B4EE4" w:rsidRDefault="00B833D5">
            <w:pPr>
              <w:jc w:val="center"/>
            </w:pPr>
            <w:r>
              <w:rPr>
                <w:rFonts w:eastAsiaTheme="minorEastAsia"/>
                <w:color w:val="000000"/>
                <w:szCs w:val="21"/>
              </w:rPr>
              <w:t>6069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13,811</w:t>
            </w:r>
          </w:p>
        </w:tc>
        <w:tc>
          <w:tcPr>
            <w:tcW w:w="1690" w:type="dxa"/>
            <w:vAlign w:val="center"/>
          </w:tcPr>
          <w:p w:rsidR="007B4EE4" w:rsidRDefault="00B833D5">
            <w:pPr>
              <w:jc w:val="right"/>
            </w:pPr>
            <w:r>
              <w:rPr>
                <w:rFonts w:eastAsiaTheme="minorEastAsia"/>
                <w:color w:val="000000"/>
                <w:szCs w:val="21"/>
              </w:rPr>
              <w:t>79,982.40</w:t>
            </w:r>
          </w:p>
        </w:tc>
        <w:tc>
          <w:tcPr>
            <w:tcW w:w="997" w:type="dxa"/>
            <w:vAlign w:val="center"/>
          </w:tcPr>
          <w:p w:rsidR="007B4EE4" w:rsidRDefault="00B833D5">
            <w:pPr>
              <w:jc w:val="right"/>
            </w:pPr>
            <w:r>
              <w:rPr>
                <w:rFonts w:eastAsiaTheme="minorEastAsia"/>
                <w:color w:val="000000"/>
                <w:szCs w:val="21"/>
              </w:rPr>
              <w:t>0.34</w:t>
            </w:r>
          </w:p>
        </w:tc>
      </w:tr>
      <w:tr w:rsidR="007B4EE4">
        <w:trPr>
          <w:jc w:val="center"/>
        </w:trPr>
        <w:tc>
          <w:tcPr>
            <w:tcW w:w="771" w:type="dxa"/>
            <w:vAlign w:val="center"/>
          </w:tcPr>
          <w:p w:rsidR="007B4EE4" w:rsidRDefault="00B833D5">
            <w:pPr>
              <w:jc w:val="center"/>
            </w:pPr>
            <w:r>
              <w:rPr>
                <w:rFonts w:eastAsiaTheme="minorEastAsia"/>
                <w:color w:val="000000"/>
                <w:szCs w:val="21"/>
              </w:rPr>
              <w:t>106</w:t>
            </w:r>
          </w:p>
        </w:tc>
        <w:tc>
          <w:tcPr>
            <w:tcW w:w="905" w:type="dxa"/>
            <w:vAlign w:val="center"/>
          </w:tcPr>
          <w:p w:rsidR="007B4EE4" w:rsidRDefault="00B833D5">
            <w:pPr>
              <w:jc w:val="center"/>
            </w:pPr>
            <w:r>
              <w:rPr>
                <w:rFonts w:eastAsiaTheme="minorEastAsia"/>
                <w:color w:val="000000"/>
                <w:szCs w:val="21"/>
              </w:rPr>
              <w:t>China High Speed Transmission Equipment Group Co., Ltd.</w:t>
            </w:r>
          </w:p>
        </w:tc>
        <w:tc>
          <w:tcPr>
            <w:tcW w:w="1015" w:type="dxa"/>
            <w:vAlign w:val="center"/>
          </w:tcPr>
          <w:p w:rsidR="007B4EE4" w:rsidRDefault="00B833D5">
            <w:pPr>
              <w:jc w:val="center"/>
            </w:pPr>
            <w:r>
              <w:rPr>
                <w:rFonts w:eastAsiaTheme="minorEastAsia"/>
                <w:color w:val="000000"/>
                <w:szCs w:val="21"/>
              </w:rPr>
              <w:t>中国高速传动设备集团有限公司</w:t>
            </w:r>
          </w:p>
        </w:tc>
        <w:tc>
          <w:tcPr>
            <w:tcW w:w="1184" w:type="dxa"/>
            <w:vAlign w:val="center"/>
          </w:tcPr>
          <w:p w:rsidR="007B4EE4" w:rsidRDefault="00B833D5">
            <w:pPr>
              <w:jc w:val="center"/>
            </w:pPr>
            <w:r>
              <w:rPr>
                <w:rFonts w:eastAsiaTheme="minorEastAsia"/>
                <w:color w:val="000000"/>
                <w:szCs w:val="21"/>
              </w:rPr>
              <w:t>658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19,233</w:t>
            </w:r>
          </w:p>
        </w:tc>
        <w:tc>
          <w:tcPr>
            <w:tcW w:w="1690" w:type="dxa"/>
            <w:vAlign w:val="center"/>
          </w:tcPr>
          <w:p w:rsidR="007B4EE4" w:rsidRDefault="00B833D5">
            <w:pPr>
              <w:jc w:val="right"/>
            </w:pPr>
            <w:r>
              <w:rPr>
                <w:rFonts w:eastAsiaTheme="minorEastAsia"/>
                <w:color w:val="000000"/>
                <w:szCs w:val="21"/>
              </w:rPr>
              <w:t>79,056.86</w:t>
            </w:r>
          </w:p>
        </w:tc>
        <w:tc>
          <w:tcPr>
            <w:tcW w:w="997" w:type="dxa"/>
            <w:vAlign w:val="center"/>
          </w:tcPr>
          <w:p w:rsidR="007B4EE4" w:rsidRDefault="00B833D5">
            <w:pPr>
              <w:jc w:val="right"/>
            </w:pPr>
            <w:r>
              <w:rPr>
                <w:rFonts w:eastAsiaTheme="minorEastAsia"/>
                <w:color w:val="000000"/>
                <w:szCs w:val="21"/>
              </w:rPr>
              <w:t>0.34</w:t>
            </w:r>
          </w:p>
        </w:tc>
      </w:tr>
      <w:tr w:rsidR="007B4EE4">
        <w:trPr>
          <w:jc w:val="center"/>
        </w:trPr>
        <w:tc>
          <w:tcPr>
            <w:tcW w:w="771" w:type="dxa"/>
            <w:vAlign w:val="center"/>
          </w:tcPr>
          <w:p w:rsidR="007B4EE4" w:rsidRDefault="00B833D5">
            <w:pPr>
              <w:jc w:val="center"/>
            </w:pPr>
            <w:r>
              <w:rPr>
                <w:rFonts w:eastAsiaTheme="minorEastAsia"/>
                <w:color w:val="000000"/>
                <w:szCs w:val="21"/>
              </w:rPr>
              <w:t>107</w:t>
            </w:r>
          </w:p>
        </w:tc>
        <w:tc>
          <w:tcPr>
            <w:tcW w:w="905" w:type="dxa"/>
            <w:vAlign w:val="center"/>
          </w:tcPr>
          <w:p w:rsidR="007B4EE4" w:rsidRDefault="00B833D5">
            <w:pPr>
              <w:jc w:val="center"/>
            </w:pPr>
            <w:r>
              <w:rPr>
                <w:rFonts w:eastAsiaTheme="minorEastAsia"/>
                <w:color w:val="000000"/>
                <w:szCs w:val="21"/>
              </w:rPr>
              <w:t>Citychamp Watch &amp; Jewellery Group Limited</w:t>
            </w:r>
          </w:p>
        </w:tc>
        <w:tc>
          <w:tcPr>
            <w:tcW w:w="1015" w:type="dxa"/>
            <w:vAlign w:val="center"/>
          </w:tcPr>
          <w:p w:rsidR="007B4EE4" w:rsidRDefault="00B833D5">
            <w:pPr>
              <w:jc w:val="center"/>
            </w:pPr>
            <w:r>
              <w:rPr>
                <w:rFonts w:eastAsiaTheme="minorEastAsia"/>
                <w:color w:val="000000"/>
                <w:szCs w:val="21"/>
              </w:rPr>
              <w:t>冠城钟表珠宝集团有限公司</w:t>
            </w:r>
          </w:p>
        </w:tc>
        <w:tc>
          <w:tcPr>
            <w:tcW w:w="1184" w:type="dxa"/>
            <w:vAlign w:val="center"/>
          </w:tcPr>
          <w:p w:rsidR="007B4EE4" w:rsidRDefault="00B833D5">
            <w:pPr>
              <w:jc w:val="center"/>
            </w:pPr>
            <w:r>
              <w:rPr>
                <w:rFonts w:eastAsiaTheme="minorEastAsia"/>
                <w:color w:val="000000"/>
                <w:szCs w:val="21"/>
              </w:rPr>
              <w:t>256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55,715</w:t>
            </w:r>
          </w:p>
        </w:tc>
        <w:tc>
          <w:tcPr>
            <w:tcW w:w="1690" w:type="dxa"/>
            <w:vAlign w:val="center"/>
          </w:tcPr>
          <w:p w:rsidR="007B4EE4" w:rsidRDefault="00B833D5">
            <w:pPr>
              <w:jc w:val="right"/>
            </w:pPr>
            <w:r>
              <w:rPr>
                <w:rFonts w:eastAsiaTheme="minorEastAsia"/>
                <w:color w:val="000000"/>
                <w:szCs w:val="21"/>
              </w:rPr>
              <w:t>78,883.08</w:t>
            </w:r>
          </w:p>
        </w:tc>
        <w:tc>
          <w:tcPr>
            <w:tcW w:w="997" w:type="dxa"/>
            <w:vAlign w:val="center"/>
          </w:tcPr>
          <w:p w:rsidR="007B4EE4" w:rsidRDefault="00B833D5">
            <w:pPr>
              <w:jc w:val="right"/>
            </w:pPr>
            <w:r>
              <w:rPr>
                <w:rFonts w:eastAsiaTheme="minorEastAsia"/>
                <w:color w:val="000000"/>
                <w:szCs w:val="21"/>
              </w:rPr>
              <w:t>0.34</w:t>
            </w:r>
          </w:p>
        </w:tc>
      </w:tr>
      <w:tr w:rsidR="007B4EE4">
        <w:trPr>
          <w:jc w:val="center"/>
        </w:trPr>
        <w:tc>
          <w:tcPr>
            <w:tcW w:w="771" w:type="dxa"/>
            <w:vAlign w:val="center"/>
          </w:tcPr>
          <w:p w:rsidR="007B4EE4" w:rsidRDefault="00B833D5">
            <w:pPr>
              <w:jc w:val="center"/>
            </w:pPr>
            <w:r>
              <w:rPr>
                <w:rFonts w:eastAsiaTheme="minorEastAsia"/>
                <w:color w:val="000000"/>
                <w:szCs w:val="21"/>
              </w:rPr>
              <w:t>108</w:t>
            </w:r>
          </w:p>
        </w:tc>
        <w:tc>
          <w:tcPr>
            <w:tcW w:w="905" w:type="dxa"/>
            <w:vAlign w:val="center"/>
          </w:tcPr>
          <w:p w:rsidR="007B4EE4" w:rsidRDefault="00B833D5">
            <w:pPr>
              <w:jc w:val="center"/>
            </w:pPr>
            <w:r>
              <w:rPr>
                <w:rFonts w:eastAsiaTheme="minorEastAsia"/>
                <w:color w:val="000000"/>
                <w:szCs w:val="21"/>
              </w:rPr>
              <w:t>Zhuguang Holdings Group Company Limited</w:t>
            </w:r>
          </w:p>
        </w:tc>
        <w:tc>
          <w:tcPr>
            <w:tcW w:w="1015" w:type="dxa"/>
            <w:vAlign w:val="center"/>
          </w:tcPr>
          <w:p w:rsidR="007B4EE4" w:rsidRDefault="00B833D5">
            <w:pPr>
              <w:jc w:val="center"/>
            </w:pPr>
            <w:r>
              <w:rPr>
                <w:rFonts w:eastAsiaTheme="minorEastAsia"/>
                <w:color w:val="000000"/>
                <w:szCs w:val="21"/>
              </w:rPr>
              <w:t>珠光控股集团有限公司</w:t>
            </w:r>
          </w:p>
        </w:tc>
        <w:tc>
          <w:tcPr>
            <w:tcW w:w="1184" w:type="dxa"/>
            <w:vAlign w:val="center"/>
          </w:tcPr>
          <w:p w:rsidR="007B4EE4" w:rsidRDefault="00B833D5">
            <w:pPr>
              <w:jc w:val="center"/>
            </w:pPr>
            <w:r>
              <w:rPr>
                <w:rFonts w:eastAsiaTheme="minorEastAsia"/>
                <w:color w:val="000000"/>
                <w:szCs w:val="21"/>
              </w:rPr>
              <w:t>1176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78,617</w:t>
            </w:r>
          </w:p>
        </w:tc>
        <w:tc>
          <w:tcPr>
            <w:tcW w:w="1690" w:type="dxa"/>
            <w:vAlign w:val="center"/>
          </w:tcPr>
          <w:p w:rsidR="007B4EE4" w:rsidRDefault="00B833D5">
            <w:pPr>
              <w:jc w:val="right"/>
            </w:pPr>
            <w:r>
              <w:rPr>
                <w:rFonts w:eastAsiaTheme="minorEastAsia"/>
                <w:color w:val="000000"/>
                <w:szCs w:val="21"/>
              </w:rPr>
              <w:t>77,556.87</w:t>
            </w:r>
          </w:p>
        </w:tc>
        <w:tc>
          <w:tcPr>
            <w:tcW w:w="997" w:type="dxa"/>
            <w:vAlign w:val="center"/>
          </w:tcPr>
          <w:p w:rsidR="007B4EE4" w:rsidRDefault="00B833D5">
            <w:pPr>
              <w:jc w:val="right"/>
            </w:pPr>
            <w:r>
              <w:rPr>
                <w:rFonts w:eastAsiaTheme="minorEastAsia"/>
                <w:color w:val="000000"/>
                <w:szCs w:val="21"/>
              </w:rPr>
              <w:t>0.33</w:t>
            </w:r>
          </w:p>
        </w:tc>
      </w:tr>
      <w:tr w:rsidR="007B4EE4">
        <w:trPr>
          <w:jc w:val="center"/>
        </w:trPr>
        <w:tc>
          <w:tcPr>
            <w:tcW w:w="771" w:type="dxa"/>
            <w:vAlign w:val="center"/>
          </w:tcPr>
          <w:p w:rsidR="007B4EE4" w:rsidRDefault="00B833D5">
            <w:pPr>
              <w:jc w:val="center"/>
            </w:pPr>
            <w:r>
              <w:rPr>
                <w:rFonts w:eastAsiaTheme="minorEastAsia"/>
                <w:color w:val="000000"/>
                <w:szCs w:val="21"/>
              </w:rPr>
              <w:t>109</w:t>
            </w:r>
          </w:p>
        </w:tc>
        <w:tc>
          <w:tcPr>
            <w:tcW w:w="905" w:type="dxa"/>
            <w:vAlign w:val="center"/>
          </w:tcPr>
          <w:p w:rsidR="007B4EE4" w:rsidRDefault="00B833D5">
            <w:pPr>
              <w:jc w:val="center"/>
            </w:pPr>
            <w:r>
              <w:rPr>
                <w:rFonts w:eastAsiaTheme="minorEastAsia"/>
                <w:color w:val="000000"/>
                <w:szCs w:val="21"/>
              </w:rPr>
              <w:t>China Everbright Greentech Limited</w:t>
            </w:r>
          </w:p>
        </w:tc>
        <w:tc>
          <w:tcPr>
            <w:tcW w:w="1015" w:type="dxa"/>
            <w:vAlign w:val="center"/>
          </w:tcPr>
          <w:p w:rsidR="007B4EE4" w:rsidRDefault="00B833D5">
            <w:pPr>
              <w:jc w:val="center"/>
            </w:pPr>
            <w:r>
              <w:rPr>
                <w:rFonts w:eastAsiaTheme="minorEastAsia"/>
                <w:color w:val="000000"/>
                <w:szCs w:val="21"/>
              </w:rPr>
              <w:t>中国光大绿色环保有限公司</w:t>
            </w:r>
          </w:p>
        </w:tc>
        <w:tc>
          <w:tcPr>
            <w:tcW w:w="1184" w:type="dxa"/>
            <w:vAlign w:val="center"/>
          </w:tcPr>
          <w:p w:rsidR="007B4EE4" w:rsidRDefault="00B833D5">
            <w:pPr>
              <w:jc w:val="center"/>
            </w:pPr>
            <w:r>
              <w:rPr>
                <w:rFonts w:eastAsiaTheme="minorEastAsia"/>
                <w:color w:val="000000"/>
                <w:szCs w:val="21"/>
              </w:rPr>
              <w:t>1257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27,350</w:t>
            </w:r>
          </w:p>
        </w:tc>
        <w:tc>
          <w:tcPr>
            <w:tcW w:w="1690" w:type="dxa"/>
            <w:vAlign w:val="center"/>
          </w:tcPr>
          <w:p w:rsidR="007B4EE4" w:rsidRDefault="00B833D5">
            <w:pPr>
              <w:jc w:val="right"/>
            </w:pPr>
            <w:r>
              <w:rPr>
                <w:rFonts w:eastAsiaTheme="minorEastAsia"/>
                <w:color w:val="000000"/>
                <w:szCs w:val="21"/>
              </w:rPr>
              <w:t>76,196.88</w:t>
            </w:r>
          </w:p>
        </w:tc>
        <w:tc>
          <w:tcPr>
            <w:tcW w:w="997" w:type="dxa"/>
            <w:vAlign w:val="center"/>
          </w:tcPr>
          <w:p w:rsidR="007B4EE4" w:rsidRDefault="00B833D5">
            <w:pPr>
              <w:jc w:val="right"/>
            </w:pPr>
            <w:r>
              <w:rPr>
                <w:rFonts w:eastAsiaTheme="minorEastAsia"/>
                <w:color w:val="000000"/>
                <w:szCs w:val="21"/>
              </w:rPr>
              <w:t>0.32</w:t>
            </w:r>
          </w:p>
        </w:tc>
      </w:tr>
      <w:tr w:rsidR="007B4EE4">
        <w:trPr>
          <w:jc w:val="center"/>
        </w:trPr>
        <w:tc>
          <w:tcPr>
            <w:tcW w:w="771" w:type="dxa"/>
            <w:vAlign w:val="center"/>
          </w:tcPr>
          <w:p w:rsidR="007B4EE4" w:rsidRDefault="00B833D5">
            <w:pPr>
              <w:jc w:val="center"/>
            </w:pPr>
            <w:r>
              <w:rPr>
                <w:rFonts w:eastAsiaTheme="minorEastAsia"/>
                <w:color w:val="000000"/>
                <w:szCs w:val="21"/>
              </w:rPr>
              <w:t>110</w:t>
            </w:r>
          </w:p>
        </w:tc>
        <w:tc>
          <w:tcPr>
            <w:tcW w:w="905" w:type="dxa"/>
            <w:vAlign w:val="center"/>
          </w:tcPr>
          <w:p w:rsidR="007B4EE4" w:rsidRDefault="00B833D5">
            <w:pPr>
              <w:jc w:val="center"/>
            </w:pPr>
            <w:r>
              <w:rPr>
                <w:rFonts w:eastAsiaTheme="minorEastAsia"/>
                <w:color w:val="000000"/>
                <w:szCs w:val="21"/>
              </w:rPr>
              <w:t>Greenland Hong Kong Holdings Limited</w:t>
            </w:r>
          </w:p>
        </w:tc>
        <w:tc>
          <w:tcPr>
            <w:tcW w:w="1015" w:type="dxa"/>
            <w:vAlign w:val="center"/>
          </w:tcPr>
          <w:p w:rsidR="007B4EE4" w:rsidRDefault="00B833D5">
            <w:pPr>
              <w:jc w:val="center"/>
            </w:pPr>
            <w:r>
              <w:rPr>
                <w:rFonts w:eastAsiaTheme="minorEastAsia"/>
                <w:color w:val="000000"/>
                <w:szCs w:val="21"/>
              </w:rPr>
              <w:t>绿地香港控股有限公司</w:t>
            </w:r>
          </w:p>
        </w:tc>
        <w:tc>
          <w:tcPr>
            <w:tcW w:w="1184" w:type="dxa"/>
            <w:vAlign w:val="center"/>
          </w:tcPr>
          <w:p w:rsidR="007B4EE4" w:rsidRDefault="00B833D5">
            <w:pPr>
              <w:jc w:val="center"/>
            </w:pPr>
            <w:r>
              <w:rPr>
                <w:rFonts w:eastAsiaTheme="minorEastAsia"/>
                <w:color w:val="000000"/>
                <w:szCs w:val="21"/>
              </w:rPr>
              <w:t>337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30,000</w:t>
            </w:r>
          </w:p>
        </w:tc>
        <w:tc>
          <w:tcPr>
            <w:tcW w:w="1690" w:type="dxa"/>
            <w:vAlign w:val="center"/>
          </w:tcPr>
          <w:p w:rsidR="007B4EE4" w:rsidRDefault="00B833D5">
            <w:pPr>
              <w:jc w:val="right"/>
            </w:pPr>
            <w:r>
              <w:rPr>
                <w:rFonts w:eastAsiaTheme="minorEastAsia"/>
                <w:color w:val="000000"/>
                <w:szCs w:val="21"/>
              </w:rPr>
              <w:t>75,084.77</w:t>
            </w:r>
          </w:p>
        </w:tc>
        <w:tc>
          <w:tcPr>
            <w:tcW w:w="997" w:type="dxa"/>
            <w:vAlign w:val="center"/>
          </w:tcPr>
          <w:p w:rsidR="007B4EE4" w:rsidRDefault="00B833D5">
            <w:pPr>
              <w:jc w:val="right"/>
            </w:pPr>
            <w:r>
              <w:rPr>
                <w:rFonts w:eastAsiaTheme="minorEastAsia"/>
                <w:color w:val="000000"/>
                <w:szCs w:val="21"/>
              </w:rPr>
              <w:t>0.32</w:t>
            </w:r>
          </w:p>
        </w:tc>
      </w:tr>
      <w:tr w:rsidR="007B4EE4">
        <w:trPr>
          <w:jc w:val="center"/>
        </w:trPr>
        <w:tc>
          <w:tcPr>
            <w:tcW w:w="771" w:type="dxa"/>
            <w:vAlign w:val="center"/>
          </w:tcPr>
          <w:p w:rsidR="007B4EE4" w:rsidRDefault="00B833D5">
            <w:pPr>
              <w:jc w:val="center"/>
            </w:pPr>
            <w:r>
              <w:rPr>
                <w:rFonts w:eastAsiaTheme="minorEastAsia"/>
                <w:color w:val="000000"/>
                <w:szCs w:val="21"/>
              </w:rPr>
              <w:lastRenderedPageBreak/>
              <w:t>111</w:t>
            </w:r>
          </w:p>
        </w:tc>
        <w:tc>
          <w:tcPr>
            <w:tcW w:w="905" w:type="dxa"/>
            <w:vAlign w:val="center"/>
          </w:tcPr>
          <w:p w:rsidR="007B4EE4" w:rsidRDefault="00B833D5">
            <w:pPr>
              <w:jc w:val="center"/>
            </w:pPr>
            <w:r>
              <w:rPr>
                <w:rFonts w:eastAsiaTheme="minorEastAsia"/>
                <w:color w:val="000000"/>
                <w:szCs w:val="21"/>
              </w:rPr>
              <w:t>Canvest Environmental Protection Group Company Limited</w:t>
            </w:r>
          </w:p>
        </w:tc>
        <w:tc>
          <w:tcPr>
            <w:tcW w:w="1015" w:type="dxa"/>
            <w:vAlign w:val="center"/>
          </w:tcPr>
          <w:p w:rsidR="007B4EE4" w:rsidRDefault="00B833D5">
            <w:pPr>
              <w:jc w:val="center"/>
            </w:pPr>
            <w:r>
              <w:rPr>
                <w:rFonts w:eastAsiaTheme="minorEastAsia"/>
                <w:color w:val="000000"/>
                <w:szCs w:val="21"/>
              </w:rPr>
              <w:t>粤丰环保电力有限公司</w:t>
            </w:r>
          </w:p>
        </w:tc>
        <w:tc>
          <w:tcPr>
            <w:tcW w:w="1184" w:type="dxa"/>
            <w:vAlign w:val="center"/>
          </w:tcPr>
          <w:p w:rsidR="007B4EE4" w:rsidRDefault="00B833D5">
            <w:pPr>
              <w:jc w:val="center"/>
            </w:pPr>
            <w:r>
              <w:rPr>
                <w:rFonts w:eastAsiaTheme="minorEastAsia"/>
                <w:color w:val="000000"/>
                <w:szCs w:val="21"/>
              </w:rPr>
              <w:t>1381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23,910</w:t>
            </w:r>
          </w:p>
        </w:tc>
        <w:tc>
          <w:tcPr>
            <w:tcW w:w="1690" w:type="dxa"/>
            <w:vAlign w:val="center"/>
          </w:tcPr>
          <w:p w:rsidR="007B4EE4" w:rsidRDefault="00B833D5">
            <w:pPr>
              <w:jc w:val="right"/>
            </w:pPr>
            <w:r>
              <w:rPr>
                <w:rFonts w:eastAsiaTheme="minorEastAsia"/>
                <w:color w:val="000000"/>
                <w:szCs w:val="21"/>
              </w:rPr>
              <w:t>74,257.19</w:t>
            </w:r>
          </w:p>
        </w:tc>
        <w:tc>
          <w:tcPr>
            <w:tcW w:w="997" w:type="dxa"/>
            <w:vAlign w:val="center"/>
          </w:tcPr>
          <w:p w:rsidR="007B4EE4" w:rsidRDefault="00B833D5">
            <w:pPr>
              <w:jc w:val="right"/>
            </w:pPr>
            <w:r>
              <w:rPr>
                <w:rFonts w:eastAsiaTheme="minorEastAsia"/>
                <w:color w:val="000000"/>
                <w:szCs w:val="21"/>
              </w:rPr>
              <w:t>0.32</w:t>
            </w:r>
          </w:p>
        </w:tc>
      </w:tr>
      <w:tr w:rsidR="007B4EE4">
        <w:trPr>
          <w:jc w:val="center"/>
        </w:trPr>
        <w:tc>
          <w:tcPr>
            <w:tcW w:w="771" w:type="dxa"/>
            <w:vAlign w:val="center"/>
          </w:tcPr>
          <w:p w:rsidR="007B4EE4" w:rsidRDefault="00B833D5">
            <w:pPr>
              <w:jc w:val="center"/>
            </w:pPr>
            <w:r>
              <w:rPr>
                <w:rFonts w:eastAsiaTheme="minorEastAsia"/>
                <w:color w:val="000000"/>
                <w:szCs w:val="21"/>
              </w:rPr>
              <w:t>112</w:t>
            </w:r>
          </w:p>
        </w:tc>
        <w:tc>
          <w:tcPr>
            <w:tcW w:w="905" w:type="dxa"/>
            <w:vAlign w:val="center"/>
          </w:tcPr>
          <w:p w:rsidR="007B4EE4" w:rsidRDefault="00B833D5">
            <w:pPr>
              <w:jc w:val="center"/>
            </w:pPr>
            <w:r>
              <w:rPr>
                <w:rFonts w:eastAsiaTheme="minorEastAsia"/>
                <w:color w:val="000000"/>
                <w:szCs w:val="21"/>
              </w:rPr>
              <w:t>Haitong UniTrust International Leasing Co.,Ltd.</w:t>
            </w:r>
          </w:p>
        </w:tc>
        <w:tc>
          <w:tcPr>
            <w:tcW w:w="1015" w:type="dxa"/>
            <w:vAlign w:val="center"/>
          </w:tcPr>
          <w:p w:rsidR="007B4EE4" w:rsidRDefault="00B833D5">
            <w:pPr>
              <w:jc w:val="center"/>
            </w:pPr>
            <w:r>
              <w:rPr>
                <w:rFonts w:eastAsiaTheme="minorEastAsia"/>
                <w:color w:val="000000"/>
                <w:szCs w:val="21"/>
              </w:rPr>
              <w:t>海通恒信国际租赁股份有限公司</w:t>
            </w:r>
          </w:p>
        </w:tc>
        <w:tc>
          <w:tcPr>
            <w:tcW w:w="1184" w:type="dxa"/>
            <w:vAlign w:val="center"/>
          </w:tcPr>
          <w:p w:rsidR="007B4EE4" w:rsidRDefault="00B833D5">
            <w:pPr>
              <w:jc w:val="center"/>
            </w:pPr>
            <w:r>
              <w:rPr>
                <w:rFonts w:eastAsiaTheme="minorEastAsia"/>
                <w:color w:val="000000"/>
                <w:szCs w:val="21"/>
              </w:rPr>
              <w:t>1905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54,000</w:t>
            </w:r>
          </w:p>
        </w:tc>
        <w:tc>
          <w:tcPr>
            <w:tcW w:w="1690" w:type="dxa"/>
            <w:vAlign w:val="center"/>
          </w:tcPr>
          <w:p w:rsidR="007B4EE4" w:rsidRDefault="00B833D5">
            <w:pPr>
              <w:jc w:val="right"/>
            </w:pPr>
            <w:r>
              <w:rPr>
                <w:rFonts w:eastAsiaTheme="minorEastAsia"/>
                <w:color w:val="000000"/>
                <w:szCs w:val="21"/>
              </w:rPr>
              <w:t>73,988.64</w:t>
            </w:r>
          </w:p>
        </w:tc>
        <w:tc>
          <w:tcPr>
            <w:tcW w:w="997" w:type="dxa"/>
            <w:vAlign w:val="center"/>
          </w:tcPr>
          <w:p w:rsidR="007B4EE4" w:rsidRDefault="00B833D5">
            <w:pPr>
              <w:jc w:val="right"/>
            </w:pPr>
            <w:r>
              <w:rPr>
                <w:rFonts w:eastAsiaTheme="minorEastAsia"/>
                <w:color w:val="000000"/>
                <w:szCs w:val="21"/>
              </w:rPr>
              <w:t>0.32</w:t>
            </w:r>
          </w:p>
        </w:tc>
      </w:tr>
      <w:tr w:rsidR="007B4EE4">
        <w:trPr>
          <w:jc w:val="center"/>
        </w:trPr>
        <w:tc>
          <w:tcPr>
            <w:tcW w:w="771" w:type="dxa"/>
            <w:vAlign w:val="center"/>
          </w:tcPr>
          <w:p w:rsidR="007B4EE4" w:rsidRDefault="00B833D5">
            <w:pPr>
              <w:jc w:val="center"/>
            </w:pPr>
            <w:r>
              <w:rPr>
                <w:rFonts w:eastAsiaTheme="minorEastAsia"/>
                <w:color w:val="000000"/>
                <w:szCs w:val="21"/>
              </w:rPr>
              <w:t>113</w:t>
            </w:r>
          </w:p>
        </w:tc>
        <w:tc>
          <w:tcPr>
            <w:tcW w:w="905" w:type="dxa"/>
            <w:vAlign w:val="center"/>
          </w:tcPr>
          <w:p w:rsidR="007B4EE4" w:rsidRDefault="00B833D5">
            <w:pPr>
              <w:jc w:val="center"/>
            </w:pPr>
            <w:r>
              <w:rPr>
                <w:rFonts w:eastAsiaTheme="minorEastAsia"/>
                <w:color w:val="000000"/>
                <w:szCs w:val="21"/>
              </w:rPr>
              <w:t>Greatview Aseptic Packaging Company Limited</w:t>
            </w:r>
          </w:p>
        </w:tc>
        <w:tc>
          <w:tcPr>
            <w:tcW w:w="1015" w:type="dxa"/>
            <w:vAlign w:val="center"/>
          </w:tcPr>
          <w:p w:rsidR="007B4EE4" w:rsidRDefault="00B833D5">
            <w:pPr>
              <w:jc w:val="center"/>
            </w:pPr>
            <w:r>
              <w:rPr>
                <w:rFonts w:eastAsiaTheme="minorEastAsia"/>
                <w:color w:val="000000"/>
                <w:szCs w:val="21"/>
              </w:rPr>
              <w:t>纷美包装有限公司</w:t>
            </w:r>
          </w:p>
        </w:tc>
        <w:tc>
          <w:tcPr>
            <w:tcW w:w="1184" w:type="dxa"/>
            <w:vAlign w:val="center"/>
          </w:tcPr>
          <w:p w:rsidR="007B4EE4" w:rsidRDefault="00B833D5">
            <w:pPr>
              <w:jc w:val="center"/>
            </w:pPr>
            <w:r>
              <w:rPr>
                <w:rFonts w:eastAsiaTheme="minorEastAsia"/>
                <w:color w:val="000000"/>
                <w:szCs w:val="21"/>
              </w:rPr>
              <w:t>468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29,450</w:t>
            </w:r>
          </w:p>
        </w:tc>
        <w:tc>
          <w:tcPr>
            <w:tcW w:w="1690" w:type="dxa"/>
            <w:vAlign w:val="center"/>
          </w:tcPr>
          <w:p w:rsidR="007B4EE4" w:rsidRDefault="00B833D5">
            <w:pPr>
              <w:jc w:val="right"/>
            </w:pPr>
            <w:r>
              <w:rPr>
                <w:rFonts w:eastAsiaTheme="minorEastAsia"/>
                <w:color w:val="000000"/>
                <w:szCs w:val="21"/>
              </w:rPr>
              <w:t>73,708.21</w:t>
            </w:r>
          </w:p>
        </w:tc>
        <w:tc>
          <w:tcPr>
            <w:tcW w:w="997" w:type="dxa"/>
            <w:vAlign w:val="center"/>
          </w:tcPr>
          <w:p w:rsidR="007B4EE4" w:rsidRDefault="00B833D5">
            <w:pPr>
              <w:jc w:val="right"/>
            </w:pPr>
            <w:r>
              <w:rPr>
                <w:rFonts w:eastAsiaTheme="minorEastAsia"/>
                <w:color w:val="000000"/>
                <w:szCs w:val="21"/>
              </w:rPr>
              <w:t>0.31</w:t>
            </w:r>
          </w:p>
        </w:tc>
      </w:tr>
      <w:tr w:rsidR="007B4EE4">
        <w:trPr>
          <w:jc w:val="center"/>
        </w:trPr>
        <w:tc>
          <w:tcPr>
            <w:tcW w:w="771" w:type="dxa"/>
            <w:vAlign w:val="center"/>
          </w:tcPr>
          <w:p w:rsidR="007B4EE4" w:rsidRDefault="00B833D5">
            <w:pPr>
              <w:jc w:val="center"/>
            </w:pPr>
            <w:r>
              <w:rPr>
                <w:rFonts w:eastAsiaTheme="minorEastAsia"/>
                <w:color w:val="000000"/>
                <w:szCs w:val="21"/>
              </w:rPr>
              <w:t>114</w:t>
            </w:r>
          </w:p>
        </w:tc>
        <w:tc>
          <w:tcPr>
            <w:tcW w:w="905" w:type="dxa"/>
            <w:vAlign w:val="center"/>
          </w:tcPr>
          <w:p w:rsidR="007B4EE4" w:rsidRDefault="00B833D5">
            <w:pPr>
              <w:jc w:val="center"/>
            </w:pPr>
            <w:r>
              <w:rPr>
                <w:rFonts w:eastAsiaTheme="minorEastAsia"/>
                <w:color w:val="000000"/>
                <w:szCs w:val="21"/>
              </w:rPr>
              <w:t>China Risun Group Limited</w:t>
            </w:r>
          </w:p>
        </w:tc>
        <w:tc>
          <w:tcPr>
            <w:tcW w:w="1015" w:type="dxa"/>
            <w:vAlign w:val="center"/>
          </w:tcPr>
          <w:p w:rsidR="007B4EE4" w:rsidRDefault="00B833D5">
            <w:pPr>
              <w:jc w:val="center"/>
            </w:pPr>
            <w:r>
              <w:rPr>
                <w:rFonts w:eastAsiaTheme="minorEastAsia"/>
                <w:color w:val="000000"/>
                <w:szCs w:val="21"/>
              </w:rPr>
              <w:t>中国旭阳集团有限公司</w:t>
            </w:r>
          </w:p>
        </w:tc>
        <w:tc>
          <w:tcPr>
            <w:tcW w:w="1184" w:type="dxa"/>
            <w:vAlign w:val="center"/>
          </w:tcPr>
          <w:p w:rsidR="007B4EE4" w:rsidRDefault="00B833D5">
            <w:pPr>
              <w:jc w:val="center"/>
            </w:pPr>
            <w:r>
              <w:rPr>
                <w:rFonts w:eastAsiaTheme="minorEastAsia"/>
                <w:color w:val="000000"/>
                <w:szCs w:val="21"/>
              </w:rPr>
              <w:t>1907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37,087</w:t>
            </w:r>
          </w:p>
        </w:tc>
        <w:tc>
          <w:tcPr>
            <w:tcW w:w="1690" w:type="dxa"/>
            <w:vAlign w:val="center"/>
          </w:tcPr>
          <w:p w:rsidR="007B4EE4" w:rsidRDefault="00B833D5">
            <w:pPr>
              <w:jc w:val="right"/>
            </w:pPr>
            <w:r>
              <w:rPr>
                <w:rFonts w:eastAsiaTheme="minorEastAsia"/>
                <w:color w:val="000000"/>
                <w:szCs w:val="21"/>
              </w:rPr>
              <w:t>71,818.71</w:t>
            </w:r>
          </w:p>
        </w:tc>
        <w:tc>
          <w:tcPr>
            <w:tcW w:w="997" w:type="dxa"/>
            <w:vAlign w:val="center"/>
          </w:tcPr>
          <w:p w:rsidR="007B4EE4" w:rsidRDefault="00B833D5">
            <w:pPr>
              <w:jc w:val="right"/>
            </w:pPr>
            <w:r>
              <w:rPr>
                <w:rFonts w:eastAsiaTheme="minorEastAsia"/>
                <w:color w:val="000000"/>
                <w:szCs w:val="21"/>
              </w:rPr>
              <w:t>0.31</w:t>
            </w:r>
          </w:p>
        </w:tc>
      </w:tr>
      <w:tr w:rsidR="007B4EE4">
        <w:trPr>
          <w:jc w:val="center"/>
        </w:trPr>
        <w:tc>
          <w:tcPr>
            <w:tcW w:w="771" w:type="dxa"/>
            <w:vAlign w:val="center"/>
          </w:tcPr>
          <w:p w:rsidR="007B4EE4" w:rsidRDefault="00B833D5">
            <w:pPr>
              <w:jc w:val="center"/>
            </w:pPr>
            <w:r>
              <w:rPr>
                <w:rFonts w:eastAsiaTheme="minorEastAsia"/>
                <w:color w:val="000000"/>
                <w:szCs w:val="21"/>
              </w:rPr>
              <w:t>115</w:t>
            </w:r>
          </w:p>
        </w:tc>
        <w:tc>
          <w:tcPr>
            <w:tcW w:w="905" w:type="dxa"/>
            <w:vAlign w:val="center"/>
          </w:tcPr>
          <w:p w:rsidR="007B4EE4" w:rsidRDefault="00B833D5">
            <w:pPr>
              <w:jc w:val="center"/>
            </w:pPr>
            <w:r>
              <w:rPr>
                <w:rFonts w:eastAsiaTheme="minorEastAsia"/>
                <w:color w:val="000000"/>
                <w:szCs w:val="21"/>
              </w:rPr>
              <w:t>Guangshen Railway Company Limited</w:t>
            </w:r>
          </w:p>
        </w:tc>
        <w:tc>
          <w:tcPr>
            <w:tcW w:w="1015" w:type="dxa"/>
            <w:vAlign w:val="center"/>
          </w:tcPr>
          <w:p w:rsidR="007B4EE4" w:rsidRDefault="00B833D5">
            <w:pPr>
              <w:jc w:val="center"/>
            </w:pPr>
            <w:r>
              <w:rPr>
                <w:rFonts w:eastAsiaTheme="minorEastAsia"/>
                <w:color w:val="000000"/>
                <w:szCs w:val="21"/>
              </w:rPr>
              <w:t>广深铁路股份有限公司</w:t>
            </w:r>
          </w:p>
        </w:tc>
        <w:tc>
          <w:tcPr>
            <w:tcW w:w="1184" w:type="dxa"/>
            <w:vAlign w:val="center"/>
          </w:tcPr>
          <w:p w:rsidR="007B4EE4" w:rsidRDefault="00B833D5">
            <w:pPr>
              <w:jc w:val="center"/>
            </w:pPr>
            <w:r>
              <w:rPr>
                <w:rFonts w:eastAsiaTheme="minorEastAsia"/>
                <w:color w:val="000000"/>
                <w:szCs w:val="21"/>
              </w:rPr>
              <w:t>525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54,114</w:t>
            </w:r>
          </w:p>
        </w:tc>
        <w:tc>
          <w:tcPr>
            <w:tcW w:w="1690" w:type="dxa"/>
            <w:vAlign w:val="center"/>
          </w:tcPr>
          <w:p w:rsidR="007B4EE4" w:rsidRDefault="00B833D5">
            <w:pPr>
              <w:jc w:val="right"/>
            </w:pPr>
            <w:r>
              <w:rPr>
                <w:rFonts w:eastAsiaTheme="minorEastAsia"/>
                <w:color w:val="000000"/>
                <w:szCs w:val="21"/>
              </w:rPr>
              <w:t>71,673.34</w:t>
            </w:r>
          </w:p>
        </w:tc>
        <w:tc>
          <w:tcPr>
            <w:tcW w:w="997" w:type="dxa"/>
            <w:vAlign w:val="center"/>
          </w:tcPr>
          <w:p w:rsidR="007B4EE4" w:rsidRDefault="00B833D5">
            <w:pPr>
              <w:jc w:val="right"/>
            </w:pPr>
            <w:r>
              <w:rPr>
                <w:rFonts w:eastAsiaTheme="minorEastAsia"/>
                <w:color w:val="000000"/>
                <w:szCs w:val="21"/>
              </w:rPr>
              <w:t>0.31</w:t>
            </w:r>
          </w:p>
        </w:tc>
      </w:tr>
      <w:tr w:rsidR="007B4EE4">
        <w:trPr>
          <w:jc w:val="center"/>
        </w:trPr>
        <w:tc>
          <w:tcPr>
            <w:tcW w:w="771" w:type="dxa"/>
            <w:vAlign w:val="center"/>
          </w:tcPr>
          <w:p w:rsidR="007B4EE4" w:rsidRDefault="00B833D5">
            <w:pPr>
              <w:jc w:val="center"/>
            </w:pPr>
            <w:r>
              <w:rPr>
                <w:rFonts w:eastAsiaTheme="minorEastAsia"/>
                <w:color w:val="000000"/>
                <w:szCs w:val="21"/>
              </w:rPr>
              <w:t>116</w:t>
            </w:r>
          </w:p>
        </w:tc>
        <w:tc>
          <w:tcPr>
            <w:tcW w:w="905" w:type="dxa"/>
            <w:vAlign w:val="center"/>
          </w:tcPr>
          <w:p w:rsidR="007B4EE4" w:rsidRDefault="00B833D5">
            <w:pPr>
              <w:jc w:val="center"/>
            </w:pPr>
            <w:r>
              <w:rPr>
                <w:rFonts w:eastAsiaTheme="minorEastAsia"/>
                <w:color w:val="000000"/>
                <w:szCs w:val="21"/>
              </w:rPr>
              <w:t>Fantasia Holdings Group Co., Limited</w:t>
            </w:r>
          </w:p>
        </w:tc>
        <w:tc>
          <w:tcPr>
            <w:tcW w:w="1015" w:type="dxa"/>
            <w:vAlign w:val="center"/>
          </w:tcPr>
          <w:p w:rsidR="007B4EE4" w:rsidRDefault="00B833D5">
            <w:pPr>
              <w:jc w:val="center"/>
            </w:pPr>
            <w:r>
              <w:rPr>
                <w:rFonts w:eastAsiaTheme="minorEastAsia"/>
                <w:color w:val="000000"/>
                <w:szCs w:val="21"/>
              </w:rPr>
              <w:t>花样年控股集团有限公司</w:t>
            </w:r>
          </w:p>
        </w:tc>
        <w:tc>
          <w:tcPr>
            <w:tcW w:w="1184" w:type="dxa"/>
            <w:vAlign w:val="center"/>
          </w:tcPr>
          <w:p w:rsidR="007B4EE4" w:rsidRDefault="00B833D5">
            <w:pPr>
              <w:jc w:val="center"/>
            </w:pPr>
            <w:r>
              <w:rPr>
                <w:rFonts w:eastAsiaTheme="minorEastAsia"/>
                <w:color w:val="000000"/>
                <w:szCs w:val="21"/>
              </w:rPr>
              <w:t>1777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54,000</w:t>
            </w:r>
          </w:p>
        </w:tc>
        <w:tc>
          <w:tcPr>
            <w:tcW w:w="1690" w:type="dxa"/>
            <w:vAlign w:val="center"/>
          </w:tcPr>
          <w:p w:rsidR="007B4EE4" w:rsidRDefault="00B833D5">
            <w:pPr>
              <w:jc w:val="right"/>
            </w:pPr>
            <w:r>
              <w:rPr>
                <w:rFonts w:eastAsiaTheme="minorEastAsia"/>
                <w:color w:val="000000"/>
                <w:szCs w:val="21"/>
              </w:rPr>
              <w:t>71,522.35</w:t>
            </w:r>
          </w:p>
        </w:tc>
        <w:tc>
          <w:tcPr>
            <w:tcW w:w="997" w:type="dxa"/>
            <w:vAlign w:val="center"/>
          </w:tcPr>
          <w:p w:rsidR="007B4EE4" w:rsidRDefault="00B833D5">
            <w:pPr>
              <w:jc w:val="right"/>
            </w:pPr>
            <w:r>
              <w:rPr>
                <w:rFonts w:eastAsiaTheme="minorEastAsia"/>
                <w:color w:val="000000"/>
                <w:szCs w:val="21"/>
              </w:rPr>
              <w:t>0.30</w:t>
            </w:r>
          </w:p>
        </w:tc>
      </w:tr>
      <w:tr w:rsidR="007B4EE4">
        <w:trPr>
          <w:jc w:val="center"/>
        </w:trPr>
        <w:tc>
          <w:tcPr>
            <w:tcW w:w="771" w:type="dxa"/>
            <w:vAlign w:val="center"/>
          </w:tcPr>
          <w:p w:rsidR="007B4EE4" w:rsidRDefault="00B833D5">
            <w:pPr>
              <w:jc w:val="center"/>
            </w:pPr>
            <w:r>
              <w:rPr>
                <w:rFonts w:eastAsiaTheme="minorEastAsia"/>
                <w:color w:val="000000"/>
                <w:szCs w:val="21"/>
              </w:rPr>
              <w:t>117</w:t>
            </w:r>
          </w:p>
        </w:tc>
        <w:tc>
          <w:tcPr>
            <w:tcW w:w="905" w:type="dxa"/>
            <w:vAlign w:val="center"/>
          </w:tcPr>
          <w:p w:rsidR="007B4EE4" w:rsidRDefault="00B833D5">
            <w:pPr>
              <w:jc w:val="center"/>
            </w:pPr>
            <w:r>
              <w:rPr>
                <w:rFonts w:eastAsiaTheme="minorEastAsia"/>
                <w:color w:val="000000"/>
                <w:szCs w:val="21"/>
              </w:rPr>
              <w:t>China Lilang Limited</w:t>
            </w:r>
          </w:p>
        </w:tc>
        <w:tc>
          <w:tcPr>
            <w:tcW w:w="1015" w:type="dxa"/>
            <w:vAlign w:val="center"/>
          </w:tcPr>
          <w:p w:rsidR="007B4EE4" w:rsidRDefault="00B833D5">
            <w:pPr>
              <w:jc w:val="center"/>
            </w:pPr>
            <w:r>
              <w:rPr>
                <w:rFonts w:eastAsiaTheme="minorEastAsia"/>
                <w:color w:val="000000"/>
                <w:szCs w:val="21"/>
              </w:rPr>
              <w:t>中国利郎有限公司</w:t>
            </w:r>
          </w:p>
        </w:tc>
        <w:tc>
          <w:tcPr>
            <w:tcW w:w="1184" w:type="dxa"/>
            <w:vAlign w:val="center"/>
          </w:tcPr>
          <w:p w:rsidR="007B4EE4" w:rsidRDefault="00B833D5">
            <w:pPr>
              <w:jc w:val="center"/>
            </w:pPr>
            <w:r>
              <w:rPr>
                <w:rFonts w:eastAsiaTheme="minorEastAsia"/>
                <w:color w:val="000000"/>
                <w:szCs w:val="21"/>
              </w:rPr>
              <w:t>1234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18,779</w:t>
            </w:r>
          </w:p>
        </w:tc>
        <w:tc>
          <w:tcPr>
            <w:tcW w:w="1690" w:type="dxa"/>
            <w:vAlign w:val="center"/>
          </w:tcPr>
          <w:p w:rsidR="007B4EE4" w:rsidRDefault="00B833D5">
            <w:pPr>
              <w:jc w:val="right"/>
            </w:pPr>
            <w:r>
              <w:rPr>
                <w:rFonts w:eastAsiaTheme="minorEastAsia"/>
                <w:color w:val="000000"/>
                <w:szCs w:val="21"/>
              </w:rPr>
              <w:t>71,358.52</w:t>
            </w:r>
          </w:p>
        </w:tc>
        <w:tc>
          <w:tcPr>
            <w:tcW w:w="997" w:type="dxa"/>
            <w:vAlign w:val="center"/>
          </w:tcPr>
          <w:p w:rsidR="007B4EE4" w:rsidRDefault="00B833D5">
            <w:pPr>
              <w:jc w:val="right"/>
            </w:pPr>
            <w:r>
              <w:rPr>
                <w:rFonts w:eastAsiaTheme="minorEastAsia"/>
                <w:color w:val="000000"/>
                <w:szCs w:val="21"/>
              </w:rPr>
              <w:t>0.30</w:t>
            </w:r>
          </w:p>
        </w:tc>
      </w:tr>
      <w:tr w:rsidR="007B4EE4">
        <w:trPr>
          <w:jc w:val="center"/>
        </w:trPr>
        <w:tc>
          <w:tcPr>
            <w:tcW w:w="771" w:type="dxa"/>
            <w:vAlign w:val="center"/>
          </w:tcPr>
          <w:p w:rsidR="007B4EE4" w:rsidRDefault="00B833D5">
            <w:pPr>
              <w:jc w:val="center"/>
            </w:pPr>
            <w:r>
              <w:rPr>
                <w:rFonts w:eastAsiaTheme="minorEastAsia"/>
                <w:color w:val="000000"/>
                <w:szCs w:val="21"/>
              </w:rPr>
              <w:t>118</w:t>
            </w:r>
          </w:p>
        </w:tc>
        <w:tc>
          <w:tcPr>
            <w:tcW w:w="905" w:type="dxa"/>
            <w:vAlign w:val="center"/>
          </w:tcPr>
          <w:p w:rsidR="007B4EE4" w:rsidRDefault="00B833D5">
            <w:pPr>
              <w:jc w:val="center"/>
            </w:pPr>
            <w:r>
              <w:rPr>
                <w:rFonts w:eastAsiaTheme="minorEastAsia"/>
                <w:color w:val="000000"/>
                <w:szCs w:val="21"/>
              </w:rPr>
              <w:t>Wisdom Education International Holdings Company Limited</w:t>
            </w:r>
          </w:p>
        </w:tc>
        <w:tc>
          <w:tcPr>
            <w:tcW w:w="1015" w:type="dxa"/>
            <w:vAlign w:val="center"/>
          </w:tcPr>
          <w:p w:rsidR="007B4EE4" w:rsidRDefault="00B833D5">
            <w:pPr>
              <w:jc w:val="center"/>
            </w:pPr>
            <w:r>
              <w:rPr>
                <w:rFonts w:eastAsiaTheme="minorEastAsia"/>
                <w:color w:val="000000"/>
                <w:szCs w:val="21"/>
              </w:rPr>
              <w:t>睿见教育国际控股有限公司</w:t>
            </w:r>
          </w:p>
        </w:tc>
        <w:tc>
          <w:tcPr>
            <w:tcW w:w="1184" w:type="dxa"/>
            <w:vAlign w:val="center"/>
          </w:tcPr>
          <w:p w:rsidR="007B4EE4" w:rsidRDefault="00B833D5">
            <w:pPr>
              <w:jc w:val="center"/>
            </w:pPr>
            <w:r>
              <w:rPr>
                <w:rFonts w:eastAsiaTheme="minorEastAsia"/>
                <w:color w:val="000000"/>
                <w:szCs w:val="21"/>
              </w:rPr>
              <w:t>6068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24,077</w:t>
            </w:r>
          </w:p>
        </w:tc>
        <w:tc>
          <w:tcPr>
            <w:tcW w:w="1690" w:type="dxa"/>
            <w:vAlign w:val="center"/>
          </w:tcPr>
          <w:p w:rsidR="007B4EE4" w:rsidRDefault="00B833D5">
            <w:pPr>
              <w:jc w:val="right"/>
            </w:pPr>
            <w:r>
              <w:rPr>
                <w:rFonts w:eastAsiaTheme="minorEastAsia"/>
                <w:color w:val="000000"/>
                <w:szCs w:val="21"/>
              </w:rPr>
              <w:t>70,157.33</w:t>
            </w:r>
          </w:p>
        </w:tc>
        <w:tc>
          <w:tcPr>
            <w:tcW w:w="997" w:type="dxa"/>
            <w:vAlign w:val="center"/>
          </w:tcPr>
          <w:p w:rsidR="007B4EE4" w:rsidRDefault="00B833D5">
            <w:pPr>
              <w:jc w:val="right"/>
            </w:pPr>
            <w:r>
              <w:rPr>
                <w:rFonts w:eastAsiaTheme="minorEastAsia"/>
                <w:color w:val="000000"/>
                <w:szCs w:val="21"/>
              </w:rPr>
              <w:t>0.30</w:t>
            </w:r>
          </w:p>
        </w:tc>
      </w:tr>
      <w:tr w:rsidR="007B4EE4">
        <w:trPr>
          <w:jc w:val="center"/>
        </w:trPr>
        <w:tc>
          <w:tcPr>
            <w:tcW w:w="771" w:type="dxa"/>
            <w:vAlign w:val="center"/>
          </w:tcPr>
          <w:p w:rsidR="007B4EE4" w:rsidRDefault="00B833D5">
            <w:pPr>
              <w:jc w:val="center"/>
            </w:pPr>
            <w:r>
              <w:rPr>
                <w:rFonts w:eastAsiaTheme="minorEastAsia"/>
                <w:color w:val="000000"/>
                <w:szCs w:val="21"/>
              </w:rPr>
              <w:t>119</w:t>
            </w:r>
          </w:p>
        </w:tc>
        <w:tc>
          <w:tcPr>
            <w:tcW w:w="905" w:type="dxa"/>
            <w:vAlign w:val="center"/>
          </w:tcPr>
          <w:p w:rsidR="007B4EE4" w:rsidRDefault="00B833D5">
            <w:pPr>
              <w:jc w:val="center"/>
            </w:pPr>
            <w:r>
              <w:rPr>
                <w:rFonts w:eastAsiaTheme="minorEastAsia"/>
                <w:color w:val="000000"/>
                <w:szCs w:val="21"/>
              </w:rPr>
              <w:t>Tongda Group Holdings Ltd.</w:t>
            </w:r>
          </w:p>
        </w:tc>
        <w:tc>
          <w:tcPr>
            <w:tcW w:w="1015" w:type="dxa"/>
            <w:vAlign w:val="center"/>
          </w:tcPr>
          <w:p w:rsidR="007B4EE4" w:rsidRDefault="00B833D5">
            <w:pPr>
              <w:jc w:val="center"/>
            </w:pPr>
            <w:r>
              <w:rPr>
                <w:rFonts w:eastAsiaTheme="minorEastAsia"/>
                <w:color w:val="000000"/>
                <w:szCs w:val="21"/>
              </w:rPr>
              <w:t>通达集团控股有限公司</w:t>
            </w:r>
          </w:p>
        </w:tc>
        <w:tc>
          <w:tcPr>
            <w:tcW w:w="1184" w:type="dxa"/>
            <w:vAlign w:val="center"/>
          </w:tcPr>
          <w:p w:rsidR="007B4EE4" w:rsidRDefault="00B833D5">
            <w:pPr>
              <w:jc w:val="center"/>
            </w:pPr>
            <w:r>
              <w:rPr>
                <w:rFonts w:eastAsiaTheme="minorEastAsia"/>
                <w:color w:val="000000"/>
                <w:szCs w:val="21"/>
              </w:rPr>
              <w:t>698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165,119</w:t>
            </w:r>
          </w:p>
        </w:tc>
        <w:tc>
          <w:tcPr>
            <w:tcW w:w="1690" w:type="dxa"/>
            <w:vAlign w:val="center"/>
          </w:tcPr>
          <w:p w:rsidR="007B4EE4" w:rsidRDefault="00B833D5">
            <w:pPr>
              <w:jc w:val="right"/>
            </w:pPr>
            <w:r>
              <w:rPr>
                <w:rFonts w:eastAsiaTheme="minorEastAsia"/>
                <w:color w:val="000000"/>
                <w:szCs w:val="21"/>
              </w:rPr>
              <w:t>69,380.10</w:t>
            </w:r>
          </w:p>
        </w:tc>
        <w:tc>
          <w:tcPr>
            <w:tcW w:w="997" w:type="dxa"/>
            <w:vAlign w:val="center"/>
          </w:tcPr>
          <w:p w:rsidR="007B4EE4" w:rsidRDefault="00B833D5">
            <w:pPr>
              <w:jc w:val="right"/>
            </w:pPr>
            <w:r>
              <w:rPr>
                <w:rFonts w:eastAsiaTheme="minorEastAsia"/>
                <w:color w:val="000000"/>
                <w:szCs w:val="21"/>
              </w:rPr>
              <w:t>0.30</w:t>
            </w:r>
          </w:p>
        </w:tc>
      </w:tr>
      <w:tr w:rsidR="007B4EE4">
        <w:trPr>
          <w:jc w:val="center"/>
        </w:trPr>
        <w:tc>
          <w:tcPr>
            <w:tcW w:w="771" w:type="dxa"/>
            <w:vAlign w:val="center"/>
          </w:tcPr>
          <w:p w:rsidR="007B4EE4" w:rsidRDefault="00B833D5">
            <w:pPr>
              <w:jc w:val="center"/>
            </w:pPr>
            <w:r>
              <w:rPr>
                <w:rFonts w:eastAsiaTheme="minorEastAsia"/>
                <w:color w:val="000000"/>
                <w:szCs w:val="21"/>
              </w:rPr>
              <w:lastRenderedPageBreak/>
              <w:t>120</w:t>
            </w:r>
          </w:p>
        </w:tc>
        <w:tc>
          <w:tcPr>
            <w:tcW w:w="905" w:type="dxa"/>
            <w:vAlign w:val="center"/>
          </w:tcPr>
          <w:p w:rsidR="007B4EE4" w:rsidRDefault="00B833D5">
            <w:pPr>
              <w:jc w:val="center"/>
            </w:pPr>
            <w:r>
              <w:rPr>
                <w:rFonts w:eastAsiaTheme="minorEastAsia"/>
                <w:color w:val="000000"/>
                <w:szCs w:val="21"/>
              </w:rPr>
              <w:t>Glory Sun Financial Group Limited</w:t>
            </w:r>
          </w:p>
        </w:tc>
        <w:tc>
          <w:tcPr>
            <w:tcW w:w="1015" w:type="dxa"/>
            <w:vAlign w:val="center"/>
          </w:tcPr>
          <w:p w:rsidR="007B4EE4" w:rsidRDefault="00B833D5">
            <w:pPr>
              <w:jc w:val="center"/>
            </w:pPr>
            <w:r>
              <w:rPr>
                <w:rFonts w:eastAsiaTheme="minorEastAsia"/>
                <w:color w:val="000000"/>
                <w:szCs w:val="21"/>
              </w:rPr>
              <w:t>宝新金融集团有限公司</w:t>
            </w:r>
          </w:p>
        </w:tc>
        <w:tc>
          <w:tcPr>
            <w:tcW w:w="1184" w:type="dxa"/>
            <w:vAlign w:val="center"/>
          </w:tcPr>
          <w:p w:rsidR="007B4EE4" w:rsidRDefault="00B833D5">
            <w:pPr>
              <w:jc w:val="center"/>
            </w:pPr>
            <w:r>
              <w:rPr>
                <w:rFonts w:eastAsiaTheme="minorEastAsia"/>
                <w:color w:val="000000"/>
                <w:szCs w:val="21"/>
              </w:rPr>
              <w:t>1282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272,000</w:t>
            </w:r>
          </w:p>
        </w:tc>
        <w:tc>
          <w:tcPr>
            <w:tcW w:w="1690" w:type="dxa"/>
            <w:vAlign w:val="center"/>
          </w:tcPr>
          <w:p w:rsidR="007B4EE4" w:rsidRDefault="00B833D5">
            <w:pPr>
              <w:jc w:val="right"/>
            </w:pPr>
            <w:r>
              <w:rPr>
                <w:rFonts w:eastAsiaTheme="minorEastAsia"/>
                <w:color w:val="000000"/>
                <w:szCs w:val="21"/>
              </w:rPr>
              <w:t>68,325.31</w:t>
            </w:r>
          </w:p>
        </w:tc>
        <w:tc>
          <w:tcPr>
            <w:tcW w:w="997" w:type="dxa"/>
            <w:vAlign w:val="center"/>
          </w:tcPr>
          <w:p w:rsidR="007B4EE4" w:rsidRDefault="00B833D5">
            <w:pPr>
              <w:jc w:val="right"/>
            </w:pPr>
            <w:r>
              <w:rPr>
                <w:rFonts w:eastAsiaTheme="minorEastAsia"/>
                <w:color w:val="000000"/>
                <w:szCs w:val="21"/>
              </w:rPr>
              <w:t>0.29</w:t>
            </w:r>
          </w:p>
        </w:tc>
      </w:tr>
      <w:tr w:rsidR="007B4EE4">
        <w:trPr>
          <w:jc w:val="center"/>
        </w:trPr>
        <w:tc>
          <w:tcPr>
            <w:tcW w:w="771" w:type="dxa"/>
            <w:vAlign w:val="center"/>
          </w:tcPr>
          <w:p w:rsidR="007B4EE4" w:rsidRDefault="00B833D5">
            <w:pPr>
              <w:jc w:val="center"/>
            </w:pPr>
            <w:r>
              <w:rPr>
                <w:rFonts w:eastAsiaTheme="minorEastAsia"/>
                <w:color w:val="000000"/>
                <w:szCs w:val="21"/>
              </w:rPr>
              <w:t>121</w:t>
            </w:r>
          </w:p>
        </w:tc>
        <w:tc>
          <w:tcPr>
            <w:tcW w:w="905" w:type="dxa"/>
            <w:vAlign w:val="center"/>
          </w:tcPr>
          <w:p w:rsidR="007B4EE4" w:rsidRDefault="00B833D5">
            <w:pPr>
              <w:jc w:val="center"/>
            </w:pPr>
            <w:r>
              <w:rPr>
                <w:rFonts w:eastAsiaTheme="minorEastAsia"/>
                <w:color w:val="000000"/>
                <w:szCs w:val="21"/>
              </w:rPr>
              <w:t>Red Star Macalline Group Corporation Ltd.</w:t>
            </w:r>
          </w:p>
        </w:tc>
        <w:tc>
          <w:tcPr>
            <w:tcW w:w="1015" w:type="dxa"/>
            <w:vAlign w:val="center"/>
          </w:tcPr>
          <w:p w:rsidR="007B4EE4" w:rsidRDefault="00B833D5">
            <w:pPr>
              <w:jc w:val="center"/>
            </w:pPr>
            <w:r>
              <w:rPr>
                <w:rFonts w:eastAsiaTheme="minorEastAsia"/>
                <w:color w:val="000000"/>
                <w:szCs w:val="21"/>
              </w:rPr>
              <w:t>红星美凯龙家居集团股份有限公司</w:t>
            </w:r>
          </w:p>
        </w:tc>
        <w:tc>
          <w:tcPr>
            <w:tcW w:w="1184" w:type="dxa"/>
            <w:vAlign w:val="center"/>
          </w:tcPr>
          <w:p w:rsidR="007B4EE4" w:rsidRDefault="00B833D5">
            <w:pPr>
              <w:jc w:val="center"/>
            </w:pPr>
            <w:r>
              <w:rPr>
                <w:rFonts w:eastAsiaTheme="minorEastAsia"/>
                <w:color w:val="000000"/>
                <w:szCs w:val="21"/>
              </w:rPr>
              <w:t>1528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17,193</w:t>
            </w:r>
          </w:p>
        </w:tc>
        <w:tc>
          <w:tcPr>
            <w:tcW w:w="1690" w:type="dxa"/>
            <w:vAlign w:val="center"/>
          </w:tcPr>
          <w:p w:rsidR="007B4EE4" w:rsidRDefault="00B833D5">
            <w:pPr>
              <w:jc w:val="right"/>
            </w:pPr>
            <w:r>
              <w:rPr>
                <w:rFonts w:eastAsiaTheme="minorEastAsia"/>
                <w:color w:val="000000"/>
                <w:szCs w:val="21"/>
              </w:rPr>
              <w:t>68,158.72</w:t>
            </w:r>
          </w:p>
        </w:tc>
        <w:tc>
          <w:tcPr>
            <w:tcW w:w="997" w:type="dxa"/>
            <w:vAlign w:val="center"/>
          </w:tcPr>
          <w:p w:rsidR="007B4EE4" w:rsidRDefault="00B833D5">
            <w:pPr>
              <w:jc w:val="right"/>
            </w:pPr>
            <w:r>
              <w:rPr>
                <w:rFonts w:eastAsiaTheme="minorEastAsia"/>
                <w:color w:val="000000"/>
                <w:szCs w:val="21"/>
              </w:rPr>
              <w:t>0.29</w:t>
            </w:r>
          </w:p>
        </w:tc>
      </w:tr>
      <w:tr w:rsidR="007B4EE4">
        <w:trPr>
          <w:jc w:val="center"/>
        </w:trPr>
        <w:tc>
          <w:tcPr>
            <w:tcW w:w="771" w:type="dxa"/>
            <w:vAlign w:val="center"/>
          </w:tcPr>
          <w:p w:rsidR="007B4EE4" w:rsidRDefault="00B833D5">
            <w:pPr>
              <w:jc w:val="center"/>
            </w:pPr>
            <w:r>
              <w:rPr>
                <w:rFonts w:eastAsiaTheme="minorEastAsia"/>
                <w:color w:val="000000"/>
                <w:szCs w:val="21"/>
              </w:rPr>
              <w:t>122</w:t>
            </w:r>
          </w:p>
        </w:tc>
        <w:tc>
          <w:tcPr>
            <w:tcW w:w="905" w:type="dxa"/>
            <w:vAlign w:val="center"/>
          </w:tcPr>
          <w:p w:rsidR="007B4EE4" w:rsidRDefault="00B833D5">
            <w:pPr>
              <w:jc w:val="center"/>
            </w:pPr>
            <w:r>
              <w:rPr>
                <w:rFonts w:eastAsiaTheme="minorEastAsia"/>
                <w:color w:val="000000"/>
                <w:szCs w:val="21"/>
              </w:rPr>
              <w:t>CGN New Energy Holdings Co., Ltd.</w:t>
            </w:r>
          </w:p>
        </w:tc>
        <w:tc>
          <w:tcPr>
            <w:tcW w:w="1015" w:type="dxa"/>
            <w:vAlign w:val="center"/>
          </w:tcPr>
          <w:p w:rsidR="007B4EE4" w:rsidRDefault="00B833D5">
            <w:pPr>
              <w:jc w:val="center"/>
            </w:pPr>
            <w:r>
              <w:rPr>
                <w:rFonts w:eastAsiaTheme="minorEastAsia"/>
                <w:color w:val="000000"/>
                <w:szCs w:val="21"/>
              </w:rPr>
              <w:t>中国广核新能源控股有限公司</w:t>
            </w:r>
          </w:p>
        </w:tc>
        <w:tc>
          <w:tcPr>
            <w:tcW w:w="1184" w:type="dxa"/>
            <w:vAlign w:val="center"/>
          </w:tcPr>
          <w:p w:rsidR="007B4EE4" w:rsidRDefault="00B833D5">
            <w:pPr>
              <w:jc w:val="center"/>
            </w:pPr>
            <w:r>
              <w:rPr>
                <w:rFonts w:eastAsiaTheme="minorEastAsia"/>
                <w:color w:val="000000"/>
                <w:szCs w:val="21"/>
              </w:rPr>
              <w:t>1811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50,000</w:t>
            </w:r>
          </w:p>
        </w:tc>
        <w:tc>
          <w:tcPr>
            <w:tcW w:w="1690" w:type="dxa"/>
            <w:vAlign w:val="center"/>
          </w:tcPr>
          <w:p w:rsidR="007B4EE4" w:rsidRDefault="00B833D5">
            <w:pPr>
              <w:jc w:val="right"/>
            </w:pPr>
            <w:r>
              <w:rPr>
                <w:rFonts w:eastAsiaTheme="minorEastAsia"/>
                <w:color w:val="000000"/>
                <w:szCs w:val="21"/>
              </w:rPr>
              <w:t>68,051.28</w:t>
            </w:r>
          </w:p>
        </w:tc>
        <w:tc>
          <w:tcPr>
            <w:tcW w:w="997" w:type="dxa"/>
            <w:vAlign w:val="center"/>
          </w:tcPr>
          <w:p w:rsidR="007B4EE4" w:rsidRDefault="00B833D5">
            <w:pPr>
              <w:jc w:val="right"/>
            </w:pPr>
            <w:r>
              <w:rPr>
                <w:rFonts w:eastAsiaTheme="minorEastAsia"/>
                <w:color w:val="000000"/>
                <w:szCs w:val="21"/>
              </w:rPr>
              <w:t>0.29</w:t>
            </w:r>
          </w:p>
        </w:tc>
      </w:tr>
      <w:tr w:rsidR="007B4EE4">
        <w:trPr>
          <w:jc w:val="center"/>
        </w:trPr>
        <w:tc>
          <w:tcPr>
            <w:tcW w:w="771" w:type="dxa"/>
            <w:vAlign w:val="center"/>
          </w:tcPr>
          <w:p w:rsidR="007B4EE4" w:rsidRDefault="00B833D5">
            <w:pPr>
              <w:jc w:val="center"/>
            </w:pPr>
            <w:r>
              <w:rPr>
                <w:rFonts w:eastAsiaTheme="minorEastAsia"/>
                <w:color w:val="000000"/>
                <w:szCs w:val="21"/>
              </w:rPr>
              <w:t>123</w:t>
            </w:r>
          </w:p>
        </w:tc>
        <w:tc>
          <w:tcPr>
            <w:tcW w:w="905" w:type="dxa"/>
            <w:vAlign w:val="center"/>
          </w:tcPr>
          <w:p w:rsidR="007B4EE4" w:rsidRDefault="00B833D5">
            <w:pPr>
              <w:jc w:val="center"/>
            </w:pPr>
            <w:r>
              <w:rPr>
                <w:rFonts w:eastAsiaTheme="minorEastAsia"/>
                <w:color w:val="000000"/>
                <w:szCs w:val="21"/>
              </w:rPr>
              <w:t>Jinchuan Group International Resources Co. Ltd</w:t>
            </w:r>
          </w:p>
        </w:tc>
        <w:tc>
          <w:tcPr>
            <w:tcW w:w="1015" w:type="dxa"/>
            <w:vAlign w:val="center"/>
          </w:tcPr>
          <w:p w:rsidR="007B4EE4" w:rsidRDefault="00B833D5">
            <w:pPr>
              <w:jc w:val="center"/>
            </w:pPr>
            <w:r>
              <w:rPr>
                <w:rFonts w:eastAsiaTheme="minorEastAsia"/>
                <w:color w:val="000000"/>
                <w:szCs w:val="21"/>
              </w:rPr>
              <w:t>金川集团国际资源有限公司</w:t>
            </w:r>
          </w:p>
        </w:tc>
        <w:tc>
          <w:tcPr>
            <w:tcW w:w="1184" w:type="dxa"/>
            <w:vAlign w:val="center"/>
          </w:tcPr>
          <w:p w:rsidR="007B4EE4" w:rsidRDefault="00B833D5">
            <w:pPr>
              <w:jc w:val="center"/>
            </w:pPr>
            <w:r>
              <w:rPr>
                <w:rFonts w:eastAsiaTheme="minorEastAsia"/>
                <w:color w:val="000000"/>
                <w:szCs w:val="21"/>
              </w:rPr>
              <w:t>2362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112,592</w:t>
            </w:r>
          </w:p>
        </w:tc>
        <w:tc>
          <w:tcPr>
            <w:tcW w:w="1690" w:type="dxa"/>
            <w:vAlign w:val="center"/>
          </w:tcPr>
          <w:p w:rsidR="007B4EE4" w:rsidRDefault="00B833D5">
            <w:pPr>
              <w:jc w:val="right"/>
            </w:pPr>
            <w:r>
              <w:rPr>
                <w:rFonts w:eastAsiaTheme="minorEastAsia"/>
                <w:color w:val="000000"/>
                <w:szCs w:val="21"/>
              </w:rPr>
              <w:t>67,878.38</w:t>
            </w:r>
          </w:p>
        </w:tc>
        <w:tc>
          <w:tcPr>
            <w:tcW w:w="997" w:type="dxa"/>
            <w:vAlign w:val="center"/>
          </w:tcPr>
          <w:p w:rsidR="007B4EE4" w:rsidRDefault="00B833D5">
            <w:pPr>
              <w:jc w:val="right"/>
            </w:pPr>
            <w:r>
              <w:rPr>
                <w:rFonts w:eastAsiaTheme="minorEastAsia"/>
                <w:color w:val="000000"/>
                <w:szCs w:val="21"/>
              </w:rPr>
              <w:t>0.29</w:t>
            </w:r>
          </w:p>
        </w:tc>
      </w:tr>
      <w:tr w:rsidR="007B4EE4">
        <w:trPr>
          <w:jc w:val="center"/>
        </w:trPr>
        <w:tc>
          <w:tcPr>
            <w:tcW w:w="771" w:type="dxa"/>
            <w:vAlign w:val="center"/>
          </w:tcPr>
          <w:p w:rsidR="007B4EE4" w:rsidRDefault="00B833D5">
            <w:pPr>
              <w:jc w:val="center"/>
            </w:pPr>
            <w:r>
              <w:rPr>
                <w:rFonts w:eastAsiaTheme="minorEastAsia"/>
                <w:color w:val="000000"/>
                <w:szCs w:val="21"/>
              </w:rPr>
              <w:t>124</w:t>
            </w:r>
          </w:p>
        </w:tc>
        <w:tc>
          <w:tcPr>
            <w:tcW w:w="905" w:type="dxa"/>
            <w:vAlign w:val="center"/>
          </w:tcPr>
          <w:p w:rsidR="007B4EE4" w:rsidRDefault="00B833D5">
            <w:pPr>
              <w:jc w:val="center"/>
            </w:pPr>
            <w:r>
              <w:rPr>
                <w:rFonts w:eastAsiaTheme="minorEastAsia"/>
                <w:color w:val="000000"/>
                <w:szCs w:val="21"/>
              </w:rPr>
              <w:t>Huifu Payment Limited</w:t>
            </w:r>
          </w:p>
        </w:tc>
        <w:tc>
          <w:tcPr>
            <w:tcW w:w="1015" w:type="dxa"/>
            <w:vAlign w:val="center"/>
          </w:tcPr>
          <w:p w:rsidR="007B4EE4" w:rsidRDefault="00B833D5">
            <w:pPr>
              <w:jc w:val="center"/>
            </w:pPr>
            <w:r>
              <w:rPr>
                <w:rFonts w:eastAsiaTheme="minorEastAsia"/>
                <w:color w:val="000000"/>
                <w:szCs w:val="21"/>
              </w:rPr>
              <w:t>汇付天下有限公司</w:t>
            </w:r>
          </w:p>
        </w:tc>
        <w:tc>
          <w:tcPr>
            <w:tcW w:w="1184" w:type="dxa"/>
            <w:vAlign w:val="center"/>
          </w:tcPr>
          <w:p w:rsidR="007B4EE4" w:rsidRDefault="00B833D5">
            <w:pPr>
              <w:jc w:val="center"/>
            </w:pPr>
            <w:r>
              <w:rPr>
                <w:rFonts w:eastAsiaTheme="minorEastAsia"/>
                <w:color w:val="000000"/>
                <w:szCs w:val="21"/>
              </w:rPr>
              <w:t>1806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32,400</w:t>
            </w:r>
          </w:p>
        </w:tc>
        <w:tc>
          <w:tcPr>
            <w:tcW w:w="1690" w:type="dxa"/>
            <w:vAlign w:val="center"/>
          </w:tcPr>
          <w:p w:rsidR="007B4EE4" w:rsidRDefault="00B833D5">
            <w:pPr>
              <w:jc w:val="right"/>
            </w:pPr>
            <w:r>
              <w:rPr>
                <w:rFonts w:eastAsiaTheme="minorEastAsia"/>
                <w:color w:val="000000"/>
                <w:szCs w:val="21"/>
              </w:rPr>
              <w:t>67,773.59</w:t>
            </w:r>
          </w:p>
        </w:tc>
        <w:tc>
          <w:tcPr>
            <w:tcW w:w="997" w:type="dxa"/>
            <w:vAlign w:val="center"/>
          </w:tcPr>
          <w:p w:rsidR="007B4EE4" w:rsidRDefault="00B833D5">
            <w:pPr>
              <w:jc w:val="right"/>
            </w:pPr>
            <w:r>
              <w:rPr>
                <w:rFonts w:eastAsiaTheme="minorEastAsia"/>
                <w:color w:val="000000"/>
                <w:szCs w:val="21"/>
              </w:rPr>
              <w:t>0.29</w:t>
            </w:r>
          </w:p>
        </w:tc>
      </w:tr>
      <w:tr w:rsidR="007B4EE4">
        <w:trPr>
          <w:jc w:val="center"/>
        </w:trPr>
        <w:tc>
          <w:tcPr>
            <w:tcW w:w="771" w:type="dxa"/>
            <w:vAlign w:val="center"/>
          </w:tcPr>
          <w:p w:rsidR="007B4EE4" w:rsidRDefault="00B833D5">
            <w:pPr>
              <w:jc w:val="center"/>
            </w:pPr>
            <w:r>
              <w:rPr>
                <w:rFonts w:eastAsiaTheme="minorEastAsia"/>
                <w:color w:val="000000"/>
                <w:szCs w:val="21"/>
              </w:rPr>
              <w:t>125</w:t>
            </w:r>
          </w:p>
        </w:tc>
        <w:tc>
          <w:tcPr>
            <w:tcW w:w="905" w:type="dxa"/>
            <w:vAlign w:val="center"/>
          </w:tcPr>
          <w:p w:rsidR="007B4EE4" w:rsidRDefault="00B833D5">
            <w:pPr>
              <w:jc w:val="center"/>
            </w:pPr>
            <w:r>
              <w:rPr>
                <w:rFonts w:eastAsiaTheme="minorEastAsia"/>
                <w:color w:val="000000"/>
                <w:szCs w:val="21"/>
              </w:rPr>
              <w:t>Impro Precision Industries Limited</w:t>
            </w:r>
          </w:p>
        </w:tc>
        <w:tc>
          <w:tcPr>
            <w:tcW w:w="1015" w:type="dxa"/>
            <w:vAlign w:val="center"/>
          </w:tcPr>
          <w:p w:rsidR="007B4EE4" w:rsidRDefault="00B833D5">
            <w:pPr>
              <w:jc w:val="center"/>
            </w:pPr>
            <w:r>
              <w:rPr>
                <w:rFonts w:eastAsiaTheme="minorEastAsia"/>
                <w:color w:val="000000"/>
                <w:szCs w:val="21"/>
              </w:rPr>
              <w:t>鹰普精密工业有限公司</w:t>
            </w:r>
          </w:p>
        </w:tc>
        <w:tc>
          <w:tcPr>
            <w:tcW w:w="1184" w:type="dxa"/>
            <w:vAlign w:val="center"/>
          </w:tcPr>
          <w:p w:rsidR="007B4EE4" w:rsidRDefault="00B833D5">
            <w:pPr>
              <w:jc w:val="center"/>
            </w:pPr>
            <w:r>
              <w:rPr>
                <w:rFonts w:eastAsiaTheme="minorEastAsia"/>
                <w:color w:val="000000"/>
                <w:szCs w:val="21"/>
              </w:rPr>
              <w:t>1286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27,000</w:t>
            </w:r>
          </w:p>
        </w:tc>
        <w:tc>
          <w:tcPr>
            <w:tcW w:w="1690" w:type="dxa"/>
            <w:vAlign w:val="center"/>
          </w:tcPr>
          <w:p w:rsidR="007B4EE4" w:rsidRDefault="00B833D5">
            <w:pPr>
              <w:jc w:val="right"/>
            </w:pPr>
            <w:r>
              <w:rPr>
                <w:rFonts w:eastAsiaTheme="minorEastAsia"/>
                <w:color w:val="000000"/>
                <w:szCs w:val="21"/>
              </w:rPr>
              <w:t>65,849.89</w:t>
            </w:r>
          </w:p>
        </w:tc>
        <w:tc>
          <w:tcPr>
            <w:tcW w:w="997" w:type="dxa"/>
            <w:vAlign w:val="center"/>
          </w:tcPr>
          <w:p w:rsidR="007B4EE4" w:rsidRDefault="00B833D5">
            <w:pPr>
              <w:jc w:val="right"/>
            </w:pPr>
            <w:r>
              <w:rPr>
                <w:rFonts w:eastAsiaTheme="minorEastAsia"/>
                <w:color w:val="000000"/>
                <w:szCs w:val="21"/>
              </w:rPr>
              <w:t>0.28</w:t>
            </w:r>
          </w:p>
        </w:tc>
      </w:tr>
      <w:tr w:rsidR="007B4EE4">
        <w:trPr>
          <w:jc w:val="center"/>
        </w:trPr>
        <w:tc>
          <w:tcPr>
            <w:tcW w:w="771" w:type="dxa"/>
            <w:vAlign w:val="center"/>
          </w:tcPr>
          <w:p w:rsidR="007B4EE4" w:rsidRDefault="00B833D5">
            <w:pPr>
              <w:jc w:val="center"/>
            </w:pPr>
            <w:r>
              <w:rPr>
                <w:rFonts w:eastAsiaTheme="minorEastAsia"/>
                <w:color w:val="000000"/>
                <w:szCs w:val="21"/>
              </w:rPr>
              <w:t>126</w:t>
            </w:r>
          </w:p>
        </w:tc>
        <w:tc>
          <w:tcPr>
            <w:tcW w:w="905" w:type="dxa"/>
            <w:vAlign w:val="center"/>
          </w:tcPr>
          <w:p w:rsidR="007B4EE4" w:rsidRDefault="00B833D5">
            <w:pPr>
              <w:jc w:val="center"/>
            </w:pPr>
            <w:r>
              <w:rPr>
                <w:rFonts w:eastAsiaTheme="minorEastAsia"/>
                <w:color w:val="000000"/>
                <w:szCs w:val="21"/>
              </w:rPr>
              <w:t>Sun Hung Kai &amp; Co. Ltd.</w:t>
            </w:r>
          </w:p>
        </w:tc>
        <w:tc>
          <w:tcPr>
            <w:tcW w:w="1015" w:type="dxa"/>
            <w:vAlign w:val="center"/>
          </w:tcPr>
          <w:p w:rsidR="007B4EE4" w:rsidRDefault="00B833D5">
            <w:pPr>
              <w:jc w:val="center"/>
            </w:pPr>
            <w:r>
              <w:rPr>
                <w:rFonts w:eastAsiaTheme="minorEastAsia"/>
                <w:color w:val="000000"/>
                <w:szCs w:val="21"/>
              </w:rPr>
              <w:t>新鸿基有限公司</w:t>
            </w:r>
          </w:p>
        </w:tc>
        <w:tc>
          <w:tcPr>
            <w:tcW w:w="1184" w:type="dxa"/>
            <w:vAlign w:val="center"/>
          </w:tcPr>
          <w:p w:rsidR="007B4EE4" w:rsidRDefault="00B833D5">
            <w:pPr>
              <w:jc w:val="center"/>
            </w:pPr>
            <w:r>
              <w:rPr>
                <w:rFonts w:eastAsiaTheme="minorEastAsia"/>
                <w:color w:val="000000"/>
                <w:szCs w:val="21"/>
              </w:rPr>
              <w:t>86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23,474</w:t>
            </w:r>
          </w:p>
        </w:tc>
        <w:tc>
          <w:tcPr>
            <w:tcW w:w="1690" w:type="dxa"/>
            <w:vAlign w:val="center"/>
          </w:tcPr>
          <w:p w:rsidR="007B4EE4" w:rsidRDefault="00B833D5">
            <w:pPr>
              <w:jc w:val="right"/>
            </w:pPr>
            <w:r>
              <w:rPr>
                <w:rFonts w:eastAsiaTheme="minorEastAsia"/>
                <w:color w:val="000000"/>
                <w:szCs w:val="21"/>
              </w:rPr>
              <w:t>65,183.96</w:t>
            </w:r>
          </w:p>
        </w:tc>
        <w:tc>
          <w:tcPr>
            <w:tcW w:w="997" w:type="dxa"/>
            <w:vAlign w:val="center"/>
          </w:tcPr>
          <w:p w:rsidR="007B4EE4" w:rsidRDefault="00B833D5">
            <w:pPr>
              <w:jc w:val="right"/>
            </w:pPr>
            <w:r>
              <w:rPr>
                <w:rFonts w:eastAsiaTheme="minorEastAsia"/>
                <w:color w:val="000000"/>
                <w:szCs w:val="21"/>
              </w:rPr>
              <w:t>0.28</w:t>
            </w:r>
          </w:p>
        </w:tc>
      </w:tr>
      <w:tr w:rsidR="007B4EE4">
        <w:trPr>
          <w:jc w:val="center"/>
        </w:trPr>
        <w:tc>
          <w:tcPr>
            <w:tcW w:w="771" w:type="dxa"/>
            <w:vAlign w:val="center"/>
          </w:tcPr>
          <w:p w:rsidR="007B4EE4" w:rsidRDefault="00B833D5">
            <w:pPr>
              <w:jc w:val="center"/>
            </w:pPr>
            <w:r>
              <w:rPr>
                <w:rFonts w:eastAsiaTheme="minorEastAsia"/>
                <w:color w:val="000000"/>
                <w:szCs w:val="21"/>
              </w:rPr>
              <w:t>127</w:t>
            </w:r>
          </w:p>
        </w:tc>
        <w:tc>
          <w:tcPr>
            <w:tcW w:w="905" w:type="dxa"/>
            <w:vAlign w:val="center"/>
          </w:tcPr>
          <w:p w:rsidR="007B4EE4" w:rsidRDefault="00B833D5">
            <w:pPr>
              <w:jc w:val="center"/>
            </w:pPr>
            <w:r>
              <w:rPr>
                <w:rFonts w:eastAsiaTheme="minorEastAsia"/>
                <w:color w:val="000000"/>
                <w:szCs w:val="21"/>
              </w:rPr>
              <w:t>China BlueChemical Ltd.</w:t>
            </w:r>
          </w:p>
        </w:tc>
        <w:tc>
          <w:tcPr>
            <w:tcW w:w="1015" w:type="dxa"/>
            <w:vAlign w:val="center"/>
          </w:tcPr>
          <w:p w:rsidR="007B4EE4" w:rsidRDefault="00B833D5">
            <w:pPr>
              <w:jc w:val="center"/>
            </w:pPr>
            <w:r>
              <w:rPr>
                <w:rFonts w:eastAsiaTheme="minorEastAsia"/>
                <w:color w:val="000000"/>
                <w:szCs w:val="21"/>
              </w:rPr>
              <w:t>中海石油化学股份有限公司</w:t>
            </w:r>
          </w:p>
        </w:tc>
        <w:tc>
          <w:tcPr>
            <w:tcW w:w="1184" w:type="dxa"/>
            <w:vAlign w:val="center"/>
          </w:tcPr>
          <w:p w:rsidR="007B4EE4" w:rsidRDefault="00B833D5">
            <w:pPr>
              <w:jc w:val="center"/>
            </w:pPr>
            <w:r>
              <w:rPr>
                <w:rFonts w:eastAsiaTheme="minorEastAsia"/>
                <w:color w:val="000000"/>
                <w:szCs w:val="21"/>
              </w:rPr>
              <w:t>3983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61,960</w:t>
            </w:r>
          </w:p>
        </w:tc>
        <w:tc>
          <w:tcPr>
            <w:tcW w:w="1690" w:type="dxa"/>
            <w:vAlign w:val="center"/>
          </w:tcPr>
          <w:p w:rsidR="007B4EE4" w:rsidRDefault="00B833D5">
            <w:pPr>
              <w:jc w:val="right"/>
            </w:pPr>
            <w:r>
              <w:rPr>
                <w:rFonts w:eastAsiaTheme="minorEastAsia"/>
                <w:color w:val="000000"/>
                <w:szCs w:val="21"/>
              </w:rPr>
              <w:t>65,086.25</w:t>
            </w:r>
          </w:p>
        </w:tc>
        <w:tc>
          <w:tcPr>
            <w:tcW w:w="997" w:type="dxa"/>
            <w:vAlign w:val="center"/>
          </w:tcPr>
          <w:p w:rsidR="007B4EE4" w:rsidRDefault="00B833D5">
            <w:pPr>
              <w:jc w:val="right"/>
            </w:pPr>
            <w:r>
              <w:rPr>
                <w:rFonts w:eastAsiaTheme="minorEastAsia"/>
                <w:color w:val="000000"/>
                <w:szCs w:val="21"/>
              </w:rPr>
              <w:t>0.28</w:t>
            </w:r>
          </w:p>
        </w:tc>
      </w:tr>
      <w:tr w:rsidR="007B4EE4">
        <w:trPr>
          <w:jc w:val="center"/>
        </w:trPr>
        <w:tc>
          <w:tcPr>
            <w:tcW w:w="771" w:type="dxa"/>
            <w:vAlign w:val="center"/>
          </w:tcPr>
          <w:p w:rsidR="007B4EE4" w:rsidRDefault="00B833D5">
            <w:pPr>
              <w:jc w:val="center"/>
            </w:pPr>
            <w:r>
              <w:rPr>
                <w:rFonts w:eastAsiaTheme="minorEastAsia"/>
                <w:color w:val="000000"/>
                <w:szCs w:val="21"/>
              </w:rPr>
              <w:t>128</w:t>
            </w:r>
          </w:p>
        </w:tc>
        <w:tc>
          <w:tcPr>
            <w:tcW w:w="905" w:type="dxa"/>
            <w:vAlign w:val="center"/>
          </w:tcPr>
          <w:p w:rsidR="007B4EE4" w:rsidRDefault="00B833D5">
            <w:pPr>
              <w:jc w:val="center"/>
            </w:pPr>
            <w:r>
              <w:rPr>
                <w:rFonts w:eastAsiaTheme="minorEastAsia"/>
                <w:color w:val="000000"/>
                <w:szCs w:val="21"/>
              </w:rPr>
              <w:t>Texhong Textile Group Limited</w:t>
            </w:r>
          </w:p>
        </w:tc>
        <w:tc>
          <w:tcPr>
            <w:tcW w:w="1015" w:type="dxa"/>
            <w:vAlign w:val="center"/>
          </w:tcPr>
          <w:p w:rsidR="007B4EE4" w:rsidRDefault="00B833D5">
            <w:pPr>
              <w:jc w:val="center"/>
            </w:pPr>
            <w:r>
              <w:rPr>
                <w:rFonts w:eastAsiaTheme="minorEastAsia"/>
                <w:color w:val="000000"/>
                <w:szCs w:val="21"/>
              </w:rPr>
              <w:t>天虹纺织集团有限公司</w:t>
            </w:r>
          </w:p>
        </w:tc>
        <w:tc>
          <w:tcPr>
            <w:tcW w:w="1184" w:type="dxa"/>
            <w:vAlign w:val="center"/>
          </w:tcPr>
          <w:p w:rsidR="007B4EE4" w:rsidRDefault="00B833D5">
            <w:pPr>
              <w:jc w:val="center"/>
            </w:pPr>
            <w:r>
              <w:rPr>
                <w:rFonts w:eastAsiaTheme="minorEastAsia"/>
                <w:color w:val="000000"/>
                <w:szCs w:val="21"/>
              </w:rPr>
              <w:t>2678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10,761</w:t>
            </w:r>
          </w:p>
        </w:tc>
        <w:tc>
          <w:tcPr>
            <w:tcW w:w="1690" w:type="dxa"/>
            <w:vAlign w:val="center"/>
          </w:tcPr>
          <w:p w:rsidR="007B4EE4" w:rsidRDefault="00B833D5">
            <w:pPr>
              <w:jc w:val="right"/>
            </w:pPr>
            <w:r>
              <w:rPr>
                <w:rFonts w:eastAsiaTheme="minorEastAsia"/>
                <w:color w:val="000000"/>
                <w:szCs w:val="21"/>
              </w:rPr>
              <w:t>60,943.07</w:t>
            </w:r>
          </w:p>
        </w:tc>
        <w:tc>
          <w:tcPr>
            <w:tcW w:w="997" w:type="dxa"/>
            <w:vAlign w:val="center"/>
          </w:tcPr>
          <w:p w:rsidR="007B4EE4" w:rsidRDefault="00B833D5">
            <w:pPr>
              <w:jc w:val="right"/>
            </w:pPr>
            <w:r>
              <w:rPr>
                <w:rFonts w:eastAsiaTheme="minorEastAsia"/>
                <w:color w:val="000000"/>
                <w:szCs w:val="21"/>
              </w:rPr>
              <w:t>0.26</w:t>
            </w:r>
          </w:p>
        </w:tc>
      </w:tr>
      <w:tr w:rsidR="007B4EE4">
        <w:trPr>
          <w:jc w:val="center"/>
        </w:trPr>
        <w:tc>
          <w:tcPr>
            <w:tcW w:w="771" w:type="dxa"/>
            <w:vAlign w:val="center"/>
          </w:tcPr>
          <w:p w:rsidR="007B4EE4" w:rsidRDefault="00B833D5">
            <w:pPr>
              <w:jc w:val="center"/>
            </w:pPr>
            <w:r>
              <w:rPr>
                <w:rFonts w:eastAsiaTheme="minorEastAsia"/>
                <w:color w:val="000000"/>
                <w:szCs w:val="21"/>
              </w:rPr>
              <w:t>129</w:t>
            </w:r>
          </w:p>
        </w:tc>
        <w:tc>
          <w:tcPr>
            <w:tcW w:w="905" w:type="dxa"/>
            <w:vAlign w:val="center"/>
          </w:tcPr>
          <w:p w:rsidR="007B4EE4" w:rsidRDefault="00B833D5">
            <w:pPr>
              <w:jc w:val="center"/>
            </w:pPr>
            <w:r>
              <w:rPr>
                <w:rFonts w:eastAsiaTheme="minorEastAsia"/>
                <w:color w:val="000000"/>
                <w:szCs w:val="21"/>
              </w:rPr>
              <w:t>China Merchants Land Limited</w:t>
            </w:r>
          </w:p>
        </w:tc>
        <w:tc>
          <w:tcPr>
            <w:tcW w:w="1015" w:type="dxa"/>
            <w:vAlign w:val="center"/>
          </w:tcPr>
          <w:p w:rsidR="007B4EE4" w:rsidRDefault="00B833D5">
            <w:pPr>
              <w:jc w:val="center"/>
            </w:pPr>
            <w:r>
              <w:rPr>
                <w:rFonts w:eastAsiaTheme="minorEastAsia"/>
                <w:color w:val="000000"/>
                <w:szCs w:val="21"/>
              </w:rPr>
              <w:t>招商局置地有限公司</w:t>
            </w:r>
          </w:p>
        </w:tc>
        <w:tc>
          <w:tcPr>
            <w:tcW w:w="1184" w:type="dxa"/>
            <w:vAlign w:val="center"/>
          </w:tcPr>
          <w:p w:rsidR="007B4EE4" w:rsidRDefault="00B833D5">
            <w:pPr>
              <w:jc w:val="center"/>
            </w:pPr>
            <w:r>
              <w:rPr>
                <w:rFonts w:eastAsiaTheme="minorEastAsia"/>
                <w:color w:val="000000"/>
                <w:szCs w:val="21"/>
              </w:rPr>
              <w:t>978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53,693</w:t>
            </w:r>
          </w:p>
        </w:tc>
        <w:tc>
          <w:tcPr>
            <w:tcW w:w="1690" w:type="dxa"/>
            <w:vAlign w:val="center"/>
          </w:tcPr>
          <w:p w:rsidR="007B4EE4" w:rsidRDefault="00B833D5">
            <w:pPr>
              <w:jc w:val="right"/>
            </w:pPr>
            <w:r>
              <w:rPr>
                <w:rFonts w:eastAsiaTheme="minorEastAsia"/>
                <w:color w:val="000000"/>
                <w:szCs w:val="21"/>
              </w:rPr>
              <w:t>58,363.95</w:t>
            </w:r>
          </w:p>
        </w:tc>
        <w:tc>
          <w:tcPr>
            <w:tcW w:w="997" w:type="dxa"/>
            <w:vAlign w:val="center"/>
          </w:tcPr>
          <w:p w:rsidR="007B4EE4" w:rsidRDefault="00B833D5">
            <w:pPr>
              <w:jc w:val="right"/>
            </w:pPr>
            <w:r>
              <w:rPr>
                <w:rFonts w:eastAsiaTheme="minorEastAsia"/>
                <w:color w:val="000000"/>
                <w:szCs w:val="21"/>
              </w:rPr>
              <w:t>0.25</w:t>
            </w:r>
          </w:p>
        </w:tc>
      </w:tr>
      <w:tr w:rsidR="007B4EE4">
        <w:trPr>
          <w:jc w:val="center"/>
        </w:trPr>
        <w:tc>
          <w:tcPr>
            <w:tcW w:w="771" w:type="dxa"/>
            <w:vAlign w:val="center"/>
          </w:tcPr>
          <w:p w:rsidR="007B4EE4" w:rsidRDefault="00B833D5">
            <w:pPr>
              <w:jc w:val="center"/>
            </w:pPr>
            <w:r>
              <w:rPr>
                <w:rFonts w:eastAsiaTheme="minorEastAsia"/>
                <w:color w:val="000000"/>
                <w:szCs w:val="21"/>
              </w:rPr>
              <w:t>130</w:t>
            </w:r>
          </w:p>
        </w:tc>
        <w:tc>
          <w:tcPr>
            <w:tcW w:w="905" w:type="dxa"/>
            <w:vAlign w:val="center"/>
          </w:tcPr>
          <w:p w:rsidR="007B4EE4" w:rsidRDefault="00B833D5">
            <w:pPr>
              <w:jc w:val="center"/>
            </w:pPr>
            <w:r>
              <w:rPr>
                <w:rFonts w:eastAsiaTheme="minorEastAsia"/>
                <w:color w:val="000000"/>
                <w:szCs w:val="21"/>
              </w:rPr>
              <w:t>Shanghai Industrial Urban Developm</w:t>
            </w:r>
            <w:r>
              <w:rPr>
                <w:rFonts w:eastAsiaTheme="minorEastAsia"/>
                <w:color w:val="000000"/>
                <w:szCs w:val="21"/>
              </w:rPr>
              <w:lastRenderedPageBreak/>
              <w:t>ent Group Limited</w:t>
            </w:r>
          </w:p>
        </w:tc>
        <w:tc>
          <w:tcPr>
            <w:tcW w:w="1015" w:type="dxa"/>
            <w:vAlign w:val="center"/>
          </w:tcPr>
          <w:p w:rsidR="007B4EE4" w:rsidRDefault="00B833D5">
            <w:pPr>
              <w:jc w:val="center"/>
            </w:pPr>
            <w:r>
              <w:rPr>
                <w:rFonts w:eastAsiaTheme="minorEastAsia"/>
                <w:color w:val="000000"/>
                <w:szCs w:val="21"/>
              </w:rPr>
              <w:lastRenderedPageBreak/>
              <w:t>上海实业城市开发集团有限公司</w:t>
            </w:r>
          </w:p>
        </w:tc>
        <w:tc>
          <w:tcPr>
            <w:tcW w:w="1184" w:type="dxa"/>
            <w:vAlign w:val="center"/>
          </w:tcPr>
          <w:p w:rsidR="007B4EE4" w:rsidRDefault="00B833D5">
            <w:pPr>
              <w:jc w:val="center"/>
            </w:pPr>
            <w:r>
              <w:rPr>
                <w:rFonts w:eastAsiaTheme="minorEastAsia"/>
                <w:color w:val="000000"/>
                <w:szCs w:val="21"/>
              </w:rPr>
              <w:t>563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71,372</w:t>
            </w:r>
          </w:p>
        </w:tc>
        <w:tc>
          <w:tcPr>
            <w:tcW w:w="1690" w:type="dxa"/>
            <w:vAlign w:val="center"/>
          </w:tcPr>
          <w:p w:rsidR="007B4EE4" w:rsidRDefault="00B833D5">
            <w:pPr>
              <w:jc w:val="right"/>
            </w:pPr>
            <w:r>
              <w:rPr>
                <w:rFonts w:eastAsiaTheme="minorEastAsia"/>
                <w:color w:val="000000"/>
                <w:szCs w:val="21"/>
              </w:rPr>
              <w:t>58,022.70</w:t>
            </w:r>
          </w:p>
        </w:tc>
        <w:tc>
          <w:tcPr>
            <w:tcW w:w="997" w:type="dxa"/>
            <w:vAlign w:val="center"/>
          </w:tcPr>
          <w:p w:rsidR="007B4EE4" w:rsidRDefault="00B833D5">
            <w:pPr>
              <w:jc w:val="right"/>
            </w:pPr>
            <w:r>
              <w:rPr>
                <w:rFonts w:eastAsiaTheme="minorEastAsia"/>
                <w:color w:val="000000"/>
                <w:szCs w:val="21"/>
              </w:rPr>
              <w:t>0.25</w:t>
            </w:r>
          </w:p>
        </w:tc>
      </w:tr>
      <w:tr w:rsidR="007B4EE4">
        <w:trPr>
          <w:jc w:val="center"/>
        </w:trPr>
        <w:tc>
          <w:tcPr>
            <w:tcW w:w="771" w:type="dxa"/>
            <w:vAlign w:val="center"/>
          </w:tcPr>
          <w:p w:rsidR="007B4EE4" w:rsidRDefault="00B833D5">
            <w:pPr>
              <w:jc w:val="center"/>
            </w:pPr>
            <w:r>
              <w:rPr>
                <w:rFonts w:eastAsiaTheme="minorEastAsia"/>
                <w:color w:val="000000"/>
                <w:szCs w:val="21"/>
              </w:rPr>
              <w:t>131</w:t>
            </w:r>
          </w:p>
        </w:tc>
        <w:tc>
          <w:tcPr>
            <w:tcW w:w="905" w:type="dxa"/>
            <w:vAlign w:val="center"/>
          </w:tcPr>
          <w:p w:rsidR="007B4EE4" w:rsidRDefault="00B833D5">
            <w:pPr>
              <w:jc w:val="center"/>
            </w:pPr>
            <w:r>
              <w:rPr>
                <w:rFonts w:eastAsiaTheme="minorEastAsia"/>
                <w:color w:val="000000"/>
                <w:szCs w:val="21"/>
              </w:rPr>
              <w:t>Sa Sa International Holdings Ltd.</w:t>
            </w:r>
          </w:p>
        </w:tc>
        <w:tc>
          <w:tcPr>
            <w:tcW w:w="1015" w:type="dxa"/>
            <w:vAlign w:val="center"/>
          </w:tcPr>
          <w:p w:rsidR="007B4EE4" w:rsidRDefault="00B833D5">
            <w:pPr>
              <w:jc w:val="center"/>
            </w:pPr>
            <w:r>
              <w:rPr>
                <w:rFonts w:eastAsiaTheme="minorEastAsia"/>
                <w:color w:val="000000"/>
                <w:szCs w:val="21"/>
              </w:rPr>
              <w:t>莎莎国际控股有限公司</w:t>
            </w:r>
          </w:p>
        </w:tc>
        <w:tc>
          <w:tcPr>
            <w:tcW w:w="1184" w:type="dxa"/>
            <w:vAlign w:val="center"/>
          </w:tcPr>
          <w:p w:rsidR="007B4EE4" w:rsidRDefault="00B833D5">
            <w:pPr>
              <w:jc w:val="center"/>
            </w:pPr>
            <w:r>
              <w:rPr>
                <w:rFonts w:eastAsiaTheme="minorEastAsia"/>
                <w:color w:val="000000"/>
                <w:szCs w:val="21"/>
              </w:rPr>
              <w:t>178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48,664</w:t>
            </w:r>
          </w:p>
        </w:tc>
        <w:tc>
          <w:tcPr>
            <w:tcW w:w="1690" w:type="dxa"/>
            <w:vAlign w:val="center"/>
          </w:tcPr>
          <w:p w:rsidR="007B4EE4" w:rsidRDefault="00B833D5">
            <w:pPr>
              <w:jc w:val="right"/>
            </w:pPr>
            <w:r>
              <w:rPr>
                <w:rFonts w:eastAsiaTheme="minorEastAsia"/>
                <w:color w:val="000000"/>
                <w:szCs w:val="21"/>
              </w:rPr>
              <w:t>57,787.14</w:t>
            </w:r>
          </w:p>
        </w:tc>
        <w:tc>
          <w:tcPr>
            <w:tcW w:w="997" w:type="dxa"/>
            <w:vAlign w:val="center"/>
          </w:tcPr>
          <w:p w:rsidR="007B4EE4" w:rsidRDefault="00B833D5">
            <w:pPr>
              <w:jc w:val="right"/>
            </w:pPr>
            <w:r>
              <w:rPr>
                <w:rFonts w:eastAsiaTheme="minorEastAsia"/>
                <w:color w:val="000000"/>
                <w:szCs w:val="21"/>
              </w:rPr>
              <w:t>0.25</w:t>
            </w:r>
          </w:p>
        </w:tc>
      </w:tr>
      <w:tr w:rsidR="007B4EE4">
        <w:trPr>
          <w:jc w:val="center"/>
        </w:trPr>
        <w:tc>
          <w:tcPr>
            <w:tcW w:w="771" w:type="dxa"/>
            <w:vAlign w:val="center"/>
          </w:tcPr>
          <w:p w:rsidR="007B4EE4" w:rsidRDefault="00B833D5">
            <w:pPr>
              <w:jc w:val="center"/>
            </w:pPr>
            <w:r>
              <w:rPr>
                <w:rFonts w:eastAsiaTheme="minorEastAsia"/>
                <w:color w:val="000000"/>
                <w:szCs w:val="21"/>
              </w:rPr>
              <w:t>132</w:t>
            </w:r>
          </w:p>
        </w:tc>
        <w:tc>
          <w:tcPr>
            <w:tcW w:w="905" w:type="dxa"/>
            <w:vAlign w:val="center"/>
          </w:tcPr>
          <w:p w:rsidR="007B4EE4" w:rsidRDefault="00B833D5">
            <w:pPr>
              <w:jc w:val="center"/>
            </w:pPr>
            <w:r>
              <w:rPr>
                <w:rFonts w:eastAsiaTheme="minorEastAsia"/>
                <w:color w:val="000000"/>
                <w:szCs w:val="21"/>
              </w:rPr>
              <w:t>Jnby Design Limited</w:t>
            </w:r>
          </w:p>
        </w:tc>
        <w:tc>
          <w:tcPr>
            <w:tcW w:w="1015" w:type="dxa"/>
            <w:vAlign w:val="center"/>
          </w:tcPr>
          <w:p w:rsidR="007B4EE4" w:rsidRDefault="00B833D5">
            <w:pPr>
              <w:jc w:val="center"/>
            </w:pPr>
            <w:r>
              <w:rPr>
                <w:rFonts w:eastAsiaTheme="minorEastAsia"/>
                <w:color w:val="000000"/>
                <w:szCs w:val="21"/>
              </w:rPr>
              <w:t>江南布衣有限公司</w:t>
            </w:r>
          </w:p>
        </w:tc>
        <w:tc>
          <w:tcPr>
            <w:tcW w:w="1184" w:type="dxa"/>
            <w:vAlign w:val="center"/>
          </w:tcPr>
          <w:p w:rsidR="007B4EE4" w:rsidRDefault="00B833D5">
            <w:pPr>
              <w:jc w:val="center"/>
            </w:pPr>
            <w:r>
              <w:rPr>
                <w:rFonts w:eastAsiaTheme="minorEastAsia"/>
                <w:color w:val="000000"/>
                <w:szCs w:val="21"/>
              </w:rPr>
              <w:t>3306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8,135</w:t>
            </w:r>
          </w:p>
        </w:tc>
        <w:tc>
          <w:tcPr>
            <w:tcW w:w="1690" w:type="dxa"/>
            <w:vAlign w:val="center"/>
          </w:tcPr>
          <w:p w:rsidR="007B4EE4" w:rsidRDefault="00B833D5">
            <w:pPr>
              <w:jc w:val="right"/>
            </w:pPr>
            <w:r>
              <w:rPr>
                <w:rFonts w:eastAsiaTheme="minorEastAsia"/>
                <w:color w:val="000000"/>
                <w:szCs w:val="21"/>
              </w:rPr>
              <w:t>57,737.58</w:t>
            </w:r>
          </w:p>
        </w:tc>
        <w:tc>
          <w:tcPr>
            <w:tcW w:w="997" w:type="dxa"/>
            <w:vAlign w:val="center"/>
          </w:tcPr>
          <w:p w:rsidR="007B4EE4" w:rsidRDefault="00B833D5">
            <w:pPr>
              <w:jc w:val="right"/>
            </w:pPr>
            <w:r>
              <w:rPr>
                <w:rFonts w:eastAsiaTheme="minorEastAsia"/>
                <w:color w:val="000000"/>
                <w:szCs w:val="21"/>
              </w:rPr>
              <w:t>0.25</w:t>
            </w:r>
          </w:p>
        </w:tc>
      </w:tr>
      <w:tr w:rsidR="007B4EE4">
        <w:trPr>
          <w:jc w:val="center"/>
        </w:trPr>
        <w:tc>
          <w:tcPr>
            <w:tcW w:w="771" w:type="dxa"/>
            <w:vAlign w:val="center"/>
          </w:tcPr>
          <w:p w:rsidR="007B4EE4" w:rsidRDefault="00B833D5">
            <w:pPr>
              <w:jc w:val="center"/>
            </w:pPr>
            <w:r>
              <w:rPr>
                <w:rFonts w:eastAsiaTheme="minorEastAsia"/>
                <w:color w:val="000000"/>
                <w:szCs w:val="21"/>
              </w:rPr>
              <w:t>133</w:t>
            </w:r>
          </w:p>
        </w:tc>
        <w:tc>
          <w:tcPr>
            <w:tcW w:w="905" w:type="dxa"/>
            <w:vAlign w:val="center"/>
          </w:tcPr>
          <w:p w:rsidR="007B4EE4" w:rsidRDefault="00B833D5">
            <w:pPr>
              <w:jc w:val="center"/>
            </w:pPr>
            <w:r>
              <w:rPr>
                <w:rFonts w:eastAsiaTheme="minorEastAsia"/>
                <w:color w:val="000000"/>
                <w:szCs w:val="21"/>
              </w:rPr>
              <w:t>Colour Life Services Group Co., Limited</w:t>
            </w:r>
          </w:p>
        </w:tc>
        <w:tc>
          <w:tcPr>
            <w:tcW w:w="1015" w:type="dxa"/>
            <w:vAlign w:val="center"/>
          </w:tcPr>
          <w:p w:rsidR="007B4EE4" w:rsidRDefault="00B833D5">
            <w:pPr>
              <w:jc w:val="center"/>
            </w:pPr>
            <w:r>
              <w:rPr>
                <w:rFonts w:eastAsiaTheme="minorEastAsia"/>
                <w:color w:val="000000"/>
                <w:szCs w:val="21"/>
              </w:rPr>
              <w:t>彩生活服务集团有限公司</w:t>
            </w:r>
          </w:p>
        </w:tc>
        <w:tc>
          <w:tcPr>
            <w:tcW w:w="1184" w:type="dxa"/>
            <w:vAlign w:val="center"/>
          </w:tcPr>
          <w:p w:rsidR="007B4EE4" w:rsidRDefault="00B833D5">
            <w:pPr>
              <w:jc w:val="center"/>
            </w:pPr>
            <w:r>
              <w:rPr>
                <w:rFonts w:eastAsiaTheme="minorEastAsia"/>
                <w:color w:val="000000"/>
                <w:szCs w:val="21"/>
              </w:rPr>
              <w:t>1778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16,733</w:t>
            </w:r>
          </w:p>
        </w:tc>
        <w:tc>
          <w:tcPr>
            <w:tcW w:w="1690" w:type="dxa"/>
            <w:vAlign w:val="center"/>
          </w:tcPr>
          <w:p w:rsidR="007B4EE4" w:rsidRDefault="00B833D5">
            <w:pPr>
              <w:jc w:val="right"/>
            </w:pPr>
            <w:r>
              <w:rPr>
                <w:rFonts w:eastAsiaTheme="minorEastAsia"/>
                <w:color w:val="000000"/>
                <w:szCs w:val="21"/>
              </w:rPr>
              <w:t>56,552.99</w:t>
            </w:r>
          </w:p>
        </w:tc>
        <w:tc>
          <w:tcPr>
            <w:tcW w:w="997" w:type="dxa"/>
            <w:vAlign w:val="center"/>
          </w:tcPr>
          <w:p w:rsidR="007B4EE4" w:rsidRDefault="00B833D5">
            <w:pPr>
              <w:jc w:val="right"/>
            </w:pPr>
            <w:r>
              <w:rPr>
                <w:rFonts w:eastAsiaTheme="minorEastAsia"/>
                <w:color w:val="000000"/>
                <w:szCs w:val="21"/>
              </w:rPr>
              <w:t>0.24</w:t>
            </w:r>
          </w:p>
        </w:tc>
      </w:tr>
      <w:tr w:rsidR="007B4EE4">
        <w:trPr>
          <w:jc w:val="center"/>
        </w:trPr>
        <w:tc>
          <w:tcPr>
            <w:tcW w:w="771" w:type="dxa"/>
            <w:vAlign w:val="center"/>
          </w:tcPr>
          <w:p w:rsidR="007B4EE4" w:rsidRDefault="00B833D5">
            <w:pPr>
              <w:jc w:val="center"/>
            </w:pPr>
            <w:r>
              <w:rPr>
                <w:rFonts w:eastAsiaTheme="minorEastAsia"/>
                <w:color w:val="000000"/>
                <w:szCs w:val="21"/>
              </w:rPr>
              <w:t>134</w:t>
            </w:r>
          </w:p>
        </w:tc>
        <w:tc>
          <w:tcPr>
            <w:tcW w:w="905" w:type="dxa"/>
            <w:vAlign w:val="center"/>
          </w:tcPr>
          <w:p w:rsidR="007B4EE4" w:rsidRDefault="00B833D5">
            <w:pPr>
              <w:jc w:val="center"/>
            </w:pPr>
            <w:r>
              <w:rPr>
                <w:rFonts w:eastAsiaTheme="minorEastAsia"/>
                <w:color w:val="000000"/>
                <w:szCs w:val="21"/>
              </w:rPr>
              <w:t>China Aircraft Leasing Group Holdings Limited</w:t>
            </w:r>
          </w:p>
        </w:tc>
        <w:tc>
          <w:tcPr>
            <w:tcW w:w="1015" w:type="dxa"/>
            <w:vAlign w:val="center"/>
          </w:tcPr>
          <w:p w:rsidR="007B4EE4" w:rsidRDefault="00B833D5">
            <w:pPr>
              <w:jc w:val="center"/>
            </w:pPr>
            <w:r>
              <w:rPr>
                <w:rFonts w:eastAsiaTheme="minorEastAsia"/>
                <w:color w:val="000000"/>
                <w:szCs w:val="21"/>
              </w:rPr>
              <w:t>中国飞机租赁集团控股有限公司</w:t>
            </w:r>
          </w:p>
        </w:tc>
        <w:tc>
          <w:tcPr>
            <w:tcW w:w="1184" w:type="dxa"/>
            <w:vAlign w:val="center"/>
          </w:tcPr>
          <w:p w:rsidR="007B4EE4" w:rsidRDefault="00B833D5">
            <w:pPr>
              <w:jc w:val="center"/>
            </w:pPr>
            <w:r>
              <w:rPr>
                <w:rFonts w:eastAsiaTheme="minorEastAsia"/>
                <w:color w:val="000000"/>
                <w:szCs w:val="21"/>
              </w:rPr>
              <w:t>1848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9,293</w:t>
            </w:r>
          </w:p>
        </w:tc>
        <w:tc>
          <w:tcPr>
            <w:tcW w:w="1690" w:type="dxa"/>
            <w:vAlign w:val="center"/>
          </w:tcPr>
          <w:p w:rsidR="007B4EE4" w:rsidRDefault="00B833D5">
            <w:pPr>
              <w:jc w:val="right"/>
            </w:pPr>
            <w:r>
              <w:rPr>
                <w:rFonts w:eastAsiaTheme="minorEastAsia"/>
                <w:color w:val="000000"/>
                <w:szCs w:val="21"/>
              </w:rPr>
              <w:t>53,393.28</w:t>
            </w:r>
          </w:p>
        </w:tc>
        <w:tc>
          <w:tcPr>
            <w:tcW w:w="997" w:type="dxa"/>
            <w:vAlign w:val="center"/>
          </w:tcPr>
          <w:p w:rsidR="007B4EE4" w:rsidRDefault="00B833D5">
            <w:pPr>
              <w:jc w:val="right"/>
            </w:pPr>
            <w:r>
              <w:rPr>
                <w:rFonts w:eastAsiaTheme="minorEastAsia"/>
                <w:color w:val="000000"/>
                <w:szCs w:val="21"/>
              </w:rPr>
              <w:t>0.23</w:t>
            </w:r>
          </w:p>
        </w:tc>
      </w:tr>
      <w:tr w:rsidR="007B4EE4">
        <w:trPr>
          <w:jc w:val="center"/>
        </w:trPr>
        <w:tc>
          <w:tcPr>
            <w:tcW w:w="771" w:type="dxa"/>
            <w:vAlign w:val="center"/>
          </w:tcPr>
          <w:p w:rsidR="007B4EE4" w:rsidRDefault="00B833D5">
            <w:pPr>
              <w:jc w:val="center"/>
            </w:pPr>
            <w:r>
              <w:rPr>
                <w:rFonts w:eastAsiaTheme="minorEastAsia"/>
                <w:color w:val="000000"/>
                <w:szCs w:val="21"/>
              </w:rPr>
              <w:t>135</w:t>
            </w:r>
          </w:p>
        </w:tc>
        <w:tc>
          <w:tcPr>
            <w:tcW w:w="905" w:type="dxa"/>
            <w:vAlign w:val="center"/>
          </w:tcPr>
          <w:p w:rsidR="007B4EE4" w:rsidRDefault="00B833D5">
            <w:pPr>
              <w:jc w:val="center"/>
            </w:pPr>
            <w:r>
              <w:rPr>
                <w:rFonts w:eastAsiaTheme="minorEastAsia"/>
                <w:color w:val="000000"/>
                <w:szCs w:val="21"/>
              </w:rPr>
              <w:t>Truly International Holdings Ltd.</w:t>
            </w:r>
          </w:p>
        </w:tc>
        <w:tc>
          <w:tcPr>
            <w:tcW w:w="1015" w:type="dxa"/>
            <w:vAlign w:val="center"/>
          </w:tcPr>
          <w:p w:rsidR="007B4EE4" w:rsidRDefault="00B833D5">
            <w:pPr>
              <w:jc w:val="center"/>
            </w:pPr>
            <w:r>
              <w:rPr>
                <w:rFonts w:eastAsiaTheme="minorEastAsia"/>
                <w:color w:val="000000"/>
                <w:szCs w:val="21"/>
              </w:rPr>
              <w:t>信利国际有限公司</w:t>
            </w:r>
          </w:p>
        </w:tc>
        <w:tc>
          <w:tcPr>
            <w:tcW w:w="1184" w:type="dxa"/>
            <w:vAlign w:val="center"/>
          </w:tcPr>
          <w:p w:rsidR="007B4EE4" w:rsidRDefault="00B833D5">
            <w:pPr>
              <w:jc w:val="center"/>
            </w:pPr>
            <w:r>
              <w:rPr>
                <w:rFonts w:eastAsiaTheme="minorEastAsia"/>
                <w:color w:val="000000"/>
                <w:szCs w:val="21"/>
              </w:rPr>
              <w:t>732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72,000</w:t>
            </w:r>
          </w:p>
        </w:tc>
        <w:tc>
          <w:tcPr>
            <w:tcW w:w="1690" w:type="dxa"/>
            <w:vAlign w:val="center"/>
          </w:tcPr>
          <w:p w:rsidR="007B4EE4" w:rsidRDefault="00B833D5">
            <w:pPr>
              <w:jc w:val="right"/>
            </w:pPr>
            <w:r>
              <w:rPr>
                <w:rFonts w:eastAsiaTheme="minorEastAsia"/>
                <w:color w:val="000000"/>
                <w:szCs w:val="21"/>
              </w:rPr>
              <w:t>53,271.82</w:t>
            </w:r>
          </w:p>
        </w:tc>
        <w:tc>
          <w:tcPr>
            <w:tcW w:w="997" w:type="dxa"/>
            <w:vAlign w:val="center"/>
          </w:tcPr>
          <w:p w:rsidR="007B4EE4" w:rsidRDefault="00B833D5">
            <w:pPr>
              <w:jc w:val="right"/>
            </w:pPr>
            <w:r>
              <w:rPr>
                <w:rFonts w:eastAsiaTheme="minorEastAsia"/>
                <w:color w:val="000000"/>
                <w:szCs w:val="21"/>
              </w:rPr>
              <w:t>0.23</w:t>
            </w:r>
          </w:p>
        </w:tc>
      </w:tr>
      <w:tr w:rsidR="007B4EE4">
        <w:trPr>
          <w:jc w:val="center"/>
        </w:trPr>
        <w:tc>
          <w:tcPr>
            <w:tcW w:w="771" w:type="dxa"/>
            <w:vAlign w:val="center"/>
          </w:tcPr>
          <w:p w:rsidR="007B4EE4" w:rsidRDefault="00B833D5">
            <w:pPr>
              <w:jc w:val="center"/>
            </w:pPr>
            <w:r>
              <w:rPr>
                <w:rFonts w:eastAsiaTheme="minorEastAsia"/>
                <w:color w:val="000000"/>
                <w:szCs w:val="21"/>
              </w:rPr>
              <w:t>136</w:t>
            </w:r>
          </w:p>
        </w:tc>
        <w:tc>
          <w:tcPr>
            <w:tcW w:w="905" w:type="dxa"/>
            <w:vAlign w:val="center"/>
          </w:tcPr>
          <w:p w:rsidR="007B4EE4" w:rsidRDefault="00B833D5">
            <w:pPr>
              <w:jc w:val="center"/>
            </w:pPr>
            <w:r>
              <w:rPr>
                <w:rFonts w:eastAsiaTheme="minorEastAsia"/>
                <w:color w:val="000000"/>
                <w:szCs w:val="21"/>
              </w:rPr>
              <w:t>China Shineway Pharmaceutical Group Ltd</w:t>
            </w:r>
          </w:p>
        </w:tc>
        <w:tc>
          <w:tcPr>
            <w:tcW w:w="1015" w:type="dxa"/>
            <w:vAlign w:val="center"/>
          </w:tcPr>
          <w:p w:rsidR="007B4EE4" w:rsidRDefault="00B833D5">
            <w:pPr>
              <w:jc w:val="center"/>
            </w:pPr>
            <w:r>
              <w:rPr>
                <w:rFonts w:eastAsiaTheme="minorEastAsia"/>
                <w:color w:val="000000"/>
                <w:szCs w:val="21"/>
              </w:rPr>
              <w:t>中国神威药业集团有限公司</w:t>
            </w:r>
          </w:p>
        </w:tc>
        <w:tc>
          <w:tcPr>
            <w:tcW w:w="1184" w:type="dxa"/>
            <w:vAlign w:val="center"/>
          </w:tcPr>
          <w:p w:rsidR="007B4EE4" w:rsidRDefault="00B833D5">
            <w:pPr>
              <w:jc w:val="center"/>
            </w:pPr>
            <w:r>
              <w:rPr>
                <w:rFonts w:eastAsiaTheme="minorEastAsia"/>
                <w:color w:val="000000"/>
                <w:szCs w:val="21"/>
              </w:rPr>
              <w:t>2877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11,347</w:t>
            </w:r>
          </w:p>
        </w:tc>
        <w:tc>
          <w:tcPr>
            <w:tcW w:w="1690" w:type="dxa"/>
            <w:vAlign w:val="center"/>
          </w:tcPr>
          <w:p w:rsidR="007B4EE4" w:rsidRDefault="00B833D5">
            <w:pPr>
              <w:jc w:val="right"/>
            </w:pPr>
            <w:r>
              <w:rPr>
                <w:rFonts w:eastAsiaTheme="minorEastAsia"/>
                <w:color w:val="000000"/>
                <w:szCs w:val="21"/>
              </w:rPr>
              <w:t>52,964.15</w:t>
            </w:r>
          </w:p>
        </w:tc>
        <w:tc>
          <w:tcPr>
            <w:tcW w:w="997" w:type="dxa"/>
            <w:vAlign w:val="center"/>
          </w:tcPr>
          <w:p w:rsidR="007B4EE4" w:rsidRDefault="00B833D5">
            <w:pPr>
              <w:jc w:val="right"/>
            </w:pPr>
            <w:r>
              <w:rPr>
                <w:rFonts w:eastAsiaTheme="minorEastAsia"/>
                <w:color w:val="000000"/>
                <w:szCs w:val="21"/>
              </w:rPr>
              <w:t>0.23</w:t>
            </w:r>
          </w:p>
        </w:tc>
      </w:tr>
      <w:tr w:rsidR="007B4EE4">
        <w:trPr>
          <w:jc w:val="center"/>
        </w:trPr>
        <w:tc>
          <w:tcPr>
            <w:tcW w:w="771" w:type="dxa"/>
            <w:vAlign w:val="center"/>
          </w:tcPr>
          <w:p w:rsidR="007B4EE4" w:rsidRDefault="00B833D5">
            <w:pPr>
              <w:jc w:val="center"/>
            </w:pPr>
            <w:r>
              <w:rPr>
                <w:rFonts w:eastAsiaTheme="minorEastAsia"/>
                <w:color w:val="000000"/>
                <w:szCs w:val="21"/>
              </w:rPr>
              <w:t>137</w:t>
            </w:r>
          </w:p>
        </w:tc>
        <w:tc>
          <w:tcPr>
            <w:tcW w:w="905" w:type="dxa"/>
            <w:vAlign w:val="center"/>
          </w:tcPr>
          <w:p w:rsidR="007B4EE4" w:rsidRDefault="00B833D5">
            <w:pPr>
              <w:jc w:val="center"/>
            </w:pPr>
            <w:r>
              <w:rPr>
                <w:rFonts w:eastAsiaTheme="minorEastAsia"/>
                <w:color w:val="000000"/>
                <w:szCs w:val="21"/>
              </w:rPr>
              <w:t>Giordano International Ltd.</w:t>
            </w:r>
          </w:p>
        </w:tc>
        <w:tc>
          <w:tcPr>
            <w:tcW w:w="1015" w:type="dxa"/>
            <w:vAlign w:val="center"/>
          </w:tcPr>
          <w:p w:rsidR="007B4EE4" w:rsidRDefault="00B833D5">
            <w:pPr>
              <w:jc w:val="center"/>
            </w:pPr>
            <w:r>
              <w:rPr>
                <w:rFonts w:eastAsiaTheme="minorEastAsia"/>
                <w:color w:val="000000"/>
                <w:szCs w:val="21"/>
              </w:rPr>
              <w:t>佐丹奴国际有限公司</w:t>
            </w:r>
          </w:p>
        </w:tc>
        <w:tc>
          <w:tcPr>
            <w:tcW w:w="1184" w:type="dxa"/>
            <w:vAlign w:val="center"/>
          </w:tcPr>
          <w:p w:rsidR="007B4EE4" w:rsidRDefault="00B833D5">
            <w:pPr>
              <w:jc w:val="center"/>
            </w:pPr>
            <w:r>
              <w:rPr>
                <w:rFonts w:eastAsiaTheme="minorEastAsia"/>
                <w:color w:val="000000"/>
                <w:szCs w:val="21"/>
              </w:rPr>
              <w:t>709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49,508</w:t>
            </w:r>
          </w:p>
        </w:tc>
        <w:tc>
          <w:tcPr>
            <w:tcW w:w="1690" w:type="dxa"/>
            <w:vAlign w:val="center"/>
          </w:tcPr>
          <w:p w:rsidR="007B4EE4" w:rsidRDefault="00B833D5">
            <w:pPr>
              <w:jc w:val="right"/>
            </w:pPr>
            <w:r>
              <w:rPr>
                <w:rFonts w:eastAsiaTheme="minorEastAsia"/>
                <w:color w:val="000000"/>
                <w:szCs w:val="21"/>
              </w:rPr>
              <w:t>52,910.43</w:t>
            </w:r>
          </w:p>
        </w:tc>
        <w:tc>
          <w:tcPr>
            <w:tcW w:w="997" w:type="dxa"/>
            <w:vAlign w:val="center"/>
          </w:tcPr>
          <w:p w:rsidR="007B4EE4" w:rsidRDefault="00B833D5">
            <w:pPr>
              <w:jc w:val="right"/>
            </w:pPr>
            <w:r>
              <w:rPr>
                <w:rFonts w:eastAsiaTheme="minorEastAsia"/>
                <w:color w:val="000000"/>
                <w:szCs w:val="21"/>
              </w:rPr>
              <w:t>0.23</w:t>
            </w:r>
          </w:p>
        </w:tc>
      </w:tr>
      <w:tr w:rsidR="007B4EE4">
        <w:trPr>
          <w:jc w:val="center"/>
        </w:trPr>
        <w:tc>
          <w:tcPr>
            <w:tcW w:w="771" w:type="dxa"/>
            <w:vAlign w:val="center"/>
          </w:tcPr>
          <w:p w:rsidR="007B4EE4" w:rsidRDefault="00B833D5">
            <w:pPr>
              <w:jc w:val="center"/>
            </w:pPr>
            <w:r>
              <w:rPr>
                <w:rFonts w:eastAsiaTheme="minorEastAsia"/>
                <w:color w:val="000000"/>
                <w:szCs w:val="21"/>
              </w:rPr>
              <w:t>138</w:t>
            </w:r>
          </w:p>
        </w:tc>
        <w:tc>
          <w:tcPr>
            <w:tcW w:w="905" w:type="dxa"/>
            <w:vAlign w:val="center"/>
          </w:tcPr>
          <w:p w:rsidR="007B4EE4" w:rsidRDefault="00B833D5">
            <w:pPr>
              <w:jc w:val="center"/>
            </w:pPr>
            <w:r>
              <w:rPr>
                <w:rFonts w:eastAsiaTheme="minorEastAsia"/>
                <w:color w:val="000000"/>
                <w:szCs w:val="21"/>
              </w:rPr>
              <w:t>SmarTone Telecommunications Holdings Ltd.</w:t>
            </w:r>
          </w:p>
        </w:tc>
        <w:tc>
          <w:tcPr>
            <w:tcW w:w="1015" w:type="dxa"/>
            <w:vAlign w:val="center"/>
          </w:tcPr>
          <w:p w:rsidR="007B4EE4" w:rsidRDefault="00B833D5">
            <w:pPr>
              <w:jc w:val="center"/>
            </w:pPr>
            <w:r>
              <w:rPr>
                <w:rFonts w:eastAsiaTheme="minorEastAsia"/>
                <w:color w:val="000000"/>
                <w:szCs w:val="21"/>
              </w:rPr>
              <w:t>数码通电讯集团有限公司</w:t>
            </w:r>
          </w:p>
        </w:tc>
        <w:tc>
          <w:tcPr>
            <w:tcW w:w="1184" w:type="dxa"/>
            <w:vAlign w:val="center"/>
          </w:tcPr>
          <w:p w:rsidR="007B4EE4" w:rsidRDefault="00B833D5">
            <w:pPr>
              <w:jc w:val="center"/>
            </w:pPr>
            <w:r>
              <w:rPr>
                <w:rFonts w:eastAsiaTheme="minorEastAsia"/>
                <w:color w:val="000000"/>
                <w:szCs w:val="21"/>
              </w:rPr>
              <w:t>315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13,192</w:t>
            </w:r>
          </w:p>
        </w:tc>
        <w:tc>
          <w:tcPr>
            <w:tcW w:w="1690" w:type="dxa"/>
            <w:vAlign w:val="center"/>
          </w:tcPr>
          <w:p w:rsidR="007B4EE4" w:rsidRDefault="00B833D5">
            <w:pPr>
              <w:jc w:val="right"/>
            </w:pPr>
            <w:r>
              <w:rPr>
                <w:rFonts w:eastAsiaTheme="minorEastAsia"/>
                <w:color w:val="000000"/>
                <w:szCs w:val="21"/>
              </w:rPr>
              <w:t>50,007.92</w:t>
            </w:r>
          </w:p>
        </w:tc>
        <w:tc>
          <w:tcPr>
            <w:tcW w:w="997" w:type="dxa"/>
            <w:vAlign w:val="center"/>
          </w:tcPr>
          <w:p w:rsidR="007B4EE4" w:rsidRDefault="00B833D5">
            <w:pPr>
              <w:jc w:val="right"/>
            </w:pPr>
            <w:r>
              <w:rPr>
                <w:rFonts w:eastAsiaTheme="minorEastAsia"/>
                <w:color w:val="000000"/>
                <w:szCs w:val="21"/>
              </w:rPr>
              <w:t>0.21</w:t>
            </w:r>
          </w:p>
        </w:tc>
      </w:tr>
      <w:tr w:rsidR="007B4EE4">
        <w:trPr>
          <w:jc w:val="center"/>
        </w:trPr>
        <w:tc>
          <w:tcPr>
            <w:tcW w:w="771" w:type="dxa"/>
            <w:vAlign w:val="center"/>
          </w:tcPr>
          <w:p w:rsidR="007B4EE4" w:rsidRDefault="00B833D5">
            <w:pPr>
              <w:jc w:val="center"/>
            </w:pPr>
            <w:r>
              <w:rPr>
                <w:rFonts w:eastAsiaTheme="minorEastAsia"/>
                <w:color w:val="000000"/>
                <w:szCs w:val="21"/>
              </w:rPr>
              <w:t>139</w:t>
            </w:r>
          </w:p>
        </w:tc>
        <w:tc>
          <w:tcPr>
            <w:tcW w:w="905" w:type="dxa"/>
            <w:vAlign w:val="center"/>
          </w:tcPr>
          <w:p w:rsidR="007B4EE4" w:rsidRDefault="00B833D5">
            <w:pPr>
              <w:jc w:val="center"/>
            </w:pPr>
            <w:r>
              <w:rPr>
                <w:rFonts w:eastAsiaTheme="minorEastAsia"/>
                <w:color w:val="000000"/>
                <w:szCs w:val="21"/>
              </w:rPr>
              <w:t xml:space="preserve">CSSC Offshore &amp; Marine Engineering </w:t>
            </w:r>
            <w:r>
              <w:rPr>
                <w:rFonts w:eastAsiaTheme="minorEastAsia"/>
                <w:color w:val="000000"/>
                <w:szCs w:val="21"/>
              </w:rPr>
              <w:lastRenderedPageBreak/>
              <w:t>(Group) Company Limited</w:t>
            </w:r>
          </w:p>
        </w:tc>
        <w:tc>
          <w:tcPr>
            <w:tcW w:w="1015" w:type="dxa"/>
            <w:vAlign w:val="center"/>
          </w:tcPr>
          <w:p w:rsidR="007B4EE4" w:rsidRDefault="00B833D5">
            <w:pPr>
              <w:jc w:val="center"/>
            </w:pPr>
            <w:r>
              <w:rPr>
                <w:rFonts w:eastAsiaTheme="minorEastAsia"/>
                <w:color w:val="000000"/>
                <w:szCs w:val="21"/>
              </w:rPr>
              <w:lastRenderedPageBreak/>
              <w:t>中船海洋与防务装备股份有限公司</w:t>
            </w:r>
          </w:p>
        </w:tc>
        <w:tc>
          <w:tcPr>
            <w:tcW w:w="1184" w:type="dxa"/>
            <w:vAlign w:val="center"/>
          </w:tcPr>
          <w:p w:rsidR="007B4EE4" w:rsidRDefault="00B833D5">
            <w:pPr>
              <w:jc w:val="center"/>
            </w:pPr>
            <w:r>
              <w:rPr>
                <w:rFonts w:eastAsiaTheme="minorEastAsia"/>
                <w:color w:val="000000"/>
                <w:szCs w:val="21"/>
              </w:rPr>
              <w:t>317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10,445</w:t>
            </w:r>
          </w:p>
        </w:tc>
        <w:tc>
          <w:tcPr>
            <w:tcW w:w="1690" w:type="dxa"/>
            <w:vAlign w:val="center"/>
          </w:tcPr>
          <w:p w:rsidR="007B4EE4" w:rsidRDefault="00B833D5">
            <w:pPr>
              <w:jc w:val="right"/>
            </w:pPr>
            <w:r>
              <w:rPr>
                <w:rFonts w:eastAsiaTheme="minorEastAsia"/>
                <w:color w:val="000000"/>
                <w:szCs w:val="21"/>
              </w:rPr>
              <w:t>49,612.58</w:t>
            </w:r>
          </w:p>
        </w:tc>
        <w:tc>
          <w:tcPr>
            <w:tcW w:w="997" w:type="dxa"/>
            <w:vAlign w:val="center"/>
          </w:tcPr>
          <w:p w:rsidR="007B4EE4" w:rsidRDefault="00B833D5">
            <w:pPr>
              <w:jc w:val="right"/>
            </w:pPr>
            <w:r>
              <w:rPr>
                <w:rFonts w:eastAsiaTheme="minorEastAsia"/>
                <w:color w:val="000000"/>
                <w:szCs w:val="21"/>
              </w:rPr>
              <w:t>0.21</w:t>
            </w:r>
          </w:p>
        </w:tc>
      </w:tr>
      <w:tr w:rsidR="007B4EE4">
        <w:trPr>
          <w:jc w:val="center"/>
        </w:trPr>
        <w:tc>
          <w:tcPr>
            <w:tcW w:w="771" w:type="dxa"/>
            <w:vAlign w:val="center"/>
          </w:tcPr>
          <w:p w:rsidR="007B4EE4" w:rsidRDefault="00B833D5">
            <w:pPr>
              <w:jc w:val="center"/>
            </w:pPr>
            <w:r>
              <w:rPr>
                <w:rFonts w:eastAsiaTheme="minorEastAsia"/>
                <w:color w:val="000000"/>
                <w:szCs w:val="21"/>
              </w:rPr>
              <w:t>140</w:t>
            </w:r>
          </w:p>
        </w:tc>
        <w:tc>
          <w:tcPr>
            <w:tcW w:w="905" w:type="dxa"/>
            <w:vAlign w:val="center"/>
          </w:tcPr>
          <w:p w:rsidR="007B4EE4" w:rsidRDefault="00B833D5">
            <w:pPr>
              <w:jc w:val="center"/>
            </w:pPr>
            <w:r>
              <w:rPr>
                <w:rFonts w:eastAsiaTheme="minorEastAsia"/>
                <w:color w:val="000000"/>
                <w:szCs w:val="21"/>
              </w:rPr>
              <w:t>Consun Pharmaceutical Group Limited</w:t>
            </w:r>
          </w:p>
        </w:tc>
        <w:tc>
          <w:tcPr>
            <w:tcW w:w="1015" w:type="dxa"/>
            <w:vAlign w:val="center"/>
          </w:tcPr>
          <w:p w:rsidR="007B4EE4" w:rsidRDefault="00B833D5">
            <w:pPr>
              <w:jc w:val="center"/>
            </w:pPr>
            <w:r>
              <w:rPr>
                <w:rFonts w:eastAsiaTheme="minorEastAsia"/>
                <w:color w:val="000000"/>
                <w:szCs w:val="21"/>
              </w:rPr>
              <w:t>康臣药业集团有限公司</w:t>
            </w:r>
          </w:p>
        </w:tc>
        <w:tc>
          <w:tcPr>
            <w:tcW w:w="1184" w:type="dxa"/>
            <w:vAlign w:val="center"/>
          </w:tcPr>
          <w:p w:rsidR="007B4EE4" w:rsidRDefault="00B833D5">
            <w:pPr>
              <w:jc w:val="center"/>
            </w:pPr>
            <w:r>
              <w:rPr>
                <w:rFonts w:eastAsiaTheme="minorEastAsia"/>
                <w:color w:val="000000"/>
                <w:szCs w:val="21"/>
              </w:rPr>
              <w:t>1681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16,966</w:t>
            </w:r>
          </w:p>
        </w:tc>
        <w:tc>
          <w:tcPr>
            <w:tcW w:w="1690" w:type="dxa"/>
            <w:vAlign w:val="center"/>
          </w:tcPr>
          <w:p w:rsidR="007B4EE4" w:rsidRDefault="00B833D5">
            <w:pPr>
              <w:jc w:val="right"/>
            </w:pPr>
            <w:r>
              <w:rPr>
                <w:rFonts w:eastAsiaTheme="minorEastAsia"/>
                <w:color w:val="000000"/>
                <w:szCs w:val="21"/>
              </w:rPr>
              <w:t>49,591.75</w:t>
            </w:r>
          </w:p>
        </w:tc>
        <w:tc>
          <w:tcPr>
            <w:tcW w:w="997" w:type="dxa"/>
            <w:vAlign w:val="center"/>
          </w:tcPr>
          <w:p w:rsidR="007B4EE4" w:rsidRDefault="00B833D5">
            <w:pPr>
              <w:jc w:val="right"/>
            </w:pPr>
            <w:r>
              <w:rPr>
                <w:rFonts w:eastAsiaTheme="minorEastAsia"/>
                <w:color w:val="000000"/>
                <w:szCs w:val="21"/>
              </w:rPr>
              <w:t>0.21</w:t>
            </w:r>
          </w:p>
        </w:tc>
      </w:tr>
      <w:tr w:rsidR="007B4EE4">
        <w:trPr>
          <w:jc w:val="center"/>
        </w:trPr>
        <w:tc>
          <w:tcPr>
            <w:tcW w:w="771" w:type="dxa"/>
            <w:vAlign w:val="center"/>
          </w:tcPr>
          <w:p w:rsidR="007B4EE4" w:rsidRDefault="00B833D5">
            <w:pPr>
              <w:jc w:val="center"/>
            </w:pPr>
            <w:r>
              <w:rPr>
                <w:rFonts w:eastAsiaTheme="minorEastAsia"/>
                <w:color w:val="000000"/>
                <w:szCs w:val="21"/>
              </w:rPr>
              <w:t>141</w:t>
            </w:r>
          </w:p>
        </w:tc>
        <w:tc>
          <w:tcPr>
            <w:tcW w:w="905" w:type="dxa"/>
            <w:vAlign w:val="center"/>
          </w:tcPr>
          <w:p w:rsidR="007B4EE4" w:rsidRDefault="00B833D5">
            <w:pPr>
              <w:jc w:val="center"/>
            </w:pPr>
            <w:r>
              <w:rPr>
                <w:rFonts w:eastAsiaTheme="minorEastAsia"/>
                <w:color w:val="000000"/>
                <w:szCs w:val="21"/>
              </w:rPr>
              <w:t>Sinofert Holdings Limited</w:t>
            </w:r>
          </w:p>
        </w:tc>
        <w:tc>
          <w:tcPr>
            <w:tcW w:w="1015" w:type="dxa"/>
            <w:vAlign w:val="center"/>
          </w:tcPr>
          <w:p w:rsidR="007B4EE4" w:rsidRDefault="00B833D5">
            <w:pPr>
              <w:jc w:val="center"/>
            </w:pPr>
            <w:r>
              <w:rPr>
                <w:rFonts w:eastAsiaTheme="minorEastAsia"/>
                <w:color w:val="000000"/>
                <w:szCs w:val="21"/>
              </w:rPr>
              <w:t>中化化肥控股有限公司</w:t>
            </w:r>
          </w:p>
        </w:tc>
        <w:tc>
          <w:tcPr>
            <w:tcW w:w="1184" w:type="dxa"/>
            <w:vAlign w:val="center"/>
          </w:tcPr>
          <w:p w:rsidR="007B4EE4" w:rsidRDefault="00B833D5">
            <w:pPr>
              <w:jc w:val="center"/>
            </w:pPr>
            <w:r>
              <w:rPr>
                <w:rFonts w:eastAsiaTheme="minorEastAsia"/>
                <w:color w:val="000000"/>
                <w:szCs w:val="21"/>
              </w:rPr>
              <w:t>297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76,000</w:t>
            </w:r>
          </w:p>
        </w:tc>
        <w:tc>
          <w:tcPr>
            <w:tcW w:w="1690" w:type="dxa"/>
            <w:vAlign w:val="center"/>
          </w:tcPr>
          <w:p w:rsidR="007B4EE4" w:rsidRDefault="00B833D5">
            <w:pPr>
              <w:jc w:val="right"/>
            </w:pPr>
            <w:r>
              <w:rPr>
                <w:rFonts w:eastAsiaTheme="minorEastAsia"/>
                <w:color w:val="000000"/>
                <w:szCs w:val="21"/>
              </w:rPr>
              <w:t>47,900.79</w:t>
            </w:r>
          </w:p>
        </w:tc>
        <w:tc>
          <w:tcPr>
            <w:tcW w:w="997" w:type="dxa"/>
            <w:vAlign w:val="center"/>
          </w:tcPr>
          <w:p w:rsidR="007B4EE4" w:rsidRDefault="00B833D5">
            <w:pPr>
              <w:jc w:val="right"/>
            </w:pPr>
            <w:r>
              <w:rPr>
                <w:rFonts w:eastAsiaTheme="minorEastAsia"/>
                <w:color w:val="000000"/>
                <w:szCs w:val="21"/>
              </w:rPr>
              <w:t>0.20</w:t>
            </w:r>
          </w:p>
        </w:tc>
      </w:tr>
      <w:tr w:rsidR="007B4EE4">
        <w:trPr>
          <w:jc w:val="center"/>
        </w:trPr>
        <w:tc>
          <w:tcPr>
            <w:tcW w:w="771" w:type="dxa"/>
            <w:vAlign w:val="center"/>
          </w:tcPr>
          <w:p w:rsidR="007B4EE4" w:rsidRDefault="00B833D5">
            <w:pPr>
              <w:jc w:val="center"/>
            </w:pPr>
            <w:r>
              <w:rPr>
                <w:rFonts w:eastAsiaTheme="minorEastAsia"/>
                <w:color w:val="000000"/>
                <w:szCs w:val="21"/>
              </w:rPr>
              <w:t>142</w:t>
            </w:r>
          </w:p>
        </w:tc>
        <w:tc>
          <w:tcPr>
            <w:tcW w:w="905" w:type="dxa"/>
            <w:vAlign w:val="center"/>
          </w:tcPr>
          <w:p w:rsidR="007B4EE4" w:rsidRDefault="00B833D5">
            <w:pPr>
              <w:jc w:val="center"/>
            </w:pPr>
            <w:r>
              <w:rPr>
                <w:rFonts w:eastAsiaTheme="minorEastAsia"/>
                <w:color w:val="000000"/>
                <w:szCs w:val="21"/>
              </w:rPr>
              <w:t>China Modern Dairy Holdings Ltd.</w:t>
            </w:r>
          </w:p>
        </w:tc>
        <w:tc>
          <w:tcPr>
            <w:tcW w:w="1015" w:type="dxa"/>
            <w:vAlign w:val="center"/>
          </w:tcPr>
          <w:p w:rsidR="007B4EE4" w:rsidRDefault="00B833D5">
            <w:pPr>
              <w:jc w:val="center"/>
            </w:pPr>
            <w:r>
              <w:rPr>
                <w:rFonts w:eastAsiaTheme="minorEastAsia"/>
                <w:color w:val="000000"/>
                <w:szCs w:val="21"/>
              </w:rPr>
              <w:t>中国现代牧业控股有限公司</w:t>
            </w:r>
          </w:p>
        </w:tc>
        <w:tc>
          <w:tcPr>
            <w:tcW w:w="1184" w:type="dxa"/>
            <w:vAlign w:val="center"/>
          </w:tcPr>
          <w:p w:rsidR="007B4EE4" w:rsidRDefault="00B833D5">
            <w:pPr>
              <w:jc w:val="center"/>
            </w:pPr>
            <w:r>
              <w:rPr>
                <w:rFonts w:eastAsiaTheme="minorEastAsia"/>
                <w:color w:val="000000"/>
                <w:szCs w:val="21"/>
              </w:rPr>
              <w:t>1117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58,000</w:t>
            </w:r>
          </w:p>
        </w:tc>
        <w:tc>
          <w:tcPr>
            <w:tcW w:w="1690" w:type="dxa"/>
            <w:vAlign w:val="center"/>
          </w:tcPr>
          <w:p w:rsidR="007B4EE4" w:rsidRDefault="00B833D5">
            <w:pPr>
              <w:jc w:val="right"/>
            </w:pPr>
            <w:r>
              <w:rPr>
                <w:rFonts w:eastAsiaTheme="minorEastAsia"/>
                <w:color w:val="000000"/>
                <w:szCs w:val="21"/>
              </w:rPr>
              <w:t>46,092.18</w:t>
            </w:r>
          </w:p>
        </w:tc>
        <w:tc>
          <w:tcPr>
            <w:tcW w:w="997" w:type="dxa"/>
            <w:vAlign w:val="center"/>
          </w:tcPr>
          <w:p w:rsidR="007B4EE4" w:rsidRDefault="00B833D5">
            <w:pPr>
              <w:jc w:val="right"/>
            </w:pPr>
            <w:r>
              <w:rPr>
                <w:rFonts w:eastAsiaTheme="minorEastAsia"/>
                <w:color w:val="000000"/>
                <w:szCs w:val="21"/>
              </w:rPr>
              <w:t>0.20</w:t>
            </w:r>
          </w:p>
        </w:tc>
      </w:tr>
      <w:tr w:rsidR="007B4EE4">
        <w:trPr>
          <w:jc w:val="center"/>
        </w:trPr>
        <w:tc>
          <w:tcPr>
            <w:tcW w:w="771" w:type="dxa"/>
            <w:vAlign w:val="center"/>
          </w:tcPr>
          <w:p w:rsidR="007B4EE4" w:rsidRDefault="00B833D5">
            <w:pPr>
              <w:jc w:val="center"/>
            </w:pPr>
            <w:r>
              <w:rPr>
                <w:rFonts w:eastAsiaTheme="minorEastAsia"/>
                <w:color w:val="000000"/>
                <w:szCs w:val="21"/>
              </w:rPr>
              <w:t>143</w:t>
            </w:r>
          </w:p>
        </w:tc>
        <w:tc>
          <w:tcPr>
            <w:tcW w:w="905" w:type="dxa"/>
            <w:vAlign w:val="center"/>
          </w:tcPr>
          <w:p w:rsidR="007B4EE4" w:rsidRDefault="00B833D5">
            <w:pPr>
              <w:jc w:val="center"/>
            </w:pPr>
            <w:r>
              <w:rPr>
                <w:rFonts w:eastAsiaTheme="minorEastAsia"/>
                <w:color w:val="000000"/>
                <w:szCs w:val="21"/>
              </w:rPr>
              <w:t>Imax China Holding, Inc.</w:t>
            </w:r>
          </w:p>
        </w:tc>
        <w:tc>
          <w:tcPr>
            <w:tcW w:w="1015" w:type="dxa"/>
            <w:vAlign w:val="center"/>
          </w:tcPr>
          <w:p w:rsidR="007B4EE4" w:rsidRDefault="00B833D5">
            <w:pPr>
              <w:jc w:val="center"/>
            </w:pPr>
            <w:r>
              <w:rPr>
                <w:rFonts w:eastAsiaTheme="minorEastAsia"/>
                <w:color w:val="000000"/>
                <w:szCs w:val="21"/>
              </w:rPr>
              <w:t>-</w:t>
            </w:r>
          </w:p>
        </w:tc>
        <w:tc>
          <w:tcPr>
            <w:tcW w:w="1184" w:type="dxa"/>
            <w:vAlign w:val="center"/>
          </w:tcPr>
          <w:p w:rsidR="007B4EE4" w:rsidRDefault="00B833D5">
            <w:pPr>
              <w:jc w:val="center"/>
            </w:pPr>
            <w:r>
              <w:rPr>
                <w:rFonts w:eastAsiaTheme="minorEastAsia"/>
                <w:color w:val="000000"/>
                <w:szCs w:val="21"/>
              </w:rPr>
              <w:t>1970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4,488</w:t>
            </w:r>
          </w:p>
        </w:tc>
        <w:tc>
          <w:tcPr>
            <w:tcW w:w="1690" w:type="dxa"/>
            <w:vAlign w:val="center"/>
          </w:tcPr>
          <w:p w:rsidR="007B4EE4" w:rsidRDefault="00B833D5">
            <w:pPr>
              <w:jc w:val="right"/>
            </w:pPr>
            <w:r>
              <w:rPr>
                <w:rFonts w:eastAsiaTheme="minorEastAsia"/>
                <w:color w:val="000000"/>
                <w:szCs w:val="21"/>
              </w:rPr>
              <w:t>45,996.60</w:t>
            </w:r>
          </w:p>
        </w:tc>
        <w:tc>
          <w:tcPr>
            <w:tcW w:w="997" w:type="dxa"/>
            <w:vAlign w:val="center"/>
          </w:tcPr>
          <w:p w:rsidR="007B4EE4" w:rsidRDefault="00B833D5">
            <w:pPr>
              <w:jc w:val="right"/>
            </w:pPr>
            <w:r>
              <w:rPr>
                <w:rFonts w:eastAsiaTheme="minorEastAsia"/>
                <w:color w:val="000000"/>
                <w:szCs w:val="21"/>
              </w:rPr>
              <w:t>0.20</w:t>
            </w:r>
          </w:p>
        </w:tc>
      </w:tr>
      <w:tr w:rsidR="007B4EE4">
        <w:trPr>
          <w:jc w:val="center"/>
        </w:trPr>
        <w:tc>
          <w:tcPr>
            <w:tcW w:w="771" w:type="dxa"/>
            <w:vAlign w:val="center"/>
          </w:tcPr>
          <w:p w:rsidR="007B4EE4" w:rsidRDefault="00B833D5">
            <w:pPr>
              <w:jc w:val="center"/>
            </w:pPr>
            <w:r>
              <w:rPr>
                <w:rFonts w:eastAsiaTheme="minorEastAsia"/>
                <w:color w:val="000000"/>
                <w:szCs w:val="21"/>
              </w:rPr>
              <w:t>144</w:t>
            </w:r>
          </w:p>
        </w:tc>
        <w:tc>
          <w:tcPr>
            <w:tcW w:w="905" w:type="dxa"/>
            <w:vAlign w:val="center"/>
          </w:tcPr>
          <w:p w:rsidR="007B4EE4" w:rsidRDefault="00B833D5">
            <w:pPr>
              <w:jc w:val="center"/>
            </w:pPr>
            <w:r>
              <w:rPr>
                <w:rFonts w:eastAsiaTheme="minorEastAsia"/>
                <w:color w:val="000000"/>
                <w:szCs w:val="21"/>
              </w:rPr>
              <w:t>CSSC (Hong Kong) Shipping Company Limited</w:t>
            </w:r>
          </w:p>
        </w:tc>
        <w:tc>
          <w:tcPr>
            <w:tcW w:w="1015" w:type="dxa"/>
            <w:vAlign w:val="center"/>
          </w:tcPr>
          <w:p w:rsidR="007B4EE4" w:rsidRDefault="00B833D5">
            <w:pPr>
              <w:jc w:val="center"/>
            </w:pPr>
            <w:r>
              <w:rPr>
                <w:rFonts w:eastAsiaTheme="minorEastAsia"/>
                <w:color w:val="000000"/>
                <w:szCs w:val="21"/>
              </w:rPr>
              <w:t>中国船舶</w:t>
            </w:r>
            <w:r>
              <w:rPr>
                <w:rFonts w:eastAsiaTheme="minorEastAsia"/>
                <w:color w:val="000000"/>
                <w:szCs w:val="21"/>
              </w:rPr>
              <w:t>(</w:t>
            </w:r>
            <w:r>
              <w:rPr>
                <w:rFonts w:eastAsiaTheme="minorEastAsia"/>
                <w:color w:val="000000"/>
                <w:szCs w:val="21"/>
              </w:rPr>
              <w:t>香港</w:t>
            </w:r>
            <w:r>
              <w:rPr>
                <w:rFonts w:eastAsiaTheme="minorEastAsia"/>
                <w:color w:val="000000"/>
                <w:szCs w:val="21"/>
              </w:rPr>
              <w:t>)</w:t>
            </w:r>
            <w:r>
              <w:rPr>
                <w:rFonts w:eastAsiaTheme="minorEastAsia"/>
                <w:color w:val="000000"/>
                <w:szCs w:val="21"/>
              </w:rPr>
              <w:t>航运租赁有限公司</w:t>
            </w:r>
          </w:p>
        </w:tc>
        <w:tc>
          <w:tcPr>
            <w:tcW w:w="1184" w:type="dxa"/>
            <w:vAlign w:val="center"/>
          </w:tcPr>
          <w:p w:rsidR="007B4EE4" w:rsidRDefault="00B833D5">
            <w:pPr>
              <w:jc w:val="center"/>
            </w:pPr>
            <w:r>
              <w:rPr>
                <w:rFonts w:eastAsiaTheme="minorEastAsia"/>
                <w:color w:val="000000"/>
                <w:szCs w:val="21"/>
              </w:rPr>
              <w:t>3877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48,113</w:t>
            </w:r>
          </w:p>
        </w:tc>
        <w:tc>
          <w:tcPr>
            <w:tcW w:w="1690" w:type="dxa"/>
            <w:vAlign w:val="center"/>
          </w:tcPr>
          <w:p w:rsidR="007B4EE4" w:rsidRDefault="00B833D5">
            <w:pPr>
              <w:jc w:val="right"/>
            </w:pPr>
            <w:r>
              <w:rPr>
                <w:rFonts w:eastAsiaTheme="minorEastAsia"/>
                <w:color w:val="000000"/>
                <w:szCs w:val="21"/>
              </w:rPr>
              <w:t>43,069.37</w:t>
            </w:r>
          </w:p>
        </w:tc>
        <w:tc>
          <w:tcPr>
            <w:tcW w:w="997" w:type="dxa"/>
            <w:vAlign w:val="center"/>
          </w:tcPr>
          <w:p w:rsidR="007B4EE4" w:rsidRDefault="00B833D5">
            <w:pPr>
              <w:jc w:val="right"/>
            </w:pPr>
            <w:r>
              <w:rPr>
                <w:rFonts w:eastAsiaTheme="minorEastAsia"/>
                <w:color w:val="000000"/>
                <w:szCs w:val="21"/>
              </w:rPr>
              <w:t>0.18</w:t>
            </w:r>
          </w:p>
        </w:tc>
      </w:tr>
      <w:tr w:rsidR="007B4EE4">
        <w:trPr>
          <w:jc w:val="center"/>
        </w:trPr>
        <w:tc>
          <w:tcPr>
            <w:tcW w:w="771" w:type="dxa"/>
            <w:vAlign w:val="center"/>
          </w:tcPr>
          <w:p w:rsidR="007B4EE4" w:rsidRDefault="00B833D5">
            <w:pPr>
              <w:jc w:val="center"/>
            </w:pPr>
            <w:r>
              <w:rPr>
                <w:rFonts w:eastAsiaTheme="minorEastAsia"/>
                <w:color w:val="000000"/>
                <w:szCs w:val="21"/>
              </w:rPr>
              <w:t>145</w:t>
            </w:r>
          </w:p>
        </w:tc>
        <w:tc>
          <w:tcPr>
            <w:tcW w:w="905" w:type="dxa"/>
            <w:vAlign w:val="center"/>
          </w:tcPr>
          <w:p w:rsidR="007B4EE4" w:rsidRDefault="00B833D5">
            <w:pPr>
              <w:jc w:val="center"/>
            </w:pPr>
            <w:r>
              <w:rPr>
                <w:rFonts w:eastAsiaTheme="minorEastAsia"/>
                <w:color w:val="000000"/>
                <w:szCs w:val="21"/>
              </w:rPr>
              <w:t>Guorui Properties Limited</w:t>
            </w:r>
          </w:p>
        </w:tc>
        <w:tc>
          <w:tcPr>
            <w:tcW w:w="1015" w:type="dxa"/>
            <w:vAlign w:val="center"/>
          </w:tcPr>
          <w:p w:rsidR="007B4EE4" w:rsidRDefault="00B833D5">
            <w:pPr>
              <w:jc w:val="center"/>
            </w:pPr>
            <w:r>
              <w:rPr>
                <w:rFonts w:eastAsiaTheme="minorEastAsia"/>
                <w:color w:val="000000"/>
                <w:szCs w:val="21"/>
              </w:rPr>
              <w:t>国瑞置业有限公司</w:t>
            </w:r>
          </w:p>
        </w:tc>
        <w:tc>
          <w:tcPr>
            <w:tcW w:w="1184" w:type="dxa"/>
            <w:vAlign w:val="center"/>
          </w:tcPr>
          <w:p w:rsidR="007B4EE4" w:rsidRDefault="00B833D5">
            <w:pPr>
              <w:jc w:val="center"/>
            </w:pPr>
            <w:r>
              <w:rPr>
                <w:rFonts w:eastAsiaTheme="minorEastAsia"/>
                <w:color w:val="000000"/>
                <w:szCs w:val="21"/>
              </w:rPr>
              <w:t>2329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40,560</w:t>
            </w:r>
          </w:p>
        </w:tc>
        <w:tc>
          <w:tcPr>
            <w:tcW w:w="1690" w:type="dxa"/>
            <w:vAlign w:val="center"/>
          </w:tcPr>
          <w:p w:rsidR="007B4EE4" w:rsidRDefault="00B833D5">
            <w:pPr>
              <w:jc w:val="right"/>
            </w:pPr>
            <w:r>
              <w:rPr>
                <w:rFonts w:eastAsiaTheme="minorEastAsia"/>
                <w:color w:val="000000"/>
                <w:szCs w:val="21"/>
              </w:rPr>
              <w:t>42,976.99</w:t>
            </w:r>
          </w:p>
        </w:tc>
        <w:tc>
          <w:tcPr>
            <w:tcW w:w="997" w:type="dxa"/>
            <w:vAlign w:val="center"/>
          </w:tcPr>
          <w:p w:rsidR="007B4EE4" w:rsidRDefault="00B833D5">
            <w:pPr>
              <w:jc w:val="right"/>
            </w:pPr>
            <w:r>
              <w:rPr>
                <w:rFonts w:eastAsiaTheme="minorEastAsia"/>
                <w:color w:val="000000"/>
                <w:szCs w:val="21"/>
              </w:rPr>
              <w:t>0.18</w:t>
            </w:r>
          </w:p>
        </w:tc>
      </w:tr>
      <w:tr w:rsidR="007B4EE4">
        <w:trPr>
          <w:jc w:val="center"/>
        </w:trPr>
        <w:tc>
          <w:tcPr>
            <w:tcW w:w="771" w:type="dxa"/>
            <w:vAlign w:val="center"/>
          </w:tcPr>
          <w:p w:rsidR="007B4EE4" w:rsidRDefault="00B833D5">
            <w:pPr>
              <w:jc w:val="center"/>
            </w:pPr>
            <w:r>
              <w:rPr>
                <w:rFonts w:eastAsiaTheme="minorEastAsia"/>
                <w:color w:val="000000"/>
                <w:szCs w:val="21"/>
              </w:rPr>
              <w:t>146</w:t>
            </w:r>
          </w:p>
        </w:tc>
        <w:tc>
          <w:tcPr>
            <w:tcW w:w="905" w:type="dxa"/>
            <w:vAlign w:val="center"/>
          </w:tcPr>
          <w:p w:rsidR="007B4EE4" w:rsidRDefault="00B833D5">
            <w:pPr>
              <w:jc w:val="center"/>
            </w:pPr>
            <w:r>
              <w:rPr>
                <w:rFonts w:eastAsiaTheme="minorEastAsia"/>
                <w:color w:val="000000"/>
                <w:szCs w:val="21"/>
              </w:rPr>
              <w:t>Regal Real Estate Investment Trust</w:t>
            </w:r>
          </w:p>
        </w:tc>
        <w:tc>
          <w:tcPr>
            <w:tcW w:w="1015" w:type="dxa"/>
            <w:vAlign w:val="center"/>
          </w:tcPr>
          <w:p w:rsidR="007B4EE4" w:rsidRDefault="00B833D5">
            <w:pPr>
              <w:jc w:val="center"/>
            </w:pPr>
            <w:r>
              <w:rPr>
                <w:rFonts w:eastAsiaTheme="minorEastAsia"/>
                <w:color w:val="000000"/>
                <w:szCs w:val="21"/>
              </w:rPr>
              <w:t>富豪产业信托</w:t>
            </w:r>
          </w:p>
        </w:tc>
        <w:tc>
          <w:tcPr>
            <w:tcW w:w="1184" w:type="dxa"/>
            <w:vAlign w:val="center"/>
          </w:tcPr>
          <w:p w:rsidR="007B4EE4" w:rsidRDefault="00B833D5">
            <w:pPr>
              <w:jc w:val="center"/>
            </w:pPr>
            <w:r>
              <w:rPr>
                <w:rFonts w:eastAsiaTheme="minorEastAsia"/>
                <w:color w:val="000000"/>
                <w:szCs w:val="21"/>
              </w:rPr>
              <w:t>1881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36,312</w:t>
            </w:r>
          </w:p>
        </w:tc>
        <w:tc>
          <w:tcPr>
            <w:tcW w:w="1690" w:type="dxa"/>
            <w:vAlign w:val="center"/>
          </w:tcPr>
          <w:p w:rsidR="007B4EE4" w:rsidRDefault="00B833D5">
            <w:pPr>
              <w:jc w:val="right"/>
            </w:pPr>
            <w:r>
              <w:rPr>
                <w:rFonts w:eastAsiaTheme="minorEastAsia"/>
                <w:color w:val="000000"/>
                <w:szCs w:val="21"/>
              </w:rPr>
              <w:t>40,465.98</w:t>
            </w:r>
          </w:p>
        </w:tc>
        <w:tc>
          <w:tcPr>
            <w:tcW w:w="997" w:type="dxa"/>
            <w:vAlign w:val="center"/>
          </w:tcPr>
          <w:p w:rsidR="007B4EE4" w:rsidRDefault="00B833D5">
            <w:pPr>
              <w:jc w:val="right"/>
            </w:pPr>
            <w:r>
              <w:rPr>
                <w:rFonts w:eastAsiaTheme="minorEastAsia"/>
                <w:color w:val="000000"/>
                <w:szCs w:val="21"/>
              </w:rPr>
              <w:t>0.17</w:t>
            </w:r>
          </w:p>
        </w:tc>
      </w:tr>
      <w:tr w:rsidR="007B4EE4">
        <w:trPr>
          <w:jc w:val="center"/>
        </w:trPr>
        <w:tc>
          <w:tcPr>
            <w:tcW w:w="771" w:type="dxa"/>
            <w:vAlign w:val="center"/>
          </w:tcPr>
          <w:p w:rsidR="007B4EE4" w:rsidRDefault="00B833D5">
            <w:pPr>
              <w:jc w:val="center"/>
            </w:pPr>
            <w:r>
              <w:rPr>
                <w:rFonts w:eastAsiaTheme="minorEastAsia"/>
                <w:color w:val="000000"/>
                <w:szCs w:val="21"/>
              </w:rPr>
              <w:t>147</w:t>
            </w:r>
          </w:p>
        </w:tc>
        <w:tc>
          <w:tcPr>
            <w:tcW w:w="905" w:type="dxa"/>
            <w:vAlign w:val="center"/>
          </w:tcPr>
          <w:p w:rsidR="007B4EE4" w:rsidRDefault="00B833D5">
            <w:pPr>
              <w:jc w:val="center"/>
            </w:pPr>
            <w:r>
              <w:rPr>
                <w:rFonts w:eastAsiaTheme="minorEastAsia"/>
                <w:color w:val="000000"/>
                <w:szCs w:val="21"/>
              </w:rPr>
              <w:t>China VAST Industrial Urban Development Company Limited</w:t>
            </w:r>
          </w:p>
        </w:tc>
        <w:tc>
          <w:tcPr>
            <w:tcW w:w="1015" w:type="dxa"/>
            <w:vAlign w:val="center"/>
          </w:tcPr>
          <w:p w:rsidR="007B4EE4" w:rsidRDefault="00B833D5">
            <w:pPr>
              <w:jc w:val="center"/>
            </w:pPr>
            <w:r>
              <w:rPr>
                <w:rFonts w:eastAsiaTheme="minorEastAsia"/>
                <w:color w:val="000000"/>
                <w:szCs w:val="21"/>
              </w:rPr>
              <w:t>中国宏泰产业市镇发展有限公司</w:t>
            </w:r>
          </w:p>
        </w:tc>
        <w:tc>
          <w:tcPr>
            <w:tcW w:w="1184" w:type="dxa"/>
            <w:vAlign w:val="center"/>
          </w:tcPr>
          <w:p w:rsidR="007B4EE4" w:rsidRDefault="00B833D5">
            <w:pPr>
              <w:jc w:val="center"/>
            </w:pPr>
            <w:r>
              <w:rPr>
                <w:rFonts w:eastAsiaTheme="minorEastAsia"/>
                <w:color w:val="000000"/>
                <w:szCs w:val="21"/>
              </w:rPr>
              <w:t>6166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12,947</w:t>
            </w:r>
          </w:p>
        </w:tc>
        <w:tc>
          <w:tcPr>
            <w:tcW w:w="1690" w:type="dxa"/>
            <w:vAlign w:val="center"/>
          </w:tcPr>
          <w:p w:rsidR="007B4EE4" w:rsidRDefault="00B833D5">
            <w:pPr>
              <w:jc w:val="right"/>
            </w:pPr>
            <w:r>
              <w:rPr>
                <w:rFonts w:eastAsiaTheme="minorEastAsia"/>
                <w:color w:val="000000"/>
                <w:szCs w:val="21"/>
              </w:rPr>
              <w:t>39,854.66</w:t>
            </w:r>
          </w:p>
        </w:tc>
        <w:tc>
          <w:tcPr>
            <w:tcW w:w="997" w:type="dxa"/>
            <w:vAlign w:val="center"/>
          </w:tcPr>
          <w:p w:rsidR="007B4EE4" w:rsidRDefault="00B833D5">
            <w:pPr>
              <w:jc w:val="right"/>
            </w:pPr>
            <w:r>
              <w:rPr>
                <w:rFonts w:eastAsiaTheme="minorEastAsia"/>
                <w:color w:val="000000"/>
                <w:szCs w:val="21"/>
              </w:rPr>
              <w:t>0.17</w:t>
            </w:r>
          </w:p>
        </w:tc>
      </w:tr>
      <w:tr w:rsidR="007B4EE4">
        <w:trPr>
          <w:jc w:val="center"/>
        </w:trPr>
        <w:tc>
          <w:tcPr>
            <w:tcW w:w="771" w:type="dxa"/>
            <w:vAlign w:val="center"/>
          </w:tcPr>
          <w:p w:rsidR="007B4EE4" w:rsidRDefault="00B833D5">
            <w:pPr>
              <w:jc w:val="center"/>
            </w:pPr>
            <w:r>
              <w:rPr>
                <w:rFonts w:eastAsiaTheme="minorEastAsia"/>
                <w:color w:val="000000"/>
                <w:szCs w:val="21"/>
              </w:rPr>
              <w:t>148</w:t>
            </w:r>
          </w:p>
        </w:tc>
        <w:tc>
          <w:tcPr>
            <w:tcW w:w="905" w:type="dxa"/>
            <w:vAlign w:val="center"/>
          </w:tcPr>
          <w:p w:rsidR="007B4EE4" w:rsidRDefault="00B833D5">
            <w:pPr>
              <w:jc w:val="center"/>
            </w:pPr>
            <w:r>
              <w:rPr>
                <w:rFonts w:eastAsiaTheme="minorEastAsia"/>
                <w:color w:val="000000"/>
                <w:szCs w:val="21"/>
              </w:rPr>
              <w:t xml:space="preserve">China ZhengTong Auto </w:t>
            </w:r>
            <w:r>
              <w:rPr>
                <w:rFonts w:eastAsiaTheme="minorEastAsia"/>
                <w:color w:val="000000"/>
                <w:szCs w:val="21"/>
              </w:rPr>
              <w:lastRenderedPageBreak/>
              <w:t>Services Holdings Limited</w:t>
            </w:r>
          </w:p>
        </w:tc>
        <w:tc>
          <w:tcPr>
            <w:tcW w:w="1015" w:type="dxa"/>
            <w:vAlign w:val="center"/>
          </w:tcPr>
          <w:p w:rsidR="007B4EE4" w:rsidRDefault="00B833D5">
            <w:pPr>
              <w:jc w:val="center"/>
            </w:pPr>
            <w:r>
              <w:rPr>
                <w:rFonts w:eastAsiaTheme="minorEastAsia"/>
                <w:color w:val="000000"/>
                <w:szCs w:val="21"/>
              </w:rPr>
              <w:lastRenderedPageBreak/>
              <w:t>中国正通汽车服务控股有限</w:t>
            </w:r>
            <w:r>
              <w:rPr>
                <w:rFonts w:eastAsiaTheme="minorEastAsia"/>
                <w:color w:val="000000"/>
                <w:szCs w:val="21"/>
              </w:rPr>
              <w:lastRenderedPageBreak/>
              <w:t>公司</w:t>
            </w:r>
          </w:p>
        </w:tc>
        <w:tc>
          <w:tcPr>
            <w:tcW w:w="1184" w:type="dxa"/>
            <w:vAlign w:val="center"/>
          </w:tcPr>
          <w:p w:rsidR="007B4EE4" w:rsidRDefault="00B833D5">
            <w:pPr>
              <w:jc w:val="center"/>
            </w:pPr>
            <w:r>
              <w:rPr>
                <w:rFonts w:eastAsiaTheme="minorEastAsia"/>
                <w:color w:val="000000"/>
                <w:szCs w:val="21"/>
              </w:rPr>
              <w:lastRenderedPageBreak/>
              <w:t>1728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39,262</w:t>
            </w:r>
          </w:p>
        </w:tc>
        <w:tc>
          <w:tcPr>
            <w:tcW w:w="1690" w:type="dxa"/>
            <w:vAlign w:val="center"/>
          </w:tcPr>
          <w:p w:rsidR="007B4EE4" w:rsidRDefault="00B833D5">
            <w:pPr>
              <w:jc w:val="right"/>
            </w:pPr>
            <w:r>
              <w:rPr>
                <w:rFonts w:eastAsiaTheme="minorEastAsia"/>
                <w:color w:val="000000"/>
                <w:szCs w:val="21"/>
              </w:rPr>
              <w:t>39,808.46</w:t>
            </w:r>
          </w:p>
        </w:tc>
        <w:tc>
          <w:tcPr>
            <w:tcW w:w="997" w:type="dxa"/>
            <w:vAlign w:val="center"/>
          </w:tcPr>
          <w:p w:rsidR="007B4EE4" w:rsidRDefault="00B833D5">
            <w:pPr>
              <w:jc w:val="right"/>
            </w:pPr>
            <w:r>
              <w:rPr>
                <w:rFonts w:eastAsiaTheme="minorEastAsia"/>
                <w:color w:val="000000"/>
                <w:szCs w:val="21"/>
              </w:rPr>
              <w:t>0.17</w:t>
            </w:r>
          </w:p>
        </w:tc>
      </w:tr>
      <w:tr w:rsidR="007B4EE4">
        <w:trPr>
          <w:jc w:val="center"/>
        </w:trPr>
        <w:tc>
          <w:tcPr>
            <w:tcW w:w="771" w:type="dxa"/>
            <w:vAlign w:val="center"/>
          </w:tcPr>
          <w:p w:rsidR="007B4EE4" w:rsidRDefault="00B833D5">
            <w:pPr>
              <w:jc w:val="center"/>
            </w:pPr>
            <w:r>
              <w:rPr>
                <w:rFonts w:eastAsiaTheme="minorEastAsia"/>
                <w:color w:val="000000"/>
                <w:szCs w:val="21"/>
              </w:rPr>
              <w:t>149</w:t>
            </w:r>
          </w:p>
        </w:tc>
        <w:tc>
          <w:tcPr>
            <w:tcW w:w="905" w:type="dxa"/>
            <w:vAlign w:val="center"/>
          </w:tcPr>
          <w:p w:rsidR="007B4EE4" w:rsidRDefault="00B833D5">
            <w:pPr>
              <w:jc w:val="center"/>
            </w:pPr>
            <w:r>
              <w:rPr>
                <w:rFonts w:eastAsiaTheme="minorEastAsia"/>
                <w:color w:val="000000"/>
                <w:szCs w:val="21"/>
              </w:rPr>
              <w:t>CPMC Holdings Limited</w:t>
            </w:r>
          </w:p>
        </w:tc>
        <w:tc>
          <w:tcPr>
            <w:tcW w:w="1015" w:type="dxa"/>
            <w:vAlign w:val="center"/>
          </w:tcPr>
          <w:p w:rsidR="007B4EE4" w:rsidRDefault="00B833D5">
            <w:pPr>
              <w:jc w:val="center"/>
            </w:pPr>
            <w:r>
              <w:rPr>
                <w:rFonts w:eastAsiaTheme="minorEastAsia"/>
                <w:color w:val="000000"/>
                <w:szCs w:val="21"/>
              </w:rPr>
              <w:t>中粮包装控股有限公司</w:t>
            </w:r>
          </w:p>
        </w:tc>
        <w:tc>
          <w:tcPr>
            <w:tcW w:w="1184" w:type="dxa"/>
            <w:vAlign w:val="center"/>
          </w:tcPr>
          <w:p w:rsidR="007B4EE4" w:rsidRDefault="00B833D5">
            <w:pPr>
              <w:jc w:val="center"/>
            </w:pPr>
            <w:r>
              <w:rPr>
                <w:rFonts w:eastAsiaTheme="minorEastAsia"/>
                <w:color w:val="000000"/>
                <w:szCs w:val="21"/>
              </w:rPr>
              <w:t>906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13,543</w:t>
            </w:r>
          </w:p>
        </w:tc>
        <w:tc>
          <w:tcPr>
            <w:tcW w:w="1690" w:type="dxa"/>
            <w:vAlign w:val="center"/>
          </w:tcPr>
          <w:p w:rsidR="007B4EE4" w:rsidRDefault="00B833D5">
            <w:pPr>
              <w:jc w:val="right"/>
            </w:pPr>
            <w:r>
              <w:rPr>
                <w:rFonts w:eastAsiaTheme="minorEastAsia"/>
                <w:color w:val="000000"/>
                <w:szCs w:val="21"/>
              </w:rPr>
              <w:t>36,246.20</w:t>
            </w:r>
          </w:p>
        </w:tc>
        <w:tc>
          <w:tcPr>
            <w:tcW w:w="997" w:type="dxa"/>
            <w:vAlign w:val="center"/>
          </w:tcPr>
          <w:p w:rsidR="007B4EE4" w:rsidRDefault="00B833D5">
            <w:pPr>
              <w:jc w:val="right"/>
            </w:pPr>
            <w:r>
              <w:rPr>
                <w:rFonts w:eastAsiaTheme="minorEastAsia"/>
                <w:color w:val="000000"/>
                <w:szCs w:val="21"/>
              </w:rPr>
              <w:t>0.15</w:t>
            </w:r>
          </w:p>
        </w:tc>
      </w:tr>
      <w:tr w:rsidR="007B4EE4">
        <w:trPr>
          <w:jc w:val="center"/>
        </w:trPr>
        <w:tc>
          <w:tcPr>
            <w:tcW w:w="771" w:type="dxa"/>
            <w:vAlign w:val="center"/>
          </w:tcPr>
          <w:p w:rsidR="007B4EE4" w:rsidRDefault="00B833D5">
            <w:pPr>
              <w:jc w:val="center"/>
            </w:pPr>
            <w:r>
              <w:rPr>
                <w:rFonts w:eastAsiaTheme="minorEastAsia"/>
                <w:color w:val="000000"/>
                <w:szCs w:val="21"/>
              </w:rPr>
              <w:t>150</w:t>
            </w:r>
          </w:p>
        </w:tc>
        <w:tc>
          <w:tcPr>
            <w:tcW w:w="905" w:type="dxa"/>
            <w:vAlign w:val="center"/>
          </w:tcPr>
          <w:p w:rsidR="007B4EE4" w:rsidRDefault="00B833D5">
            <w:pPr>
              <w:jc w:val="center"/>
            </w:pPr>
            <w:r>
              <w:rPr>
                <w:rFonts w:eastAsiaTheme="minorEastAsia"/>
                <w:color w:val="000000"/>
                <w:szCs w:val="21"/>
              </w:rPr>
              <w:t>Tianjin Port Development Holdings Limited</w:t>
            </w:r>
          </w:p>
        </w:tc>
        <w:tc>
          <w:tcPr>
            <w:tcW w:w="1015" w:type="dxa"/>
            <w:vAlign w:val="center"/>
          </w:tcPr>
          <w:p w:rsidR="007B4EE4" w:rsidRDefault="00B833D5">
            <w:pPr>
              <w:jc w:val="center"/>
            </w:pPr>
            <w:r>
              <w:rPr>
                <w:rFonts w:eastAsiaTheme="minorEastAsia"/>
                <w:color w:val="000000"/>
                <w:szCs w:val="21"/>
              </w:rPr>
              <w:t>天津港发展控股有限公司</w:t>
            </w:r>
          </w:p>
        </w:tc>
        <w:tc>
          <w:tcPr>
            <w:tcW w:w="1184" w:type="dxa"/>
            <w:vAlign w:val="center"/>
          </w:tcPr>
          <w:p w:rsidR="007B4EE4" w:rsidRDefault="00B833D5">
            <w:pPr>
              <w:jc w:val="center"/>
            </w:pPr>
            <w:r>
              <w:rPr>
                <w:rFonts w:eastAsiaTheme="minorEastAsia"/>
                <w:color w:val="000000"/>
                <w:szCs w:val="21"/>
              </w:rPr>
              <w:t>3382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68,427</w:t>
            </w:r>
          </w:p>
        </w:tc>
        <w:tc>
          <w:tcPr>
            <w:tcW w:w="1690" w:type="dxa"/>
            <w:vAlign w:val="center"/>
          </w:tcPr>
          <w:p w:rsidR="007B4EE4" w:rsidRDefault="00B833D5">
            <w:pPr>
              <w:jc w:val="right"/>
            </w:pPr>
            <w:r>
              <w:rPr>
                <w:rFonts w:eastAsiaTheme="minorEastAsia"/>
                <w:color w:val="000000"/>
                <w:szCs w:val="21"/>
              </w:rPr>
              <w:t>33,752.14</w:t>
            </w:r>
          </w:p>
        </w:tc>
        <w:tc>
          <w:tcPr>
            <w:tcW w:w="997" w:type="dxa"/>
            <w:vAlign w:val="center"/>
          </w:tcPr>
          <w:p w:rsidR="007B4EE4" w:rsidRDefault="00B833D5">
            <w:pPr>
              <w:jc w:val="right"/>
            </w:pPr>
            <w:r>
              <w:rPr>
                <w:rFonts w:eastAsiaTheme="minorEastAsia"/>
                <w:color w:val="000000"/>
                <w:szCs w:val="21"/>
              </w:rPr>
              <w:t>0.14</w:t>
            </w:r>
          </w:p>
        </w:tc>
      </w:tr>
      <w:tr w:rsidR="007B4EE4">
        <w:trPr>
          <w:jc w:val="center"/>
        </w:trPr>
        <w:tc>
          <w:tcPr>
            <w:tcW w:w="771" w:type="dxa"/>
            <w:vAlign w:val="center"/>
          </w:tcPr>
          <w:p w:rsidR="007B4EE4" w:rsidRDefault="00B833D5">
            <w:pPr>
              <w:jc w:val="center"/>
            </w:pPr>
            <w:r>
              <w:rPr>
                <w:rFonts w:eastAsiaTheme="minorEastAsia"/>
                <w:color w:val="000000"/>
                <w:szCs w:val="21"/>
              </w:rPr>
              <w:t>151</w:t>
            </w:r>
          </w:p>
        </w:tc>
        <w:tc>
          <w:tcPr>
            <w:tcW w:w="905" w:type="dxa"/>
            <w:vAlign w:val="center"/>
          </w:tcPr>
          <w:p w:rsidR="007B4EE4" w:rsidRDefault="00B833D5">
            <w:pPr>
              <w:jc w:val="center"/>
            </w:pPr>
            <w:r>
              <w:rPr>
                <w:rFonts w:eastAsiaTheme="minorEastAsia"/>
                <w:color w:val="000000"/>
                <w:szCs w:val="21"/>
              </w:rPr>
              <w:t>HC Group Inc.</w:t>
            </w:r>
          </w:p>
        </w:tc>
        <w:tc>
          <w:tcPr>
            <w:tcW w:w="1015" w:type="dxa"/>
            <w:vAlign w:val="center"/>
          </w:tcPr>
          <w:p w:rsidR="007B4EE4" w:rsidRDefault="00B833D5">
            <w:pPr>
              <w:jc w:val="center"/>
            </w:pPr>
            <w:r>
              <w:rPr>
                <w:rFonts w:eastAsiaTheme="minorEastAsia"/>
                <w:color w:val="000000"/>
                <w:szCs w:val="21"/>
              </w:rPr>
              <w:t>慧聪集团有限公司</w:t>
            </w:r>
          </w:p>
        </w:tc>
        <w:tc>
          <w:tcPr>
            <w:tcW w:w="1184" w:type="dxa"/>
            <w:vAlign w:val="center"/>
          </w:tcPr>
          <w:p w:rsidR="007B4EE4" w:rsidRDefault="00B833D5">
            <w:pPr>
              <w:jc w:val="center"/>
            </w:pPr>
            <w:r>
              <w:rPr>
                <w:rFonts w:eastAsiaTheme="minorEastAsia"/>
                <w:color w:val="000000"/>
                <w:szCs w:val="21"/>
              </w:rPr>
              <w:t>2280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26,361</w:t>
            </w:r>
          </w:p>
        </w:tc>
        <w:tc>
          <w:tcPr>
            <w:tcW w:w="1690" w:type="dxa"/>
            <w:vAlign w:val="center"/>
          </w:tcPr>
          <w:p w:rsidR="007B4EE4" w:rsidRDefault="00B833D5">
            <w:pPr>
              <w:jc w:val="right"/>
            </w:pPr>
            <w:r>
              <w:rPr>
                <w:rFonts w:eastAsiaTheme="minorEastAsia"/>
                <w:color w:val="000000"/>
                <w:szCs w:val="21"/>
              </w:rPr>
              <w:t>30,821.37</w:t>
            </w:r>
          </w:p>
        </w:tc>
        <w:tc>
          <w:tcPr>
            <w:tcW w:w="997" w:type="dxa"/>
            <w:vAlign w:val="center"/>
          </w:tcPr>
          <w:p w:rsidR="007B4EE4" w:rsidRDefault="00B833D5">
            <w:pPr>
              <w:jc w:val="right"/>
            </w:pPr>
            <w:r>
              <w:rPr>
                <w:rFonts w:eastAsiaTheme="minorEastAsia"/>
                <w:color w:val="000000"/>
                <w:szCs w:val="21"/>
              </w:rPr>
              <w:t>0.13</w:t>
            </w:r>
          </w:p>
        </w:tc>
      </w:tr>
      <w:tr w:rsidR="007B4EE4">
        <w:trPr>
          <w:jc w:val="center"/>
        </w:trPr>
        <w:tc>
          <w:tcPr>
            <w:tcW w:w="771" w:type="dxa"/>
            <w:vAlign w:val="center"/>
          </w:tcPr>
          <w:p w:rsidR="007B4EE4" w:rsidRDefault="00B833D5">
            <w:pPr>
              <w:jc w:val="center"/>
            </w:pPr>
            <w:r>
              <w:rPr>
                <w:rFonts w:eastAsiaTheme="minorEastAsia"/>
                <w:color w:val="000000"/>
                <w:szCs w:val="21"/>
              </w:rPr>
              <w:t>152</w:t>
            </w:r>
          </w:p>
        </w:tc>
        <w:tc>
          <w:tcPr>
            <w:tcW w:w="905" w:type="dxa"/>
            <w:vAlign w:val="center"/>
          </w:tcPr>
          <w:p w:rsidR="007B4EE4" w:rsidRDefault="00B833D5">
            <w:pPr>
              <w:jc w:val="center"/>
            </w:pPr>
            <w:r>
              <w:rPr>
                <w:rFonts w:eastAsiaTheme="minorEastAsia"/>
                <w:color w:val="000000"/>
                <w:szCs w:val="21"/>
              </w:rPr>
              <w:t>Minsheng Education Group Co., Ltd.</w:t>
            </w:r>
          </w:p>
        </w:tc>
        <w:tc>
          <w:tcPr>
            <w:tcW w:w="1015" w:type="dxa"/>
            <w:vAlign w:val="center"/>
          </w:tcPr>
          <w:p w:rsidR="007B4EE4" w:rsidRDefault="00B833D5">
            <w:pPr>
              <w:jc w:val="center"/>
            </w:pPr>
            <w:r>
              <w:rPr>
                <w:rFonts w:eastAsiaTheme="minorEastAsia"/>
                <w:color w:val="000000"/>
                <w:szCs w:val="21"/>
              </w:rPr>
              <w:t>民生教育集团有限公司</w:t>
            </w:r>
          </w:p>
        </w:tc>
        <w:tc>
          <w:tcPr>
            <w:tcW w:w="1184" w:type="dxa"/>
            <w:vAlign w:val="center"/>
          </w:tcPr>
          <w:p w:rsidR="007B4EE4" w:rsidRDefault="00B833D5">
            <w:pPr>
              <w:jc w:val="center"/>
            </w:pPr>
            <w:r>
              <w:rPr>
                <w:rFonts w:eastAsiaTheme="minorEastAsia"/>
                <w:color w:val="000000"/>
                <w:szCs w:val="21"/>
              </w:rPr>
              <w:t>1569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31,503</w:t>
            </w:r>
          </w:p>
        </w:tc>
        <w:tc>
          <w:tcPr>
            <w:tcW w:w="1690" w:type="dxa"/>
            <w:vAlign w:val="center"/>
          </w:tcPr>
          <w:p w:rsidR="007B4EE4" w:rsidRDefault="00B833D5">
            <w:pPr>
              <w:jc w:val="right"/>
            </w:pPr>
            <w:r>
              <w:rPr>
                <w:rFonts w:eastAsiaTheme="minorEastAsia"/>
                <w:color w:val="000000"/>
                <w:szCs w:val="21"/>
              </w:rPr>
              <w:t>30,502.67</w:t>
            </w:r>
          </w:p>
        </w:tc>
        <w:tc>
          <w:tcPr>
            <w:tcW w:w="997" w:type="dxa"/>
            <w:vAlign w:val="center"/>
          </w:tcPr>
          <w:p w:rsidR="007B4EE4" w:rsidRDefault="00B833D5">
            <w:pPr>
              <w:jc w:val="right"/>
            </w:pPr>
            <w:r>
              <w:rPr>
                <w:rFonts w:eastAsiaTheme="minorEastAsia"/>
                <w:color w:val="000000"/>
                <w:szCs w:val="21"/>
              </w:rPr>
              <w:t>0.13</w:t>
            </w:r>
          </w:p>
        </w:tc>
      </w:tr>
      <w:tr w:rsidR="007B4EE4">
        <w:trPr>
          <w:jc w:val="center"/>
        </w:trPr>
        <w:tc>
          <w:tcPr>
            <w:tcW w:w="771" w:type="dxa"/>
            <w:vAlign w:val="center"/>
          </w:tcPr>
          <w:p w:rsidR="007B4EE4" w:rsidRDefault="00B833D5">
            <w:pPr>
              <w:jc w:val="center"/>
            </w:pPr>
            <w:r>
              <w:rPr>
                <w:rFonts w:eastAsiaTheme="minorEastAsia"/>
                <w:color w:val="000000"/>
                <w:szCs w:val="21"/>
              </w:rPr>
              <w:t>153</w:t>
            </w:r>
          </w:p>
        </w:tc>
        <w:tc>
          <w:tcPr>
            <w:tcW w:w="905" w:type="dxa"/>
            <w:vAlign w:val="center"/>
          </w:tcPr>
          <w:p w:rsidR="007B4EE4" w:rsidRDefault="00B833D5">
            <w:pPr>
              <w:jc w:val="center"/>
            </w:pPr>
            <w:r>
              <w:rPr>
                <w:rFonts w:eastAsiaTheme="minorEastAsia"/>
                <w:color w:val="000000"/>
                <w:szCs w:val="21"/>
              </w:rPr>
              <w:t>Regal Hotels International Holdings Limited</w:t>
            </w:r>
          </w:p>
        </w:tc>
        <w:tc>
          <w:tcPr>
            <w:tcW w:w="1015" w:type="dxa"/>
            <w:vAlign w:val="center"/>
          </w:tcPr>
          <w:p w:rsidR="007B4EE4" w:rsidRDefault="00B833D5">
            <w:pPr>
              <w:jc w:val="center"/>
            </w:pPr>
            <w:r>
              <w:rPr>
                <w:rFonts w:eastAsiaTheme="minorEastAsia"/>
                <w:color w:val="000000"/>
                <w:szCs w:val="21"/>
              </w:rPr>
              <w:t>富豪酒店国际控股有限公司</w:t>
            </w:r>
          </w:p>
        </w:tc>
        <w:tc>
          <w:tcPr>
            <w:tcW w:w="1184" w:type="dxa"/>
            <w:vAlign w:val="center"/>
          </w:tcPr>
          <w:p w:rsidR="007B4EE4" w:rsidRDefault="00B833D5">
            <w:pPr>
              <w:jc w:val="center"/>
            </w:pPr>
            <w:r>
              <w:rPr>
                <w:rFonts w:eastAsiaTheme="minorEastAsia"/>
                <w:color w:val="000000"/>
                <w:szCs w:val="21"/>
              </w:rPr>
              <w:t>78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10,571</w:t>
            </w:r>
          </w:p>
        </w:tc>
        <w:tc>
          <w:tcPr>
            <w:tcW w:w="1690" w:type="dxa"/>
            <w:vAlign w:val="center"/>
          </w:tcPr>
          <w:p w:rsidR="007B4EE4" w:rsidRDefault="00B833D5">
            <w:pPr>
              <w:jc w:val="right"/>
            </w:pPr>
            <w:r>
              <w:rPr>
                <w:rFonts w:eastAsiaTheme="minorEastAsia"/>
                <w:color w:val="000000"/>
                <w:szCs w:val="21"/>
              </w:rPr>
              <w:t>29,547.28</w:t>
            </w:r>
          </w:p>
        </w:tc>
        <w:tc>
          <w:tcPr>
            <w:tcW w:w="997" w:type="dxa"/>
            <w:vAlign w:val="center"/>
          </w:tcPr>
          <w:p w:rsidR="007B4EE4" w:rsidRDefault="00B833D5">
            <w:pPr>
              <w:jc w:val="right"/>
            </w:pPr>
            <w:r>
              <w:rPr>
                <w:rFonts w:eastAsiaTheme="minorEastAsia"/>
                <w:color w:val="000000"/>
                <w:szCs w:val="21"/>
              </w:rPr>
              <w:t>0.13</w:t>
            </w:r>
          </w:p>
        </w:tc>
      </w:tr>
      <w:tr w:rsidR="007B4EE4">
        <w:trPr>
          <w:jc w:val="center"/>
        </w:trPr>
        <w:tc>
          <w:tcPr>
            <w:tcW w:w="771" w:type="dxa"/>
            <w:vAlign w:val="center"/>
          </w:tcPr>
          <w:p w:rsidR="007B4EE4" w:rsidRDefault="00B833D5">
            <w:pPr>
              <w:jc w:val="center"/>
            </w:pPr>
            <w:r>
              <w:rPr>
                <w:rFonts w:eastAsiaTheme="minorEastAsia"/>
                <w:color w:val="000000"/>
                <w:szCs w:val="21"/>
              </w:rPr>
              <w:t>154</w:t>
            </w:r>
          </w:p>
        </w:tc>
        <w:tc>
          <w:tcPr>
            <w:tcW w:w="905" w:type="dxa"/>
            <w:vAlign w:val="center"/>
          </w:tcPr>
          <w:p w:rsidR="007B4EE4" w:rsidRDefault="00B833D5">
            <w:pPr>
              <w:jc w:val="center"/>
            </w:pPr>
            <w:r>
              <w:rPr>
                <w:rFonts w:eastAsiaTheme="minorEastAsia"/>
                <w:color w:val="000000"/>
                <w:szCs w:val="21"/>
              </w:rPr>
              <w:t>CITIC Resources Holdings Limited</w:t>
            </w:r>
          </w:p>
        </w:tc>
        <w:tc>
          <w:tcPr>
            <w:tcW w:w="1015" w:type="dxa"/>
            <w:vAlign w:val="center"/>
          </w:tcPr>
          <w:p w:rsidR="007B4EE4" w:rsidRDefault="00B833D5">
            <w:pPr>
              <w:jc w:val="center"/>
            </w:pPr>
            <w:r>
              <w:rPr>
                <w:rFonts w:eastAsiaTheme="minorEastAsia"/>
                <w:color w:val="000000"/>
                <w:szCs w:val="21"/>
              </w:rPr>
              <w:t>中信资源控股有限公司</w:t>
            </w:r>
          </w:p>
        </w:tc>
        <w:tc>
          <w:tcPr>
            <w:tcW w:w="1184" w:type="dxa"/>
            <w:vAlign w:val="center"/>
          </w:tcPr>
          <w:p w:rsidR="007B4EE4" w:rsidRDefault="00B833D5">
            <w:pPr>
              <w:jc w:val="center"/>
            </w:pPr>
            <w:r>
              <w:rPr>
                <w:rFonts w:eastAsiaTheme="minorEastAsia"/>
                <w:color w:val="000000"/>
                <w:szCs w:val="21"/>
              </w:rPr>
              <w:t>1205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128,000</w:t>
            </w:r>
          </w:p>
        </w:tc>
        <w:tc>
          <w:tcPr>
            <w:tcW w:w="1690" w:type="dxa"/>
            <w:vAlign w:val="center"/>
          </w:tcPr>
          <w:p w:rsidR="007B4EE4" w:rsidRDefault="00B833D5">
            <w:pPr>
              <w:jc w:val="right"/>
            </w:pPr>
            <w:r>
              <w:rPr>
                <w:rFonts w:eastAsiaTheme="minorEastAsia"/>
                <w:color w:val="000000"/>
                <w:szCs w:val="21"/>
              </w:rPr>
              <w:t>29,230.08</w:t>
            </w:r>
          </w:p>
        </w:tc>
        <w:tc>
          <w:tcPr>
            <w:tcW w:w="997" w:type="dxa"/>
            <w:vAlign w:val="center"/>
          </w:tcPr>
          <w:p w:rsidR="007B4EE4" w:rsidRDefault="00B833D5">
            <w:pPr>
              <w:jc w:val="right"/>
            </w:pPr>
            <w:r>
              <w:rPr>
                <w:rFonts w:eastAsiaTheme="minorEastAsia"/>
                <w:color w:val="000000"/>
                <w:szCs w:val="21"/>
              </w:rPr>
              <w:t>0.12</w:t>
            </w:r>
          </w:p>
        </w:tc>
      </w:tr>
      <w:tr w:rsidR="007B4EE4">
        <w:trPr>
          <w:jc w:val="center"/>
        </w:trPr>
        <w:tc>
          <w:tcPr>
            <w:tcW w:w="771" w:type="dxa"/>
            <w:vAlign w:val="center"/>
          </w:tcPr>
          <w:p w:rsidR="007B4EE4" w:rsidRDefault="00B833D5">
            <w:pPr>
              <w:jc w:val="center"/>
            </w:pPr>
            <w:r>
              <w:rPr>
                <w:rFonts w:eastAsiaTheme="minorEastAsia"/>
                <w:color w:val="000000"/>
                <w:szCs w:val="21"/>
              </w:rPr>
              <w:t>155</w:t>
            </w:r>
          </w:p>
        </w:tc>
        <w:tc>
          <w:tcPr>
            <w:tcW w:w="905" w:type="dxa"/>
            <w:vAlign w:val="center"/>
          </w:tcPr>
          <w:p w:rsidR="007B4EE4" w:rsidRDefault="00B833D5">
            <w:pPr>
              <w:jc w:val="center"/>
            </w:pPr>
            <w:r>
              <w:rPr>
                <w:rFonts w:eastAsiaTheme="minorEastAsia"/>
                <w:color w:val="000000"/>
                <w:szCs w:val="21"/>
              </w:rPr>
              <w:t>Grand Baoxin Auto Group Limited</w:t>
            </w:r>
          </w:p>
        </w:tc>
        <w:tc>
          <w:tcPr>
            <w:tcW w:w="1015" w:type="dxa"/>
            <w:vAlign w:val="center"/>
          </w:tcPr>
          <w:p w:rsidR="007B4EE4" w:rsidRDefault="00B833D5">
            <w:pPr>
              <w:jc w:val="center"/>
            </w:pPr>
            <w:r>
              <w:rPr>
                <w:rFonts w:eastAsiaTheme="minorEastAsia"/>
                <w:color w:val="000000"/>
                <w:szCs w:val="21"/>
              </w:rPr>
              <w:t>广汇宝信汽车集团有限公司</w:t>
            </w:r>
          </w:p>
        </w:tc>
        <w:tc>
          <w:tcPr>
            <w:tcW w:w="1184" w:type="dxa"/>
            <w:vAlign w:val="center"/>
          </w:tcPr>
          <w:p w:rsidR="007B4EE4" w:rsidRDefault="00B833D5">
            <w:pPr>
              <w:jc w:val="center"/>
            </w:pPr>
            <w:r>
              <w:rPr>
                <w:rFonts w:eastAsiaTheme="minorEastAsia"/>
                <w:color w:val="000000"/>
                <w:szCs w:val="21"/>
              </w:rPr>
              <w:t>1293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26,311</w:t>
            </w:r>
          </w:p>
        </w:tc>
        <w:tc>
          <w:tcPr>
            <w:tcW w:w="1690" w:type="dxa"/>
            <w:vAlign w:val="center"/>
          </w:tcPr>
          <w:p w:rsidR="007B4EE4" w:rsidRDefault="00B833D5">
            <w:pPr>
              <w:jc w:val="right"/>
            </w:pPr>
            <w:r>
              <w:rPr>
                <w:rFonts w:eastAsiaTheme="minorEastAsia"/>
                <w:color w:val="000000"/>
                <w:szCs w:val="21"/>
              </w:rPr>
              <w:t>28,119.22</w:t>
            </w:r>
          </w:p>
        </w:tc>
        <w:tc>
          <w:tcPr>
            <w:tcW w:w="997" w:type="dxa"/>
            <w:vAlign w:val="center"/>
          </w:tcPr>
          <w:p w:rsidR="007B4EE4" w:rsidRDefault="00B833D5">
            <w:pPr>
              <w:jc w:val="right"/>
            </w:pPr>
            <w:r>
              <w:rPr>
                <w:rFonts w:eastAsiaTheme="minorEastAsia"/>
                <w:color w:val="000000"/>
                <w:szCs w:val="21"/>
              </w:rPr>
              <w:t>0.12</w:t>
            </w:r>
          </w:p>
        </w:tc>
      </w:tr>
      <w:tr w:rsidR="007B4EE4">
        <w:trPr>
          <w:jc w:val="center"/>
        </w:trPr>
        <w:tc>
          <w:tcPr>
            <w:tcW w:w="771" w:type="dxa"/>
            <w:vAlign w:val="center"/>
          </w:tcPr>
          <w:p w:rsidR="007B4EE4" w:rsidRDefault="00B833D5">
            <w:pPr>
              <w:jc w:val="center"/>
            </w:pPr>
            <w:r>
              <w:rPr>
                <w:rFonts w:eastAsiaTheme="minorEastAsia"/>
                <w:color w:val="000000"/>
                <w:szCs w:val="21"/>
              </w:rPr>
              <w:t>156</w:t>
            </w:r>
          </w:p>
        </w:tc>
        <w:tc>
          <w:tcPr>
            <w:tcW w:w="905" w:type="dxa"/>
            <w:vAlign w:val="center"/>
          </w:tcPr>
          <w:p w:rsidR="007B4EE4" w:rsidRDefault="00B833D5">
            <w:pPr>
              <w:jc w:val="center"/>
            </w:pPr>
            <w:r>
              <w:rPr>
                <w:rFonts w:eastAsiaTheme="minorEastAsia"/>
                <w:color w:val="000000"/>
                <w:szCs w:val="21"/>
              </w:rPr>
              <w:t>Haichang Ocean Park Holdings Ltd.</w:t>
            </w:r>
          </w:p>
        </w:tc>
        <w:tc>
          <w:tcPr>
            <w:tcW w:w="1015" w:type="dxa"/>
            <w:vAlign w:val="center"/>
          </w:tcPr>
          <w:p w:rsidR="007B4EE4" w:rsidRDefault="00B833D5">
            <w:pPr>
              <w:jc w:val="center"/>
            </w:pPr>
            <w:r>
              <w:rPr>
                <w:rFonts w:eastAsiaTheme="minorEastAsia"/>
                <w:color w:val="000000"/>
                <w:szCs w:val="21"/>
              </w:rPr>
              <w:t>海昌海洋公园控股有限公司</w:t>
            </w:r>
          </w:p>
        </w:tc>
        <w:tc>
          <w:tcPr>
            <w:tcW w:w="1184" w:type="dxa"/>
            <w:vAlign w:val="center"/>
          </w:tcPr>
          <w:p w:rsidR="007B4EE4" w:rsidRDefault="00B833D5">
            <w:pPr>
              <w:jc w:val="center"/>
            </w:pPr>
            <w:r>
              <w:rPr>
                <w:rFonts w:eastAsiaTheme="minorEastAsia"/>
                <w:color w:val="000000"/>
                <w:szCs w:val="21"/>
              </w:rPr>
              <w:t>2255 HK</w:t>
            </w:r>
          </w:p>
        </w:tc>
        <w:tc>
          <w:tcPr>
            <w:tcW w:w="847" w:type="dxa"/>
            <w:vAlign w:val="center"/>
          </w:tcPr>
          <w:p w:rsidR="007B4EE4" w:rsidRDefault="00B833D5">
            <w:pPr>
              <w:jc w:val="center"/>
            </w:pPr>
            <w:r>
              <w:rPr>
                <w:rFonts w:eastAsiaTheme="minorEastAsia"/>
                <w:color w:val="000000"/>
                <w:szCs w:val="21"/>
              </w:rPr>
              <w:t>香港证券交易所</w:t>
            </w:r>
          </w:p>
        </w:tc>
        <w:tc>
          <w:tcPr>
            <w:tcW w:w="1025" w:type="dxa"/>
            <w:vAlign w:val="center"/>
          </w:tcPr>
          <w:p w:rsidR="007B4EE4" w:rsidRDefault="00B833D5">
            <w:pPr>
              <w:jc w:val="center"/>
            </w:pPr>
            <w:r>
              <w:rPr>
                <w:rFonts w:eastAsiaTheme="minorEastAsia"/>
                <w:color w:val="000000"/>
                <w:szCs w:val="21"/>
              </w:rPr>
              <w:t>中国香港</w:t>
            </w:r>
          </w:p>
        </w:tc>
        <w:tc>
          <w:tcPr>
            <w:tcW w:w="1015" w:type="dxa"/>
            <w:vAlign w:val="center"/>
          </w:tcPr>
          <w:p w:rsidR="007B4EE4" w:rsidRDefault="00B833D5">
            <w:pPr>
              <w:jc w:val="right"/>
            </w:pPr>
            <w:r>
              <w:rPr>
                <w:rFonts w:eastAsiaTheme="minorEastAsia"/>
                <w:color w:val="000000"/>
                <w:szCs w:val="21"/>
              </w:rPr>
              <w:t>57,728</w:t>
            </w:r>
          </w:p>
        </w:tc>
        <w:tc>
          <w:tcPr>
            <w:tcW w:w="1690" w:type="dxa"/>
            <w:vAlign w:val="center"/>
          </w:tcPr>
          <w:p w:rsidR="007B4EE4" w:rsidRDefault="00B833D5">
            <w:pPr>
              <w:jc w:val="right"/>
            </w:pPr>
            <w:r>
              <w:rPr>
                <w:rFonts w:eastAsiaTheme="minorEastAsia"/>
                <w:color w:val="000000"/>
                <w:szCs w:val="21"/>
              </w:rPr>
              <w:t>24,256.29</w:t>
            </w:r>
          </w:p>
        </w:tc>
        <w:tc>
          <w:tcPr>
            <w:tcW w:w="997" w:type="dxa"/>
            <w:vAlign w:val="center"/>
          </w:tcPr>
          <w:p w:rsidR="007B4EE4" w:rsidRDefault="00B833D5">
            <w:pPr>
              <w:jc w:val="right"/>
            </w:pPr>
            <w:r>
              <w:rPr>
                <w:rFonts w:eastAsiaTheme="minorEastAsia"/>
                <w:color w:val="000000"/>
                <w:szCs w:val="21"/>
              </w:rPr>
              <w:t>0.10</w:t>
            </w:r>
          </w:p>
        </w:tc>
      </w:tr>
    </w:tbl>
    <w:p w:rsidR="00FF05DE"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注：此处所用证券代码的类别是当地市场代码。</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25" w:name="_Toc224618380"/>
      <w:bookmarkStart w:id="226" w:name="_Toc248233027"/>
      <w:bookmarkStart w:id="227" w:name="_Toc249790559"/>
      <w:bookmarkStart w:id="228" w:name="_Toc286929760"/>
      <w:bookmarkStart w:id="229" w:name="_Toc352255999"/>
      <w:bookmarkStart w:id="230" w:name="_Toc352256067"/>
      <w:bookmarkStart w:id="231" w:name="_Toc352331245"/>
      <w:bookmarkStart w:id="232" w:name="_Toc390164827"/>
      <w:bookmarkStart w:id="233" w:name="_Toc48663868"/>
      <w:r w:rsidRPr="0087359D">
        <w:rPr>
          <w:rFonts w:ascii="宋体" w:hAnsi="宋体"/>
          <w:kern w:val="0"/>
          <w:sz w:val="21"/>
          <w:szCs w:val="21"/>
        </w:rPr>
        <w:t>7.5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w:t>
      </w:r>
      <w:r w:rsidR="0057004B" w:rsidRPr="004F2CA9">
        <w:rPr>
          <w:rFonts w:ascii="宋体" w:hAnsi="宋体" w:hint="eastAsia"/>
          <w:kern w:val="0"/>
          <w:sz w:val="21"/>
          <w:szCs w:val="21"/>
        </w:rPr>
        <w:t>权益</w:t>
      </w:r>
      <w:r w:rsidRPr="00C24ACA">
        <w:rPr>
          <w:rFonts w:ascii="Times New Roman" w:eastAsiaTheme="minorEastAsia" w:hAnsi="Times New Roman"/>
          <w:kern w:val="0"/>
          <w:sz w:val="21"/>
          <w:szCs w:val="21"/>
        </w:rPr>
        <w:t>投资组合的重大变动</w:t>
      </w:r>
      <w:bookmarkEnd w:id="225"/>
      <w:bookmarkEnd w:id="226"/>
      <w:bookmarkEnd w:id="227"/>
      <w:bookmarkEnd w:id="228"/>
      <w:bookmarkEnd w:id="229"/>
      <w:bookmarkEnd w:id="230"/>
      <w:bookmarkEnd w:id="231"/>
      <w:bookmarkEnd w:id="232"/>
      <w:bookmarkEnd w:id="233"/>
    </w:p>
    <w:p w:rsidR="008A5A5D" w:rsidRPr="00C24ACA" w:rsidRDefault="008A5A5D" w:rsidP="006313B1">
      <w:pPr>
        <w:autoSpaceDE w:val="0"/>
        <w:autoSpaceDN w:val="0"/>
        <w:adjustRightInd w:val="0"/>
        <w:snapToGrid w:val="0"/>
        <w:spacing w:line="360" w:lineRule="auto"/>
        <w:jc w:val="left"/>
        <w:rPr>
          <w:rFonts w:eastAsiaTheme="minorEastAsia"/>
          <w:b/>
          <w:color w:val="000000"/>
          <w:kern w:val="0"/>
          <w:szCs w:val="21"/>
        </w:rPr>
      </w:pPr>
      <w:r w:rsidRPr="00C24ACA">
        <w:rPr>
          <w:rFonts w:eastAsiaTheme="minorEastAsia"/>
          <w:b/>
          <w:kern w:val="0"/>
          <w:szCs w:val="21"/>
        </w:rPr>
        <w:t>7.5.1</w:t>
      </w:r>
      <w:r w:rsidRPr="00C24ACA">
        <w:rPr>
          <w:rFonts w:eastAsiaTheme="minorEastAsia"/>
          <w:b/>
          <w:color w:val="000000"/>
          <w:kern w:val="0"/>
          <w:szCs w:val="21"/>
        </w:rPr>
        <w:t>累计买入金额超出</w:t>
      </w:r>
      <w:r w:rsidR="00243C23"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lastRenderedPageBreak/>
        <w:t>金额单位：人民币元</w:t>
      </w:r>
    </w:p>
    <w:tbl>
      <w:tblPr>
        <w:tblW w:w="93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48"/>
        <w:gridCol w:w="2378"/>
        <w:gridCol w:w="2552"/>
        <w:gridCol w:w="2130"/>
        <w:gridCol w:w="1650"/>
      </w:tblGrid>
      <w:tr w:rsidR="008A5A5D" w:rsidRPr="00C24ACA" w:rsidTr="00B73AA7">
        <w:trPr>
          <w:trHeight w:val="315"/>
          <w:jc w:val="center"/>
        </w:trPr>
        <w:tc>
          <w:tcPr>
            <w:tcW w:w="648"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2378"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公司名称（英文）</w:t>
            </w:r>
          </w:p>
        </w:tc>
        <w:tc>
          <w:tcPr>
            <w:tcW w:w="2552"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证券代码</w:t>
            </w:r>
          </w:p>
        </w:tc>
        <w:tc>
          <w:tcPr>
            <w:tcW w:w="213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本期累计买入金额</w:t>
            </w:r>
          </w:p>
        </w:tc>
        <w:tc>
          <w:tcPr>
            <w:tcW w:w="165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w:t>
            </w:r>
            <w:r w:rsidR="00551AB1" w:rsidRPr="00C24ACA">
              <w:rPr>
                <w:rFonts w:eastAsiaTheme="minorEastAsia"/>
                <w:color w:val="000000"/>
                <w:szCs w:val="21"/>
              </w:rPr>
              <w:t>期初</w:t>
            </w:r>
            <w:r w:rsidRPr="00C24ACA">
              <w:rPr>
                <w:rFonts w:eastAsiaTheme="minorEastAsia"/>
                <w:color w:val="000000"/>
                <w:szCs w:val="21"/>
              </w:rPr>
              <w:t>基金</w:t>
            </w:r>
          </w:p>
          <w:p w:rsidR="008A5A5D" w:rsidRPr="00C24ACA" w:rsidRDefault="008A5A5D" w:rsidP="004A4847">
            <w:pPr>
              <w:jc w:val="center"/>
              <w:rPr>
                <w:rFonts w:eastAsiaTheme="minorEastAsia"/>
                <w:color w:val="000000"/>
                <w:szCs w:val="21"/>
              </w:rPr>
            </w:pPr>
            <w:r w:rsidRPr="00C24ACA">
              <w:rPr>
                <w:rFonts w:eastAsiaTheme="minorEastAsia"/>
                <w:color w:val="000000"/>
                <w:szCs w:val="21"/>
              </w:rPr>
              <w:t>资产净值比例（％）</w:t>
            </w:r>
          </w:p>
        </w:tc>
      </w:tr>
      <w:tr w:rsidR="007B4EE4">
        <w:trPr>
          <w:jc w:val="center"/>
        </w:trPr>
        <w:tc>
          <w:tcPr>
            <w:tcW w:w="648" w:type="dxa"/>
            <w:vAlign w:val="center"/>
          </w:tcPr>
          <w:p w:rsidR="007B4EE4" w:rsidRDefault="00B833D5">
            <w:pPr>
              <w:jc w:val="center"/>
            </w:pPr>
            <w:r>
              <w:rPr>
                <w:rFonts w:eastAsiaTheme="minorEastAsia"/>
                <w:color w:val="000000"/>
                <w:szCs w:val="21"/>
              </w:rPr>
              <w:t>1</w:t>
            </w:r>
          </w:p>
        </w:tc>
        <w:tc>
          <w:tcPr>
            <w:tcW w:w="2378" w:type="dxa"/>
            <w:vAlign w:val="center"/>
          </w:tcPr>
          <w:p w:rsidR="007B4EE4" w:rsidRDefault="00B833D5">
            <w:pPr>
              <w:jc w:val="center"/>
            </w:pPr>
            <w:r>
              <w:rPr>
                <w:rFonts w:eastAsiaTheme="minorEastAsia"/>
                <w:color w:val="000000"/>
                <w:szCs w:val="21"/>
              </w:rPr>
              <w:t>A-Living Services Co., Ltd.</w:t>
            </w:r>
          </w:p>
        </w:tc>
        <w:tc>
          <w:tcPr>
            <w:tcW w:w="2552" w:type="dxa"/>
            <w:vAlign w:val="center"/>
          </w:tcPr>
          <w:p w:rsidR="007B4EE4" w:rsidRDefault="00B833D5">
            <w:pPr>
              <w:jc w:val="center"/>
            </w:pPr>
            <w:r>
              <w:rPr>
                <w:rFonts w:eastAsiaTheme="minorEastAsia"/>
                <w:color w:val="000000"/>
                <w:szCs w:val="21"/>
              </w:rPr>
              <w:t>3319 HK</w:t>
            </w:r>
          </w:p>
        </w:tc>
        <w:tc>
          <w:tcPr>
            <w:tcW w:w="2130" w:type="dxa"/>
            <w:vAlign w:val="center"/>
          </w:tcPr>
          <w:p w:rsidR="007B4EE4" w:rsidRDefault="00B833D5">
            <w:pPr>
              <w:jc w:val="center"/>
            </w:pPr>
            <w:r>
              <w:rPr>
                <w:rFonts w:eastAsiaTheme="minorEastAsia"/>
                <w:color w:val="000000"/>
                <w:szCs w:val="21"/>
              </w:rPr>
              <w:t>614,768.03</w:t>
            </w:r>
          </w:p>
        </w:tc>
        <w:tc>
          <w:tcPr>
            <w:tcW w:w="1650" w:type="dxa"/>
            <w:vAlign w:val="center"/>
          </w:tcPr>
          <w:p w:rsidR="007B4EE4" w:rsidRDefault="00B833D5">
            <w:pPr>
              <w:jc w:val="center"/>
            </w:pPr>
            <w:r>
              <w:rPr>
                <w:rFonts w:eastAsiaTheme="minorEastAsia"/>
                <w:color w:val="000000"/>
                <w:szCs w:val="21"/>
              </w:rPr>
              <w:t>1.88</w:t>
            </w:r>
          </w:p>
        </w:tc>
      </w:tr>
      <w:tr w:rsidR="007B4EE4">
        <w:trPr>
          <w:jc w:val="center"/>
        </w:trPr>
        <w:tc>
          <w:tcPr>
            <w:tcW w:w="648" w:type="dxa"/>
            <w:vAlign w:val="center"/>
          </w:tcPr>
          <w:p w:rsidR="007B4EE4" w:rsidRDefault="00B833D5">
            <w:pPr>
              <w:jc w:val="center"/>
            </w:pPr>
            <w:r>
              <w:rPr>
                <w:rFonts w:eastAsiaTheme="minorEastAsia"/>
                <w:color w:val="000000"/>
                <w:szCs w:val="21"/>
              </w:rPr>
              <w:t>2</w:t>
            </w:r>
          </w:p>
        </w:tc>
        <w:tc>
          <w:tcPr>
            <w:tcW w:w="2378" w:type="dxa"/>
            <w:vAlign w:val="center"/>
          </w:tcPr>
          <w:p w:rsidR="007B4EE4" w:rsidRDefault="00B833D5">
            <w:pPr>
              <w:jc w:val="center"/>
            </w:pPr>
            <w:r>
              <w:rPr>
                <w:rFonts w:eastAsiaTheme="minorEastAsia"/>
                <w:color w:val="000000"/>
                <w:szCs w:val="21"/>
              </w:rPr>
              <w:t>Poly Property Development Co., Ltd.</w:t>
            </w:r>
          </w:p>
        </w:tc>
        <w:tc>
          <w:tcPr>
            <w:tcW w:w="2552" w:type="dxa"/>
            <w:vAlign w:val="center"/>
          </w:tcPr>
          <w:p w:rsidR="007B4EE4" w:rsidRDefault="00B833D5">
            <w:pPr>
              <w:jc w:val="center"/>
            </w:pPr>
            <w:r>
              <w:rPr>
                <w:rFonts w:eastAsiaTheme="minorEastAsia"/>
                <w:color w:val="000000"/>
                <w:szCs w:val="21"/>
              </w:rPr>
              <w:t>6049 HK</w:t>
            </w:r>
          </w:p>
        </w:tc>
        <w:tc>
          <w:tcPr>
            <w:tcW w:w="2130" w:type="dxa"/>
            <w:vAlign w:val="center"/>
          </w:tcPr>
          <w:p w:rsidR="007B4EE4" w:rsidRDefault="00B833D5">
            <w:pPr>
              <w:jc w:val="center"/>
            </w:pPr>
            <w:r>
              <w:rPr>
                <w:rFonts w:eastAsiaTheme="minorEastAsia"/>
                <w:color w:val="000000"/>
                <w:szCs w:val="21"/>
              </w:rPr>
              <w:t>399,165.90</w:t>
            </w:r>
          </w:p>
        </w:tc>
        <w:tc>
          <w:tcPr>
            <w:tcW w:w="1650" w:type="dxa"/>
            <w:vAlign w:val="center"/>
          </w:tcPr>
          <w:p w:rsidR="007B4EE4" w:rsidRDefault="00B833D5">
            <w:pPr>
              <w:jc w:val="center"/>
            </w:pPr>
            <w:r>
              <w:rPr>
                <w:rFonts w:eastAsiaTheme="minorEastAsia"/>
                <w:color w:val="000000"/>
                <w:szCs w:val="21"/>
              </w:rPr>
              <w:t>1.22</w:t>
            </w:r>
          </w:p>
        </w:tc>
      </w:tr>
      <w:tr w:rsidR="007B4EE4">
        <w:trPr>
          <w:jc w:val="center"/>
        </w:trPr>
        <w:tc>
          <w:tcPr>
            <w:tcW w:w="648" w:type="dxa"/>
            <w:vAlign w:val="center"/>
          </w:tcPr>
          <w:p w:rsidR="007B4EE4" w:rsidRDefault="00B833D5">
            <w:pPr>
              <w:jc w:val="center"/>
            </w:pPr>
            <w:r>
              <w:rPr>
                <w:rFonts w:eastAsiaTheme="minorEastAsia"/>
                <w:color w:val="000000"/>
                <w:szCs w:val="21"/>
              </w:rPr>
              <w:t>3</w:t>
            </w:r>
          </w:p>
        </w:tc>
        <w:tc>
          <w:tcPr>
            <w:tcW w:w="2378" w:type="dxa"/>
            <w:vAlign w:val="center"/>
          </w:tcPr>
          <w:p w:rsidR="007B4EE4" w:rsidRDefault="00B833D5">
            <w:pPr>
              <w:jc w:val="center"/>
            </w:pPr>
            <w:r>
              <w:rPr>
                <w:rFonts w:eastAsiaTheme="minorEastAsia"/>
                <w:color w:val="000000"/>
                <w:szCs w:val="21"/>
              </w:rPr>
              <w:t>Ak Medical Holdings Limited</w:t>
            </w:r>
          </w:p>
        </w:tc>
        <w:tc>
          <w:tcPr>
            <w:tcW w:w="2552" w:type="dxa"/>
            <w:vAlign w:val="center"/>
          </w:tcPr>
          <w:p w:rsidR="007B4EE4" w:rsidRDefault="00B833D5">
            <w:pPr>
              <w:jc w:val="center"/>
            </w:pPr>
            <w:r>
              <w:rPr>
                <w:rFonts w:eastAsiaTheme="minorEastAsia"/>
                <w:color w:val="000000"/>
                <w:szCs w:val="21"/>
              </w:rPr>
              <w:t>1789 HK</w:t>
            </w:r>
          </w:p>
        </w:tc>
        <w:tc>
          <w:tcPr>
            <w:tcW w:w="2130" w:type="dxa"/>
            <w:vAlign w:val="center"/>
          </w:tcPr>
          <w:p w:rsidR="007B4EE4" w:rsidRDefault="00B833D5">
            <w:pPr>
              <w:jc w:val="center"/>
            </w:pPr>
            <w:r>
              <w:rPr>
                <w:rFonts w:eastAsiaTheme="minorEastAsia"/>
                <w:color w:val="000000"/>
                <w:szCs w:val="21"/>
              </w:rPr>
              <w:t>337,803.50</w:t>
            </w:r>
          </w:p>
        </w:tc>
        <w:tc>
          <w:tcPr>
            <w:tcW w:w="1650" w:type="dxa"/>
            <w:vAlign w:val="center"/>
          </w:tcPr>
          <w:p w:rsidR="007B4EE4" w:rsidRDefault="00B833D5">
            <w:pPr>
              <w:jc w:val="center"/>
            </w:pPr>
            <w:r>
              <w:rPr>
                <w:rFonts w:eastAsiaTheme="minorEastAsia"/>
                <w:color w:val="000000"/>
                <w:szCs w:val="21"/>
              </w:rPr>
              <w:t>1.03</w:t>
            </w:r>
          </w:p>
        </w:tc>
      </w:tr>
      <w:tr w:rsidR="007B4EE4">
        <w:trPr>
          <w:jc w:val="center"/>
        </w:trPr>
        <w:tc>
          <w:tcPr>
            <w:tcW w:w="648" w:type="dxa"/>
            <w:vAlign w:val="center"/>
          </w:tcPr>
          <w:p w:rsidR="007B4EE4" w:rsidRDefault="00B833D5">
            <w:pPr>
              <w:jc w:val="center"/>
            </w:pPr>
            <w:r>
              <w:rPr>
                <w:rFonts w:eastAsiaTheme="minorEastAsia"/>
                <w:color w:val="000000"/>
                <w:szCs w:val="21"/>
              </w:rPr>
              <w:t>4</w:t>
            </w:r>
          </w:p>
        </w:tc>
        <w:tc>
          <w:tcPr>
            <w:tcW w:w="2378" w:type="dxa"/>
            <w:vAlign w:val="center"/>
          </w:tcPr>
          <w:p w:rsidR="007B4EE4" w:rsidRDefault="00B833D5">
            <w:pPr>
              <w:jc w:val="center"/>
            </w:pPr>
            <w:r>
              <w:rPr>
                <w:rFonts w:eastAsiaTheme="minorEastAsia"/>
                <w:color w:val="000000"/>
                <w:szCs w:val="21"/>
              </w:rPr>
              <w:t>China Grand Pharmaceutical and Healthcare Holding Limited</w:t>
            </w:r>
          </w:p>
        </w:tc>
        <w:tc>
          <w:tcPr>
            <w:tcW w:w="2552" w:type="dxa"/>
            <w:vAlign w:val="center"/>
          </w:tcPr>
          <w:p w:rsidR="007B4EE4" w:rsidRDefault="00B833D5">
            <w:pPr>
              <w:jc w:val="center"/>
            </w:pPr>
            <w:r>
              <w:rPr>
                <w:rFonts w:eastAsiaTheme="minorEastAsia"/>
                <w:color w:val="000000"/>
                <w:szCs w:val="21"/>
              </w:rPr>
              <w:t>512 HK</w:t>
            </w:r>
          </w:p>
        </w:tc>
        <w:tc>
          <w:tcPr>
            <w:tcW w:w="2130" w:type="dxa"/>
            <w:vAlign w:val="center"/>
          </w:tcPr>
          <w:p w:rsidR="007B4EE4" w:rsidRDefault="00B833D5">
            <w:pPr>
              <w:jc w:val="center"/>
            </w:pPr>
            <w:r>
              <w:rPr>
                <w:rFonts w:eastAsiaTheme="minorEastAsia"/>
                <w:color w:val="000000"/>
                <w:szCs w:val="21"/>
              </w:rPr>
              <w:t>295,064.11</w:t>
            </w:r>
          </w:p>
        </w:tc>
        <w:tc>
          <w:tcPr>
            <w:tcW w:w="1650" w:type="dxa"/>
            <w:vAlign w:val="center"/>
          </w:tcPr>
          <w:p w:rsidR="007B4EE4" w:rsidRDefault="00B833D5">
            <w:pPr>
              <w:jc w:val="center"/>
            </w:pPr>
            <w:r>
              <w:rPr>
                <w:rFonts w:eastAsiaTheme="minorEastAsia"/>
                <w:color w:val="000000"/>
                <w:szCs w:val="21"/>
              </w:rPr>
              <w:t>0.90</w:t>
            </w:r>
          </w:p>
        </w:tc>
      </w:tr>
      <w:tr w:rsidR="007B4EE4">
        <w:trPr>
          <w:jc w:val="center"/>
        </w:trPr>
        <w:tc>
          <w:tcPr>
            <w:tcW w:w="648" w:type="dxa"/>
            <w:vAlign w:val="center"/>
          </w:tcPr>
          <w:p w:rsidR="007B4EE4" w:rsidRDefault="00B833D5">
            <w:pPr>
              <w:jc w:val="center"/>
            </w:pPr>
            <w:r>
              <w:rPr>
                <w:rFonts w:eastAsiaTheme="minorEastAsia"/>
                <w:color w:val="000000"/>
                <w:szCs w:val="21"/>
              </w:rPr>
              <w:t>5</w:t>
            </w:r>
          </w:p>
        </w:tc>
        <w:tc>
          <w:tcPr>
            <w:tcW w:w="2378" w:type="dxa"/>
            <w:vAlign w:val="center"/>
          </w:tcPr>
          <w:p w:rsidR="007B4EE4" w:rsidRDefault="00B833D5">
            <w:pPr>
              <w:jc w:val="center"/>
            </w:pPr>
            <w:r>
              <w:rPr>
                <w:rFonts w:eastAsiaTheme="minorEastAsia"/>
                <w:color w:val="000000"/>
                <w:szCs w:val="21"/>
              </w:rPr>
              <w:t>Sinopec Engineering (Group) Co., Ltd.</w:t>
            </w:r>
          </w:p>
        </w:tc>
        <w:tc>
          <w:tcPr>
            <w:tcW w:w="2552" w:type="dxa"/>
            <w:vAlign w:val="center"/>
          </w:tcPr>
          <w:p w:rsidR="007B4EE4" w:rsidRDefault="00B833D5">
            <w:pPr>
              <w:jc w:val="center"/>
            </w:pPr>
            <w:r>
              <w:rPr>
                <w:rFonts w:eastAsiaTheme="minorEastAsia"/>
                <w:color w:val="000000"/>
                <w:szCs w:val="21"/>
              </w:rPr>
              <w:t>2386 HK</w:t>
            </w:r>
          </w:p>
        </w:tc>
        <w:tc>
          <w:tcPr>
            <w:tcW w:w="2130" w:type="dxa"/>
            <w:vAlign w:val="center"/>
          </w:tcPr>
          <w:p w:rsidR="007B4EE4" w:rsidRDefault="00B833D5">
            <w:pPr>
              <w:jc w:val="center"/>
            </w:pPr>
            <w:r>
              <w:rPr>
                <w:rFonts w:eastAsiaTheme="minorEastAsia"/>
                <w:color w:val="000000"/>
                <w:szCs w:val="21"/>
              </w:rPr>
              <w:t>239,226.86</w:t>
            </w:r>
          </w:p>
        </w:tc>
        <w:tc>
          <w:tcPr>
            <w:tcW w:w="1650" w:type="dxa"/>
            <w:vAlign w:val="center"/>
          </w:tcPr>
          <w:p w:rsidR="007B4EE4" w:rsidRDefault="00B833D5">
            <w:pPr>
              <w:jc w:val="center"/>
            </w:pPr>
            <w:r>
              <w:rPr>
                <w:rFonts w:eastAsiaTheme="minorEastAsia"/>
                <w:color w:val="000000"/>
                <w:szCs w:val="21"/>
              </w:rPr>
              <w:t>0.73</w:t>
            </w:r>
          </w:p>
        </w:tc>
      </w:tr>
      <w:tr w:rsidR="007B4EE4">
        <w:trPr>
          <w:jc w:val="center"/>
        </w:trPr>
        <w:tc>
          <w:tcPr>
            <w:tcW w:w="648" w:type="dxa"/>
            <w:vAlign w:val="center"/>
          </w:tcPr>
          <w:p w:rsidR="007B4EE4" w:rsidRDefault="00B833D5">
            <w:pPr>
              <w:jc w:val="center"/>
            </w:pPr>
            <w:r>
              <w:rPr>
                <w:rFonts w:eastAsiaTheme="minorEastAsia"/>
                <w:color w:val="000000"/>
                <w:szCs w:val="21"/>
              </w:rPr>
              <w:t>6</w:t>
            </w:r>
          </w:p>
        </w:tc>
        <w:tc>
          <w:tcPr>
            <w:tcW w:w="2378" w:type="dxa"/>
            <w:vAlign w:val="center"/>
          </w:tcPr>
          <w:p w:rsidR="007B4EE4" w:rsidRDefault="00B833D5">
            <w:pPr>
              <w:jc w:val="center"/>
            </w:pPr>
            <w:r>
              <w:rPr>
                <w:rFonts w:eastAsiaTheme="minorEastAsia"/>
                <w:color w:val="000000"/>
                <w:szCs w:val="21"/>
              </w:rPr>
              <w:t>Pacific textiles holdings Limited</w:t>
            </w:r>
          </w:p>
        </w:tc>
        <w:tc>
          <w:tcPr>
            <w:tcW w:w="2552" w:type="dxa"/>
            <w:vAlign w:val="center"/>
          </w:tcPr>
          <w:p w:rsidR="007B4EE4" w:rsidRDefault="00B833D5">
            <w:pPr>
              <w:jc w:val="center"/>
            </w:pPr>
            <w:r>
              <w:rPr>
                <w:rFonts w:eastAsiaTheme="minorEastAsia"/>
                <w:color w:val="000000"/>
                <w:szCs w:val="21"/>
              </w:rPr>
              <w:t>1382 HK</w:t>
            </w:r>
          </w:p>
        </w:tc>
        <w:tc>
          <w:tcPr>
            <w:tcW w:w="2130" w:type="dxa"/>
            <w:vAlign w:val="center"/>
          </w:tcPr>
          <w:p w:rsidR="007B4EE4" w:rsidRDefault="00B833D5">
            <w:pPr>
              <w:jc w:val="center"/>
            </w:pPr>
            <w:r>
              <w:rPr>
                <w:rFonts w:eastAsiaTheme="minorEastAsia"/>
                <w:color w:val="000000"/>
                <w:szCs w:val="21"/>
              </w:rPr>
              <w:t>237,739.42</w:t>
            </w:r>
          </w:p>
        </w:tc>
        <w:tc>
          <w:tcPr>
            <w:tcW w:w="1650" w:type="dxa"/>
            <w:vAlign w:val="center"/>
          </w:tcPr>
          <w:p w:rsidR="007B4EE4" w:rsidRDefault="00B833D5">
            <w:pPr>
              <w:jc w:val="center"/>
            </w:pPr>
            <w:r>
              <w:rPr>
                <w:rFonts w:eastAsiaTheme="minorEastAsia"/>
                <w:color w:val="000000"/>
                <w:szCs w:val="21"/>
              </w:rPr>
              <w:t>0.73</w:t>
            </w:r>
          </w:p>
        </w:tc>
      </w:tr>
      <w:tr w:rsidR="007B4EE4">
        <w:trPr>
          <w:jc w:val="center"/>
        </w:trPr>
        <w:tc>
          <w:tcPr>
            <w:tcW w:w="648" w:type="dxa"/>
            <w:vAlign w:val="center"/>
          </w:tcPr>
          <w:p w:rsidR="007B4EE4" w:rsidRDefault="00B833D5">
            <w:pPr>
              <w:jc w:val="center"/>
            </w:pPr>
            <w:r>
              <w:rPr>
                <w:rFonts w:eastAsiaTheme="minorEastAsia"/>
                <w:color w:val="000000"/>
                <w:szCs w:val="21"/>
              </w:rPr>
              <w:t>7</w:t>
            </w:r>
          </w:p>
        </w:tc>
        <w:tc>
          <w:tcPr>
            <w:tcW w:w="2378" w:type="dxa"/>
            <w:vAlign w:val="center"/>
          </w:tcPr>
          <w:p w:rsidR="007B4EE4" w:rsidRDefault="00B833D5">
            <w:pPr>
              <w:jc w:val="center"/>
            </w:pPr>
            <w:r>
              <w:rPr>
                <w:rFonts w:eastAsiaTheme="minorEastAsia"/>
                <w:color w:val="000000"/>
                <w:szCs w:val="21"/>
              </w:rPr>
              <w:t>China South City Holdings Limited</w:t>
            </w:r>
          </w:p>
        </w:tc>
        <w:tc>
          <w:tcPr>
            <w:tcW w:w="2552" w:type="dxa"/>
            <w:vAlign w:val="center"/>
          </w:tcPr>
          <w:p w:rsidR="007B4EE4" w:rsidRDefault="00B833D5">
            <w:pPr>
              <w:jc w:val="center"/>
            </w:pPr>
            <w:r>
              <w:rPr>
                <w:rFonts w:eastAsiaTheme="minorEastAsia"/>
                <w:color w:val="000000"/>
                <w:szCs w:val="21"/>
              </w:rPr>
              <w:t>1668 HK</w:t>
            </w:r>
          </w:p>
        </w:tc>
        <w:tc>
          <w:tcPr>
            <w:tcW w:w="2130" w:type="dxa"/>
            <w:vAlign w:val="center"/>
          </w:tcPr>
          <w:p w:rsidR="007B4EE4" w:rsidRDefault="00B833D5">
            <w:pPr>
              <w:jc w:val="center"/>
            </w:pPr>
            <w:r>
              <w:rPr>
                <w:rFonts w:eastAsiaTheme="minorEastAsia"/>
                <w:color w:val="000000"/>
                <w:szCs w:val="21"/>
              </w:rPr>
              <w:t>234,076.80</w:t>
            </w:r>
          </w:p>
        </w:tc>
        <w:tc>
          <w:tcPr>
            <w:tcW w:w="1650" w:type="dxa"/>
            <w:vAlign w:val="center"/>
          </w:tcPr>
          <w:p w:rsidR="007B4EE4" w:rsidRDefault="00B833D5">
            <w:pPr>
              <w:jc w:val="center"/>
            </w:pPr>
            <w:r>
              <w:rPr>
                <w:rFonts w:eastAsiaTheme="minorEastAsia"/>
                <w:color w:val="000000"/>
                <w:szCs w:val="21"/>
              </w:rPr>
              <w:t>0.72</w:t>
            </w:r>
          </w:p>
        </w:tc>
      </w:tr>
      <w:tr w:rsidR="007B4EE4">
        <w:trPr>
          <w:jc w:val="center"/>
        </w:trPr>
        <w:tc>
          <w:tcPr>
            <w:tcW w:w="648" w:type="dxa"/>
            <w:vAlign w:val="center"/>
          </w:tcPr>
          <w:p w:rsidR="007B4EE4" w:rsidRDefault="00B833D5">
            <w:pPr>
              <w:jc w:val="center"/>
            </w:pPr>
            <w:r>
              <w:rPr>
                <w:rFonts w:eastAsiaTheme="minorEastAsia"/>
                <w:color w:val="000000"/>
                <w:szCs w:val="21"/>
              </w:rPr>
              <w:t>8</w:t>
            </w:r>
          </w:p>
        </w:tc>
        <w:tc>
          <w:tcPr>
            <w:tcW w:w="2378" w:type="dxa"/>
            <w:vAlign w:val="center"/>
          </w:tcPr>
          <w:p w:rsidR="007B4EE4" w:rsidRDefault="00B833D5">
            <w:pPr>
              <w:jc w:val="center"/>
            </w:pPr>
            <w:r>
              <w:rPr>
                <w:rFonts w:eastAsiaTheme="minorEastAsia"/>
                <w:color w:val="000000"/>
                <w:szCs w:val="21"/>
              </w:rPr>
              <w:t>Stella International Holdings Ltd</w:t>
            </w:r>
          </w:p>
        </w:tc>
        <w:tc>
          <w:tcPr>
            <w:tcW w:w="2552" w:type="dxa"/>
            <w:vAlign w:val="center"/>
          </w:tcPr>
          <w:p w:rsidR="007B4EE4" w:rsidRDefault="00B833D5">
            <w:pPr>
              <w:jc w:val="center"/>
            </w:pPr>
            <w:r>
              <w:rPr>
                <w:rFonts w:eastAsiaTheme="minorEastAsia"/>
                <w:color w:val="000000"/>
                <w:szCs w:val="21"/>
              </w:rPr>
              <w:t>1836 HK</w:t>
            </w:r>
          </w:p>
        </w:tc>
        <w:tc>
          <w:tcPr>
            <w:tcW w:w="2130" w:type="dxa"/>
            <w:vAlign w:val="center"/>
          </w:tcPr>
          <w:p w:rsidR="007B4EE4" w:rsidRDefault="00B833D5">
            <w:pPr>
              <w:jc w:val="center"/>
            </w:pPr>
            <w:r>
              <w:rPr>
                <w:rFonts w:eastAsiaTheme="minorEastAsia"/>
                <w:color w:val="000000"/>
                <w:szCs w:val="21"/>
              </w:rPr>
              <w:t>231,145.55</w:t>
            </w:r>
          </w:p>
        </w:tc>
        <w:tc>
          <w:tcPr>
            <w:tcW w:w="1650" w:type="dxa"/>
            <w:vAlign w:val="center"/>
          </w:tcPr>
          <w:p w:rsidR="007B4EE4" w:rsidRDefault="00B833D5">
            <w:pPr>
              <w:jc w:val="center"/>
            </w:pPr>
            <w:r>
              <w:rPr>
                <w:rFonts w:eastAsiaTheme="minorEastAsia"/>
                <w:color w:val="000000"/>
                <w:szCs w:val="21"/>
              </w:rPr>
              <w:t>0.71</w:t>
            </w:r>
          </w:p>
        </w:tc>
      </w:tr>
      <w:tr w:rsidR="007B4EE4">
        <w:trPr>
          <w:jc w:val="center"/>
        </w:trPr>
        <w:tc>
          <w:tcPr>
            <w:tcW w:w="648" w:type="dxa"/>
            <w:vAlign w:val="center"/>
          </w:tcPr>
          <w:p w:rsidR="007B4EE4" w:rsidRDefault="00B833D5">
            <w:pPr>
              <w:jc w:val="center"/>
            </w:pPr>
            <w:r>
              <w:rPr>
                <w:rFonts w:eastAsiaTheme="minorEastAsia"/>
                <w:color w:val="000000"/>
                <w:szCs w:val="21"/>
              </w:rPr>
              <w:t>9</w:t>
            </w:r>
          </w:p>
        </w:tc>
        <w:tc>
          <w:tcPr>
            <w:tcW w:w="2378" w:type="dxa"/>
            <w:vAlign w:val="center"/>
          </w:tcPr>
          <w:p w:rsidR="007B4EE4" w:rsidRDefault="00B833D5">
            <w:pPr>
              <w:jc w:val="center"/>
            </w:pPr>
            <w:r>
              <w:rPr>
                <w:rFonts w:eastAsiaTheme="minorEastAsia"/>
                <w:color w:val="000000"/>
                <w:szCs w:val="21"/>
              </w:rPr>
              <w:t>GCL-Poly Energy Holdings Limited</w:t>
            </w:r>
          </w:p>
        </w:tc>
        <w:tc>
          <w:tcPr>
            <w:tcW w:w="2552" w:type="dxa"/>
            <w:vAlign w:val="center"/>
          </w:tcPr>
          <w:p w:rsidR="007B4EE4" w:rsidRDefault="00B833D5">
            <w:pPr>
              <w:jc w:val="center"/>
            </w:pPr>
            <w:r>
              <w:rPr>
                <w:rFonts w:eastAsiaTheme="minorEastAsia"/>
                <w:color w:val="000000"/>
                <w:szCs w:val="21"/>
              </w:rPr>
              <w:t>3800 HK</w:t>
            </w:r>
          </w:p>
        </w:tc>
        <w:tc>
          <w:tcPr>
            <w:tcW w:w="2130" w:type="dxa"/>
            <w:vAlign w:val="center"/>
          </w:tcPr>
          <w:p w:rsidR="007B4EE4" w:rsidRDefault="00B833D5">
            <w:pPr>
              <w:jc w:val="center"/>
            </w:pPr>
            <w:r>
              <w:rPr>
                <w:rFonts w:eastAsiaTheme="minorEastAsia"/>
                <w:color w:val="000000"/>
                <w:szCs w:val="21"/>
              </w:rPr>
              <w:t>230,008.32</w:t>
            </w:r>
          </w:p>
        </w:tc>
        <w:tc>
          <w:tcPr>
            <w:tcW w:w="1650" w:type="dxa"/>
            <w:vAlign w:val="center"/>
          </w:tcPr>
          <w:p w:rsidR="007B4EE4" w:rsidRDefault="00B833D5">
            <w:pPr>
              <w:jc w:val="center"/>
            </w:pPr>
            <w:r>
              <w:rPr>
                <w:rFonts w:eastAsiaTheme="minorEastAsia"/>
                <w:color w:val="000000"/>
                <w:szCs w:val="21"/>
              </w:rPr>
              <w:t>0.70</w:t>
            </w:r>
          </w:p>
        </w:tc>
      </w:tr>
      <w:tr w:rsidR="007B4EE4">
        <w:trPr>
          <w:jc w:val="center"/>
        </w:trPr>
        <w:tc>
          <w:tcPr>
            <w:tcW w:w="648" w:type="dxa"/>
            <w:vAlign w:val="center"/>
          </w:tcPr>
          <w:p w:rsidR="007B4EE4" w:rsidRDefault="00B833D5">
            <w:pPr>
              <w:jc w:val="center"/>
            </w:pPr>
            <w:r>
              <w:rPr>
                <w:rFonts w:eastAsiaTheme="minorEastAsia"/>
                <w:color w:val="000000"/>
                <w:szCs w:val="21"/>
              </w:rPr>
              <w:t>10</w:t>
            </w:r>
          </w:p>
        </w:tc>
        <w:tc>
          <w:tcPr>
            <w:tcW w:w="2378" w:type="dxa"/>
            <w:vAlign w:val="center"/>
          </w:tcPr>
          <w:p w:rsidR="007B4EE4" w:rsidRDefault="00B833D5">
            <w:pPr>
              <w:jc w:val="center"/>
            </w:pPr>
            <w:r>
              <w:rPr>
                <w:rFonts w:eastAsiaTheme="minorEastAsia"/>
                <w:color w:val="000000"/>
                <w:szCs w:val="21"/>
              </w:rPr>
              <w:t>CMGE Technology Group Limited</w:t>
            </w:r>
          </w:p>
        </w:tc>
        <w:tc>
          <w:tcPr>
            <w:tcW w:w="2552" w:type="dxa"/>
            <w:vAlign w:val="center"/>
          </w:tcPr>
          <w:p w:rsidR="007B4EE4" w:rsidRDefault="00B833D5">
            <w:pPr>
              <w:jc w:val="center"/>
            </w:pPr>
            <w:r>
              <w:rPr>
                <w:rFonts w:eastAsiaTheme="minorEastAsia"/>
                <w:color w:val="000000"/>
                <w:szCs w:val="21"/>
              </w:rPr>
              <w:t>302 HK</w:t>
            </w:r>
          </w:p>
        </w:tc>
        <w:tc>
          <w:tcPr>
            <w:tcW w:w="2130" w:type="dxa"/>
            <w:vAlign w:val="center"/>
          </w:tcPr>
          <w:p w:rsidR="007B4EE4" w:rsidRDefault="00B833D5">
            <w:pPr>
              <w:jc w:val="center"/>
            </w:pPr>
            <w:r>
              <w:rPr>
                <w:rFonts w:eastAsiaTheme="minorEastAsia"/>
                <w:color w:val="000000"/>
                <w:szCs w:val="21"/>
              </w:rPr>
              <w:t>220,717.20</w:t>
            </w:r>
          </w:p>
        </w:tc>
        <w:tc>
          <w:tcPr>
            <w:tcW w:w="1650" w:type="dxa"/>
            <w:vAlign w:val="center"/>
          </w:tcPr>
          <w:p w:rsidR="007B4EE4" w:rsidRDefault="00B833D5">
            <w:pPr>
              <w:jc w:val="center"/>
            </w:pPr>
            <w:r>
              <w:rPr>
                <w:rFonts w:eastAsiaTheme="minorEastAsia"/>
                <w:color w:val="000000"/>
                <w:szCs w:val="21"/>
              </w:rPr>
              <w:t>0.67</w:t>
            </w:r>
          </w:p>
        </w:tc>
      </w:tr>
      <w:tr w:rsidR="007B4EE4">
        <w:trPr>
          <w:jc w:val="center"/>
        </w:trPr>
        <w:tc>
          <w:tcPr>
            <w:tcW w:w="648" w:type="dxa"/>
            <w:vAlign w:val="center"/>
          </w:tcPr>
          <w:p w:rsidR="007B4EE4" w:rsidRDefault="00B833D5">
            <w:pPr>
              <w:jc w:val="center"/>
            </w:pPr>
            <w:r>
              <w:rPr>
                <w:rFonts w:eastAsiaTheme="minorEastAsia"/>
                <w:color w:val="000000"/>
                <w:szCs w:val="21"/>
              </w:rPr>
              <w:t>11</w:t>
            </w:r>
          </w:p>
        </w:tc>
        <w:tc>
          <w:tcPr>
            <w:tcW w:w="2378" w:type="dxa"/>
            <w:vAlign w:val="center"/>
          </w:tcPr>
          <w:p w:rsidR="007B4EE4" w:rsidRDefault="00B833D5">
            <w:pPr>
              <w:jc w:val="center"/>
            </w:pPr>
            <w:r>
              <w:rPr>
                <w:rFonts w:eastAsiaTheme="minorEastAsia"/>
                <w:color w:val="000000"/>
                <w:szCs w:val="21"/>
              </w:rPr>
              <w:t>Value Partners Group Limited</w:t>
            </w:r>
          </w:p>
        </w:tc>
        <w:tc>
          <w:tcPr>
            <w:tcW w:w="2552" w:type="dxa"/>
            <w:vAlign w:val="center"/>
          </w:tcPr>
          <w:p w:rsidR="007B4EE4" w:rsidRDefault="00B833D5">
            <w:pPr>
              <w:jc w:val="center"/>
            </w:pPr>
            <w:r>
              <w:rPr>
                <w:rFonts w:eastAsiaTheme="minorEastAsia"/>
                <w:color w:val="000000"/>
                <w:szCs w:val="21"/>
              </w:rPr>
              <w:t>806 HK</w:t>
            </w:r>
          </w:p>
        </w:tc>
        <w:tc>
          <w:tcPr>
            <w:tcW w:w="2130" w:type="dxa"/>
            <w:vAlign w:val="center"/>
          </w:tcPr>
          <w:p w:rsidR="007B4EE4" w:rsidRDefault="00B833D5">
            <w:pPr>
              <w:jc w:val="center"/>
            </w:pPr>
            <w:r>
              <w:rPr>
                <w:rFonts w:eastAsiaTheme="minorEastAsia"/>
                <w:color w:val="000000"/>
                <w:szCs w:val="21"/>
              </w:rPr>
              <w:t>211,162.32</w:t>
            </w:r>
          </w:p>
        </w:tc>
        <w:tc>
          <w:tcPr>
            <w:tcW w:w="1650" w:type="dxa"/>
            <w:vAlign w:val="center"/>
          </w:tcPr>
          <w:p w:rsidR="007B4EE4" w:rsidRDefault="00B833D5">
            <w:pPr>
              <w:jc w:val="center"/>
            </w:pPr>
            <w:r>
              <w:rPr>
                <w:rFonts w:eastAsiaTheme="minorEastAsia"/>
                <w:color w:val="000000"/>
                <w:szCs w:val="21"/>
              </w:rPr>
              <w:t>0.65</w:t>
            </w:r>
          </w:p>
        </w:tc>
      </w:tr>
      <w:tr w:rsidR="007B4EE4">
        <w:trPr>
          <w:jc w:val="center"/>
        </w:trPr>
        <w:tc>
          <w:tcPr>
            <w:tcW w:w="648" w:type="dxa"/>
            <w:vAlign w:val="center"/>
          </w:tcPr>
          <w:p w:rsidR="007B4EE4" w:rsidRDefault="00B833D5">
            <w:pPr>
              <w:jc w:val="center"/>
            </w:pPr>
            <w:r>
              <w:rPr>
                <w:rFonts w:eastAsiaTheme="minorEastAsia"/>
                <w:color w:val="000000"/>
                <w:szCs w:val="21"/>
              </w:rPr>
              <w:t>12</w:t>
            </w:r>
          </w:p>
        </w:tc>
        <w:tc>
          <w:tcPr>
            <w:tcW w:w="2378" w:type="dxa"/>
            <w:vAlign w:val="center"/>
          </w:tcPr>
          <w:p w:rsidR="007B4EE4" w:rsidRDefault="00B833D5">
            <w:pPr>
              <w:jc w:val="center"/>
            </w:pPr>
            <w:r>
              <w:rPr>
                <w:rFonts w:eastAsiaTheme="minorEastAsia"/>
                <w:color w:val="000000"/>
                <w:szCs w:val="21"/>
              </w:rPr>
              <w:t>E-House (China) Enterprise Holdings Limited</w:t>
            </w:r>
          </w:p>
        </w:tc>
        <w:tc>
          <w:tcPr>
            <w:tcW w:w="2552" w:type="dxa"/>
            <w:vAlign w:val="center"/>
          </w:tcPr>
          <w:p w:rsidR="007B4EE4" w:rsidRDefault="00B833D5">
            <w:pPr>
              <w:jc w:val="center"/>
            </w:pPr>
            <w:r>
              <w:rPr>
                <w:rFonts w:eastAsiaTheme="minorEastAsia"/>
                <w:color w:val="000000"/>
                <w:szCs w:val="21"/>
              </w:rPr>
              <w:t>2048 HK</w:t>
            </w:r>
          </w:p>
        </w:tc>
        <w:tc>
          <w:tcPr>
            <w:tcW w:w="2130" w:type="dxa"/>
            <w:vAlign w:val="center"/>
          </w:tcPr>
          <w:p w:rsidR="007B4EE4" w:rsidRDefault="00B833D5">
            <w:pPr>
              <w:jc w:val="center"/>
            </w:pPr>
            <w:r>
              <w:rPr>
                <w:rFonts w:eastAsiaTheme="minorEastAsia"/>
                <w:color w:val="000000"/>
                <w:szCs w:val="21"/>
              </w:rPr>
              <w:t>190,681.11</w:t>
            </w:r>
          </w:p>
        </w:tc>
        <w:tc>
          <w:tcPr>
            <w:tcW w:w="1650" w:type="dxa"/>
            <w:vAlign w:val="center"/>
          </w:tcPr>
          <w:p w:rsidR="007B4EE4" w:rsidRDefault="00B833D5">
            <w:pPr>
              <w:jc w:val="center"/>
            </w:pPr>
            <w:r>
              <w:rPr>
                <w:rFonts w:eastAsiaTheme="minorEastAsia"/>
                <w:color w:val="000000"/>
                <w:szCs w:val="21"/>
              </w:rPr>
              <w:t>0.58</w:t>
            </w:r>
          </w:p>
        </w:tc>
      </w:tr>
      <w:tr w:rsidR="007B4EE4">
        <w:trPr>
          <w:jc w:val="center"/>
        </w:trPr>
        <w:tc>
          <w:tcPr>
            <w:tcW w:w="648" w:type="dxa"/>
            <w:vAlign w:val="center"/>
          </w:tcPr>
          <w:p w:rsidR="007B4EE4" w:rsidRDefault="00B833D5">
            <w:pPr>
              <w:jc w:val="center"/>
            </w:pPr>
            <w:r>
              <w:rPr>
                <w:rFonts w:eastAsiaTheme="minorEastAsia"/>
                <w:color w:val="000000"/>
                <w:szCs w:val="21"/>
              </w:rPr>
              <w:t>13</w:t>
            </w:r>
          </w:p>
        </w:tc>
        <w:tc>
          <w:tcPr>
            <w:tcW w:w="2378" w:type="dxa"/>
            <w:vAlign w:val="center"/>
          </w:tcPr>
          <w:p w:rsidR="007B4EE4" w:rsidRDefault="00B833D5">
            <w:pPr>
              <w:jc w:val="center"/>
            </w:pPr>
            <w:r>
              <w:rPr>
                <w:rFonts w:eastAsiaTheme="minorEastAsia"/>
                <w:color w:val="000000"/>
                <w:szCs w:val="21"/>
              </w:rPr>
              <w:t>Chow Sang Sang Holdings International Ltd.</w:t>
            </w:r>
          </w:p>
        </w:tc>
        <w:tc>
          <w:tcPr>
            <w:tcW w:w="2552" w:type="dxa"/>
            <w:vAlign w:val="center"/>
          </w:tcPr>
          <w:p w:rsidR="007B4EE4" w:rsidRDefault="00B833D5">
            <w:pPr>
              <w:jc w:val="center"/>
            </w:pPr>
            <w:r>
              <w:rPr>
                <w:rFonts w:eastAsiaTheme="minorEastAsia"/>
                <w:color w:val="000000"/>
                <w:szCs w:val="21"/>
              </w:rPr>
              <w:t>116 HK</w:t>
            </w:r>
          </w:p>
        </w:tc>
        <w:tc>
          <w:tcPr>
            <w:tcW w:w="2130" w:type="dxa"/>
            <w:vAlign w:val="center"/>
          </w:tcPr>
          <w:p w:rsidR="007B4EE4" w:rsidRDefault="00B833D5">
            <w:pPr>
              <w:jc w:val="center"/>
            </w:pPr>
            <w:r>
              <w:rPr>
                <w:rFonts w:eastAsiaTheme="minorEastAsia"/>
                <w:color w:val="000000"/>
                <w:szCs w:val="21"/>
              </w:rPr>
              <w:t>160,203.38</w:t>
            </w:r>
          </w:p>
        </w:tc>
        <w:tc>
          <w:tcPr>
            <w:tcW w:w="1650" w:type="dxa"/>
            <w:vAlign w:val="center"/>
          </w:tcPr>
          <w:p w:rsidR="007B4EE4" w:rsidRDefault="00B833D5">
            <w:pPr>
              <w:jc w:val="center"/>
            </w:pPr>
            <w:r>
              <w:rPr>
                <w:rFonts w:eastAsiaTheme="minorEastAsia"/>
                <w:color w:val="000000"/>
                <w:szCs w:val="21"/>
              </w:rPr>
              <w:t>0.49</w:t>
            </w:r>
          </w:p>
        </w:tc>
      </w:tr>
      <w:tr w:rsidR="007B4EE4">
        <w:trPr>
          <w:jc w:val="center"/>
        </w:trPr>
        <w:tc>
          <w:tcPr>
            <w:tcW w:w="648" w:type="dxa"/>
            <w:vAlign w:val="center"/>
          </w:tcPr>
          <w:p w:rsidR="007B4EE4" w:rsidRDefault="00B833D5">
            <w:pPr>
              <w:jc w:val="center"/>
            </w:pPr>
            <w:r>
              <w:rPr>
                <w:rFonts w:eastAsiaTheme="minorEastAsia"/>
                <w:color w:val="000000"/>
                <w:szCs w:val="21"/>
              </w:rPr>
              <w:t>14</w:t>
            </w:r>
          </w:p>
        </w:tc>
        <w:tc>
          <w:tcPr>
            <w:tcW w:w="2378" w:type="dxa"/>
            <w:vAlign w:val="center"/>
          </w:tcPr>
          <w:p w:rsidR="007B4EE4" w:rsidRDefault="00B833D5">
            <w:pPr>
              <w:jc w:val="center"/>
            </w:pPr>
            <w:r>
              <w:rPr>
                <w:rFonts w:eastAsiaTheme="minorEastAsia"/>
                <w:color w:val="000000"/>
                <w:szCs w:val="21"/>
              </w:rPr>
              <w:t>Xd Inc.</w:t>
            </w:r>
          </w:p>
        </w:tc>
        <w:tc>
          <w:tcPr>
            <w:tcW w:w="2552" w:type="dxa"/>
            <w:vAlign w:val="center"/>
          </w:tcPr>
          <w:p w:rsidR="007B4EE4" w:rsidRDefault="00B833D5">
            <w:pPr>
              <w:jc w:val="center"/>
            </w:pPr>
            <w:r>
              <w:rPr>
                <w:rFonts w:eastAsiaTheme="minorEastAsia"/>
                <w:color w:val="000000"/>
                <w:szCs w:val="21"/>
              </w:rPr>
              <w:t>2400 HK</w:t>
            </w:r>
          </w:p>
        </w:tc>
        <w:tc>
          <w:tcPr>
            <w:tcW w:w="2130" w:type="dxa"/>
            <w:vAlign w:val="center"/>
          </w:tcPr>
          <w:p w:rsidR="007B4EE4" w:rsidRDefault="00B833D5">
            <w:pPr>
              <w:jc w:val="center"/>
            </w:pPr>
            <w:r>
              <w:rPr>
                <w:rFonts w:eastAsiaTheme="minorEastAsia"/>
                <w:color w:val="000000"/>
                <w:szCs w:val="21"/>
              </w:rPr>
              <w:t>153,681.94</w:t>
            </w:r>
          </w:p>
        </w:tc>
        <w:tc>
          <w:tcPr>
            <w:tcW w:w="1650" w:type="dxa"/>
            <w:vAlign w:val="center"/>
          </w:tcPr>
          <w:p w:rsidR="007B4EE4" w:rsidRDefault="00B833D5">
            <w:pPr>
              <w:jc w:val="center"/>
            </w:pPr>
            <w:r>
              <w:rPr>
                <w:rFonts w:eastAsiaTheme="minorEastAsia"/>
                <w:color w:val="000000"/>
                <w:szCs w:val="21"/>
              </w:rPr>
              <w:t>0.47</w:t>
            </w:r>
          </w:p>
        </w:tc>
      </w:tr>
      <w:tr w:rsidR="007B4EE4">
        <w:trPr>
          <w:jc w:val="center"/>
        </w:trPr>
        <w:tc>
          <w:tcPr>
            <w:tcW w:w="648" w:type="dxa"/>
            <w:vAlign w:val="center"/>
          </w:tcPr>
          <w:p w:rsidR="007B4EE4" w:rsidRDefault="00B833D5">
            <w:pPr>
              <w:jc w:val="center"/>
            </w:pPr>
            <w:r>
              <w:rPr>
                <w:rFonts w:eastAsiaTheme="minorEastAsia"/>
                <w:color w:val="000000"/>
                <w:szCs w:val="21"/>
              </w:rPr>
              <w:t>15</w:t>
            </w:r>
          </w:p>
        </w:tc>
        <w:tc>
          <w:tcPr>
            <w:tcW w:w="2378" w:type="dxa"/>
            <w:vAlign w:val="center"/>
          </w:tcPr>
          <w:p w:rsidR="007B4EE4" w:rsidRDefault="00B833D5">
            <w:pPr>
              <w:jc w:val="center"/>
            </w:pPr>
            <w:r>
              <w:rPr>
                <w:rFonts w:eastAsiaTheme="minorEastAsia"/>
                <w:color w:val="000000"/>
                <w:szCs w:val="21"/>
              </w:rPr>
              <w:t>Sinic Holdings (Group) Company Limited</w:t>
            </w:r>
          </w:p>
        </w:tc>
        <w:tc>
          <w:tcPr>
            <w:tcW w:w="2552" w:type="dxa"/>
            <w:vAlign w:val="center"/>
          </w:tcPr>
          <w:p w:rsidR="007B4EE4" w:rsidRDefault="00B833D5">
            <w:pPr>
              <w:jc w:val="center"/>
            </w:pPr>
            <w:r>
              <w:rPr>
                <w:rFonts w:eastAsiaTheme="minorEastAsia"/>
                <w:color w:val="000000"/>
                <w:szCs w:val="21"/>
              </w:rPr>
              <w:t>2103 HK</w:t>
            </w:r>
          </w:p>
        </w:tc>
        <w:tc>
          <w:tcPr>
            <w:tcW w:w="2130" w:type="dxa"/>
            <w:vAlign w:val="center"/>
          </w:tcPr>
          <w:p w:rsidR="007B4EE4" w:rsidRDefault="00B833D5">
            <w:pPr>
              <w:jc w:val="center"/>
            </w:pPr>
            <w:r>
              <w:rPr>
                <w:rFonts w:eastAsiaTheme="minorEastAsia"/>
                <w:color w:val="000000"/>
                <w:szCs w:val="21"/>
              </w:rPr>
              <w:t>153,140.89</w:t>
            </w:r>
          </w:p>
        </w:tc>
        <w:tc>
          <w:tcPr>
            <w:tcW w:w="1650" w:type="dxa"/>
            <w:vAlign w:val="center"/>
          </w:tcPr>
          <w:p w:rsidR="007B4EE4" w:rsidRDefault="00B833D5">
            <w:pPr>
              <w:jc w:val="center"/>
            </w:pPr>
            <w:r>
              <w:rPr>
                <w:rFonts w:eastAsiaTheme="minorEastAsia"/>
                <w:color w:val="000000"/>
                <w:szCs w:val="21"/>
              </w:rPr>
              <w:t>0.47</w:t>
            </w:r>
          </w:p>
        </w:tc>
      </w:tr>
      <w:tr w:rsidR="007B4EE4">
        <w:trPr>
          <w:jc w:val="center"/>
        </w:trPr>
        <w:tc>
          <w:tcPr>
            <w:tcW w:w="648" w:type="dxa"/>
            <w:vAlign w:val="center"/>
          </w:tcPr>
          <w:p w:rsidR="007B4EE4" w:rsidRDefault="00B833D5">
            <w:pPr>
              <w:jc w:val="center"/>
            </w:pPr>
            <w:r>
              <w:rPr>
                <w:rFonts w:eastAsiaTheme="minorEastAsia"/>
                <w:color w:val="000000"/>
                <w:szCs w:val="21"/>
              </w:rPr>
              <w:t>16</w:t>
            </w:r>
          </w:p>
        </w:tc>
        <w:tc>
          <w:tcPr>
            <w:tcW w:w="2378" w:type="dxa"/>
            <w:vAlign w:val="center"/>
          </w:tcPr>
          <w:p w:rsidR="007B4EE4" w:rsidRDefault="00B833D5">
            <w:pPr>
              <w:jc w:val="center"/>
            </w:pPr>
            <w:r>
              <w:rPr>
                <w:rFonts w:eastAsiaTheme="minorEastAsia"/>
                <w:color w:val="000000"/>
                <w:szCs w:val="21"/>
              </w:rPr>
              <w:t>Tiangong International Company Limited</w:t>
            </w:r>
          </w:p>
        </w:tc>
        <w:tc>
          <w:tcPr>
            <w:tcW w:w="2552" w:type="dxa"/>
            <w:vAlign w:val="center"/>
          </w:tcPr>
          <w:p w:rsidR="007B4EE4" w:rsidRDefault="00B833D5">
            <w:pPr>
              <w:jc w:val="center"/>
            </w:pPr>
            <w:r>
              <w:rPr>
                <w:rFonts w:eastAsiaTheme="minorEastAsia"/>
                <w:color w:val="000000"/>
                <w:szCs w:val="21"/>
              </w:rPr>
              <w:t>826 HK</w:t>
            </w:r>
          </w:p>
        </w:tc>
        <w:tc>
          <w:tcPr>
            <w:tcW w:w="2130" w:type="dxa"/>
            <w:vAlign w:val="center"/>
          </w:tcPr>
          <w:p w:rsidR="007B4EE4" w:rsidRDefault="00B833D5">
            <w:pPr>
              <w:jc w:val="center"/>
            </w:pPr>
            <w:r>
              <w:rPr>
                <w:rFonts w:eastAsiaTheme="minorEastAsia"/>
                <w:color w:val="000000"/>
                <w:szCs w:val="21"/>
              </w:rPr>
              <w:t>121,653.57</w:t>
            </w:r>
          </w:p>
        </w:tc>
        <w:tc>
          <w:tcPr>
            <w:tcW w:w="1650" w:type="dxa"/>
            <w:vAlign w:val="center"/>
          </w:tcPr>
          <w:p w:rsidR="007B4EE4" w:rsidRDefault="00B833D5">
            <w:pPr>
              <w:jc w:val="center"/>
            </w:pPr>
            <w:r>
              <w:rPr>
                <w:rFonts w:eastAsiaTheme="minorEastAsia"/>
                <w:color w:val="000000"/>
                <w:szCs w:val="21"/>
              </w:rPr>
              <w:t>0.37</w:t>
            </w:r>
          </w:p>
        </w:tc>
      </w:tr>
      <w:tr w:rsidR="007B4EE4">
        <w:trPr>
          <w:jc w:val="center"/>
        </w:trPr>
        <w:tc>
          <w:tcPr>
            <w:tcW w:w="648" w:type="dxa"/>
            <w:vAlign w:val="center"/>
          </w:tcPr>
          <w:p w:rsidR="007B4EE4" w:rsidRDefault="00B833D5">
            <w:pPr>
              <w:jc w:val="center"/>
            </w:pPr>
            <w:r>
              <w:rPr>
                <w:rFonts w:eastAsiaTheme="minorEastAsia"/>
                <w:color w:val="000000"/>
                <w:szCs w:val="21"/>
              </w:rPr>
              <w:t>17</w:t>
            </w:r>
          </w:p>
        </w:tc>
        <w:tc>
          <w:tcPr>
            <w:tcW w:w="2378" w:type="dxa"/>
            <w:vAlign w:val="center"/>
          </w:tcPr>
          <w:p w:rsidR="007B4EE4" w:rsidRDefault="00B833D5">
            <w:pPr>
              <w:jc w:val="center"/>
            </w:pPr>
            <w:r>
              <w:rPr>
                <w:rFonts w:eastAsiaTheme="minorEastAsia"/>
                <w:color w:val="000000"/>
                <w:szCs w:val="21"/>
              </w:rPr>
              <w:t>MicroPort Scientific Corporation</w:t>
            </w:r>
          </w:p>
        </w:tc>
        <w:tc>
          <w:tcPr>
            <w:tcW w:w="2552" w:type="dxa"/>
            <w:vAlign w:val="center"/>
          </w:tcPr>
          <w:p w:rsidR="007B4EE4" w:rsidRDefault="00B833D5">
            <w:pPr>
              <w:jc w:val="center"/>
            </w:pPr>
            <w:r>
              <w:rPr>
                <w:rFonts w:eastAsiaTheme="minorEastAsia"/>
                <w:color w:val="000000"/>
                <w:szCs w:val="21"/>
              </w:rPr>
              <w:t>853 HK</w:t>
            </w:r>
          </w:p>
        </w:tc>
        <w:tc>
          <w:tcPr>
            <w:tcW w:w="2130" w:type="dxa"/>
            <w:vAlign w:val="center"/>
          </w:tcPr>
          <w:p w:rsidR="007B4EE4" w:rsidRDefault="00B833D5">
            <w:pPr>
              <w:jc w:val="center"/>
            </w:pPr>
            <w:r>
              <w:rPr>
                <w:rFonts w:eastAsiaTheme="minorEastAsia"/>
                <w:color w:val="000000"/>
                <w:szCs w:val="21"/>
              </w:rPr>
              <w:t>119,768.33</w:t>
            </w:r>
          </w:p>
        </w:tc>
        <w:tc>
          <w:tcPr>
            <w:tcW w:w="1650" w:type="dxa"/>
            <w:vAlign w:val="center"/>
          </w:tcPr>
          <w:p w:rsidR="007B4EE4" w:rsidRDefault="00B833D5">
            <w:pPr>
              <w:jc w:val="center"/>
            </w:pPr>
            <w:r>
              <w:rPr>
                <w:rFonts w:eastAsiaTheme="minorEastAsia"/>
                <w:color w:val="000000"/>
                <w:szCs w:val="21"/>
              </w:rPr>
              <w:t>0.37</w:t>
            </w:r>
          </w:p>
        </w:tc>
      </w:tr>
      <w:tr w:rsidR="007B4EE4">
        <w:trPr>
          <w:jc w:val="center"/>
        </w:trPr>
        <w:tc>
          <w:tcPr>
            <w:tcW w:w="648" w:type="dxa"/>
            <w:vAlign w:val="center"/>
          </w:tcPr>
          <w:p w:rsidR="007B4EE4" w:rsidRDefault="00B833D5">
            <w:pPr>
              <w:jc w:val="center"/>
            </w:pPr>
            <w:r>
              <w:rPr>
                <w:rFonts w:eastAsiaTheme="minorEastAsia"/>
                <w:color w:val="000000"/>
                <w:szCs w:val="21"/>
              </w:rPr>
              <w:t>18</w:t>
            </w:r>
          </w:p>
        </w:tc>
        <w:tc>
          <w:tcPr>
            <w:tcW w:w="2378" w:type="dxa"/>
            <w:vAlign w:val="center"/>
          </w:tcPr>
          <w:p w:rsidR="007B4EE4" w:rsidRDefault="00B833D5">
            <w:pPr>
              <w:jc w:val="center"/>
            </w:pPr>
            <w:r>
              <w:rPr>
                <w:rFonts w:eastAsiaTheme="minorEastAsia"/>
                <w:color w:val="000000"/>
                <w:szCs w:val="21"/>
              </w:rPr>
              <w:t>China Travel International Investment Hong Kong Ltd.</w:t>
            </w:r>
          </w:p>
        </w:tc>
        <w:tc>
          <w:tcPr>
            <w:tcW w:w="2552" w:type="dxa"/>
            <w:vAlign w:val="center"/>
          </w:tcPr>
          <w:p w:rsidR="007B4EE4" w:rsidRDefault="00B833D5">
            <w:pPr>
              <w:jc w:val="center"/>
            </w:pPr>
            <w:r>
              <w:rPr>
                <w:rFonts w:eastAsiaTheme="minorEastAsia"/>
                <w:color w:val="000000"/>
                <w:szCs w:val="21"/>
              </w:rPr>
              <w:t>308 HK</w:t>
            </w:r>
          </w:p>
        </w:tc>
        <w:tc>
          <w:tcPr>
            <w:tcW w:w="2130" w:type="dxa"/>
            <w:vAlign w:val="center"/>
          </w:tcPr>
          <w:p w:rsidR="007B4EE4" w:rsidRDefault="00B833D5">
            <w:pPr>
              <w:jc w:val="center"/>
            </w:pPr>
            <w:r>
              <w:rPr>
                <w:rFonts w:eastAsiaTheme="minorEastAsia"/>
                <w:color w:val="000000"/>
                <w:szCs w:val="21"/>
              </w:rPr>
              <w:t>116,961.94</w:t>
            </w:r>
          </w:p>
        </w:tc>
        <w:tc>
          <w:tcPr>
            <w:tcW w:w="1650" w:type="dxa"/>
            <w:vAlign w:val="center"/>
          </w:tcPr>
          <w:p w:rsidR="007B4EE4" w:rsidRDefault="00B833D5">
            <w:pPr>
              <w:jc w:val="center"/>
            </w:pPr>
            <w:r>
              <w:rPr>
                <w:rFonts w:eastAsiaTheme="minorEastAsia"/>
                <w:color w:val="000000"/>
                <w:szCs w:val="21"/>
              </w:rPr>
              <w:t>0.36</w:t>
            </w:r>
          </w:p>
        </w:tc>
      </w:tr>
      <w:tr w:rsidR="007B4EE4">
        <w:trPr>
          <w:jc w:val="center"/>
        </w:trPr>
        <w:tc>
          <w:tcPr>
            <w:tcW w:w="648" w:type="dxa"/>
            <w:vAlign w:val="center"/>
          </w:tcPr>
          <w:p w:rsidR="007B4EE4" w:rsidRDefault="00B833D5">
            <w:pPr>
              <w:jc w:val="center"/>
            </w:pPr>
            <w:r>
              <w:rPr>
                <w:rFonts w:eastAsiaTheme="minorEastAsia"/>
                <w:color w:val="000000"/>
                <w:szCs w:val="21"/>
              </w:rPr>
              <w:t>19</w:t>
            </w:r>
          </w:p>
        </w:tc>
        <w:tc>
          <w:tcPr>
            <w:tcW w:w="2378" w:type="dxa"/>
            <w:vAlign w:val="center"/>
          </w:tcPr>
          <w:p w:rsidR="007B4EE4" w:rsidRDefault="00B833D5">
            <w:pPr>
              <w:jc w:val="center"/>
            </w:pPr>
            <w:r>
              <w:rPr>
                <w:rFonts w:eastAsiaTheme="minorEastAsia"/>
                <w:color w:val="000000"/>
                <w:szCs w:val="21"/>
              </w:rPr>
              <w:t>Impro Precision Industries Limited</w:t>
            </w:r>
          </w:p>
        </w:tc>
        <w:tc>
          <w:tcPr>
            <w:tcW w:w="2552" w:type="dxa"/>
            <w:vAlign w:val="center"/>
          </w:tcPr>
          <w:p w:rsidR="007B4EE4" w:rsidRDefault="00B833D5">
            <w:pPr>
              <w:jc w:val="center"/>
            </w:pPr>
            <w:r>
              <w:rPr>
                <w:rFonts w:eastAsiaTheme="minorEastAsia"/>
                <w:color w:val="000000"/>
                <w:szCs w:val="21"/>
              </w:rPr>
              <w:t>1286 HK</w:t>
            </w:r>
          </w:p>
        </w:tc>
        <w:tc>
          <w:tcPr>
            <w:tcW w:w="2130" w:type="dxa"/>
            <w:vAlign w:val="center"/>
          </w:tcPr>
          <w:p w:rsidR="007B4EE4" w:rsidRDefault="00B833D5">
            <w:pPr>
              <w:jc w:val="center"/>
            </w:pPr>
            <w:r>
              <w:rPr>
                <w:rFonts w:eastAsiaTheme="minorEastAsia"/>
                <w:color w:val="000000"/>
                <w:szCs w:val="21"/>
              </w:rPr>
              <w:t>109,332.09</w:t>
            </w:r>
          </w:p>
        </w:tc>
        <w:tc>
          <w:tcPr>
            <w:tcW w:w="1650" w:type="dxa"/>
            <w:vAlign w:val="center"/>
          </w:tcPr>
          <w:p w:rsidR="007B4EE4" w:rsidRDefault="00B833D5">
            <w:pPr>
              <w:jc w:val="center"/>
            </w:pPr>
            <w:r>
              <w:rPr>
                <w:rFonts w:eastAsiaTheme="minorEastAsia"/>
                <w:color w:val="000000"/>
                <w:szCs w:val="21"/>
              </w:rPr>
              <w:t>0.33</w:t>
            </w:r>
          </w:p>
        </w:tc>
      </w:tr>
      <w:tr w:rsidR="007B4EE4">
        <w:trPr>
          <w:jc w:val="center"/>
        </w:trPr>
        <w:tc>
          <w:tcPr>
            <w:tcW w:w="648" w:type="dxa"/>
            <w:vAlign w:val="center"/>
          </w:tcPr>
          <w:p w:rsidR="007B4EE4" w:rsidRDefault="00B833D5">
            <w:pPr>
              <w:jc w:val="center"/>
            </w:pPr>
            <w:r>
              <w:rPr>
                <w:rFonts w:eastAsiaTheme="minorEastAsia"/>
                <w:color w:val="000000"/>
                <w:szCs w:val="21"/>
              </w:rPr>
              <w:t>20</w:t>
            </w:r>
          </w:p>
        </w:tc>
        <w:tc>
          <w:tcPr>
            <w:tcW w:w="2378" w:type="dxa"/>
            <w:vAlign w:val="center"/>
          </w:tcPr>
          <w:p w:rsidR="007B4EE4" w:rsidRDefault="00B833D5">
            <w:pPr>
              <w:jc w:val="center"/>
            </w:pPr>
            <w:r>
              <w:rPr>
                <w:rFonts w:eastAsiaTheme="minorEastAsia"/>
                <w:color w:val="000000"/>
                <w:szCs w:val="21"/>
              </w:rPr>
              <w:t>China Foods Limited</w:t>
            </w:r>
          </w:p>
        </w:tc>
        <w:tc>
          <w:tcPr>
            <w:tcW w:w="2552" w:type="dxa"/>
            <w:vAlign w:val="center"/>
          </w:tcPr>
          <w:p w:rsidR="007B4EE4" w:rsidRDefault="00B833D5">
            <w:pPr>
              <w:jc w:val="center"/>
            </w:pPr>
            <w:r>
              <w:rPr>
                <w:rFonts w:eastAsiaTheme="minorEastAsia"/>
                <w:color w:val="000000"/>
                <w:szCs w:val="21"/>
              </w:rPr>
              <w:t>506 HK</w:t>
            </w:r>
          </w:p>
        </w:tc>
        <w:tc>
          <w:tcPr>
            <w:tcW w:w="2130" w:type="dxa"/>
            <w:vAlign w:val="center"/>
          </w:tcPr>
          <w:p w:rsidR="007B4EE4" w:rsidRDefault="00B833D5">
            <w:pPr>
              <w:jc w:val="center"/>
            </w:pPr>
            <w:r>
              <w:rPr>
                <w:rFonts w:eastAsiaTheme="minorEastAsia"/>
                <w:color w:val="000000"/>
                <w:szCs w:val="21"/>
              </w:rPr>
              <w:t>105,969.58</w:t>
            </w:r>
          </w:p>
        </w:tc>
        <w:tc>
          <w:tcPr>
            <w:tcW w:w="1650" w:type="dxa"/>
            <w:vAlign w:val="center"/>
          </w:tcPr>
          <w:p w:rsidR="007B4EE4" w:rsidRDefault="00B833D5">
            <w:pPr>
              <w:jc w:val="center"/>
            </w:pPr>
            <w:r>
              <w:rPr>
                <w:rFonts w:eastAsiaTheme="minorEastAsia"/>
                <w:color w:val="000000"/>
                <w:szCs w:val="21"/>
              </w:rPr>
              <w:t>0.32</w:t>
            </w:r>
          </w:p>
        </w:tc>
      </w:tr>
    </w:tbl>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买入金额按买卖成交金额（成交单价乘以成交数量）填列，不考虑相关交易费用。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lastRenderedPageBreak/>
        <w:t>2.</w:t>
      </w:r>
      <w:r w:rsidRPr="00C24ACA">
        <w:rPr>
          <w:rFonts w:eastAsiaTheme="minorEastAsia"/>
          <w:kern w:val="0"/>
          <w:szCs w:val="21"/>
        </w:rPr>
        <w:t>此处所用证券代码的类别是当地市场代码。</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7.5.2</w:t>
      </w:r>
      <w:r w:rsidRPr="00C24ACA">
        <w:rPr>
          <w:rFonts w:eastAsiaTheme="minorEastAsia"/>
          <w:b/>
          <w:color w:val="000000"/>
          <w:kern w:val="0"/>
          <w:szCs w:val="21"/>
        </w:rPr>
        <w:t>累计卖出金额超出</w:t>
      </w:r>
      <w:r w:rsidR="00B7546A"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3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48"/>
        <w:gridCol w:w="4583"/>
        <w:gridCol w:w="1007"/>
        <w:gridCol w:w="1470"/>
        <w:gridCol w:w="1650"/>
      </w:tblGrid>
      <w:tr w:rsidR="008A5A5D" w:rsidRPr="00C24ACA" w:rsidTr="00B73AA7">
        <w:trPr>
          <w:trHeight w:val="315"/>
          <w:jc w:val="center"/>
        </w:trPr>
        <w:tc>
          <w:tcPr>
            <w:tcW w:w="648"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4583"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公司名称（英文）</w:t>
            </w:r>
          </w:p>
        </w:tc>
        <w:tc>
          <w:tcPr>
            <w:tcW w:w="1007"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证券代码</w:t>
            </w:r>
          </w:p>
        </w:tc>
        <w:tc>
          <w:tcPr>
            <w:tcW w:w="147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本期累计卖出金额</w:t>
            </w:r>
          </w:p>
        </w:tc>
        <w:tc>
          <w:tcPr>
            <w:tcW w:w="165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w:t>
            </w:r>
            <w:r w:rsidR="00551AB1" w:rsidRPr="00C24ACA">
              <w:rPr>
                <w:rFonts w:eastAsiaTheme="minorEastAsia"/>
                <w:color w:val="000000"/>
                <w:szCs w:val="21"/>
              </w:rPr>
              <w:t>期初</w:t>
            </w:r>
            <w:r w:rsidRPr="00C24ACA">
              <w:rPr>
                <w:rFonts w:eastAsiaTheme="minorEastAsia"/>
                <w:color w:val="000000"/>
                <w:szCs w:val="21"/>
              </w:rPr>
              <w:t>基金</w:t>
            </w:r>
          </w:p>
          <w:p w:rsidR="008A5A5D" w:rsidRPr="00C24ACA" w:rsidRDefault="008A5A5D" w:rsidP="004A4847">
            <w:pPr>
              <w:jc w:val="center"/>
              <w:rPr>
                <w:rFonts w:eastAsiaTheme="minorEastAsia"/>
                <w:color w:val="000000"/>
                <w:szCs w:val="21"/>
              </w:rPr>
            </w:pPr>
            <w:r w:rsidRPr="00C24ACA">
              <w:rPr>
                <w:rFonts w:eastAsiaTheme="minorEastAsia"/>
                <w:color w:val="000000"/>
                <w:szCs w:val="21"/>
              </w:rPr>
              <w:t>资产净值比例（％）</w:t>
            </w:r>
          </w:p>
        </w:tc>
      </w:tr>
      <w:tr w:rsidR="007B4EE4">
        <w:trPr>
          <w:jc w:val="center"/>
        </w:trPr>
        <w:tc>
          <w:tcPr>
            <w:tcW w:w="648" w:type="dxa"/>
            <w:vAlign w:val="center"/>
          </w:tcPr>
          <w:p w:rsidR="007B4EE4" w:rsidRDefault="00B833D5">
            <w:pPr>
              <w:jc w:val="center"/>
            </w:pPr>
            <w:r>
              <w:rPr>
                <w:rFonts w:eastAsiaTheme="minorEastAsia"/>
                <w:color w:val="000000"/>
                <w:szCs w:val="21"/>
              </w:rPr>
              <w:t>1</w:t>
            </w:r>
          </w:p>
        </w:tc>
        <w:tc>
          <w:tcPr>
            <w:tcW w:w="4583" w:type="dxa"/>
            <w:vAlign w:val="center"/>
          </w:tcPr>
          <w:p w:rsidR="007B4EE4" w:rsidRDefault="00B833D5">
            <w:pPr>
              <w:jc w:val="center"/>
            </w:pPr>
            <w:r>
              <w:rPr>
                <w:rFonts w:eastAsiaTheme="minorEastAsia"/>
                <w:color w:val="000000"/>
                <w:szCs w:val="21"/>
              </w:rPr>
              <w:t>China Grand Pharmaceutical and Healthcare Holding Limited</w:t>
            </w:r>
          </w:p>
        </w:tc>
        <w:tc>
          <w:tcPr>
            <w:tcW w:w="1007" w:type="dxa"/>
            <w:vAlign w:val="center"/>
          </w:tcPr>
          <w:p w:rsidR="007B4EE4" w:rsidRDefault="00B833D5">
            <w:pPr>
              <w:jc w:val="center"/>
            </w:pPr>
            <w:r>
              <w:rPr>
                <w:rFonts w:eastAsiaTheme="minorEastAsia"/>
                <w:color w:val="000000"/>
                <w:szCs w:val="21"/>
              </w:rPr>
              <w:t>512 HK</w:t>
            </w:r>
          </w:p>
        </w:tc>
        <w:tc>
          <w:tcPr>
            <w:tcW w:w="1470" w:type="dxa"/>
            <w:vAlign w:val="center"/>
          </w:tcPr>
          <w:p w:rsidR="007B4EE4" w:rsidRDefault="00B833D5">
            <w:pPr>
              <w:jc w:val="center"/>
            </w:pPr>
            <w:r>
              <w:rPr>
                <w:rFonts w:eastAsiaTheme="minorEastAsia"/>
                <w:color w:val="000000"/>
                <w:szCs w:val="21"/>
              </w:rPr>
              <w:t>457,386.75</w:t>
            </w:r>
          </w:p>
        </w:tc>
        <w:tc>
          <w:tcPr>
            <w:tcW w:w="1650" w:type="dxa"/>
            <w:vAlign w:val="center"/>
          </w:tcPr>
          <w:p w:rsidR="007B4EE4" w:rsidRDefault="00B833D5">
            <w:pPr>
              <w:jc w:val="center"/>
            </w:pPr>
            <w:r>
              <w:rPr>
                <w:rFonts w:eastAsiaTheme="minorEastAsia"/>
                <w:color w:val="000000"/>
                <w:szCs w:val="21"/>
              </w:rPr>
              <w:t>1.40</w:t>
            </w:r>
          </w:p>
        </w:tc>
      </w:tr>
      <w:tr w:rsidR="007B4EE4">
        <w:trPr>
          <w:jc w:val="center"/>
        </w:trPr>
        <w:tc>
          <w:tcPr>
            <w:tcW w:w="648" w:type="dxa"/>
            <w:vAlign w:val="center"/>
          </w:tcPr>
          <w:p w:rsidR="007B4EE4" w:rsidRDefault="00B833D5">
            <w:pPr>
              <w:jc w:val="center"/>
            </w:pPr>
            <w:r>
              <w:rPr>
                <w:rFonts w:eastAsiaTheme="minorEastAsia"/>
                <w:color w:val="000000"/>
                <w:szCs w:val="21"/>
              </w:rPr>
              <w:t>2</w:t>
            </w:r>
          </w:p>
        </w:tc>
        <w:tc>
          <w:tcPr>
            <w:tcW w:w="4583" w:type="dxa"/>
            <w:vAlign w:val="center"/>
          </w:tcPr>
          <w:p w:rsidR="007B4EE4" w:rsidRDefault="00B833D5">
            <w:pPr>
              <w:jc w:val="center"/>
            </w:pPr>
            <w:r>
              <w:rPr>
                <w:rFonts w:eastAsiaTheme="minorEastAsia"/>
                <w:color w:val="000000"/>
                <w:szCs w:val="21"/>
              </w:rPr>
              <w:t>Powerlong Real Estate Holdings Limited</w:t>
            </w:r>
          </w:p>
        </w:tc>
        <w:tc>
          <w:tcPr>
            <w:tcW w:w="1007" w:type="dxa"/>
            <w:vAlign w:val="center"/>
          </w:tcPr>
          <w:p w:rsidR="007B4EE4" w:rsidRDefault="00B833D5">
            <w:pPr>
              <w:jc w:val="center"/>
            </w:pPr>
            <w:r>
              <w:rPr>
                <w:rFonts w:eastAsiaTheme="minorEastAsia"/>
                <w:color w:val="000000"/>
                <w:szCs w:val="21"/>
              </w:rPr>
              <w:t>1238 HK</w:t>
            </w:r>
          </w:p>
        </w:tc>
        <w:tc>
          <w:tcPr>
            <w:tcW w:w="1470" w:type="dxa"/>
            <w:vAlign w:val="center"/>
          </w:tcPr>
          <w:p w:rsidR="007B4EE4" w:rsidRDefault="00B833D5">
            <w:pPr>
              <w:jc w:val="center"/>
            </w:pPr>
            <w:r>
              <w:rPr>
                <w:rFonts w:eastAsiaTheme="minorEastAsia"/>
                <w:color w:val="000000"/>
                <w:szCs w:val="21"/>
              </w:rPr>
              <w:t>389,598.45</w:t>
            </w:r>
          </w:p>
        </w:tc>
        <w:tc>
          <w:tcPr>
            <w:tcW w:w="1650" w:type="dxa"/>
            <w:vAlign w:val="center"/>
          </w:tcPr>
          <w:p w:rsidR="007B4EE4" w:rsidRDefault="00B833D5">
            <w:pPr>
              <w:jc w:val="center"/>
            </w:pPr>
            <w:r>
              <w:rPr>
                <w:rFonts w:eastAsiaTheme="minorEastAsia"/>
                <w:color w:val="000000"/>
                <w:szCs w:val="21"/>
              </w:rPr>
              <w:t>1.19</w:t>
            </w:r>
          </w:p>
        </w:tc>
      </w:tr>
      <w:tr w:rsidR="007B4EE4">
        <w:trPr>
          <w:jc w:val="center"/>
        </w:trPr>
        <w:tc>
          <w:tcPr>
            <w:tcW w:w="648" w:type="dxa"/>
            <w:vAlign w:val="center"/>
          </w:tcPr>
          <w:p w:rsidR="007B4EE4" w:rsidRDefault="00B833D5">
            <w:pPr>
              <w:jc w:val="center"/>
            </w:pPr>
            <w:r>
              <w:rPr>
                <w:rFonts w:eastAsiaTheme="minorEastAsia"/>
                <w:color w:val="000000"/>
                <w:szCs w:val="21"/>
              </w:rPr>
              <w:t>3</w:t>
            </w:r>
          </w:p>
        </w:tc>
        <w:tc>
          <w:tcPr>
            <w:tcW w:w="4583" w:type="dxa"/>
            <w:vAlign w:val="center"/>
          </w:tcPr>
          <w:p w:rsidR="007B4EE4" w:rsidRDefault="00B833D5">
            <w:pPr>
              <w:jc w:val="center"/>
            </w:pPr>
            <w:r>
              <w:rPr>
                <w:rFonts w:eastAsiaTheme="minorEastAsia"/>
                <w:color w:val="000000"/>
                <w:szCs w:val="21"/>
              </w:rPr>
              <w:t>WuXi Apptec Co.,Ltd.</w:t>
            </w:r>
          </w:p>
        </w:tc>
        <w:tc>
          <w:tcPr>
            <w:tcW w:w="1007" w:type="dxa"/>
            <w:vAlign w:val="center"/>
          </w:tcPr>
          <w:p w:rsidR="007B4EE4" w:rsidRDefault="00B833D5">
            <w:pPr>
              <w:jc w:val="center"/>
            </w:pPr>
            <w:r>
              <w:rPr>
                <w:rFonts w:eastAsiaTheme="minorEastAsia"/>
                <w:color w:val="000000"/>
                <w:szCs w:val="21"/>
              </w:rPr>
              <w:t>2359 HK</w:t>
            </w:r>
          </w:p>
        </w:tc>
        <w:tc>
          <w:tcPr>
            <w:tcW w:w="1470" w:type="dxa"/>
            <w:vAlign w:val="center"/>
          </w:tcPr>
          <w:p w:rsidR="007B4EE4" w:rsidRDefault="00B833D5">
            <w:pPr>
              <w:jc w:val="center"/>
            </w:pPr>
            <w:r>
              <w:rPr>
                <w:rFonts w:eastAsiaTheme="minorEastAsia"/>
                <w:color w:val="000000"/>
                <w:szCs w:val="21"/>
              </w:rPr>
              <w:t>348,297.11</w:t>
            </w:r>
          </w:p>
        </w:tc>
        <w:tc>
          <w:tcPr>
            <w:tcW w:w="1650" w:type="dxa"/>
            <w:vAlign w:val="center"/>
          </w:tcPr>
          <w:p w:rsidR="007B4EE4" w:rsidRDefault="00B833D5">
            <w:pPr>
              <w:jc w:val="center"/>
            </w:pPr>
            <w:r>
              <w:rPr>
                <w:rFonts w:eastAsiaTheme="minorEastAsia"/>
                <w:color w:val="000000"/>
                <w:szCs w:val="21"/>
              </w:rPr>
              <w:t>1.06</w:t>
            </w:r>
          </w:p>
        </w:tc>
      </w:tr>
      <w:tr w:rsidR="007B4EE4">
        <w:trPr>
          <w:jc w:val="center"/>
        </w:trPr>
        <w:tc>
          <w:tcPr>
            <w:tcW w:w="648" w:type="dxa"/>
            <w:vAlign w:val="center"/>
          </w:tcPr>
          <w:p w:rsidR="007B4EE4" w:rsidRDefault="00B833D5">
            <w:pPr>
              <w:jc w:val="center"/>
            </w:pPr>
            <w:r>
              <w:rPr>
                <w:rFonts w:eastAsiaTheme="minorEastAsia"/>
                <w:color w:val="000000"/>
                <w:szCs w:val="21"/>
              </w:rPr>
              <w:t>4</w:t>
            </w:r>
          </w:p>
        </w:tc>
        <w:tc>
          <w:tcPr>
            <w:tcW w:w="4583" w:type="dxa"/>
            <w:vAlign w:val="center"/>
          </w:tcPr>
          <w:p w:rsidR="007B4EE4" w:rsidRDefault="00B833D5">
            <w:pPr>
              <w:jc w:val="center"/>
            </w:pPr>
            <w:r>
              <w:rPr>
                <w:rFonts w:eastAsiaTheme="minorEastAsia"/>
                <w:color w:val="000000"/>
                <w:szCs w:val="21"/>
              </w:rPr>
              <w:t>HKBN Ltd.</w:t>
            </w:r>
          </w:p>
        </w:tc>
        <w:tc>
          <w:tcPr>
            <w:tcW w:w="1007" w:type="dxa"/>
            <w:vAlign w:val="center"/>
          </w:tcPr>
          <w:p w:rsidR="007B4EE4" w:rsidRDefault="00B833D5">
            <w:pPr>
              <w:jc w:val="center"/>
            </w:pPr>
            <w:r>
              <w:rPr>
                <w:rFonts w:eastAsiaTheme="minorEastAsia"/>
                <w:color w:val="000000"/>
                <w:szCs w:val="21"/>
              </w:rPr>
              <w:t>1310 HK</w:t>
            </w:r>
          </w:p>
        </w:tc>
        <w:tc>
          <w:tcPr>
            <w:tcW w:w="1470" w:type="dxa"/>
            <w:vAlign w:val="center"/>
          </w:tcPr>
          <w:p w:rsidR="007B4EE4" w:rsidRDefault="00B833D5">
            <w:pPr>
              <w:jc w:val="center"/>
            </w:pPr>
            <w:r>
              <w:rPr>
                <w:rFonts w:eastAsiaTheme="minorEastAsia"/>
                <w:color w:val="000000"/>
                <w:szCs w:val="21"/>
              </w:rPr>
              <w:t>258,980.60</w:t>
            </w:r>
          </w:p>
        </w:tc>
        <w:tc>
          <w:tcPr>
            <w:tcW w:w="1650" w:type="dxa"/>
            <w:vAlign w:val="center"/>
          </w:tcPr>
          <w:p w:rsidR="007B4EE4" w:rsidRDefault="00B833D5">
            <w:pPr>
              <w:jc w:val="center"/>
            </w:pPr>
            <w:r>
              <w:rPr>
                <w:rFonts w:eastAsiaTheme="minorEastAsia"/>
                <w:color w:val="000000"/>
                <w:szCs w:val="21"/>
              </w:rPr>
              <w:t>0.79</w:t>
            </w:r>
          </w:p>
        </w:tc>
      </w:tr>
      <w:tr w:rsidR="007B4EE4">
        <w:trPr>
          <w:jc w:val="center"/>
        </w:trPr>
        <w:tc>
          <w:tcPr>
            <w:tcW w:w="648" w:type="dxa"/>
            <w:vAlign w:val="center"/>
          </w:tcPr>
          <w:p w:rsidR="007B4EE4" w:rsidRDefault="00B833D5">
            <w:pPr>
              <w:jc w:val="center"/>
            </w:pPr>
            <w:r>
              <w:rPr>
                <w:rFonts w:eastAsiaTheme="minorEastAsia"/>
                <w:color w:val="000000"/>
                <w:szCs w:val="21"/>
              </w:rPr>
              <w:t>5</w:t>
            </w:r>
          </w:p>
        </w:tc>
        <w:tc>
          <w:tcPr>
            <w:tcW w:w="4583" w:type="dxa"/>
            <w:vAlign w:val="center"/>
          </w:tcPr>
          <w:p w:rsidR="007B4EE4" w:rsidRDefault="00B833D5">
            <w:pPr>
              <w:jc w:val="center"/>
            </w:pPr>
            <w:r>
              <w:rPr>
                <w:rFonts w:eastAsiaTheme="minorEastAsia"/>
                <w:color w:val="000000"/>
                <w:szCs w:val="21"/>
              </w:rPr>
              <w:t>Zoomlion Heavy Industry Science and Technology Co., Ltd.</w:t>
            </w:r>
          </w:p>
        </w:tc>
        <w:tc>
          <w:tcPr>
            <w:tcW w:w="1007" w:type="dxa"/>
            <w:vAlign w:val="center"/>
          </w:tcPr>
          <w:p w:rsidR="007B4EE4" w:rsidRDefault="00B833D5">
            <w:pPr>
              <w:jc w:val="center"/>
            </w:pPr>
            <w:r>
              <w:rPr>
                <w:rFonts w:eastAsiaTheme="minorEastAsia"/>
                <w:color w:val="000000"/>
                <w:szCs w:val="21"/>
              </w:rPr>
              <w:t>1157 HK</w:t>
            </w:r>
          </w:p>
        </w:tc>
        <w:tc>
          <w:tcPr>
            <w:tcW w:w="1470" w:type="dxa"/>
            <w:vAlign w:val="center"/>
          </w:tcPr>
          <w:p w:rsidR="007B4EE4" w:rsidRDefault="00B833D5">
            <w:pPr>
              <w:jc w:val="center"/>
            </w:pPr>
            <w:r>
              <w:rPr>
                <w:rFonts w:eastAsiaTheme="minorEastAsia"/>
                <w:color w:val="000000"/>
                <w:szCs w:val="21"/>
              </w:rPr>
              <w:t>234,403.24</w:t>
            </w:r>
          </w:p>
        </w:tc>
        <w:tc>
          <w:tcPr>
            <w:tcW w:w="1650" w:type="dxa"/>
            <w:vAlign w:val="center"/>
          </w:tcPr>
          <w:p w:rsidR="007B4EE4" w:rsidRDefault="00B833D5">
            <w:pPr>
              <w:jc w:val="center"/>
            </w:pPr>
            <w:r>
              <w:rPr>
                <w:rFonts w:eastAsiaTheme="minorEastAsia"/>
                <w:color w:val="000000"/>
                <w:szCs w:val="21"/>
              </w:rPr>
              <w:t>0.72</w:t>
            </w:r>
          </w:p>
        </w:tc>
      </w:tr>
      <w:tr w:rsidR="007B4EE4">
        <w:trPr>
          <w:jc w:val="center"/>
        </w:trPr>
        <w:tc>
          <w:tcPr>
            <w:tcW w:w="648" w:type="dxa"/>
            <w:vAlign w:val="center"/>
          </w:tcPr>
          <w:p w:rsidR="007B4EE4" w:rsidRDefault="00B833D5">
            <w:pPr>
              <w:jc w:val="center"/>
            </w:pPr>
            <w:r>
              <w:rPr>
                <w:rFonts w:eastAsiaTheme="minorEastAsia"/>
                <w:color w:val="000000"/>
                <w:szCs w:val="21"/>
              </w:rPr>
              <w:t>6</w:t>
            </w:r>
          </w:p>
        </w:tc>
        <w:tc>
          <w:tcPr>
            <w:tcW w:w="4583" w:type="dxa"/>
            <w:vAlign w:val="center"/>
          </w:tcPr>
          <w:p w:rsidR="007B4EE4" w:rsidRDefault="00B833D5">
            <w:pPr>
              <w:jc w:val="center"/>
            </w:pPr>
            <w:r>
              <w:rPr>
                <w:rFonts w:eastAsiaTheme="minorEastAsia"/>
                <w:color w:val="000000"/>
                <w:szCs w:val="21"/>
              </w:rPr>
              <w:t>MicroPort Scientific Corporation</w:t>
            </w:r>
          </w:p>
        </w:tc>
        <w:tc>
          <w:tcPr>
            <w:tcW w:w="1007" w:type="dxa"/>
            <w:vAlign w:val="center"/>
          </w:tcPr>
          <w:p w:rsidR="007B4EE4" w:rsidRDefault="00B833D5">
            <w:pPr>
              <w:jc w:val="center"/>
            </w:pPr>
            <w:r>
              <w:rPr>
                <w:rFonts w:eastAsiaTheme="minorEastAsia"/>
                <w:color w:val="000000"/>
                <w:szCs w:val="21"/>
              </w:rPr>
              <w:t>853 HK</w:t>
            </w:r>
          </w:p>
        </w:tc>
        <w:tc>
          <w:tcPr>
            <w:tcW w:w="1470" w:type="dxa"/>
            <w:vAlign w:val="center"/>
          </w:tcPr>
          <w:p w:rsidR="007B4EE4" w:rsidRDefault="00B833D5">
            <w:pPr>
              <w:jc w:val="center"/>
            </w:pPr>
            <w:r>
              <w:rPr>
                <w:rFonts w:eastAsiaTheme="minorEastAsia"/>
                <w:color w:val="000000"/>
                <w:szCs w:val="21"/>
              </w:rPr>
              <w:t>229,599.12</w:t>
            </w:r>
          </w:p>
        </w:tc>
        <w:tc>
          <w:tcPr>
            <w:tcW w:w="1650" w:type="dxa"/>
            <w:vAlign w:val="center"/>
          </w:tcPr>
          <w:p w:rsidR="007B4EE4" w:rsidRDefault="00B833D5">
            <w:pPr>
              <w:jc w:val="center"/>
            </w:pPr>
            <w:r>
              <w:rPr>
                <w:rFonts w:eastAsiaTheme="minorEastAsia"/>
                <w:color w:val="000000"/>
                <w:szCs w:val="21"/>
              </w:rPr>
              <w:t>0.70</w:t>
            </w:r>
          </w:p>
        </w:tc>
      </w:tr>
      <w:tr w:rsidR="007B4EE4">
        <w:trPr>
          <w:jc w:val="center"/>
        </w:trPr>
        <w:tc>
          <w:tcPr>
            <w:tcW w:w="648" w:type="dxa"/>
            <w:vAlign w:val="center"/>
          </w:tcPr>
          <w:p w:rsidR="007B4EE4" w:rsidRDefault="00B833D5">
            <w:pPr>
              <w:jc w:val="center"/>
            </w:pPr>
            <w:r>
              <w:rPr>
                <w:rFonts w:eastAsiaTheme="minorEastAsia"/>
                <w:color w:val="000000"/>
                <w:szCs w:val="21"/>
              </w:rPr>
              <w:t>7</w:t>
            </w:r>
          </w:p>
        </w:tc>
        <w:tc>
          <w:tcPr>
            <w:tcW w:w="4583" w:type="dxa"/>
            <w:vAlign w:val="center"/>
          </w:tcPr>
          <w:p w:rsidR="007B4EE4" w:rsidRDefault="00B833D5">
            <w:pPr>
              <w:jc w:val="center"/>
            </w:pPr>
            <w:r>
              <w:rPr>
                <w:rFonts w:eastAsiaTheme="minorEastAsia"/>
                <w:color w:val="000000"/>
                <w:szCs w:val="21"/>
              </w:rPr>
              <w:t>Weimob Inc.</w:t>
            </w:r>
          </w:p>
        </w:tc>
        <w:tc>
          <w:tcPr>
            <w:tcW w:w="1007" w:type="dxa"/>
            <w:vAlign w:val="center"/>
          </w:tcPr>
          <w:p w:rsidR="007B4EE4" w:rsidRDefault="00B833D5">
            <w:pPr>
              <w:jc w:val="center"/>
            </w:pPr>
            <w:r>
              <w:rPr>
                <w:rFonts w:eastAsiaTheme="minorEastAsia"/>
                <w:color w:val="000000"/>
                <w:szCs w:val="21"/>
              </w:rPr>
              <w:t>2013 HK</w:t>
            </w:r>
          </w:p>
        </w:tc>
        <w:tc>
          <w:tcPr>
            <w:tcW w:w="1470" w:type="dxa"/>
            <w:vAlign w:val="center"/>
          </w:tcPr>
          <w:p w:rsidR="007B4EE4" w:rsidRDefault="00B833D5">
            <w:pPr>
              <w:jc w:val="center"/>
            </w:pPr>
            <w:r>
              <w:rPr>
                <w:rFonts w:eastAsiaTheme="minorEastAsia"/>
                <w:color w:val="000000"/>
                <w:szCs w:val="21"/>
              </w:rPr>
              <w:t>224,414.19</w:t>
            </w:r>
          </w:p>
        </w:tc>
        <w:tc>
          <w:tcPr>
            <w:tcW w:w="1650" w:type="dxa"/>
            <w:vAlign w:val="center"/>
          </w:tcPr>
          <w:p w:rsidR="007B4EE4" w:rsidRDefault="00B833D5">
            <w:pPr>
              <w:jc w:val="center"/>
            </w:pPr>
            <w:r>
              <w:rPr>
                <w:rFonts w:eastAsiaTheme="minorEastAsia"/>
                <w:color w:val="000000"/>
                <w:szCs w:val="21"/>
              </w:rPr>
              <w:t>0.69</w:t>
            </w:r>
          </w:p>
        </w:tc>
      </w:tr>
      <w:tr w:rsidR="007B4EE4">
        <w:trPr>
          <w:jc w:val="center"/>
        </w:trPr>
        <w:tc>
          <w:tcPr>
            <w:tcW w:w="648" w:type="dxa"/>
            <w:vAlign w:val="center"/>
          </w:tcPr>
          <w:p w:rsidR="007B4EE4" w:rsidRDefault="00B833D5">
            <w:pPr>
              <w:jc w:val="center"/>
            </w:pPr>
            <w:r>
              <w:rPr>
                <w:rFonts w:eastAsiaTheme="minorEastAsia"/>
                <w:color w:val="000000"/>
                <w:szCs w:val="21"/>
              </w:rPr>
              <w:t>8</w:t>
            </w:r>
          </w:p>
        </w:tc>
        <w:tc>
          <w:tcPr>
            <w:tcW w:w="4583" w:type="dxa"/>
            <w:vAlign w:val="center"/>
          </w:tcPr>
          <w:p w:rsidR="007B4EE4" w:rsidRDefault="00B833D5">
            <w:pPr>
              <w:jc w:val="center"/>
            </w:pPr>
            <w:r>
              <w:rPr>
                <w:rFonts w:eastAsiaTheme="minorEastAsia"/>
                <w:color w:val="000000"/>
                <w:szCs w:val="21"/>
              </w:rPr>
              <w:t>China SCE Group Holdings Limited</w:t>
            </w:r>
          </w:p>
        </w:tc>
        <w:tc>
          <w:tcPr>
            <w:tcW w:w="1007" w:type="dxa"/>
            <w:vAlign w:val="center"/>
          </w:tcPr>
          <w:p w:rsidR="007B4EE4" w:rsidRDefault="00B833D5">
            <w:pPr>
              <w:jc w:val="center"/>
            </w:pPr>
            <w:r>
              <w:rPr>
                <w:rFonts w:eastAsiaTheme="minorEastAsia"/>
                <w:color w:val="000000"/>
                <w:szCs w:val="21"/>
              </w:rPr>
              <w:t>1966 HK</w:t>
            </w:r>
          </w:p>
        </w:tc>
        <w:tc>
          <w:tcPr>
            <w:tcW w:w="1470" w:type="dxa"/>
            <w:vAlign w:val="center"/>
          </w:tcPr>
          <w:p w:rsidR="007B4EE4" w:rsidRDefault="00B833D5">
            <w:pPr>
              <w:jc w:val="center"/>
            </w:pPr>
            <w:r>
              <w:rPr>
                <w:rFonts w:eastAsiaTheme="minorEastAsia"/>
                <w:color w:val="000000"/>
                <w:szCs w:val="21"/>
              </w:rPr>
              <w:t>219,535.46</w:t>
            </w:r>
          </w:p>
        </w:tc>
        <w:tc>
          <w:tcPr>
            <w:tcW w:w="1650" w:type="dxa"/>
            <w:vAlign w:val="center"/>
          </w:tcPr>
          <w:p w:rsidR="007B4EE4" w:rsidRDefault="00B833D5">
            <w:pPr>
              <w:jc w:val="center"/>
            </w:pPr>
            <w:r>
              <w:rPr>
                <w:rFonts w:eastAsiaTheme="minorEastAsia"/>
                <w:color w:val="000000"/>
                <w:szCs w:val="21"/>
              </w:rPr>
              <w:t>0.67</w:t>
            </w:r>
          </w:p>
        </w:tc>
      </w:tr>
      <w:tr w:rsidR="007B4EE4">
        <w:trPr>
          <w:jc w:val="center"/>
        </w:trPr>
        <w:tc>
          <w:tcPr>
            <w:tcW w:w="648" w:type="dxa"/>
            <w:vAlign w:val="center"/>
          </w:tcPr>
          <w:p w:rsidR="007B4EE4" w:rsidRDefault="00B833D5">
            <w:pPr>
              <w:jc w:val="center"/>
            </w:pPr>
            <w:r>
              <w:rPr>
                <w:rFonts w:eastAsiaTheme="minorEastAsia"/>
                <w:color w:val="000000"/>
                <w:szCs w:val="21"/>
              </w:rPr>
              <w:t>9</w:t>
            </w:r>
          </w:p>
        </w:tc>
        <w:tc>
          <w:tcPr>
            <w:tcW w:w="4583" w:type="dxa"/>
            <w:vAlign w:val="center"/>
          </w:tcPr>
          <w:p w:rsidR="007B4EE4" w:rsidRDefault="00B833D5">
            <w:pPr>
              <w:jc w:val="center"/>
            </w:pPr>
            <w:r>
              <w:rPr>
                <w:rFonts w:eastAsiaTheme="minorEastAsia"/>
                <w:color w:val="000000"/>
                <w:szCs w:val="21"/>
              </w:rPr>
              <w:t>China Overseas Grand Oceans Group Limited</w:t>
            </w:r>
          </w:p>
        </w:tc>
        <w:tc>
          <w:tcPr>
            <w:tcW w:w="1007" w:type="dxa"/>
            <w:vAlign w:val="center"/>
          </w:tcPr>
          <w:p w:rsidR="007B4EE4" w:rsidRDefault="00B833D5">
            <w:pPr>
              <w:jc w:val="center"/>
            </w:pPr>
            <w:r>
              <w:rPr>
                <w:rFonts w:eastAsiaTheme="minorEastAsia"/>
                <w:color w:val="000000"/>
                <w:szCs w:val="21"/>
              </w:rPr>
              <w:t>81 HK</w:t>
            </w:r>
          </w:p>
        </w:tc>
        <w:tc>
          <w:tcPr>
            <w:tcW w:w="1470" w:type="dxa"/>
            <w:vAlign w:val="center"/>
          </w:tcPr>
          <w:p w:rsidR="007B4EE4" w:rsidRDefault="00B833D5">
            <w:pPr>
              <w:jc w:val="center"/>
            </w:pPr>
            <w:r>
              <w:rPr>
                <w:rFonts w:eastAsiaTheme="minorEastAsia"/>
                <w:color w:val="000000"/>
                <w:szCs w:val="21"/>
              </w:rPr>
              <w:t>212,737.89</w:t>
            </w:r>
          </w:p>
        </w:tc>
        <w:tc>
          <w:tcPr>
            <w:tcW w:w="1650" w:type="dxa"/>
            <w:vAlign w:val="center"/>
          </w:tcPr>
          <w:p w:rsidR="007B4EE4" w:rsidRDefault="00B833D5">
            <w:pPr>
              <w:jc w:val="center"/>
            </w:pPr>
            <w:r>
              <w:rPr>
                <w:rFonts w:eastAsiaTheme="minorEastAsia"/>
                <w:color w:val="000000"/>
                <w:szCs w:val="21"/>
              </w:rPr>
              <w:t>0.65</w:t>
            </w:r>
          </w:p>
        </w:tc>
      </w:tr>
      <w:tr w:rsidR="007B4EE4">
        <w:trPr>
          <w:jc w:val="center"/>
        </w:trPr>
        <w:tc>
          <w:tcPr>
            <w:tcW w:w="648" w:type="dxa"/>
            <w:vAlign w:val="center"/>
          </w:tcPr>
          <w:p w:rsidR="007B4EE4" w:rsidRDefault="00B833D5">
            <w:pPr>
              <w:jc w:val="center"/>
            </w:pPr>
            <w:r>
              <w:rPr>
                <w:rFonts w:eastAsiaTheme="minorEastAsia"/>
                <w:color w:val="000000"/>
                <w:szCs w:val="21"/>
              </w:rPr>
              <w:t>10</w:t>
            </w:r>
          </w:p>
        </w:tc>
        <w:tc>
          <w:tcPr>
            <w:tcW w:w="4583" w:type="dxa"/>
            <w:vAlign w:val="center"/>
          </w:tcPr>
          <w:p w:rsidR="007B4EE4" w:rsidRDefault="00B833D5">
            <w:pPr>
              <w:jc w:val="center"/>
            </w:pPr>
            <w:r>
              <w:rPr>
                <w:rFonts w:eastAsiaTheme="minorEastAsia"/>
                <w:color w:val="000000"/>
                <w:szCs w:val="21"/>
              </w:rPr>
              <w:t>Zhaojin Mining Industry Company Limited</w:t>
            </w:r>
          </w:p>
        </w:tc>
        <w:tc>
          <w:tcPr>
            <w:tcW w:w="1007" w:type="dxa"/>
            <w:vAlign w:val="center"/>
          </w:tcPr>
          <w:p w:rsidR="007B4EE4" w:rsidRDefault="00B833D5">
            <w:pPr>
              <w:jc w:val="center"/>
            </w:pPr>
            <w:r>
              <w:rPr>
                <w:rFonts w:eastAsiaTheme="minorEastAsia"/>
                <w:color w:val="000000"/>
                <w:szCs w:val="21"/>
              </w:rPr>
              <w:t>1818 HK</w:t>
            </w:r>
          </w:p>
        </w:tc>
        <w:tc>
          <w:tcPr>
            <w:tcW w:w="1470" w:type="dxa"/>
            <w:vAlign w:val="center"/>
          </w:tcPr>
          <w:p w:rsidR="007B4EE4" w:rsidRDefault="00B833D5">
            <w:pPr>
              <w:jc w:val="center"/>
            </w:pPr>
            <w:r>
              <w:rPr>
                <w:rFonts w:eastAsiaTheme="minorEastAsia"/>
                <w:color w:val="000000"/>
                <w:szCs w:val="21"/>
              </w:rPr>
              <w:t>211,532.01</w:t>
            </w:r>
          </w:p>
        </w:tc>
        <w:tc>
          <w:tcPr>
            <w:tcW w:w="1650" w:type="dxa"/>
            <w:vAlign w:val="center"/>
          </w:tcPr>
          <w:p w:rsidR="007B4EE4" w:rsidRDefault="00B833D5">
            <w:pPr>
              <w:jc w:val="center"/>
            </w:pPr>
            <w:r>
              <w:rPr>
                <w:rFonts w:eastAsiaTheme="minorEastAsia"/>
                <w:color w:val="000000"/>
                <w:szCs w:val="21"/>
              </w:rPr>
              <w:t>0.65</w:t>
            </w:r>
          </w:p>
        </w:tc>
      </w:tr>
      <w:tr w:rsidR="007B4EE4">
        <w:trPr>
          <w:jc w:val="center"/>
        </w:trPr>
        <w:tc>
          <w:tcPr>
            <w:tcW w:w="648" w:type="dxa"/>
            <w:vAlign w:val="center"/>
          </w:tcPr>
          <w:p w:rsidR="007B4EE4" w:rsidRDefault="00B833D5">
            <w:pPr>
              <w:jc w:val="center"/>
            </w:pPr>
            <w:r>
              <w:rPr>
                <w:rFonts w:eastAsiaTheme="minorEastAsia"/>
                <w:color w:val="000000"/>
                <w:szCs w:val="21"/>
              </w:rPr>
              <w:t>11</w:t>
            </w:r>
          </w:p>
        </w:tc>
        <w:tc>
          <w:tcPr>
            <w:tcW w:w="4583" w:type="dxa"/>
            <w:vAlign w:val="center"/>
          </w:tcPr>
          <w:p w:rsidR="007B4EE4" w:rsidRDefault="00B833D5">
            <w:pPr>
              <w:jc w:val="center"/>
            </w:pPr>
            <w:r>
              <w:rPr>
                <w:rFonts w:eastAsiaTheme="minorEastAsia"/>
                <w:color w:val="000000"/>
                <w:szCs w:val="21"/>
              </w:rPr>
              <w:t>Television Broadcasts Ltd.</w:t>
            </w:r>
          </w:p>
        </w:tc>
        <w:tc>
          <w:tcPr>
            <w:tcW w:w="1007" w:type="dxa"/>
            <w:vAlign w:val="center"/>
          </w:tcPr>
          <w:p w:rsidR="007B4EE4" w:rsidRDefault="00B833D5">
            <w:pPr>
              <w:jc w:val="center"/>
            </w:pPr>
            <w:r>
              <w:rPr>
                <w:rFonts w:eastAsiaTheme="minorEastAsia"/>
                <w:color w:val="000000"/>
                <w:szCs w:val="21"/>
              </w:rPr>
              <w:t>511 HK</w:t>
            </w:r>
          </w:p>
        </w:tc>
        <w:tc>
          <w:tcPr>
            <w:tcW w:w="1470" w:type="dxa"/>
            <w:vAlign w:val="center"/>
          </w:tcPr>
          <w:p w:rsidR="007B4EE4" w:rsidRDefault="00B833D5">
            <w:pPr>
              <w:jc w:val="center"/>
            </w:pPr>
            <w:r>
              <w:rPr>
                <w:rFonts w:eastAsiaTheme="minorEastAsia"/>
                <w:color w:val="000000"/>
                <w:szCs w:val="21"/>
              </w:rPr>
              <w:t>204,920.08</w:t>
            </w:r>
          </w:p>
        </w:tc>
        <w:tc>
          <w:tcPr>
            <w:tcW w:w="1650" w:type="dxa"/>
            <w:vAlign w:val="center"/>
          </w:tcPr>
          <w:p w:rsidR="007B4EE4" w:rsidRDefault="00B833D5">
            <w:pPr>
              <w:jc w:val="center"/>
            </w:pPr>
            <w:r>
              <w:rPr>
                <w:rFonts w:eastAsiaTheme="minorEastAsia"/>
                <w:color w:val="000000"/>
                <w:szCs w:val="21"/>
              </w:rPr>
              <w:t>0.63</w:t>
            </w:r>
          </w:p>
        </w:tc>
      </w:tr>
      <w:tr w:rsidR="007B4EE4">
        <w:trPr>
          <w:jc w:val="center"/>
        </w:trPr>
        <w:tc>
          <w:tcPr>
            <w:tcW w:w="648" w:type="dxa"/>
            <w:vAlign w:val="center"/>
          </w:tcPr>
          <w:p w:rsidR="007B4EE4" w:rsidRDefault="00B833D5">
            <w:pPr>
              <w:jc w:val="center"/>
            </w:pPr>
            <w:r>
              <w:rPr>
                <w:rFonts w:eastAsiaTheme="minorEastAsia"/>
                <w:color w:val="000000"/>
                <w:szCs w:val="21"/>
              </w:rPr>
              <w:t>12</w:t>
            </w:r>
          </w:p>
        </w:tc>
        <w:tc>
          <w:tcPr>
            <w:tcW w:w="4583" w:type="dxa"/>
            <w:vAlign w:val="center"/>
          </w:tcPr>
          <w:p w:rsidR="007B4EE4" w:rsidRDefault="00B833D5">
            <w:pPr>
              <w:jc w:val="center"/>
            </w:pPr>
            <w:r>
              <w:rPr>
                <w:rFonts w:eastAsiaTheme="minorEastAsia"/>
                <w:color w:val="000000"/>
                <w:szCs w:val="21"/>
              </w:rPr>
              <w:t>Cosco Shipping Development Company Limited</w:t>
            </w:r>
          </w:p>
        </w:tc>
        <w:tc>
          <w:tcPr>
            <w:tcW w:w="1007" w:type="dxa"/>
            <w:vAlign w:val="center"/>
          </w:tcPr>
          <w:p w:rsidR="007B4EE4" w:rsidRDefault="00B833D5">
            <w:pPr>
              <w:jc w:val="center"/>
            </w:pPr>
            <w:r>
              <w:rPr>
                <w:rFonts w:eastAsiaTheme="minorEastAsia"/>
                <w:color w:val="000000"/>
                <w:szCs w:val="21"/>
              </w:rPr>
              <w:t>2866 HK</w:t>
            </w:r>
          </w:p>
        </w:tc>
        <w:tc>
          <w:tcPr>
            <w:tcW w:w="1470" w:type="dxa"/>
            <w:vAlign w:val="center"/>
          </w:tcPr>
          <w:p w:rsidR="007B4EE4" w:rsidRDefault="00B833D5">
            <w:pPr>
              <w:jc w:val="center"/>
            </w:pPr>
            <w:r>
              <w:rPr>
                <w:rFonts w:eastAsiaTheme="minorEastAsia"/>
                <w:color w:val="000000"/>
                <w:szCs w:val="21"/>
              </w:rPr>
              <w:t>197,300.58</w:t>
            </w:r>
          </w:p>
        </w:tc>
        <w:tc>
          <w:tcPr>
            <w:tcW w:w="1650" w:type="dxa"/>
            <w:vAlign w:val="center"/>
          </w:tcPr>
          <w:p w:rsidR="007B4EE4" w:rsidRDefault="00B833D5">
            <w:pPr>
              <w:jc w:val="center"/>
            </w:pPr>
            <w:r>
              <w:rPr>
                <w:rFonts w:eastAsiaTheme="minorEastAsia"/>
                <w:color w:val="000000"/>
                <w:szCs w:val="21"/>
              </w:rPr>
              <w:t>0.60</w:t>
            </w:r>
          </w:p>
        </w:tc>
      </w:tr>
      <w:tr w:rsidR="007B4EE4">
        <w:trPr>
          <w:jc w:val="center"/>
        </w:trPr>
        <w:tc>
          <w:tcPr>
            <w:tcW w:w="648" w:type="dxa"/>
            <w:vAlign w:val="center"/>
          </w:tcPr>
          <w:p w:rsidR="007B4EE4" w:rsidRDefault="00B833D5">
            <w:pPr>
              <w:jc w:val="center"/>
            </w:pPr>
            <w:r>
              <w:rPr>
                <w:rFonts w:eastAsiaTheme="minorEastAsia"/>
                <w:color w:val="000000"/>
                <w:szCs w:val="21"/>
              </w:rPr>
              <w:t>13</w:t>
            </w:r>
          </w:p>
        </w:tc>
        <w:tc>
          <w:tcPr>
            <w:tcW w:w="4583" w:type="dxa"/>
            <w:vAlign w:val="center"/>
          </w:tcPr>
          <w:p w:rsidR="007B4EE4" w:rsidRDefault="00B833D5">
            <w:pPr>
              <w:jc w:val="center"/>
            </w:pPr>
            <w:r>
              <w:rPr>
                <w:rFonts w:eastAsiaTheme="minorEastAsia"/>
                <w:color w:val="000000"/>
                <w:szCs w:val="21"/>
              </w:rPr>
              <w:t>Chinasoft International Ltd.</w:t>
            </w:r>
          </w:p>
        </w:tc>
        <w:tc>
          <w:tcPr>
            <w:tcW w:w="1007" w:type="dxa"/>
            <w:vAlign w:val="center"/>
          </w:tcPr>
          <w:p w:rsidR="007B4EE4" w:rsidRDefault="00B833D5">
            <w:pPr>
              <w:jc w:val="center"/>
            </w:pPr>
            <w:r>
              <w:rPr>
                <w:rFonts w:eastAsiaTheme="minorEastAsia"/>
                <w:color w:val="000000"/>
                <w:szCs w:val="21"/>
              </w:rPr>
              <w:t>354 HK</w:t>
            </w:r>
          </w:p>
        </w:tc>
        <w:tc>
          <w:tcPr>
            <w:tcW w:w="1470" w:type="dxa"/>
            <w:vAlign w:val="center"/>
          </w:tcPr>
          <w:p w:rsidR="007B4EE4" w:rsidRDefault="00B833D5">
            <w:pPr>
              <w:jc w:val="center"/>
            </w:pPr>
            <w:r>
              <w:rPr>
                <w:rFonts w:eastAsiaTheme="minorEastAsia"/>
                <w:color w:val="000000"/>
                <w:szCs w:val="21"/>
              </w:rPr>
              <w:t>192,669.46</w:t>
            </w:r>
          </w:p>
        </w:tc>
        <w:tc>
          <w:tcPr>
            <w:tcW w:w="1650" w:type="dxa"/>
            <w:vAlign w:val="center"/>
          </w:tcPr>
          <w:p w:rsidR="007B4EE4" w:rsidRDefault="00B833D5">
            <w:pPr>
              <w:jc w:val="center"/>
            </w:pPr>
            <w:r>
              <w:rPr>
                <w:rFonts w:eastAsiaTheme="minorEastAsia"/>
                <w:color w:val="000000"/>
                <w:szCs w:val="21"/>
              </w:rPr>
              <w:t>0.59</w:t>
            </w:r>
          </w:p>
        </w:tc>
      </w:tr>
      <w:tr w:rsidR="007B4EE4">
        <w:trPr>
          <w:jc w:val="center"/>
        </w:trPr>
        <w:tc>
          <w:tcPr>
            <w:tcW w:w="648" w:type="dxa"/>
            <w:vAlign w:val="center"/>
          </w:tcPr>
          <w:p w:rsidR="007B4EE4" w:rsidRDefault="00B833D5">
            <w:pPr>
              <w:jc w:val="center"/>
            </w:pPr>
            <w:r>
              <w:rPr>
                <w:rFonts w:eastAsiaTheme="minorEastAsia"/>
                <w:color w:val="000000"/>
                <w:szCs w:val="21"/>
              </w:rPr>
              <w:t>14</w:t>
            </w:r>
          </w:p>
        </w:tc>
        <w:tc>
          <w:tcPr>
            <w:tcW w:w="4583" w:type="dxa"/>
            <w:vAlign w:val="center"/>
          </w:tcPr>
          <w:p w:rsidR="007B4EE4" w:rsidRDefault="00B833D5">
            <w:pPr>
              <w:jc w:val="center"/>
            </w:pPr>
            <w:r>
              <w:rPr>
                <w:rFonts w:eastAsiaTheme="minorEastAsia"/>
                <w:color w:val="000000"/>
                <w:szCs w:val="21"/>
              </w:rPr>
              <w:t>China Overseas Property Holdings Limited</w:t>
            </w:r>
          </w:p>
        </w:tc>
        <w:tc>
          <w:tcPr>
            <w:tcW w:w="1007" w:type="dxa"/>
            <w:vAlign w:val="center"/>
          </w:tcPr>
          <w:p w:rsidR="007B4EE4" w:rsidRDefault="00B833D5">
            <w:pPr>
              <w:jc w:val="center"/>
            </w:pPr>
            <w:r>
              <w:rPr>
                <w:rFonts w:eastAsiaTheme="minorEastAsia"/>
                <w:color w:val="000000"/>
                <w:szCs w:val="21"/>
              </w:rPr>
              <w:t>2669 HK</w:t>
            </w:r>
          </w:p>
        </w:tc>
        <w:tc>
          <w:tcPr>
            <w:tcW w:w="1470" w:type="dxa"/>
            <w:vAlign w:val="center"/>
          </w:tcPr>
          <w:p w:rsidR="007B4EE4" w:rsidRDefault="00B833D5">
            <w:pPr>
              <w:jc w:val="center"/>
            </w:pPr>
            <w:r>
              <w:rPr>
                <w:rFonts w:eastAsiaTheme="minorEastAsia"/>
                <w:color w:val="000000"/>
                <w:szCs w:val="21"/>
              </w:rPr>
              <w:t>187,702.28</w:t>
            </w:r>
          </w:p>
        </w:tc>
        <w:tc>
          <w:tcPr>
            <w:tcW w:w="1650" w:type="dxa"/>
            <w:vAlign w:val="center"/>
          </w:tcPr>
          <w:p w:rsidR="007B4EE4" w:rsidRDefault="00B833D5">
            <w:pPr>
              <w:jc w:val="center"/>
            </w:pPr>
            <w:r>
              <w:rPr>
                <w:rFonts w:eastAsiaTheme="minorEastAsia"/>
                <w:color w:val="000000"/>
                <w:szCs w:val="21"/>
              </w:rPr>
              <w:t>0.57</w:t>
            </w:r>
          </w:p>
        </w:tc>
      </w:tr>
      <w:tr w:rsidR="007B4EE4">
        <w:trPr>
          <w:jc w:val="center"/>
        </w:trPr>
        <w:tc>
          <w:tcPr>
            <w:tcW w:w="648" w:type="dxa"/>
            <w:vAlign w:val="center"/>
          </w:tcPr>
          <w:p w:rsidR="007B4EE4" w:rsidRDefault="00B833D5">
            <w:pPr>
              <w:jc w:val="center"/>
            </w:pPr>
            <w:r>
              <w:rPr>
                <w:rFonts w:eastAsiaTheme="minorEastAsia"/>
                <w:color w:val="000000"/>
                <w:szCs w:val="21"/>
              </w:rPr>
              <w:t>15</w:t>
            </w:r>
          </w:p>
        </w:tc>
        <w:tc>
          <w:tcPr>
            <w:tcW w:w="4583" w:type="dxa"/>
            <w:vAlign w:val="center"/>
          </w:tcPr>
          <w:p w:rsidR="007B4EE4" w:rsidRDefault="00B833D5">
            <w:pPr>
              <w:jc w:val="center"/>
            </w:pPr>
            <w:r>
              <w:rPr>
                <w:rFonts w:eastAsiaTheme="minorEastAsia"/>
                <w:color w:val="000000"/>
                <w:szCs w:val="21"/>
              </w:rPr>
              <w:t>Shandong Gold Mining Co.,Ltd.</w:t>
            </w:r>
          </w:p>
        </w:tc>
        <w:tc>
          <w:tcPr>
            <w:tcW w:w="1007" w:type="dxa"/>
            <w:vAlign w:val="center"/>
          </w:tcPr>
          <w:p w:rsidR="007B4EE4" w:rsidRDefault="00B833D5">
            <w:pPr>
              <w:jc w:val="center"/>
            </w:pPr>
            <w:r>
              <w:rPr>
                <w:rFonts w:eastAsiaTheme="minorEastAsia"/>
                <w:color w:val="000000"/>
                <w:szCs w:val="21"/>
              </w:rPr>
              <w:t>1787 HK</w:t>
            </w:r>
          </w:p>
        </w:tc>
        <w:tc>
          <w:tcPr>
            <w:tcW w:w="1470" w:type="dxa"/>
            <w:vAlign w:val="center"/>
          </w:tcPr>
          <w:p w:rsidR="007B4EE4" w:rsidRDefault="00B833D5">
            <w:pPr>
              <w:jc w:val="center"/>
            </w:pPr>
            <w:r>
              <w:rPr>
                <w:rFonts w:eastAsiaTheme="minorEastAsia"/>
                <w:color w:val="000000"/>
                <w:szCs w:val="21"/>
              </w:rPr>
              <w:t>174,641.22</w:t>
            </w:r>
          </w:p>
        </w:tc>
        <w:tc>
          <w:tcPr>
            <w:tcW w:w="1650" w:type="dxa"/>
            <w:vAlign w:val="center"/>
          </w:tcPr>
          <w:p w:rsidR="007B4EE4" w:rsidRDefault="00B833D5">
            <w:pPr>
              <w:jc w:val="center"/>
            </w:pPr>
            <w:r>
              <w:rPr>
                <w:rFonts w:eastAsiaTheme="minorEastAsia"/>
                <w:color w:val="000000"/>
                <w:szCs w:val="21"/>
              </w:rPr>
              <w:t>0.53</w:t>
            </w:r>
          </w:p>
        </w:tc>
      </w:tr>
      <w:tr w:rsidR="007B4EE4">
        <w:trPr>
          <w:jc w:val="center"/>
        </w:trPr>
        <w:tc>
          <w:tcPr>
            <w:tcW w:w="648" w:type="dxa"/>
            <w:vAlign w:val="center"/>
          </w:tcPr>
          <w:p w:rsidR="007B4EE4" w:rsidRDefault="00B833D5">
            <w:pPr>
              <w:jc w:val="center"/>
            </w:pPr>
            <w:r>
              <w:rPr>
                <w:rFonts w:eastAsiaTheme="minorEastAsia"/>
                <w:color w:val="000000"/>
                <w:szCs w:val="21"/>
              </w:rPr>
              <w:t>16</w:t>
            </w:r>
          </w:p>
        </w:tc>
        <w:tc>
          <w:tcPr>
            <w:tcW w:w="4583" w:type="dxa"/>
            <w:vAlign w:val="center"/>
          </w:tcPr>
          <w:p w:rsidR="007B4EE4" w:rsidRDefault="00B833D5">
            <w:pPr>
              <w:jc w:val="center"/>
            </w:pPr>
            <w:r>
              <w:rPr>
                <w:rFonts w:eastAsiaTheme="minorEastAsia"/>
                <w:color w:val="000000"/>
                <w:szCs w:val="21"/>
              </w:rPr>
              <w:t>A-Living Services Co., Ltd.</w:t>
            </w:r>
          </w:p>
        </w:tc>
        <w:tc>
          <w:tcPr>
            <w:tcW w:w="1007" w:type="dxa"/>
            <w:vAlign w:val="center"/>
          </w:tcPr>
          <w:p w:rsidR="007B4EE4" w:rsidRDefault="00B833D5">
            <w:pPr>
              <w:jc w:val="center"/>
            </w:pPr>
            <w:r>
              <w:rPr>
                <w:rFonts w:eastAsiaTheme="minorEastAsia"/>
                <w:color w:val="000000"/>
                <w:szCs w:val="21"/>
              </w:rPr>
              <w:t>3319 HK</w:t>
            </w:r>
          </w:p>
        </w:tc>
        <w:tc>
          <w:tcPr>
            <w:tcW w:w="1470" w:type="dxa"/>
            <w:vAlign w:val="center"/>
          </w:tcPr>
          <w:p w:rsidR="007B4EE4" w:rsidRDefault="00B833D5">
            <w:pPr>
              <w:jc w:val="center"/>
            </w:pPr>
            <w:r>
              <w:rPr>
                <w:rFonts w:eastAsiaTheme="minorEastAsia"/>
                <w:color w:val="000000"/>
                <w:szCs w:val="21"/>
              </w:rPr>
              <w:t>172,015.54</w:t>
            </w:r>
          </w:p>
        </w:tc>
        <w:tc>
          <w:tcPr>
            <w:tcW w:w="1650" w:type="dxa"/>
            <w:vAlign w:val="center"/>
          </w:tcPr>
          <w:p w:rsidR="007B4EE4" w:rsidRDefault="00B833D5">
            <w:pPr>
              <w:jc w:val="center"/>
            </w:pPr>
            <w:r>
              <w:rPr>
                <w:rFonts w:eastAsiaTheme="minorEastAsia"/>
                <w:color w:val="000000"/>
                <w:szCs w:val="21"/>
              </w:rPr>
              <w:t>0.53</w:t>
            </w:r>
          </w:p>
        </w:tc>
      </w:tr>
      <w:tr w:rsidR="007B4EE4">
        <w:trPr>
          <w:jc w:val="center"/>
        </w:trPr>
        <w:tc>
          <w:tcPr>
            <w:tcW w:w="648" w:type="dxa"/>
            <w:vAlign w:val="center"/>
          </w:tcPr>
          <w:p w:rsidR="007B4EE4" w:rsidRDefault="00B833D5">
            <w:pPr>
              <w:jc w:val="center"/>
            </w:pPr>
            <w:r>
              <w:rPr>
                <w:rFonts w:eastAsiaTheme="minorEastAsia"/>
                <w:color w:val="000000"/>
                <w:szCs w:val="21"/>
              </w:rPr>
              <w:t>17</w:t>
            </w:r>
          </w:p>
        </w:tc>
        <w:tc>
          <w:tcPr>
            <w:tcW w:w="4583" w:type="dxa"/>
            <w:vAlign w:val="center"/>
          </w:tcPr>
          <w:p w:rsidR="007B4EE4" w:rsidRDefault="00B833D5">
            <w:pPr>
              <w:jc w:val="center"/>
            </w:pPr>
            <w:r>
              <w:rPr>
                <w:rFonts w:eastAsiaTheme="minorEastAsia"/>
                <w:color w:val="000000"/>
                <w:szCs w:val="21"/>
              </w:rPr>
              <w:t>Dah Chong Hong Holdings Limited</w:t>
            </w:r>
          </w:p>
        </w:tc>
        <w:tc>
          <w:tcPr>
            <w:tcW w:w="1007" w:type="dxa"/>
            <w:vAlign w:val="center"/>
          </w:tcPr>
          <w:p w:rsidR="007B4EE4" w:rsidRDefault="00B833D5">
            <w:pPr>
              <w:jc w:val="center"/>
            </w:pPr>
            <w:r>
              <w:rPr>
                <w:rFonts w:eastAsiaTheme="minorEastAsia"/>
                <w:color w:val="000000"/>
                <w:szCs w:val="21"/>
              </w:rPr>
              <w:t>1828 HK</w:t>
            </w:r>
          </w:p>
        </w:tc>
        <w:tc>
          <w:tcPr>
            <w:tcW w:w="1470" w:type="dxa"/>
            <w:vAlign w:val="center"/>
          </w:tcPr>
          <w:p w:rsidR="007B4EE4" w:rsidRDefault="00B833D5">
            <w:pPr>
              <w:jc w:val="center"/>
            </w:pPr>
            <w:r>
              <w:rPr>
                <w:rFonts w:eastAsiaTheme="minorEastAsia"/>
                <w:color w:val="000000"/>
                <w:szCs w:val="21"/>
              </w:rPr>
              <w:t>171,828.59</w:t>
            </w:r>
          </w:p>
        </w:tc>
        <w:tc>
          <w:tcPr>
            <w:tcW w:w="1650" w:type="dxa"/>
            <w:vAlign w:val="center"/>
          </w:tcPr>
          <w:p w:rsidR="007B4EE4" w:rsidRDefault="00B833D5">
            <w:pPr>
              <w:jc w:val="center"/>
            </w:pPr>
            <w:r>
              <w:rPr>
                <w:rFonts w:eastAsiaTheme="minorEastAsia"/>
                <w:color w:val="000000"/>
                <w:szCs w:val="21"/>
              </w:rPr>
              <w:t>0.52</w:t>
            </w:r>
          </w:p>
        </w:tc>
      </w:tr>
      <w:tr w:rsidR="007B4EE4">
        <w:trPr>
          <w:jc w:val="center"/>
        </w:trPr>
        <w:tc>
          <w:tcPr>
            <w:tcW w:w="648" w:type="dxa"/>
            <w:vAlign w:val="center"/>
          </w:tcPr>
          <w:p w:rsidR="007B4EE4" w:rsidRDefault="00B833D5">
            <w:pPr>
              <w:jc w:val="center"/>
            </w:pPr>
            <w:r>
              <w:rPr>
                <w:rFonts w:eastAsiaTheme="minorEastAsia"/>
                <w:color w:val="000000"/>
                <w:szCs w:val="21"/>
              </w:rPr>
              <w:t>18</w:t>
            </w:r>
          </w:p>
        </w:tc>
        <w:tc>
          <w:tcPr>
            <w:tcW w:w="4583" w:type="dxa"/>
            <w:vAlign w:val="center"/>
          </w:tcPr>
          <w:p w:rsidR="007B4EE4" w:rsidRDefault="00B833D5">
            <w:pPr>
              <w:jc w:val="center"/>
            </w:pPr>
            <w:r>
              <w:rPr>
                <w:rFonts w:eastAsiaTheme="minorEastAsia"/>
                <w:color w:val="000000"/>
                <w:szCs w:val="21"/>
              </w:rPr>
              <w:t>Fu Shou Yuan International Group Limited</w:t>
            </w:r>
          </w:p>
        </w:tc>
        <w:tc>
          <w:tcPr>
            <w:tcW w:w="1007" w:type="dxa"/>
            <w:vAlign w:val="center"/>
          </w:tcPr>
          <w:p w:rsidR="007B4EE4" w:rsidRDefault="00B833D5">
            <w:pPr>
              <w:jc w:val="center"/>
            </w:pPr>
            <w:r>
              <w:rPr>
                <w:rFonts w:eastAsiaTheme="minorEastAsia"/>
                <w:color w:val="000000"/>
                <w:szCs w:val="21"/>
              </w:rPr>
              <w:t>1448 HK</w:t>
            </w:r>
          </w:p>
        </w:tc>
        <w:tc>
          <w:tcPr>
            <w:tcW w:w="1470" w:type="dxa"/>
            <w:vAlign w:val="center"/>
          </w:tcPr>
          <w:p w:rsidR="007B4EE4" w:rsidRDefault="00B833D5">
            <w:pPr>
              <w:jc w:val="center"/>
            </w:pPr>
            <w:r>
              <w:rPr>
                <w:rFonts w:eastAsiaTheme="minorEastAsia"/>
                <w:color w:val="000000"/>
                <w:szCs w:val="21"/>
              </w:rPr>
              <w:t>170,721.64</w:t>
            </w:r>
          </w:p>
        </w:tc>
        <w:tc>
          <w:tcPr>
            <w:tcW w:w="1650" w:type="dxa"/>
            <w:vAlign w:val="center"/>
          </w:tcPr>
          <w:p w:rsidR="007B4EE4" w:rsidRDefault="00B833D5">
            <w:pPr>
              <w:jc w:val="center"/>
            </w:pPr>
            <w:r>
              <w:rPr>
                <w:rFonts w:eastAsiaTheme="minorEastAsia"/>
                <w:color w:val="000000"/>
                <w:szCs w:val="21"/>
              </w:rPr>
              <w:t>0.52</w:t>
            </w:r>
          </w:p>
        </w:tc>
      </w:tr>
      <w:tr w:rsidR="007B4EE4">
        <w:trPr>
          <w:jc w:val="center"/>
        </w:trPr>
        <w:tc>
          <w:tcPr>
            <w:tcW w:w="648" w:type="dxa"/>
            <w:vAlign w:val="center"/>
          </w:tcPr>
          <w:p w:rsidR="007B4EE4" w:rsidRDefault="00B833D5">
            <w:pPr>
              <w:jc w:val="center"/>
            </w:pPr>
            <w:r>
              <w:rPr>
                <w:rFonts w:eastAsiaTheme="minorEastAsia"/>
                <w:color w:val="000000"/>
                <w:szCs w:val="21"/>
              </w:rPr>
              <w:t>19</w:t>
            </w:r>
          </w:p>
        </w:tc>
        <w:tc>
          <w:tcPr>
            <w:tcW w:w="4583" w:type="dxa"/>
            <w:vAlign w:val="center"/>
          </w:tcPr>
          <w:p w:rsidR="007B4EE4" w:rsidRDefault="00B833D5">
            <w:pPr>
              <w:jc w:val="center"/>
            </w:pPr>
            <w:r>
              <w:rPr>
                <w:rFonts w:eastAsiaTheme="minorEastAsia"/>
                <w:color w:val="000000"/>
                <w:szCs w:val="21"/>
              </w:rPr>
              <w:t>COSCO SHIPPING Holdings Co.,Ltd.</w:t>
            </w:r>
          </w:p>
        </w:tc>
        <w:tc>
          <w:tcPr>
            <w:tcW w:w="1007" w:type="dxa"/>
            <w:vAlign w:val="center"/>
          </w:tcPr>
          <w:p w:rsidR="007B4EE4" w:rsidRDefault="00B833D5">
            <w:pPr>
              <w:jc w:val="center"/>
            </w:pPr>
            <w:r>
              <w:rPr>
                <w:rFonts w:eastAsiaTheme="minorEastAsia"/>
                <w:color w:val="000000"/>
                <w:szCs w:val="21"/>
              </w:rPr>
              <w:t>1919 HK</w:t>
            </w:r>
          </w:p>
        </w:tc>
        <w:tc>
          <w:tcPr>
            <w:tcW w:w="1470" w:type="dxa"/>
            <w:vAlign w:val="center"/>
          </w:tcPr>
          <w:p w:rsidR="007B4EE4" w:rsidRDefault="00B833D5">
            <w:pPr>
              <w:jc w:val="center"/>
            </w:pPr>
            <w:r>
              <w:rPr>
                <w:rFonts w:eastAsiaTheme="minorEastAsia"/>
                <w:color w:val="000000"/>
                <w:szCs w:val="21"/>
              </w:rPr>
              <w:t>165,848.33</w:t>
            </w:r>
          </w:p>
        </w:tc>
        <w:tc>
          <w:tcPr>
            <w:tcW w:w="1650" w:type="dxa"/>
            <w:vAlign w:val="center"/>
          </w:tcPr>
          <w:p w:rsidR="007B4EE4" w:rsidRDefault="00B833D5">
            <w:pPr>
              <w:jc w:val="center"/>
            </w:pPr>
            <w:r>
              <w:rPr>
                <w:rFonts w:eastAsiaTheme="minorEastAsia"/>
                <w:color w:val="000000"/>
                <w:szCs w:val="21"/>
              </w:rPr>
              <w:t>0.51</w:t>
            </w:r>
          </w:p>
        </w:tc>
      </w:tr>
      <w:tr w:rsidR="007B4EE4">
        <w:trPr>
          <w:jc w:val="center"/>
        </w:trPr>
        <w:tc>
          <w:tcPr>
            <w:tcW w:w="648" w:type="dxa"/>
            <w:vAlign w:val="center"/>
          </w:tcPr>
          <w:p w:rsidR="007B4EE4" w:rsidRDefault="00B833D5">
            <w:pPr>
              <w:jc w:val="center"/>
            </w:pPr>
            <w:r>
              <w:rPr>
                <w:rFonts w:eastAsiaTheme="minorEastAsia"/>
                <w:color w:val="000000"/>
                <w:szCs w:val="21"/>
              </w:rPr>
              <w:t>20</w:t>
            </w:r>
          </w:p>
        </w:tc>
        <w:tc>
          <w:tcPr>
            <w:tcW w:w="4583" w:type="dxa"/>
            <w:vAlign w:val="center"/>
          </w:tcPr>
          <w:p w:rsidR="007B4EE4" w:rsidRDefault="00B833D5">
            <w:pPr>
              <w:jc w:val="center"/>
            </w:pPr>
            <w:r>
              <w:rPr>
                <w:rFonts w:eastAsiaTheme="minorEastAsia"/>
                <w:color w:val="000000"/>
                <w:szCs w:val="21"/>
              </w:rPr>
              <w:t>Dynam Japan Holdings Co.,Ltd.</w:t>
            </w:r>
          </w:p>
        </w:tc>
        <w:tc>
          <w:tcPr>
            <w:tcW w:w="1007" w:type="dxa"/>
            <w:vAlign w:val="center"/>
          </w:tcPr>
          <w:p w:rsidR="007B4EE4" w:rsidRDefault="00B833D5">
            <w:pPr>
              <w:jc w:val="center"/>
            </w:pPr>
            <w:r>
              <w:rPr>
                <w:rFonts w:eastAsiaTheme="minorEastAsia"/>
                <w:color w:val="000000"/>
                <w:szCs w:val="21"/>
              </w:rPr>
              <w:t>6889 HK</w:t>
            </w:r>
          </w:p>
        </w:tc>
        <w:tc>
          <w:tcPr>
            <w:tcW w:w="1470" w:type="dxa"/>
            <w:vAlign w:val="center"/>
          </w:tcPr>
          <w:p w:rsidR="007B4EE4" w:rsidRDefault="00B833D5">
            <w:pPr>
              <w:jc w:val="center"/>
            </w:pPr>
            <w:r>
              <w:rPr>
                <w:rFonts w:eastAsiaTheme="minorEastAsia"/>
                <w:color w:val="000000"/>
                <w:szCs w:val="21"/>
              </w:rPr>
              <w:t>161,833.76</w:t>
            </w:r>
          </w:p>
        </w:tc>
        <w:tc>
          <w:tcPr>
            <w:tcW w:w="1650" w:type="dxa"/>
            <w:vAlign w:val="center"/>
          </w:tcPr>
          <w:p w:rsidR="007B4EE4" w:rsidRDefault="00B833D5">
            <w:pPr>
              <w:jc w:val="center"/>
            </w:pPr>
            <w:r>
              <w:rPr>
                <w:rFonts w:eastAsiaTheme="minorEastAsia"/>
                <w:color w:val="000000"/>
                <w:szCs w:val="21"/>
              </w:rPr>
              <w:t>0.49</w:t>
            </w:r>
          </w:p>
        </w:tc>
      </w:tr>
    </w:tbl>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卖出金额按买卖成交金额（成交单价乘以成交数量）填列，不考虑相关交易费用。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此处所用证券代码的类别是当地市场代码。</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7.5.3</w:t>
      </w:r>
      <w:r w:rsidRPr="00C24ACA">
        <w:rPr>
          <w:rFonts w:eastAsiaTheme="minorEastAsia"/>
          <w:b/>
          <w:color w:val="000000"/>
          <w:kern w:val="0"/>
          <w:szCs w:val="21"/>
        </w:rPr>
        <w:t>权益投资的买入成本总额及卖出收入总额</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8A5A5D" w:rsidRPr="00C24ACA" w:rsidTr="00B73AA7">
        <w:trPr>
          <w:trHeight w:val="285"/>
          <w:jc w:val="center"/>
        </w:trPr>
        <w:tc>
          <w:tcPr>
            <w:tcW w:w="3727" w:type="dxa"/>
            <w:vAlign w:val="center"/>
          </w:tcPr>
          <w:p w:rsidR="008A5A5D" w:rsidRPr="00C24ACA" w:rsidRDefault="008A5A5D" w:rsidP="004A4847">
            <w:pPr>
              <w:rPr>
                <w:rFonts w:eastAsiaTheme="minorEastAsia"/>
                <w:color w:val="000000"/>
                <w:szCs w:val="21"/>
              </w:rPr>
            </w:pPr>
            <w:r w:rsidRPr="00C24ACA">
              <w:rPr>
                <w:rFonts w:eastAsiaTheme="minorEastAsia"/>
                <w:color w:val="000000"/>
                <w:szCs w:val="21"/>
              </w:rPr>
              <w:t>买入成本（成交）总额</w:t>
            </w:r>
          </w:p>
        </w:tc>
        <w:tc>
          <w:tcPr>
            <w:tcW w:w="5629" w:type="dxa"/>
            <w:vAlign w:val="bottom"/>
          </w:tcPr>
          <w:p w:rsidR="008A5A5D" w:rsidRPr="00C24ACA" w:rsidRDefault="008A5A5D" w:rsidP="004A4847">
            <w:pPr>
              <w:jc w:val="right"/>
              <w:rPr>
                <w:rFonts w:eastAsiaTheme="minorEastAsia"/>
                <w:szCs w:val="21"/>
              </w:rPr>
            </w:pPr>
            <w:r w:rsidRPr="00C24ACA">
              <w:rPr>
                <w:rFonts w:eastAsiaTheme="minorEastAsia"/>
                <w:szCs w:val="21"/>
              </w:rPr>
              <w:t>5,544,727.61</w:t>
            </w:r>
          </w:p>
        </w:tc>
      </w:tr>
      <w:tr w:rsidR="008A5A5D" w:rsidRPr="00C24ACA" w:rsidTr="00B73AA7">
        <w:trPr>
          <w:trHeight w:val="285"/>
          <w:jc w:val="center"/>
        </w:trPr>
        <w:tc>
          <w:tcPr>
            <w:tcW w:w="3727" w:type="dxa"/>
            <w:vAlign w:val="center"/>
          </w:tcPr>
          <w:p w:rsidR="008A5A5D" w:rsidRPr="00C24ACA" w:rsidRDefault="008A5A5D" w:rsidP="004A4847">
            <w:pPr>
              <w:rPr>
                <w:rFonts w:eastAsiaTheme="minorEastAsia"/>
                <w:color w:val="000000"/>
                <w:szCs w:val="21"/>
              </w:rPr>
            </w:pPr>
            <w:r w:rsidRPr="00C24ACA">
              <w:rPr>
                <w:rFonts w:eastAsiaTheme="minorEastAsia"/>
                <w:color w:val="000000"/>
                <w:szCs w:val="21"/>
              </w:rPr>
              <w:t>卖出收入（成交）总额</w:t>
            </w:r>
          </w:p>
        </w:tc>
        <w:tc>
          <w:tcPr>
            <w:tcW w:w="5629" w:type="dxa"/>
            <w:vAlign w:val="bottom"/>
          </w:tcPr>
          <w:p w:rsidR="008A5A5D" w:rsidRPr="00C24ACA" w:rsidRDefault="008A5A5D" w:rsidP="004A4847">
            <w:pPr>
              <w:jc w:val="right"/>
              <w:rPr>
                <w:rFonts w:eastAsiaTheme="minorEastAsia"/>
                <w:szCs w:val="21"/>
              </w:rPr>
            </w:pPr>
            <w:r w:rsidRPr="00C24ACA">
              <w:rPr>
                <w:rFonts w:eastAsiaTheme="minorEastAsia"/>
                <w:szCs w:val="21"/>
              </w:rPr>
              <w:t>14,537,053.04</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w:t>
      </w:r>
      <w:r w:rsidRPr="00C24ACA">
        <w:rPr>
          <w:rFonts w:eastAsiaTheme="minorEastAsia"/>
          <w:kern w:val="0"/>
          <w:szCs w:val="21"/>
        </w:rPr>
        <w:t>“</w:t>
      </w:r>
      <w:r w:rsidRPr="00C24ACA">
        <w:rPr>
          <w:rFonts w:eastAsiaTheme="minorEastAsia"/>
          <w:kern w:val="0"/>
          <w:szCs w:val="21"/>
        </w:rPr>
        <w:t>买入成本</w:t>
      </w:r>
      <w:r w:rsidRPr="00C24ACA">
        <w:rPr>
          <w:rFonts w:eastAsiaTheme="minorEastAsia"/>
          <w:kern w:val="0"/>
          <w:szCs w:val="21"/>
        </w:rPr>
        <w:t>”</w:t>
      </w:r>
      <w:r w:rsidRPr="00C24ACA">
        <w:rPr>
          <w:rFonts w:eastAsiaTheme="minorEastAsia"/>
          <w:kern w:val="0"/>
          <w:szCs w:val="21"/>
        </w:rPr>
        <w:t>或</w:t>
      </w:r>
      <w:r w:rsidRPr="00C24ACA">
        <w:rPr>
          <w:rFonts w:eastAsiaTheme="minorEastAsia"/>
          <w:kern w:val="0"/>
          <w:szCs w:val="21"/>
        </w:rPr>
        <w:t>“</w:t>
      </w:r>
      <w:r w:rsidRPr="00C24ACA">
        <w:rPr>
          <w:rFonts w:eastAsiaTheme="minorEastAsia"/>
          <w:kern w:val="0"/>
          <w:szCs w:val="21"/>
        </w:rPr>
        <w:t>卖出收入</w:t>
      </w:r>
      <w:r w:rsidRPr="00C24ACA">
        <w:rPr>
          <w:rFonts w:eastAsiaTheme="minorEastAsia"/>
          <w:kern w:val="0"/>
          <w:szCs w:val="21"/>
        </w:rPr>
        <w:t>”</w:t>
      </w:r>
      <w:r w:rsidRPr="00C24ACA">
        <w:rPr>
          <w:rFonts w:eastAsiaTheme="minorEastAsia"/>
          <w:kern w:val="0"/>
          <w:szCs w:val="21"/>
        </w:rPr>
        <w:t>均按买卖成交金额（成交单价乘以成交数量）填列，不考虑相关交易费用。</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34" w:name="_Toc224618381"/>
      <w:bookmarkStart w:id="235" w:name="_Toc248233028"/>
      <w:bookmarkStart w:id="236" w:name="_Toc249790560"/>
      <w:bookmarkStart w:id="237" w:name="_Toc286929761"/>
      <w:bookmarkStart w:id="238" w:name="_Toc352256000"/>
      <w:bookmarkStart w:id="239" w:name="_Toc352256068"/>
      <w:bookmarkStart w:id="240" w:name="_Toc352331246"/>
      <w:bookmarkStart w:id="241" w:name="_Toc390164828"/>
      <w:bookmarkStart w:id="242" w:name="_Toc48663869"/>
      <w:r w:rsidRPr="0087359D">
        <w:rPr>
          <w:rFonts w:ascii="宋体" w:hAnsi="宋体"/>
          <w:kern w:val="0"/>
          <w:sz w:val="21"/>
          <w:szCs w:val="21"/>
        </w:rPr>
        <w:lastRenderedPageBreak/>
        <w:t>7.6</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期末按债券信用等级分类的债券投资组合</w:t>
      </w:r>
      <w:bookmarkEnd w:id="234"/>
      <w:bookmarkEnd w:id="235"/>
      <w:bookmarkEnd w:id="236"/>
      <w:bookmarkEnd w:id="237"/>
      <w:bookmarkEnd w:id="238"/>
      <w:bookmarkEnd w:id="239"/>
      <w:bookmarkEnd w:id="240"/>
      <w:bookmarkEnd w:id="241"/>
      <w:bookmarkEnd w:id="242"/>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43" w:name="_Toc224618382"/>
      <w:bookmarkStart w:id="244" w:name="_Toc248233029"/>
      <w:bookmarkStart w:id="245" w:name="_Toc249790561"/>
      <w:bookmarkStart w:id="246" w:name="_Toc286929762"/>
      <w:bookmarkStart w:id="247" w:name="_Toc352256001"/>
      <w:bookmarkStart w:id="248" w:name="_Toc352256069"/>
      <w:bookmarkStart w:id="249" w:name="_Toc352331247"/>
      <w:bookmarkStart w:id="250" w:name="_Toc390164829"/>
      <w:bookmarkStart w:id="251" w:name="_Toc48663870"/>
      <w:r w:rsidRPr="0087359D">
        <w:rPr>
          <w:rFonts w:ascii="宋体" w:hAnsi="宋体"/>
          <w:kern w:val="0"/>
          <w:sz w:val="21"/>
          <w:szCs w:val="21"/>
        </w:rPr>
        <w:t>7.7</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期末按公允价值占基金资产净值比例大小排名的前五名债券投资明细</w:t>
      </w:r>
      <w:bookmarkEnd w:id="243"/>
      <w:bookmarkEnd w:id="244"/>
      <w:bookmarkEnd w:id="245"/>
      <w:bookmarkEnd w:id="246"/>
      <w:bookmarkEnd w:id="247"/>
      <w:bookmarkEnd w:id="248"/>
      <w:bookmarkEnd w:id="249"/>
      <w:bookmarkEnd w:id="250"/>
      <w:bookmarkEnd w:id="251"/>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52" w:name="_Toc224618383"/>
      <w:bookmarkStart w:id="253" w:name="_Toc248233030"/>
      <w:bookmarkStart w:id="254" w:name="_Toc249790562"/>
      <w:bookmarkStart w:id="255" w:name="_Toc286929763"/>
      <w:bookmarkStart w:id="256" w:name="_Toc352256002"/>
      <w:bookmarkStart w:id="257" w:name="_Toc352256070"/>
      <w:bookmarkStart w:id="258" w:name="_Toc352331248"/>
      <w:bookmarkStart w:id="259" w:name="_Toc390164830"/>
      <w:bookmarkStart w:id="260" w:name="_Toc48663871"/>
      <w:r w:rsidRPr="0087359D">
        <w:rPr>
          <w:rFonts w:ascii="宋体" w:hAnsi="宋体"/>
          <w:kern w:val="0"/>
          <w:sz w:val="21"/>
          <w:szCs w:val="21"/>
        </w:rPr>
        <w:t>7.8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期末按公允价值占基金资产净值比例大小排名的所有资产支持证券投资明细</w:t>
      </w:r>
      <w:bookmarkEnd w:id="252"/>
      <w:bookmarkEnd w:id="253"/>
      <w:bookmarkEnd w:id="254"/>
      <w:bookmarkEnd w:id="255"/>
      <w:bookmarkEnd w:id="256"/>
      <w:bookmarkEnd w:id="257"/>
      <w:bookmarkEnd w:id="258"/>
      <w:bookmarkEnd w:id="259"/>
      <w:bookmarkEnd w:id="260"/>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本基金本报告期末未持有资产支持证券。</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61" w:name="_Toc224618384"/>
      <w:bookmarkStart w:id="262" w:name="_Toc248233031"/>
      <w:bookmarkStart w:id="263" w:name="_Toc249790563"/>
      <w:bookmarkStart w:id="264" w:name="_Toc286929764"/>
      <w:bookmarkStart w:id="265" w:name="_Toc352256003"/>
      <w:bookmarkStart w:id="266" w:name="_Toc352256071"/>
      <w:bookmarkStart w:id="267" w:name="_Toc352331249"/>
      <w:bookmarkStart w:id="268" w:name="_Toc390164831"/>
      <w:bookmarkStart w:id="269" w:name="_Toc48663872"/>
      <w:r w:rsidRPr="0087359D">
        <w:rPr>
          <w:rFonts w:ascii="宋体" w:hAnsi="宋体"/>
          <w:kern w:val="0"/>
          <w:sz w:val="21"/>
          <w:szCs w:val="21"/>
        </w:rPr>
        <w:t>7.9</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期末按公允价值占基金资产净值比例大小排名的前五名金融衍生品投资明细</w:t>
      </w:r>
      <w:bookmarkEnd w:id="261"/>
      <w:bookmarkEnd w:id="262"/>
      <w:bookmarkEnd w:id="263"/>
      <w:bookmarkEnd w:id="264"/>
      <w:bookmarkEnd w:id="265"/>
      <w:bookmarkEnd w:id="266"/>
      <w:bookmarkEnd w:id="267"/>
      <w:bookmarkEnd w:id="268"/>
      <w:bookmarkEnd w:id="269"/>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本基金本报告期末未持有金融衍生品。</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70" w:name="_Toc248233032"/>
      <w:bookmarkStart w:id="271" w:name="_Toc249790564"/>
      <w:bookmarkStart w:id="272" w:name="_Toc286929765"/>
      <w:bookmarkStart w:id="273" w:name="_Toc352256004"/>
      <w:bookmarkStart w:id="274" w:name="_Toc352256072"/>
      <w:bookmarkStart w:id="275" w:name="_Toc352331250"/>
      <w:bookmarkStart w:id="276" w:name="_Toc390164832"/>
      <w:bookmarkStart w:id="277" w:name="_Toc48663873"/>
      <w:r w:rsidRPr="0087359D">
        <w:rPr>
          <w:rFonts w:ascii="宋体" w:hAnsi="宋体"/>
          <w:kern w:val="0"/>
          <w:sz w:val="21"/>
          <w:szCs w:val="21"/>
        </w:rPr>
        <w:t>7.10</w:t>
      </w:r>
      <w:bookmarkStart w:id="278" w:name="_Toc224618385"/>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期末按公允价值占基金资产净值比例大小排序的前十名基金投资明细</w:t>
      </w:r>
      <w:bookmarkEnd w:id="270"/>
      <w:bookmarkEnd w:id="271"/>
      <w:bookmarkEnd w:id="272"/>
      <w:bookmarkEnd w:id="273"/>
      <w:bookmarkEnd w:id="274"/>
      <w:bookmarkEnd w:id="275"/>
      <w:bookmarkEnd w:id="276"/>
      <w:bookmarkEnd w:id="278"/>
      <w:bookmarkEnd w:id="277"/>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本基金本报告期末未持有基金。</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79" w:name="_Toc224618386"/>
      <w:bookmarkStart w:id="280" w:name="_Toc248233033"/>
      <w:bookmarkStart w:id="281" w:name="_Toc249790565"/>
      <w:bookmarkStart w:id="282" w:name="_Toc286929766"/>
      <w:bookmarkStart w:id="283" w:name="_Toc352256005"/>
      <w:bookmarkStart w:id="284" w:name="_Toc352256073"/>
      <w:bookmarkStart w:id="285" w:name="_Toc352331251"/>
      <w:bookmarkStart w:id="286" w:name="_Toc390164833"/>
      <w:bookmarkStart w:id="287" w:name="_Toc48663874"/>
      <w:r w:rsidRPr="0087359D">
        <w:rPr>
          <w:rFonts w:ascii="宋体" w:hAnsi="宋体"/>
          <w:kern w:val="0"/>
          <w:sz w:val="21"/>
          <w:szCs w:val="21"/>
        </w:rPr>
        <w:t>7.11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投资组合报告附注</w:t>
      </w:r>
      <w:bookmarkEnd w:id="279"/>
      <w:bookmarkEnd w:id="280"/>
      <w:bookmarkEnd w:id="281"/>
      <w:bookmarkEnd w:id="282"/>
      <w:bookmarkEnd w:id="283"/>
      <w:bookmarkEnd w:id="284"/>
      <w:bookmarkEnd w:id="285"/>
      <w:bookmarkEnd w:id="286"/>
      <w:bookmarkEnd w:id="287"/>
    </w:p>
    <w:p w:rsidR="008A5A5D" w:rsidRPr="00C24ACA" w:rsidRDefault="008A5A5D" w:rsidP="006313B1">
      <w:pPr>
        <w:spacing w:line="360" w:lineRule="auto"/>
        <w:rPr>
          <w:rFonts w:eastAsiaTheme="minorEastAsia"/>
          <w:kern w:val="0"/>
          <w:szCs w:val="21"/>
        </w:rPr>
      </w:pPr>
      <w:r w:rsidRPr="00C24ACA">
        <w:rPr>
          <w:rFonts w:eastAsiaTheme="minorEastAsia"/>
          <w:b/>
          <w:color w:val="000000"/>
          <w:szCs w:val="21"/>
        </w:rPr>
        <w:t>7.11.1</w:t>
      </w:r>
      <w:r w:rsidR="00ED31E5" w:rsidRPr="00C24ACA">
        <w:rPr>
          <w:rFonts w:eastAsiaTheme="minorEastAsia"/>
          <w:kern w:val="0"/>
          <w:szCs w:val="21"/>
        </w:rPr>
        <w:t xml:space="preserve"> </w:t>
      </w:r>
      <w:r w:rsidRPr="00C24ACA">
        <w:rPr>
          <w:rFonts w:eastAsiaTheme="minorEastAsia"/>
          <w:kern w:val="0"/>
          <w:szCs w:val="21"/>
        </w:rPr>
        <w:t>本基金投资的前十名证券的发行主体本期没有出现被监管部门立案调查，或在报告编制日前一年内受到公开谴责、处罚的情形。</w:t>
      </w:r>
    </w:p>
    <w:p w:rsidR="008A5A5D" w:rsidRPr="00C24ACA" w:rsidRDefault="008A5A5D" w:rsidP="00732F5C">
      <w:pPr>
        <w:spacing w:beforeLines="100" w:before="312" w:line="360" w:lineRule="auto"/>
        <w:rPr>
          <w:rFonts w:eastAsiaTheme="minorEastAsia"/>
          <w:kern w:val="0"/>
          <w:szCs w:val="21"/>
        </w:rPr>
      </w:pPr>
      <w:r w:rsidRPr="00C24ACA">
        <w:rPr>
          <w:rFonts w:eastAsiaTheme="minorEastAsia"/>
          <w:b/>
          <w:color w:val="000000"/>
          <w:szCs w:val="21"/>
        </w:rPr>
        <w:t>7.11.2</w:t>
      </w:r>
      <w:r w:rsidRPr="00C24ACA">
        <w:rPr>
          <w:rFonts w:eastAsiaTheme="minorEastAsia"/>
          <w:kern w:val="0"/>
          <w:szCs w:val="21"/>
        </w:rPr>
        <w:t xml:space="preserve"> </w:t>
      </w:r>
      <w:r w:rsidRPr="00C24ACA">
        <w:rPr>
          <w:rFonts w:eastAsiaTheme="minorEastAsia"/>
          <w:kern w:val="0"/>
          <w:szCs w:val="21"/>
        </w:rPr>
        <w:t>本基金投资的前十名股票没有超出基金合同规定的备选股票库。</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color w:val="000000"/>
          <w:szCs w:val="21"/>
        </w:rPr>
        <w:t>7.11.3</w:t>
      </w:r>
      <w:r w:rsidR="004E34BB" w:rsidRPr="00C24ACA">
        <w:rPr>
          <w:rFonts w:eastAsiaTheme="minorEastAsia"/>
          <w:b/>
          <w:szCs w:val="21"/>
        </w:rPr>
        <w:t>期末其他各项资产构成</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8A5A5D" w:rsidRPr="00C24ACA" w:rsidTr="00B73AA7">
        <w:trPr>
          <w:trHeight w:val="285"/>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序号</w:t>
            </w:r>
          </w:p>
        </w:tc>
        <w:tc>
          <w:tcPr>
            <w:tcW w:w="4431"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名称</w:t>
            </w:r>
          </w:p>
        </w:tc>
        <w:tc>
          <w:tcPr>
            <w:tcW w:w="410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1</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存出保证金</w:t>
            </w:r>
          </w:p>
        </w:tc>
        <w:tc>
          <w:tcPr>
            <w:tcW w:w="4105" w:type="dxa"/>
            <w:tcMar>
              <w:top w:w="15" w:type="dxa"/>
              <w:left w:w="15" w:type="dxa"/>
              <w:bottom w:w="0" w:type="dxa"/>
              <w:right w:w="15" w:type="dxa"/>
            </w:tcMar>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2</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应收证券清算款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3</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应收股利</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194,185.82</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4</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应收利息</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80.47</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5</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应收申购款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85,404.50</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6</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其他应收款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7</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待摊费用</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E87EC9" w:rsidRPr="00C24ACA" w:rsidTr="00B73AA7">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8</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其他</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w:t>
            </w:r>
          </w:p>
        </w:tc>
      </w:tr>
      <w:tr w:rsidR="00E87EC9" w:rsidRPr="00C24ACA" w:rsidTr="00B73AA7">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9</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合计</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279,670.79</w:t>
            </w:r>
          </w:p>
        </w:tc>
      </w:tr>
    </w:tbl>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7.11.4</w:t>
      </w:r>
      <w:r w:rsidRPr="00C24ACA">
        <w:rPr>
          <w:rFonts w:eastAsiaTheme="minorEastAsia"/>
          <w:b/>
          <w:color w:val="000000"/>
          <w:kern w:val="0"/>
          <w:szCs w:val="21"/>
        </w:rPr>
        <w:t>期末持有的处于转股期的可转换债券明细</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本基金本报告期末未持有处于转股期的可转换债券。</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lastRenderedPageBreak/>
        <w:t>7.11.5</w:t>
      </w:r>
      <w:r w:rsidRPr="00C24ACA">
        <w:rPr>
          <w:rFonts w:eastAsiaTheme="minorEastAsia"/>
          <w:b/>
          <w:color w:val="000000"/>
          <w:kern w:val="0"/>
          <w:szCs w:val="21"/>
        </w:rPr>
        <w:t>期末前十名股票中存在流通受限情况的说明</w:t>
      </w:r>
    </w:p>
    <w:p w:rsidR="008A5A5D" w:rsidRPr="001412CA" w:rsidRDefault="00DC59DF"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本基金本报告期末前十名股票中不存在流通受限情况。</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88" w:name="_Toc225500050"/>
      <w:bookmarkStart w:id="289" w:name="_Toc352256006"/>
      <w:bookmarkStart w:id="290" w:name="_Toc352256074"/>
      <w:bookmarkStart w:id="291" w:name="_Toc352331252"/>
      <w:bookmarkStart w:id="292" w:name="_Toc390164834"/>
      <w:bookmarkStart w:id="293" w:name="_Toc48663875"/>
      <w:r w:rsidRPr="000C6CCD">
        <w:rPr>
          <w:rFonts w:ascii="宋体" w:hAnsi="宋体"/>
          <w:bCs w:val="0"/>
          <w:color w:val="000000"/>
          <w:sz w:val="21"/>
          <w:szCs w:val="21"/>
        </w:rPr>
        <w:t>8</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基金份额持有人信息</w:t>
      </w:r>
      <w:bookmarkEnd w:id="288"/>
      <w:bookmarkEnd w:id="289"/>
      <w:bookmarkEnd w:id="290"/>
      <w:bookmarkEnd w:id="291"/>
      <w:bookmarkEnd w:id="292"/>
      <w:bookmarkEnd w:id="293"/>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94" w:name="_Toc225500051"/>
      <w:bookmarkStart w:id="295" w:name="_Toc352256007"/>
      <w:bookmarkStart w:id="296" w:name="_Toc352256075"/>
      <w:bookmarkStart w:id="297" w:name="_Toc352331253"/>
      <w:bookmarkStart w:id="298" w:name="_Toc390164835"/>
      <w:bookmarkStart w:id="299" w:name="_Toc48663876"/>
      <w:r w:rsidRPr="0087359D">
        <w:rPr>
          <w:rFonts w:ascii="宋体" w:hAnsi="宋体"/>
          <w:kern w:val="0"/>
          <w:sz w:val="21"/>
          <w:szCs w:val="21"/>
        </w:rPr>
        <w:t>8.1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期末基金份额持有人户数及持有人结构</w:t>
      </w:r>
      <w:bookmarkEnd w:id="294"/>
      <w:bookmarkEnd w:id="295"/>
      <w:bookmarkEnd w:id="296"/>
      <w:bookmarkEnd w:id="297"/>
      <w:bookmarkEnd w:id="298"/>
      <w:bookmarkEnd w:id="299"/>
    </w:p>
    <w:p w:rsidR="002716BD" w:rsidRPr="00C24ACA" w:rsidRDefault="002716BD" w:rsidP="002716BD">
      <w:pPr>
        <w:autoSpaceDE w:val="0"/>
        <w:autoSpaceDN w:val="0"/>
        <w:adjustRightInd w:val="0"/>
        <w:spacing w:before="29" w:line="360" w:lineRule="auto"/>
        <w:ind w:left="15"/>
        <w:jc w:val="right"/>
        <w:rPr>
          <w:rFonts w:eastAsiaTheme="minorEastAsia"/>
          <w:color w:val="000000"/>
          <w:szCs w:val="21"/>
        </w:rPr>
      </w:pPr>
      <w:bookmarkStart w:id="300" w:name="_Toc352256008"/>
      <w:bookmarkStart w:id="301" w:name="_Toc352256076"/>
      <w:bookmarkStart w:id="302" w:name="_Toc352331254"/>
      <w:r w:rsidRPr="00C24ACA">
        <w:rPr>
          <w:rFonts w:eastAsiaTheme="minor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66"/>
        <w:gridCol w:w="1158"/>
        <w:gridCol w:w="1259"/>
        <w:gridCol w:w="1512"/>
        <w:gridCol w:w="971"/>
        <w:gridCol w:w="1543"/>
        <w:gridCol w:w="969"/>
      </w:tblGrid>
      <w:tr w:rsidR="002716BD" w:rsidRPr="00C24ACA" w:rsidTr="004322C7">
        <w:tc>
          <w:tcPr>
            <w:tcW w:w="964"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szCs w:val="21"/>
              </w:rPr>
              <w:t>份额级别</w:t>
            </w:r>
          </w:p>
        </w:tc>
        <w:tc>
          <w:tcPr>
            <w:tcW w:w="633"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持有人户数</w:t>
            </w:r>
            <w:r w:rsidRPr="00C24ACA">
              <w:rPr>
                <w:rFonts w:eastAsiaTheme="minorEastAsia"/>
                <w:bCs/>
                <w:color w:val="000000"/>
                <w:szCs w:val="21"/>
              </w:rPr>
              <w:t>(</w:t>
            </w:r>
            <w:r w:rsidRPr="00C24ACA">
              <w:rPr>
                <w:rFonts w:eastAsiaTheme="minorEastAsia"/>
                <w:bCs/>
                <w:color w:val="000000"/>
                <w:szCs w:val="21"/>
              </w:rPr>
              <w:t>户</w:t>
            </w:r>
            <w:r w:rsidRPr="00C24ACA">
              <w:rPr>
                <w:rFonts w:eastAsiaTheme="minorEastAsia"/>
                <w:bCs/>
                <w:color w:val="000000"/>
                <w:szCs w:val="21"/>
              </w:rPr>
              <w:t>)</w:t>
            </w:r>
          </w:p>
        </w:tc>
        <w:tc>
          <w:tcPr>
            <w:tcW w:w="688"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户均持有的基金份额</w:t>
            </w:r>
          </w:p>
        </w:tc>
        <w:tc>
          <w:tcPr>
            <w:tcW w:w="2715" w:type="pct"/>
            <w:gridSpan w:val="4"/>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持有人结构</w:t>
            </w:r>
          </w:p>
        </w:tc>
      </w:tr>
      <w:tr w:rsidR="002716BD" w:rsidRPr="00C24ACA" w:rsidTr="004322C7">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1357"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机构投资者</w:t>
            </w:r>
          </w:p>
        </w:tc>
        <w:tc>
          <w:tcPr>
            <w:tcW w:w="1358"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个人投资者</w:t>
            </w:r>
          </w:p>
        </w:tc>
      </w:tr>
      <w:tr w:rsidR="002716BD" w:rsidRPr="00C24ACA" w:rsidTr="004322C7">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826"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31"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c>
          <w:tcPr>
            <w:tcW w:w="84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15"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r>
      <w:tr w:rsidR="002716BD" w:rsidRPr="00C24ACA" w:rsidTr="004322C7">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易方达香港恒生综合小型股指数（</w:t>
            </w:r>
            <w:r w:rsidRPr="00C24ACA">
              <w:rPr>
                <w:rFonts w:eastAsiaTheme="minorEastAsia"/>
                <w:bCs/>
                <w:color w:val="000000"/>
                <w:szCs w:val="21"/>
              </w:rPr>
              <w:t>QDII-LOF</w:t>
            </w:r>
            <w:r w:rsidRPr="00C24ACA">
              <w:rPr>
                <w:rFonts w:eastAsiaTheme="minorEastAsia"/>
                <w:bCs/>
                <w:color w:val="000000"/>
                <w:szCs w:val="21"/>
              </w:rPr>
              <w:t>）</w:t>
            </w:r>
            <w:r w:rsidRPr="00C24ACA">
              <w:rPr>
                <w:rFonts w:eastAsiaTheme="minorEastAsia"/>
                <w:bCs/>
                <w:color w:val="000000"/>
                <w:szCs w:val="21"/>
              </w:rPr>
              <w:t>A</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1,963</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9,184.38</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752,071.00</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4.17%</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17,276,867.68</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95.83%</w:t>
            </w:r>
          </w:p>
        </w:tc>
      </w:tr>
      <w:tr w:rsidR="002716BD" w:rsidRPr="00C24ACA" w:rsidTr="004322C7">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易方达香港恒生综合小型股指数（</w:t>
            </w:r>
            <w:r w:rsidRPr="00C24ACA">
              <w:rPr>
                <w:rFonts w:eastAsiaTheme="minorEastAsia"/>
                <w:bCs/>
                <w:color w:val="000000"/>
                <w:szCs w:val="21"/>
              </w:rPr>
              <w:t>QDII-LOF</w:t>
            </w:r>
            <w:r w:rsidRPr="00C24ACA">
              <w:rPr>
                <w:rFonts w:eastAsiaTheme="minorEastAsia"/>
                <w:bCs/>
                <w:color w:val="000000"/>
                <w:szCs w:val="21"/>
              </w:rPr>
              <w:t>）</w:t>
            </w:r>
            <w:r w:rsidRPr="00C24ACA">
              <w:rPr>
                <w:rFonts w:eastAsiaTheme="minorEastAsia"/>
                <w:bCs/>
                <w:color w:val="000000"/>
                <w:szCs w:val="21"/>
              </w:rPr>
              <w:t>C</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844</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2,589.53</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2,185,560.95</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100.00%</w:t>
            </w:r>
          </w:p>
        </w:tc>
      </w:tr>
      <w:tr w:rsidR="002716BD" w:rsidRPr="00C24ACA" w:rsidTr="004322C7">
        <w:tc>
          <w:tcPr>
            <w:tcW w:w="964" w:type="pct"/>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合计</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2,807</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7,201.46</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752,071.00</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3.72%</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19,462,428.63</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96.28%</w:t>
            </w:r>
          </w:p>
        </w:tc>
      </w:tr>
    </w:tbl>
    <w:p w:rsidR="00196BCF" w:rsidRPr="00C24ACA" w:rsidRDefault="00196BCF" w:rsidP="00732F5C">
      <w:pPr>
        <w:pStyle w:val="20"/>
        <w:spacing w:beforeLines="100" w:before="312" w:after="0"/>
        <w:rPr>
          <w:rFonts w:ascii="Times New Roman" w:eastAsiaTheme="minorEastAsia" w:hAnsi="Times New Roman"/>
          <w:kern w:val="0"/>
          <w:sz w:val="21"/>
          <w:szCs w:val="21"/>
        </w:rPr>
      </w:pPr>
      <w:bookmarkStart w:id="303" w:name="_Toc362424032"/>
      <w:bookmarkStart w:id="304" w:name="_Toc374459295"/>
      <w:bookmarkStart w:id="305" w:name="_Toc390164836"/>
      <w:bookmarkStart w:id="306" w:name="_Toc48663877"/>
      <w:r w:rsidRPr="0087359D">
        <w:rPr>
          <w:rFonts w:ascii="宋体" w:hAnsi="宋体"/>
          <w:kern w:val="0"/>
          <w:sz w:val="21"/>
          <w:szCs w:val="21"/>
        </w:rPr>
        <w:t>8.2</w:t>
      </w:r>
      <w:r w:rsidR="00982AAE"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期末上市基金前十名持有人</w:t>
      </w:r>
      <w:bookmarkEnd w:id="303"/>
      <w:bookmarkEnd w:id="304"/>
      <w:bookmarkEnd w:id="305"/>
      <w:bookmarkEnd w:id="3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196BCF" w:rsidRPr="00C24ACA" w:rsidTr="00C42949">
        <w:trPr>
          <w:trHeight w:val="2333"/>
        </w:trPr>
        <w:tc>
          <w:tcPr>
            <w:tcW w:w="736"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序号</w:t>
            </w:r>
          </w:p>
        </w:tc>
        <w:tc>
          <w:tcPr>
            <w:tcW w:w="3860"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持有人名称</w:t>
            </w:r>
          </w:p>
        </w:tc>
        <w:tc>
          <w:tcPr>
            <w:tcW w:w="2610"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持有份额（份）</w:t>
            </w:r>
          </w:p>
        </w:tc>
        <w:tc>
          <w:tcPr>
            <w:tcW w:w="2378"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占上市总份额比例</w:t>
            </w:r>
          </w:p>
        </w:tc>
      </w:tr>
      <w:tr w:rsidR="007B4EE4">
        <w:tc>
          <w:tcPr>
            <w:tcW w:w="736" w:type="dxa"/>
            <w:vAlign w:val="center"/>
          </w:tcPr>
          <w:p w:rsidR="007B4EE4" w:rsidRDefault="00B833D5">
            <w:pPr>
              <w:jc w:val="center"/>
            </w:pPr>
            <w:r>
              <w:rPr>
                <w:rFonts w:eastAsiaTheme="minorEastAsia"/>
                <w:color w:val="000000"/>
                <w:szCs w:val="21"/>
              </w:rPr>
              <w:t>1</w:t>
            </w:r>
          </w:p>
        </w:tc>
        <w:tc>
          <w:tcPr>
            <w:tcW w:w="3860" w:type="dxa"/>
            <w:vAlign w:val="center"/>
          </w:tcPr>
          <w:p w:rsidR="007B4EE4" w:rsidRDefault="00B833D5">
            <w:pPr>
              <w:jc w:val="center"/>
            </w:pPr>
            <w:r>
              <w:rPr>
                <w:rFonts w:eastAsiaTheme="minorEastAsia"/>
                <w:color w:val="000000"/>
                <w:szCs w:val="21"/>
              </w:rPr>
              <w:t>株洲结谷实业有限责任公司</w:t>
            </w:r>
          </w:p>
        </w:tc>
        <w:tc>
          <w:tcPr>
            <w:tcW w:w="2610" w:type="dxa"/>
            <w:vAlign w:val="center"/>
          </w:tcPr>
          <w:p w:rsidR="007B4EE4" w:rsidRDefault="00B833D5">
            <w:pPr>
              <w:jc w:val="right"/>
            </w:pPr>
            <w:r>
              <w:rPr>
                <w:rFonts w:eastAsiaTheme="minorEastAsia"/>
                <w:color w:val="000000"/>
                <w:szCs w:val="21"/>
              </w:rPr>
              <w:t>744,071.00</w:t>
            </w:r>
          </w:p>
        </w:tc>
        <w:tc>
          <w:tcPr>
            <w:tcW w:w="2378" w:type="dxa"/>
            <w:vAlign w:val="center"/>
          </w:tcPr>
          <w:p w:rsidR="007B4EE4" w:rsidRDefault="00B833D5">
            <w:pPr>
              <w:jc w:val="right"/>
            </w:pPr>
            <w:r>
              <w:rPr>
                <w:rFonts w:eastAsiaTheme="minorEastAsia"/>
                <w:color w:val="000000"/>
                <w:szCs w:val="21"/>
              </w:rPr>
              <w:t>24.51%</w:t>
            </w:r>
          </w:p>
        </w:tc>
      </w:tr>
      <w:tr w:rsidR="007B4EE4">
        <w:tc>
          <w:tcPr>
            <w:tcW w:w="736" w:type="dxa"/>
            <w:vAlign w:val="center"/>
          </w:tcPr>
          <w:p w:rsidR="007B4EE4" w:rsidRDefault="00B833D5">
            <w:pPr>
              <w:jc w:val="center"/>
            </w:pPr>
            <w:r>
              <w:rPr>
                <w:rFonts w:eastAsiaTheme="minorEastAsia"/>
                <w:color w:val="000000"/>
                <w:szCs w:val="21"/>
              </w:rPr>
              <w:t>2</w:t>
            </w:r>
          </w:p>
        </w:tc>
        <w:tc>
          <w:tcPr>
            <w:tcW w:w="3860" w:type="dxa"/>
            <w:vAlign w:val="center"/>
          </w:tcPr>
          <w:p w:rsidR="007B4EE4" w:rsidRDefault="00B833D5">
            <w:pPr>
              <w:jc w:val="center"/>
            </w:pPr>
            <w:r>
              <w:rPr>
                <w:rFonts w:eastAsiaTheme="minorEastAsia"/>
                <w:color w:val="000000"/>
                <w:szCs w:val="21"/>
              </w:rPr>
              <w:t>李志君</w:t>
            </w:r>
          </w:p>
        </w:tc>
        <w:tc>
          <w:tcPr>
            <w:tcW w:w="2610" w:type="dxa"/>
            <w:vAlign w:val="center"/>
          </w:tcPr>
          <w:p w:rsidR="007B4EE4" w:rsidRDefault="00B833D5">
            <w:pPr>
              <w:jc w:val="right"/>
            </w:pPr>
            <w:r>
              <w:rPr>
                <w:rFonts w:eastAsiaTheme="minorEastAsia"/>
                <w:color w:val="000000"/>
                <w:szCs w:val="21"/>
              </w:rPr>
              <w:t>446,064.00</w:t>
            </w:r>
          </w:p>
        </w:tc>
        <w:tc>
          <w:tcPr>
            <w:tcW w:w="2378" w:type="dxa"/>
            <w:vAlign w:val="center"/>
          </w:tcPr>
          <w:p w:rsidR="007B4EE4" w:rsidRDefault="00B833D5">
            <w:pPr>
              <w:jc w:val="right"/>
            </w:pPr>
            <w:r>
              <w:rPr>
                <w:rFonts w:eastAsiaTheme="minorEastAsia"/>
                <w:color w:val="000000"/>
                <w:szCs w:val="21"/>
              </w:rPr>
              <w:t>14.69%</w:t>
            </w:r>
          </w:p>
        </w:tc>
      </w:tr>
      <w:tr w:rsidR="007B4EE4">
        <w:tc>
          <w:tcPr>
            <w:tcW w:w="736" w:type="dxa"/>
            <w:vAlign w:val="center"/>
          </w:tcPr>
          <w:p w:rsidR="007B4EE4" w:rsidRDefault="00B833D5">
            <w:pPr>
              <w:jc w:val="center"/>
            </w:pPr>
            <w:r>
              <w:rPr>
                <w:rFonts w:eastAsiaTheme="minorEastAsia"/>
                <w:color w:val="000000"/>
                <w:szCs w:val="21"/>
              </w:rPr>
              <w:t>3</w:t>
            </w:r>
          </w:p>
        </w:tc>
        <w:tc>
          <w:tcPr>
            <w:tcW w:w="3860" w:type="dxa"/>
            <w:vAlign w:val="center"/>
          </w:tcPr>
          <w:p w:rsidR="007B4EE4" w:rsidRDefault="00B833D5">
            <w:pPr>
              <w:jc w:val="center"/>
            </w:pPr>
            <w:r>
              <w:rPr>
                <w:rFonts w:eastAsiaTheme="minorEastAsia"/>
                <w:color w:val="000000"/>
                <w:szCs w:val="21"/>
              </w:rPr>
              <w:t>缑岳松</w:t>
            </w:r>
          </w:p>
        </w:tc>
        <w:tc>
          <w:tcPr>
            <w:tcW w:w="2610" w:type="dxa"/>
            <w:vAlign w:val="center"/>
          </w:tcPr>
          <w:p w:rsidR="007B4EE4" w:rsidRDefault="00B833D5">
            <w:pPr>
              <w:jc w:val="right"/>
            </w:pPr>
            <w:r>
              <w:rPr>
                <w:rFonts w:eastAsiaTheme="minorEastAsia"/>
                <w:color w:val="000000"/>
                <w:szCs w:val="21"/>
              </w:rPr>
              <w:t>350,000.00</w:t>
            </w:r>
          </w:p>
        </w:tc>
        <w:tc>
          <w:tcPr>
            <w:tcW w:w="2378" w:type="dxa"/>
            <w:vAlign w:val="center"/>
          </w:tcPr>
          <w:p w:rsidR="007B4EE4" w:rsidRDefault="00B833D5">
            <w:pPr>
              <w:jc w:val="right"/>
            </w:pPr>
            <w:r>
              <w:rPr>
                <w:rFonts w:eastAsiaTheme="minorEastAsia"/>
                <w:color w:val="000000"/>
                <w:szCs w:val="21"/>
              </w:rPr>
              <w:t>11.53%</w:t>
            </w:r>
          </w:p>
        </w:tc>
      </w:tr>
      <w:tr w:rsidR="007B4EE4">
        <w:tc>
          <w:tcPr>
            <w:tcW w:w="736" w:type="dxa"/>
            <w:vAlign w:val="center"/>
          </w:tcPr>
          <w:p w:rsidR="007B4EE4" w:rsidRDefault="00B833D5">
            <w:pPr>
              <w:jc w:val="center"/>
            </w:pPr>
            <w:r>
              <w:rPr>
                <w:rFonts w:eastAsiaTheme="minorEastAsia"/>
                <w:color w:val="000000"/>
                <w:szCs w:val="21"/>
              </w:rPr>
              <w:t>4</w:t>
            </w:r>
          </w:p>
        </w:tc>
        <w:tc>
          <w:tcPr>
            <w:tcW w:w="3860" w:type="dxa"/>
            <w:vAlign w:val="center"/>
          </w:tcPr>
          <w:p w:rsidR="007B4EE4" w:rsidRDefault="00B833D5">
            <w:pPr>
              <w:jc w:val="center"/>
            </w:pPr>
            <w:r>
              <w:rPr>
                <w:rFonts w:eastAsiaTheme="minorEastAsia"/>
                <w:color w:val="000000"/>
                <w:szCs w:val="21"/>
              </w:rPr>
              <w:t>黄建颂</w:t>
            </w:r>
          </w:p>
        </w:tc>
        <w:tc>
          <w:tcPr>
            <w:tcW w:w="2610" w:type="dxa"/>
            <w:vAlign w:val="center"/>
          </w:tcPr>
          <w:p w:rsidR="007B4EE4" w:rsidRDefault="00B833D5">
            <w:pPr>
              <w:jc w:val="right"/>
            </w:pPr>
            <w:r>
              <w:rPr>
                <w:rFonts w:eastAsiaTheme="minorEastAsia"/>
                <w:color w:val="000000"/>
                <w:szCs w:val="21"/>
              </w:rPr>
              <w:t>289,135.00</w:t>
            </w:r>
          </w:p>
        </w:tc>
        <w:tc>
          <w:tcPr>
            <w:tcW w:w="2378" w:type="dxa"/>
            <w:vAlign w:val="center"/>
          </w:tcPr>
          <w:p w:rsidR="007B4EE4" w:rsidRDefault="00B833D5">
            <w:pPr>
              <w:jc w:val="right"/>
            </w:pPr>
            <w:r>
              <w:rPr>
                <w:rFonts w:eastAsiaTheme="minorEastAsia"/>
                <w:color w:val="000000"/>
                <w:szCs w:val="21"/>
              </w:rPr>
              <w:t>9.52%</w:t>
            </w:r>
          </w:p>
        </w:tc>
      </w:tr>
      <w:tr w:rsidR="007B4EE4">
        <w:tc>
          <w:tcPr>
            <w:tcW w:w="736" w:type="dxa"/>
            <w:vAlign w:val="center"/>
          </w:tcPr>
          <w:p w:rsidR="007B4EE4" w:rsidRDefault="00B833D5">
            <w:pPr>
              <w:jc w:val="center"/>
            </w:pPr>
            <w:r>
              <w:rPr>
                <w:rFonts w:eastAsiaTheme="minorEastAsia"/>
                <w:color w:val="000000"/>
                <w:szCs w:val="21"/>
              </w:rPr>
              <w:t>5</w:t>
            </w:r>
          </w:p>
        </w:tc>
        <w:tc>
          <w:tcPr>
            <w:tcW w:w="3860" w:type="dxa"/>
            <w:vAlign w:val="center"/>
          </w:tcPr>
          <w:p w:rsidR="007B4EE4" w:rsidRDefault="00B833D5">
            <w:pPr>
              <w:jc w:val="center"/>
            </w:pPr>
            <w:r>
              <w:rPr>
                <w:rFonts w:eastAsiaTheme="minorEastAsia"/>
                <w:color w:val="000000"/>
                <w:szCs w:val="21"/>
              </w:rPr>
              <w:t>赵伟</w:t>
            </w:r>
          </w:p>
        </w:tc>
        <w:tc>
          <w:tcPr>
            <w:tcW w:w="2610" w:type="dxa"/>
            <w:vAlign w:val="center"/>
          </w:tcPr>
          <w:p w:rsidR="007B4EE4" w:rsidRDefault="00B833D5">
            <w:pPr>
              <w:jc w:val="right"/>
            </w:pPr>
            <w:r>
              <w:rPr>
                <w:rFonts w:eastAsiaTheme="minorEastAsia"/>
                <w:color w:val="000000"/>
                <w:szCs w:val="21"/>
              </w:rPr>
              <w:t>255,200.00</w:t>
            </w:r>
          </w:p>
        </w:tc>
        <w:tc>
          <w:tcPr>
            <w:tcW w:w="2378" w:type="dxa"/>
            <w:vAlign w:val="center"/>
          </w:tcPr>
          <w:p w:rsidR="007B4EE4" w:rsidRDefault="00B833D5">
            <w:pPr>
              <w:jc w:val="right"/>
            </w:pPr>
            <w:r>
              <w:rPr>
                <w:rFonts w:eastAsiaTheme="minorEastAsia"/>
                <w:color w:val="000000"/>
                <w:szCs w:val="21"/>
              </w:rPr>
              <w:t>8.41%</w:t>
            </w:r>
          </w:p>
        </w:tc>
      </w:tr>
      <w:tr w:rsidR="007B4EE4">
        <w:tc>
          <w:tcPr>
            <w:tcW w:w="736" w:type="dxa"/>
            <w:vAlign w:val="center"/>
          </w:tcPr>
          <w:p w:rsidR="007B4EE4" w:rsidRDefault="00B833D5">
            <w:pPr>
              <w:jc w:val="center"/>
            </w:pPr>
            <w:r>
              <w:rPr>
                <w:rFonts w:eastAsiaTheme="minorEastAsia"/>
                <w:color w:val="000000"/>
                <w:szCs w:val="21"/>
              </w:rPr>
              <w:t>6</w:t>
            </w:r>
          </w:p>
        </w:tc>
        <w:tc>
          <w:tcPr>
            <w:tcW w:w="3860" w:type="dxa"/>
            <w:vAlign w:val="center"/>
          </w:tcPr>
          <w:p w:rsidR="007B4EE4" w:rsidRDefault="00B833D5">
            <w:pPr>
              <w:jc w:val="center"/>
            </w:pPr>
            <w:r>
              <w:rPr>
                <w:rFonts w:eastAsiaTheme="minorEastAsia"/>
                <w:color w:val="000000"/>
                <w:szCs w:val="21"/>
              </w:rPr>
              <w:t>夏桂玉</w:t>
            </w:r>
          </w:p>
        </w:tc>
        <w:tc>
          <w:tcPr>
            <w:tcW w:w="2610" w:type="dxa"/>
            <w:vAlign w:val="center"/>
          </w:tcPr>
          <w:p w:rsidR="007B4EE4" w:rsidRDefault="00B833D5">
            <w:pPr>
              <w:jc w:val="right"/>
            </w:pPr>
            <w:r>
              <w:rPr>
                <w:rFonts w:eastAsiaTheme="minorEastAsia"/>
                <w:color w:val="000000"/>
                <w:szCs w:val="21"/>
              </w:rPr>
              <w:t>152,900.00</w:t>
            </w:r>
          </w:p>
        </w:tc>
        <w:tc>
          <w:tcPr>
            <w:tcW w:w="2378" w:type="dxa"/>
            <w:vAlign w:val="center"/>
          </w:tcPr>
          <w:p w:rsidR="007B4EE4" w:rsidRDefault="00B833D5">
            <w:pPr>
              <w:jc w:val="right"/>
            </w:pPr>
            <w:r>
              <w:rPr>
                <w:rFonts w:eastAsiaTheme="minorEastAsia"/>
                <w:color w:val="000000"/>
                <w:szCs w:val="21"/>
              </w:rPr>
              <w:t>5.04%</w:t>
            </w:r>
          </w:p>
        </w:tc>
      </w:tr>
      <w:tr w:rsidR="007B4EE4">
        <w:tc>
          <w:tcPr>
            <w:tcW w:w="736" w:type="dxa"/>
            <w:vAlign w:val="center"/>
          </w:tcPr>
          <w:p w:rsidR="007B4EE4" w:rsidRDefault="00B833D5">
            <w:pPr>
              <w:jc w:val="center"/>
            </w:pPr>
            <w:r>
              <w:rPr>
                <w:rFonts w:eastAsiaTheme="minorEastAsia"/>
                <w:color w:val="000000"/>
                <w:szCs w:val="21"/>
              </w:rPr>
              <w:t>7</w:t>
            </w:r>
          </w:p>
        </w:tc>
        <w:tc>
          <w:tcPr>
            <w:tcW w:w="3860" w:type="dxa"/>
            <w:vAlign w:val="center"/>
          </w:tcPr>
          <w:p w:rsidR="007B4EE4" w:rsidRDefault="00B833D5">
            <w:pPr>
              <w:jc w:val="center"/>
            </w:pPr>
            <w:r>
              <w:rPr>
                <w:rFonts w:eastAsiaTheme="minorEastAsia"/>
                <w:color w:val="000000"/>
                <w:szCs w:val="21"/>
              </w:rPr>
              <w:t>余迎广</w:t>
            </w:r>
          </w:p>
        </w:tc>
        <w:tc>
          <w:tcPr>
            <w:tcW w:w="2610" w:type="dxa"/>
            <w:vAlign w:val="center"/>
          </w:tcPr>
          <w:p w:rsidR="007B4EE4" w:rsidRDefault="00B833D5">
            <w:pPr>
              <w:jc w:val="right"/>
            </w:pPr>
            <w:r>
              <w:rPr>
                <w:rFonts w:eastAsiaTheme="minorEastAsia"/>
                <w:color w:val="000000"/>
                <w:szCs w:val="21"/>
              </w:rPr>
              <w:t>70,000.00</w:t>
            </w:r>
          </w:p>
        </w:tc>
        <w:tc>
          <w:tcPr>
            <w:tcW w:w="2378" w:type="dxa"/>
            <w:vAlign w:val="center"/>
          </w:tcPr>
          <w:p w:rsidR="007B4EE4" w:rsidRDefault="00B833D5">
            <w:pPr>
              <w:jc w:val="right"/>
            </w:pPr>
            <w:r>
              <w:rPr>
                <w:rFonts w:eastAsiaTheme="minorEastAsia"/>
                <w:color w:val="000000"/>
                <w:szCs w:val="21"/>
              </w:rPr>
              <w:t>2.31%</w:t>
            </w:r>
          </w:p>
        </w:tc>
      </w:tr>
      <w:tr w:rsidR="007B4EE4">
        <w:tc>
          <w:tcPr>
            <w:tcW w:w="736" w:type="dxa"/>
            <w:vAlign w:val="center"/>
          </w:tcPr>
          <w:p w:rsidR="007B4EE4" w:rsidRDefault="00B833D5">
            <w:pPr>
              <w:jc w:val="center"/>
            </w:pPr>
            <w:r>
              <w:rPr>
                <w:rFonts w:eastAsiaTheme="minorEastAsia"/>
                <w:color w:val="000000"/>
                <w:szCs w:val="21"/>
              </w:rPr>
              <w:t>8</w:t>
            </w:r>
          </w:p>
        </w:tc>
        <w:tc>
          <w:tcPr>
            <w:tcW w:w="3860" w:type="dxa"/>
            <w:vAlign w:val="center"/>
          </w:tcPr>
          <w:p w:rsidR="007B4EE4" w:rsidRDefault="00B833D5">
            <w:pPr>
              <w:jc w:val="center"/>
            </w:pPr>
            <w:r>
              <w:rPr>
                <w:rFonts w:eastAsiaTheme="minorEastAsia"/>
                <w:color w:val="000000"/>
                <w:szCs w:val="21"/>
              </w:rPr>
              <w:t>潘学文</w:t>
            </w:r>
          </w:p>
        </w:tc>
        <w:tc>
          <w:tcPr>
            <w:tcW w:w="2610" w:type="dxa"/>
            <w:vAlign w:val="center"/>
          </w:tcPr>
          <w:p w:rsidR="007B4EE4" w:rsidRDefault="00B833D5">
            <w:pPr>
              <w:jc w:val="right"/>
            </w:pPr>
            <w:r>
              <w:rPr>
                <w:rFonts w:eastAsiaTheme="minorEastAsia"/>
                <w:color w:val="000000"/>
                <w:szCs w:val="21"/>
              </w:rPr>
              <w:t>68,500.00</w:t>
            </w:r>
          </w:p>
        </w:tc>
        <w:tc>
          <w:tcPr>
            <w:tcW w:w="2378" w:type="dxa"/>
            <w:vAlign w:val="center"/>
          </w:tcPr>
          <w:p w:rsidR="007B4EE4" w:rsidRDefault="00B833D5">
            <w:pPr>
              <w:jc w:val="right"/>
            </w:pPr>
            <w:r>
              <w:rPr>
                <w:rFonts w:eastAsiaTheme="minorEastAsia"/>
                <w:color w:val="000000"/>
                <w:szCs w:val="21"/>
              </w:rPr>
              <w:t>2.26%</w:t>
            </w:r>
          </w:p>
        </w:tc>
      </w:tr>
      <w:tr w:rsidR="007B4EE4">
        <w:tc>
          <w:tcPr>
            <w:tcW w:w="736" w:type="dxa"/>
            <w:vAlign w:val="center"/>
          </w:tcPr>
          <w:p w:rsidR="007B4EE4" w:rsidRDefault="00B833D5">
            <w:pPr>
              <w:jc w:val="center"/>
            </w:pPr>
            <w:r>
              <w:rPr>
                <w:rFonts w:eastAsiaTheme="minorEastAsia"/>
                <w:color w:val="000000"/>
                <w:szCs w:val="21"/>
              </w:rPr>
              <w:lastRenderedPageBreak/>
              <w:t>9</w:t>
            </w:r>
          </w:p>
        </w:tc>
        <w:tc>
          <w:tcPr>
            <w:tcW w:w="3860" w:type="dxa"/>
            <w:vAlign w:val="center"/>
          </w:tcPr>
          <w:p w:rsidR="007B4EE4" w:rsidRDefault="00B833D5">
            <w:pPr>
              <w:jc w:val="center"/>
            </w:pPr>
            <w:r>
              <w:rPr>
                <w:rFonts w:eastAsiaTheme="minorEastAsia"/>
                <w:color w:val="000000"/>
                <w:szCs w:val="21"/>
              </w:rPr>
              <w:t>何华</w:t>
            </w:r>
          </w:p>
        </w:tc>
        <w:tc>
          <w:tcPr>
            <w:tcW w:w="2610" w:type="dxa"/>
            <w:vAlign w:val="center"/>
          </w:tcPr>
          <w:p w:rsidR="007B4EE4" w:rsidRDefault="00B833D5">
            <w:pPr>
              <w:jc w:val="right"/>
            </w:pPr>
            <w:r>
              <w:rPr>
                <w:rFonts w:eastAsiaTheme="minorEastAsia"/>
                <w:color w:val="000000"/>
                <w:szCs w:val="21"/>
              </w:rPr>
              <w:t>60,000.00</w:t>
            </w:r>
          </w:p>
        </w:tc>
        <w:tc>
          <w:tcPr>
            <w:tcW w:w="2378" w:type="dxa"/>
            <w:vAlign w:val="center"/>
          </w:tcPr>
          <w:p w:rsidR="007B4EE4" w:rsidRDefault="00B833D5">
            <w:pPr>
              <w:jc w:val="right"/>
            </w:pPr>
            <w:r>
              <w:rPr>
                <w:rFonts w:eastAsiaTheme="minorEastAsia"/>
                <w:color w:val="000000"/>
                <w:szCs w:val="21"/>
              </w:rPr>
              <w:t>1.98%</w:t>
            </w:r>
          </w:p>
        </w:tc>
      </w:tr>
      <w:tr w:rsidR="007B4EE4">
        <w:tc>
          <w:tcPr>
            <w:tcW w:w="736" w:type="dxa"/>
            <w:vAlign w:val="center"/>
          </w:tcPr>
          <w:p w:rsidR="007B4EE4" w:rsidRDefault="00B833D5">
            <w:pPr>
              <w:jc w:val="center"/>
            </w:pPr>
            <w:r>
              <w:rPr>
                <w:rFonts w:eastAsiaTheme="minorEastAsia"/>
                <w:color w:val="000000"/>
                <w:szCs w:val="21"/>
              </w:rPr>
              <w:t>10</w:t>
            </w:r>
          </w:p>
        </w:tc>
        <w:tc>
          <w:tcPr>
            <w:tcW w:w="3860" w:type="dxa"/>
            <w:vAlign w:val="center"/>
          </w:tcPr>
          <w:p w:rsidR="007B4EE4" w:rsidRDefault="00B833D5">
            <w:pPr>
              <w:jc w:val="center"/>
            </w:pPr>
            <w:r>
              <w:rPr>
                <w:rFonts w:eastAsiaTheme="minorEastAsia"/>
                <w:color w:val="000000"/>
                <w:szCs w:val="21"/>
              </w:rPr>
              <w:t>钱中明</w:t>
            </w:r>
          </w:p>
        </w:tc>
        <w:tc>
          <w:tcPr>
            <w:tcW w:w="2610" w:type="dxa"/>
            <w:vAlign w:val="center"/>
          </w:tcPr>
          <w:p w:rsidR="007B4EE4" w:rsidRDefault="00B833D5">
            <w:pPr>
              <w:jc w:val="right"/>
            </w:pPr>
            <w:r>
              <w:rPr>
                <w:rFonts w:eastAsiaTheme="minorEastAsia"/>
                <w:color w:val="000000"/>
                <w:szCs w:val="21"/>
              </w:rPr>
              <w:t>49,297.00</w:t>
            </w:r>
          </w:p>
        </w:tc>
        <w:tc>
          <w:tcPr>
            <w:tcW w:w="2378" w:type="dxa"/>
            <w:vAlign w:val="center"/>
          </w:tcPr>
          <w:p w:rsidR="007B4EE4" w:rsidRDefault="00B833D5">
            <w:pPr>
              <w:jc w:val="right"/>
            </w:pPr>
            <w:r>
              <w:rPr>
                <w:rFonts w:eastAsiaTheme="minorEastAsia"/>
                <w:color w:val="000000"/>
                <w:szCs w:val="21"/>
              </w:rPr>
              <w:t>1.62%</w:t>
            </w:r>
          </w:p>
        </w:tc>
      </w:tr>
    </w:tbl>
    <w:p w:rsidR="002716BD" w:rsidRPr="001412CA" w:rsidRDefault="00196BCF"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注：本表统计的上市基金前十名持有人均为场内持有人。</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07" w:name="_Toc390164837"/>
      <w:bookmarkStart w:id="308" w:name="_Toc48663878"/>
      <w:r w:rsidRPr="0087359D">
        <w:rPr>
          <w:rFonts w:ascii="宋体" w:hAnsi="宋体"/>
          <w:kern w:val="0"/>
          <w:sz w:val="21"/>
          <w:szCs w:val="21"/>
        </w:rPr>
        <w:t>8.3</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期末基金管理人的从业人员持有本基金的情况</w:t>
      </w:r>
      <w:bookmarkEnd w:id="300"/>
      <w:bookmarkEnd w:id="301"/>
      <w:bookmarkEnd w:id="302"/>
      <w:bookmarkEnd w:id="307"/>
      <w:bookmarkEnd w:id="308"/>
    </w:p>
    <w:tbl>
      <w:tblPr>
        <w:tblStyle w:val="af7"/>
        <w:tblW w:w="0" w:type="auto"/>
        <w:tblInd w:w="108" w:type="dxa"/>
        <w:tblLayout w:type="fixed"/>
        <w:tblLook w:val="04A0" w:firstRow="1" w:lastRow="0" w:firstColumn="1" w:lastColumn="0" w:noHBand="0" w:noVBand="1"/>
      </w:tblPr>
      <w:tblGrid>
        <w:gridCol w:w="2321"/>
        <w:gridCol w:w="2321"/>
        <w:gridCol w:w="2322"/>
        <w:gridCol w:w="2322"/>
      </w:tblGrid>
      <w:tr w:rsidR="00232443" w:rsidRPr="00C24ACA" w:rsidTr="005C3575">
        <w:tc>
          <w:tcPr>
            <w:tcW w:w="2321"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项目</w:t>
            </w:r>
          </w:p>
        </w:tc>
        <w:tc>
          <w:tcPr>
            <w:tcW w:w="2321"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份额级别</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持有份额总数（份）</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占基金总份额比例</w:t>
            </w:r>
          </w:p>
        </w:tc>
      </w:tr>
      <w:tr w:rsidR="00232443" w:rsidRPr="00C24ACA" w:rsidTr="005C3575">
        <w:tc>
          <w:tcPr>
            <w:tcW w:w="2321" w:type="dxa"/>
            <w:vMerge w:val="restart"/>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color w:val="000000"/>
                <w:szCs w:val="21"/>
              </w:rPr>
              <w:t>基金管理人所有从业人员持有本基金</w:t>
            </w: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易方达香港恒生综合小型股指数（</w:t>
            </w:r>
            <w:r w:rsidRPr="00C24ACA">
              <w:rPr>
                <w:rFonts w:eastAsiaTheme="minorEastAsia"/>
                <w:szCs w:val="21"/>
              </w:rPr>
              <w:t>QDII-LOF</w:t>
            </w:r>
            <w:r w:rsidRPr="00C24ACA">
              <w:rPr>
                <w:rFonts w:eastAsiaTheme="minorEastAsia"/>
                <w:szCs w:val="21"/>
              </w:rPr>
              <w:t>）</w:t>
            </w:r>
            <w:r w:rsidRPr="00C24ACA">
              <w:rPr>
                <w:rFonts w:eastAsiaTheme="minorEastAsia"/>
                <w:szCs w:val="21"/>
              </w:rPr>
              <w:t>A</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5,106.22</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0.0283%</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易方达香港恒生综合小型股指数（</w:t>
            </w:r>
            <w:r w:rsidRPr="00C24ACA">
              <w:rPr>
                <w:rFonts w:eastAsiaTheme="minorEastAsia"/>
                <w:szCs w:val="21"/>
              </w:rPr>
              <w:t>QDII-LOF</w:t>
            </w:r>
            <w:r w:rsidRPr="00C24ACA">
              <w:rPr>
                <w:rFonts w:eastAsiaTheme="minorEastAsia"/>
                <w:szCs w:val="21"/>
              </w:rPr>
              <w:t>）</w:t>
            </w:r>
            <w:r w:rsidRPr="00C24ACA">
              <w:rPr>
                <w:rFonts w:eastAsiaTheme="minorEastAsia"/>
                <w:szCs w:val="21"/>
              </w:rPr>
              <w:t>C</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18,310.42</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0.8378%</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widowControl/>
              <w:jc w:val="center"/>
              <w:rPr>
                <w:rFonts w:eastAsiaTheme="minorEastAsia"/>
                <w:color w:val="000000"/>
                <w:kern w:val="0"/>
                <w:szCs w:val="21"/>
              </w:rPr>
            </w:pPr>
            <w:r w:rsidRPr="00C24ACA">
              <w:rPr>
                <w:rFonts w:eastAsiaTheme="minorEastAsia"/>
                <w:color w:val="000000"/>
                <w:kern w:val="0"/>
                <w:szCs w:val="21"/>
              </w:rPr>
              <w:t>合计</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23,416.64</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0.1158%</w:t>
            </w:r>
          </w:p>
        </w:tc>
      </w:tr>
    </w:tbl>
    <w:p w:rsidR="000B6328" w:rsidRPr="00A317EA" w:rsidRDefault="00251D61" w:rsidP="00732F5C">
      <w:pPr>
        <w:pStyle w:val="20"/>
        <w:spacing w:beforeLines="100" w:before="312" w:after="0"/>
        <w:rPr>
          <w:rFonts w:ascii="Times New Roman" w:eastAsiaTheme="minorEastAsia" w:hAnsi="Times New Roman"/>
          <w:kern w:val="0"/>
          <w:sz w:val="21"/>
          <w:szCs w:val="21"/>
        </w:rPr>
      </w:pPr>
      <w:bookmarkStart w:id="309" w:name="_Toc48663879"/>
      <w:r w:rsidRPr="0087359D">
        <w:rPr>
          <w:rFonts w:ascii="宋体" w:hAnsi="宋体"/>
          <w:kern w:val="0"/>
          <w:sz w:val="21"/>
          <w:szCs w:val="21"/>
        </w:rPr>
        <w:t>8.4</w:t>
      </w:r>
      <w:r w:rsidR="00982AAE" w:rsidRPr="009A2157">
        <w:rPr>
          <w:rFonts w:ascii="Times New Roman" w:eastAsiaTheme="minorEastAsia" w:hAnsi="Times New Roman"/>
          <w:kern w:val="0"/>
          <w:sz w:val="21"/>
          <w:szCs w:val="21"/>
        </w:rPr>
        <w:t xml:space="preserve">   </w:t>
      </w:r>
      <w:r w:rsidR="000B6328" w:rsidRPr="00A317EA">
        <w:rPr>
          <w:rFonts w:ascii="Times New Roman" w:eastAsiaTheme="minorEastAsia" w:hAnsi="Times New Roman"/>
          <w:kern w:val="0"/>
          <w:sz w:val="21"/>
          <w:szCs w:val="21"/>
        </w:rPr>
        <w:t>期末基金管理人的从业人员持有本开放式基金份额总量区间的情况</w:t>
      </w:r>
      <w:bookmarkEnd w:id="3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232443" w:rsidRPr="00C24ACA" w:rsidTr="004322C7">
        <w:trPr>
          <w:trHeight w:val="285"/>
        </w:trPr>
        <w:tc>
          <w:tcPr>
            <w:tcW w:w="2548"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项目</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份额级别</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持有基金份额总量的数量区间（万份）</w:t>
            </w:r>
          </w:p>
        </w:tc>
      </w:tr>
      <w:tr w:rsidR="00232443" w:rsidRPr="00C24ACA" w:rsidTr="004322C7">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本公司高级管理人员、基金投资和研究部门负责人</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易方达香港恒生综合小型股指数（</w:t>
            </w:r>
            <w:r w:rsidRPr="00C24ACA">
              <w:rPr>
                <w:rFonts w:eastAsiaTheme="minorEastAsia"/>
                <w:kern w:val="0"/>
                <w:szCs w:val="21"/>
              </w:rPr>
              <w:t>QDII-LOF</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易方达香港恒生综合小型股指数（</w:t>
            </w:r>
            <w:r w:rsidRPr="00C24ACA">
              <w:rPr>
                <w:rFonts w:eastAsiaTheme="minorEastAsia"/>
                <w:kern w:val="0"/>
                <w:szCs w:val="21"/>
              </w:rPr>
              <w:t>QDII-LOF</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本基金基金经理</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易方达香港恒生综合小型股指数（</w:t>
            </w:r>
            <w:r w:rsidRPr="00C24ACA">
              <w:rPr>
                <w:rFonts w:eastAsiaTheme="minorEastAsia"/>
                <w:kern w:val="0"/>
                <w:szCs w:val="21"/>
              </w:rPr>
              <w:t>QDII-LOF</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52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易方达香港恒生综合小型股指数（</w:t>
            </w:r>
            <w:r w:rsidRPr="00C24ACA">
              <w:rPr>
                <w:rFonts w:eastAsiaTheme="minorEastAsia"/>
                <w:kern w:val="0"/>
                <w:szCs w:val="21"/>
              </w:rPr>
              <w:t>QDII-LOF</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653"/>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10" w:name="_Toc225500053"/>
      <w:bookmarkStart w:id="311" w:name="_Toc352256009"/>
      <w:bookmarkStart w:id="312" w:name="_Toc352256077"/>
      <w:bookmarkStart w:id="313" w:name="_Toc352331255"/>
      <w:bookmarkStart w:id="314" w:name="_Toc390164839"/>
      <w:bookmarkStart w:id="315" w:name="_Toc48663880"/>
      <w:r w:rsidRPr="00A432E9">
        <w:rPr>
          <w:rFonts w:ascii="Times New Roman" w:hAnsi="Times New Roman"/>
          <w:bCs w:val="0"/>
          <w:color w:val="000000"/>
          <w:sz w:val="21"/>
          <w:szCs w:val="21"/>
        </w:rPr>
        <w:t>9</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开放式基金份额变动</w:t>
      </w:r>
      <w:bookmarkEnd w:id="310"/>
      <w:bookmarkEnd w:id="311"/>
      <w:bookmarkEnd w:id="312"/>
      <w:bookmarkEnd w:id="313"/>
      <w:bookmarkEnd w:id="314"/>
      <w:bookmarkEnd w:id="315"/>
    </w:p>
    <w:p w:rsidR="008A5A5D" w:rsidRPr="00C24ACA" w:rsidRDefault="008A5A5D" w:rsidP="002116B9">
      <w:pPr>
        <w:jc w:val="right"/>
        <w:rPr>
          <w:rFonts w:eastAsiaTheme="minorEastAsia"/>
          <w:szCs w:val="21"/>
        </w:rPr>
      </w:pPr>
      <w:r w:rsidRPr="00C24ACA">
        <w:rPr>
          <w:rFonts w:eastAsiaTheme="minorEastAsia"/>
          <w:szCs w:val="21"/>
        </w:rPr>
        <w:t>单位：份</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DE1120" w:rsidRPr="00C24ACA" w:rsidTr="005C3575">
        <w:tc>
          <w:tcPr>
            <w:tcW w:w="1771" w:type="pct"/>
            <w:vAlign w:val="center"/>
          </w:tcPr>
          <w:p w:rsidR="00DE1120" w:rsidRPr="00C24ACA" w:rsidRDefault="00DE1120" w:rsidP="005C3575">
            <w:pPr>
              <w:jc w:val="center"/>
              <w:rPr>
                <w:rFonts w:eastAsiaTheme="minorEastAsia"/>
                <w:szCs w:val="21"/>
              </w:rPr>
            </w:pPr>
            <w:r w:rsidRPr="00C24ACA">
              <w:rPr>
                <w:rFonts w:eastAsiaTheme="minorEastAsia"/>
                <w:szCs w:val="21"/>
              </w:rPr>
              <w:t>项目</w:t>
            </w:r>
          </w:p>
        </w:tc>
        <w:tc>
          <w:tcPr>
            <w:tcW w:w="1614"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易方达香港恒生综合小型股指数（</w:t>
            </w:r>
            <w:r w:rsidRPr="00C24ACA">
              <w:rPr>
                <w:rFonts w:eastAsiaTheme="minorEastAsia"/>
                <w:szCs w:val="21"/>
              </w:rPr>
              <w:t>QDII-LOF</w:t>
            </w:r>
            <w:r w:rsidRPr="00C24ACA">
              <w:rPr>
                <w:rFonts w:eastAsiaTheme="minorEastAsia"/>
                <w:szCs w:val="21"/>
              </w:rPr>
              <w:t>）</w:t>
            </w:r>
            <w:r w:rsidRPr="00C24ACA">
              <w:rPr>
                <w:rFonts w:eastAsiaTheme="minorEastAsia"/>
                <w:szCs w:val="21"/>
              </w:rPr>
              <w:t>A</w:t>
            </w:r>
          </w:p>
        </w:tc>
        <w:tc>
          <w:tcPr>
            <w:tcW w:w="1615"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易方达香港恒生综合小型股指数（</w:t>
            </w:r>
            <w:r w:rsidRPr="00C24ACA">
              <w:rPr>
                <w:rFonts w:eastAsiaTheme="minorEastAsia"/>
                <w:szCs w:val="21"/>
              </w:rPr>
              <w:t>QDII-LOF</w:t>
            </w:r>
            <w:r w:rsidRPr="00C24ACA">
              <w:rPr>
                <w:rFonts w:eastAsiaTheme="minorEastAsia"/>
                <w:szCs w:val="21"/>
              </w:rPr>
              <w:t>）</w:t>
            </w:r>
            <w:r w:rsidRPr="00C24ACA">
              <w:rPr>
                <w:rFonts w:eastAsiaTheme="minorEastAsia"/>
                <w:szCs w:val="21"/>
              </w:rPr>
              <w:t>C</w:t>
            </w:r>
          </w:p>
        </w:tc>
      </w:tr>
      <w:tr w:rsidR="00DE1120" w:rsidRPr="00C24ACA" w:rsidTr="005C3575">
        <w:tc>
          <w:tcPr>
            <w:tcW w:w="1771" w:type="pct"/>
          </w:tcPr>
          <w:p w:rsidR="00DE1120" w:rsidRPr="00C24ACA" w:rsidRDefault="00DE1120" w:rsidP="005C3575">
            <w:pPr>
              <w:rPr>
                <w:rFonts w:eastAsiaTheme="minorEastAsia"/>
                <w:szCs w:val="21"/>
              </w:rPr>
            </w:pPr>
            <w:r w:rsidRPr="00C24ACA">
              <w:rPr>
                <w:rFonts w:eastAsiaTheme="minorEastAsia"/>
                <w:szCs w:val="21"/>
              </w:rPr>
              <w:t>基金合同生效日（</w:t>
            </w:r>
            <w:r w:rsidRPr="00C24ACA">
              <w:rPr>
                <w:rFonts w:eastAsiaTheme="minorEastAsia"/>
                <w:szCs w:val="21"/>
              </w:rPr>
              <w:t>2016</w:t>
            </w:r>
            <w:r w:rsidRPr="00C24ACA">
              <w:rPr>
                <w:rFonts w:eastAsiaTheme="minorEastAsia"/>
                <w:szCs w:val="21"/>
              </w:rPr>
              <w:t>年</w:t>
            </w:r>
            <w:r w:rsidRPr="00C24ACA">
              <w:rPr>
                <w:rFonts w:eastAsiaTheme="minorEastAsia"/>
                <w:szCs w:val="21"/>
              </w:rPr>
              <w:t>11</w:t>
            </w:r>
            <w:r w:rsidRPr="00C24ACA">
              <w:rPr>
                <w:rFonts w:eastAsiaTheme="minorEastAsia"/>
                <w:szCs w:val="21"/>
              </w:rPr>
              <w:t>月</w:t>
            </w:r>
            <w:r w:rsidRPr="00C24ACA">
              <w:rPr>
                <w:rFonts w:eastAsiaTheme="minorEastAsia"/>
                <w:szCs w:val="21"/>
              </w:rPr>
              <w:t>2</w:t>
            </w:r>
            <w:r w:rsidRPr="00C24ACA">
              <w:rPr>
                <w:rFonts w:eastAsiaTheme="minorEastAsia"/>
                <w:szCs w:val="21"/>
              </w:rPr>
              <w:t>日）基金份额总额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399,318,394.11</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本报告期期初基金份额总额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26,398,272.12</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2,372,963.40</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本报告期基金总申购份额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4,340,709.75</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3,961,512.92</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减：本报告期基金总赎回份额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12,710,043.19</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4,148,915.37</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本报告期基金拆分变动份额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本报告期期末基金份额总额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18,028,938.68</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2,185,560.95</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16" w:name="_Toc225500054"/>
      <w:bookmarkStart w:id="317" w:name="_Toc352256010"/>
      <w:bookmarkStart w:id="318" w:name="_Toc352256078"/>
      <w:bookmarkStart w:id="319" w:name="_Toc352331256"/>
      <w:bookmarkStart w:id="320" w:name="_Toc390164840"/>
      <w:bookmarkStart w:id="321" w:name="_Toc48663881"/>
      <w:r w:rsidRPr="000C6CCD">
        <w:rPr>
          <w:rFonts w:ascii="宋体" w:hAnsi="宋体"/>
          <w:bCs w:val="0"/>
          <w:color w:val="000000"/>
          <w:sz w:val="21"/>
          <w:szCs w:val="21"/>
        </w:rPr>
        <w:lastRenderedPageBreak/>
        <w:t>10</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重大事件揭示</w:t>
      </w:r>
      <w:bookmarkEnd w:id="316"/>
      <w:bookmarkEnd w:id="317"/>
      <w:bookmarkEnd w:id="318"/>
      <w:bookmarkEnd w:id="319"/>
      <w:bookmarkEnd w:id="320"/>
      <w:bookmarkEnd w:id="321"/>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22" w:name="_Toc352256011"/>
      <w:bookmarkStart w:id="323" w:name="_Toc352256079"/>
      <w:bookmarkStart w:id="324" w:name="_Toc352331257"/>
      <w:bookmarkStart w:id="325" w:name="_Toc390164841"/>
      <w:bookmarkStart w:id="326" w:name="_Toc48663882"/>
      <w:r w:rsidRPr="0087359D">
        <w:rPr>
          <w:rFonts w:ascii="宋体" w:hAnsi="宋体"/>
          <w:kern w:val="0"/>
          <w:sz w:val="21"/>
          <w:szCs w:val="21"/>
        </w:rPr>
        <w:t>10.</w:t>
      </w:r>
      <w:r w:rsidR="00F0322F">
        <w:rPr>
          <w:rFonts w:ascii="宋体" w:hAnsi="宋体" w:hint="eastAsia"/>
          <w:kern w:val="0"/>
          <w:sz w:val="21"/>
          <w:szCs w:val="21"/>
        </w:rPr>
        <w:t>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基金份额持有人大会决议</w:t>
      </w:r>
      <w:bookmarkEnd w:id="322"/>
      <w:bookmarkEnd w:id="323"/>
      <w:bookmarkEnd w:id="324"/>
      <w:bookmarkEnd w:id="325"/>
      <w:bookmarkEnd w:id="326"/>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本报告期内未召开基金份额持有人大会。</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27" w:name="_Toc352256012"/>
      <w:bookmarkStart w:id="328" w:name="_Toc352256080"/>
      <w:bookmarkStart w:id="329" w:name="_Toc352331258"/>
      <w:bookmarkStart w:id="330" w:name="_Toc390164842"/>
      <w:bookmarkStart w:id="331" w:name="_Toc48663883"/>
      <w:r w:rsidRPr="0087359D">
        <w:rPr>
          <w:rFonts w:ascii="宋体" w:hAnsi="宋体"/>
          <w:kern w:val="0"/>
          <w:sz w:val="21"/>
          <w:szCs w:val="21"/>
        </w:rPr>
        <w:t>10.</w:t>
      </w:r>
      <w:r>
        <w:rPr>
          <w:rFonts w:ascii="宋体" w:hAnsi="宋体" w:hint="eastAsia"/>
          <w:kern w:val="0"/>
          <w:sz w:val="21"/>
          <w:szCs w:val="21"/>
        </w:rPr>
        <w:t>2</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基金管理人、基金托管人的专门基金托管部门的重大人事变动</w:t>
      </w:r>
      <w:bookmarkEnd w:id="327"/>
      <w:bookmarkEnd w:id="328"/>
      <w:bookmarkEnd w:id="329"/>
      <w:bookmarkEnd w:id="330"/>
      <w:bookmarkEnd w:id="331"/>
    </w:p>
    <w:p w:rsidR="007B4EE4" w:rsidRDefault="00B833D5">
      <w:pPr>
        <w:widowControl/>
        <w:spacing w:line="360" w:lineRule="auto"/>
        <w:ind w:firstLineChars="200" w:firstLine="420"/>
        <w:rPr>
          <w:rFonts w:eastAsiaTheme="minorEastAsia"/>
          <w:kern w:val="0"/>
          <w:szCs w:val="21"/>
        </w:rPr>
      </w:pPr>
      <w:r>
        <w:rPr>
          <w:rFonts w:eastAsiaTheme="minorEastAsia"/>
          <w:kern w:val="0"/>
          <w:szCs w:val="21"/>
        </w:rPr>
        <w:t>本基金管理人于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日发布公告，自</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日起聘任张坤先生、陈丽园女士担任公司副总经理级高级管理人员。</w:t>
      </w:r>
    </w:p>
    <w:p w:rsidR="008A5A5D" w:rsidRPr="00C24ACA" w:rsidRDefault="008A5A5D" w:rsidP="008134C7">
      <w:pPr>
        <w:widowControl/>
        <w:spacing w:line="360" w:lineRule="auto"/>
        <w:ind w:firstLineChars="200" w:firstLine="420"/>
        <w:rPr>
          <w:rFonts w:eastAsiaTheme="minorEastAsia"/>
          <w:kern w:val="0"/>
          <w:szCs w:val="21"/>
        </w:rPr>
      </w:pPr>
      <w:r w:rsidRPr="00C24ACA">
        <w:rPr>
          <w:rFonts w:eastAsiaTheme="minorEastAsia"/>
          <w:kern w:val="0"/>
          <w:szCs w:val="21"/>
        </w:rPr>
        <w:t>本报告期内本基金托管人的专门基金托管部门未发生重大人事变动。</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32" w:name="_Toc352256013"/>
      <w:bookmarkStart w:id="333" w:name="_Toc352256081"/>
      <w:bookmarkStart w:id="334" w:name="_Toc352331259"/>
      <w:bookmarkStart w:id="335" w:name="_Toc390164843"/>
      <w:bookmarkStart w:id="336" w:name="_Toc48663884"/>
      <w:r w:rsidRPr="0087359D">
        <w:rPr>
          <w:rFonts w:ascii="宋体" w:hAnsi="宋体"/>
          <w:kern w:val="0"/>
          <w:sz w:val="21"/>
          <w:szCs w:val="21"/>
        </w:rPr>
        <w:t>10.</w:t>
      </w:r>
      <w:r>
        <w:rPr>
          <w:rFonts w:ascii="宋体" w:hAnsi="宋体" w:hint="eastAsia"/>
          <w:kern w:val="0"/>
          <w:sz w:val="21"/>
          <w:szCs w:val="21"/>
        </w:rPr>
        <w:t>3</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涉及基金管理人、基金财产、基金托管业务的诉讼</w:t>
      </w:r>
      <w:bookmarkEnd w:id="332"/>
      <w:bookmarkEnd w:id="333"/>
      <w:bookmarkEnd w:id="334"/>
      <w:bookmarkEnd w:id="335"/>
      <w:bookmarkEnd w:id="336"/>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本报告期内无涉及本基金管理人、基金财产、基金托管业务的诉讼事项。</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37" w:name="_Toc352256014"/>
      <w:bookmarkStart w:id="338" w:name="_Toc352256082"/>
      <w:bookmarkStart w:id="339" w:name="_Toc352331260"/>
      <w:bookmarkStart w:id="340" w:name="_Toc390164844"/>
      <w:bookmarkStart w:id="341" w:name="_Toc48663885"/>
      <w:r w:rsidRPr="0087359D">
        <w:rPr>
          <w:rFonts w:ascii="宋体" w:hAnsi="宋体"/>
          <w:kern w:val="0"/>
          <w:sz w:val="21"/>
          <w:szCs w:val="21"/>
        </w:rPr>
        <w:t>10.</w:t>
      </w:r>
      <w:r>
        <w:rPr>
          <w:rFonts w:ascii="宋体" w:hAnsi="宋体" w:hint="eastAsia"/>
          <w:kern w:val="0"/>
          <w:sz w:val="21"/>
          <w:szCs w:val="21"/>
        </w:rPr>
        <w:t>4</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基金投资策略的改变</w:t>
      </w:r>
      <w:bookmarkEnd w:id="337"/>
      <w:bookmarkEnd w:id="338"/>
      <w:bookmarkEnd w:id="339"/>
      <w:bookmarkEnd w:id="340"/>
      <w:bookmarkEnd w:id="341"/>
    </w:p>
    <w:p w:rsidR="00F0322F" w:rsidRPr="00F13227" w:rsidRDefault="008A5A5D" w:rsidP="00F0322F">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本报告期内本基金的投资策略未有重大变化。</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42" w:name="_Toc352256015"/>
      <w:bookmarkStart w:id="343" w:name="_Toc352256083"/>
      <w:bookmarkStart w:id="344" w:name="_Toc352331261"/>
      <w:bookmarkStart w:id="345" w:name="_Toc390164845"/>
      <w:bookmarkStart w:id="346" w:name="_Toc48663886"/>
      <w:r w:rsidRPr="0087359D">
        <w:rPr>
          <w:rFonts w:ascii="宋体" w:hAnsi="宋体"/>
          <w:kern w:val="0"/>
          <w:sz w:val="21"/>
          <w:szCs w:val="21"/>
        </w:rPr>
        <w:t>10.</w:t>
      </w:r>
      <w:r>
        <w:rPr>
          <w:rFonts w:ascii="宋体" w:hAnsi="宋体" w:hint="eastAsia"/>
          <w:kern w:val="0"/>
          <w:sz w:val="21"/>
          <w:szCs w:val="21"/>
        </w:rPr>
        <w:t>5</w:t>
      </w:r>
      <w:r w:rsidR="00982AAE" w:rsidRPr="009A2157">
        <w:rPr>
          <w:rFonts w:ascii="Times New Roman" w:eastAsiaTheme="minorEastAsia" w:hAnsi="Times New Roman"/>
          <w:kern w:val="0"/>
          <w:sz w:val="21"/>
          <w:szCs w:val="21"/>
        </w:rPr>
        <w:t xml:space="preserve">  </w:t>
      </w:r>
      <w:bookmarkEnd w:id="342"/>
      <w:bookmarkEnd w:id="343"/>
      <w:bookmarkEnd w:id="344"/>
      <w:bookmarkEnd w:id="345"/>
      <w:r w:rsidR="00973DE4" w:rsidRPr="0087410D">
        <w:rPr>
          <w:rFonts w:ascii="宋体" w:hAnsi="宋体" w:hint="eastAsia"/>
          <w:kern w:val="0"/>
          <w:sz w:val="21"/>
          <w:szCs w:val="21"/>
        </w:rPr>
        <w:t>为基金进行审计的会计师事务所情况</w:t>
      </w:r>
      <w:bookmarkEnd w:id="346"/>
    </w:p>
    <w:p w:rsidR="008A5A5D" w:rsidRPr="00C24ACA" w:rsidRDefault="008A5A5D" w:rsidP="001412CA">
      <w:pPr>
        <w:tabs>
          <w:tab w:val="left" w:pos="426"/>
        </w:tabs>
        <w:spacing w:line="360" w:lineRule="auto"/>
        <w:ind w:firstLineChars="200" w:firstLine="420"/>
        <w:jc w:val="left"/>
        <w:rPr>
          <w:rFonts w:eastAsiaTheme="minorEastAsia"/>
          <w:kern w:val="0"/>
          <w:szCs w:val="21"/>
        </w:rPr>
      </w:pPr>
      <w:bookmarkStart w:id="347" w:name="OLE_LINK3"/>
      <w:r w:rsidRPr="00C24ACA">
        <w:rPr>
          <w:rFonts w:eastAsiaTheme="minorEastAsia"/>
          <w:kern w:val="0"/>
          <w:szCs w:val="21"/>
        </w:rPr>
        <w:t>本报告期内本基金未改聘会计师事务所。</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48" w:name="_Toc352256016"/>
      <w:bookmarkStart w:id="349" w:name="_Toc352256084"/>
      <w:bookmarkStart w:id="350" w:name="_Toc352331262"/>
      <w:bookmarkStart w:id="351" w:name="_Toc390164846"/>
      <w:bookmarkStart w:id="352" w:name="_Toc48663887"/>
      <w:bookmarkEnd w:id="347"/>
      <w:r w:rsidRPr="0087359D">
        <w:rPr>
          <w:rFonts w:ascii="宋体" w:hAnsi="宋体"/>
          <w:kern w:val="0"/>
          <w:sz w:val="21"/>
          <w:szCs w:val="21"/>
        </w:rPr>
        <w:t>10.</w:t>
      </w:r>
      <w:r>
        <w:rPr>
          <w:rFonts w:ascii="宋体" w:hAnsi="宋体" w:hint="eastAsia"/>
          <w:kern w:val="0"/>
          <w:sz w:val="21"/>
          <w:szCs w:val="21"/>
        </w:rPr>
        <w:t>6</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管理人、托管人及其高级管理人员受稽查或处罚等情况</w:t>
      </w:r>
      <w:bookmarkEnd w:id="348"/>
      <w:bookmarkEnd w:id="349"/>
      <w:bookmarkEnd w:id="350"/>
      <w:bookmarkEnd w:id="351"/>
      <w:bookmarkEnd w:id="352"/>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本报告期内，本基金管理人和托管人托管业务部门及其相关高级管理人员未受到稽查或处罚。</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53" w:name="_Toc352256017"/>
      <w:bookmarkStart w:id="354" w:name="_Toc352256085"/>
      <w:bookmarkStart w:id="355" w:name="_Toc352331263"/>
      <w:bookmarkStart w:id="356" w:name="_Toc390164847"/>
      <w:bookmarkStart w:id="357" w:name="_Toc48663888"/>
      <w:r w:rsidRPr="0087359D">
        <w:rPr>
          <w:rFonts w:ascii="宋体" w:hAnsi="宋体"/>
          <w:kern w:val="0"/>
          <w:sz w:val="21"/>
          <w:szCs w:val="21"/>
        </w:rPr>
        <w:t>10.</w:t>
      </w:r>
      <w:r>
        <w:rPr>
          <w:rFonts w:ascii="宋体" w:hAnsi="宋体" w:hint="eastAsia"/>
          <w:kern w:val="0"/>
          <w:sz w:val="21"/>
          <w:szCs w:val="21"/>
        </w:rPr>
        <w:t>7</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基金租用证券公司交易单元的有关情况</w:t>
      </w:r>
      <w:bookmarkEnd w:id="353"/>
      <w:bookmarkEnd w:id="354"/>
      <w:bookmarkEnd w:id="355"/>
      <w:bookmarkEnd w:id="356"/>
      <w:bookmarkEnd w:id="357"/>
    </w:p>
    <w:p w:rsidR="008A5A5D" w:rsidRPr="00C24ACA" w:rsidRDefault="000D1F25" w:rsidP="00E92B70">
      <w:pPr>
        <w:spacing w:line="360" w:lineRule="auto"/>
        <w:rPr>
          <w:rFonts w:eastAsiaTheme="minorEastAsia"/>
          <w:b/>
          <w:szCs w:val="21"/>
        </w:rPr>
      </w:pPr>
      <w:bookmarkStart w:id="358" w:name="_Toc249760070"/>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1</w:t>
      </w:r>
      <w:r w:rsidR="008A5A5D" w:rsidRPr="00C24ACA">
        <w:rPr>
          <w:rFonts w:eastAsiaTheme="minorEastAsia"/>
          <w:b/>
          <w:szCs w:val="21"/>
        </w:rPr>
        <w:t>基金租用证券公司交易单元进行股票投资及佣金支付情况</w:t>
      </w:r>
      <w:bookmarkEnd w:id="358"/>
    </w:p>
    <w:p w:rsidR="008A5A5D" w:rsidRPr="00C24ACA" w:rsidRDefault="008A5A5D" w:rsidP="008134C7">
      <w:pPr>
        <w:pStyle w:val="a0"/>
        <w:ind w:firstLineChars="2600" w:firstLine="5460"/>
        <w:jc w:val="right"/>
        <w:rPr>
          <w:rFonts w:eastAsiaTheme="minorEastAsia"/>
          <w:color w:val="000000"/>
          <w:szCs w:val="21"/>
        </w:rPr>
      </w:pPr>
      <w:r w:rsidRPr="00C24ACA">
        <w:rPr>
          <w:rFonts w:eastAsiaTheme="minor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8A5A5D" w:rsidRPr="00C24ACA" w:rsidTr="004A4847">
        <w:tc>
          <w:tcPr>
            <w:tcW w:w="1560" w:type="dxa"/>
            <w:vMerge w:val="restart"/>
            <w:vAlign w:val="center"/>
          </w:tcPr>
          <w:p w:rsidR="008A5A5D" w:rsidRPr="00C24ACA" w:rsidRDefault="008A5A5D" w:rsidP="004A4847">
            <w:pPr>
              <w:jc w:val="center"/>
              <w:rPr>
                <w:rFonts w:eastAsiaTheme="minorEastAsia"/>
                <w:color w:val="000000"/>
                <w:szCs w:val="21"/>
              </w:rPr>
            </w:pPr>
            <w:bookmarkStart w:id="359" w:name="_Toc249760071"/>
            <w:r w:rsidRPr="00C24ACA">
              <w:rPr>
                <w:rFonts w:eastAsiaTheme="minorEastAsia"/>
                <w:color w:val="000000"/>
                <w:szCs w:val="21"/>
              </w:rPr>
              <w:t>券商名称</w:t>
            </w:r>
          </w:p>
        </w:tc>
        <w:tc>
          <w:tcPr>
            <w:tcW w:w="780" w:type="dxa"/>
            <w:vMerge w:val="restart"/>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交易单元数量</w:t>
            </w:r>
          </w:p>
        </w:tc>
        <w:tc>
          <w:tcPr>
            <w:tcW w:w="288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股票交易</w:t>
            </w:r>
          </w:p>
        </w:tc>
        <w:tc>
          <w:tcPr>
            <w:tcW w:w="270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应支付该券商的佣金</w:t>
            </w:r>
          </w:p>
        </w:tc>
        <w:tc>
          <w:tcPr>
            <w:tcW w:w="1080" w:type="dxa"/>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备注</w:t>
            </w:r>
          </w:p>
        </w:tc>
      </w:tr>
      <w:tr w:rsidR="008A5A5D" w:rsidRPr="00C24ACA" w:rsidTr="004A4847">
        <w:tc>
          <w:tcPr>
            <w:tcW w:w="9000" w:type="dxa"/>
            <w:vMerge/>
            <w:vAlign w:val="center"/>
          </w:tcPr>
          <w:p w:rsidR="008A5A5D" w:rsidRPr="00C24ACA" w:rsidRDefault="008A5A5D" w:rsidP="004A4847">
            <w:pPr>
              <w:widowControl/>
              <w:jc w:val="left"/>
              <w:rPr>
                <w:rFonts w:eastAsiaTheme="minorEastAsia"/>
                <w:color w:val="000000"/>
                <w:szCs w:val="21"/>
              </w:rPr>
            </w:pPr>
          </w:p>
        </w:tc>
        <w:tc>
          <w:tcPr>
            <w:tcW w:w="780" w:type="dxa"/>
            <w:vMerge/>
            <w:vAlign w:val="center"/>
          </w:tcPr>
          <w:p w:rsidR="008A5A5D" w:rsidRPr="00C24ACA" w:rsidRDefault="008A5A5D" w:rsidP="004A4847">
            <w:pPr>
              <w:widowControl/>
              <w:jc w:val="left"/>
              <w:rPr>
                <w:rFonts w:eastAsiaTheme="minorEastAsia"/>
                <w:color w:val="000000"/>
                <w:szCs w:val="21"/>
              </w:rPr>
            </w:pPr>
          </w:p>
        </w:tc>
        <w:tc>
          <w:tcPr>
            <w:tcW w:w="180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成交金额</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占当期股票成交总额的比例</w:t>
            </w:r>
          </w:p>
        </w:tc>
        <w:tc>
          <w:tcPr>
            <w:tcW w:w="162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佣金</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占当期佣金总量的比例</w:t>
            </w:r>
          </w:p>
        </w:tc>
        <w:tc>
          <w:tcPr>
            <w:tcW w:w="1080" w:type="dxa"/>
            <w:vMerge/>
            <w:vAlign w:val="center"/>
          </w:tcPr>
          <w:p w:rsidR="008A5A5D" w:rsidRPr="00C24ACA" w:rsidRDefault="008A5A5D" w:rsidP="004A4847">
            <w:pPr>
              <w:widowControl/>
              <w:jc w:val="left"/>
              <w:rPr>
                <w:rFonts w:eastAsiaTheme="minorEastAsia"/>
                <w:color w:val="000000"/>
                <w:kern w:val="0"/>
                <w:szCs w:val="21"/>
              </w:rPr>
            </w:pPr>
          </w:p>
        </w:tc>
      </w:tr>
      <w:tr w:rsidR="007B4EE4">
        <w:tc>
          <w:tcPr>
            <w:tcW w:w="1560" w:type="dxa"/>
            <w:vAlign w:val="center"/>
          </w:tcPr>
          <w:p w:rsidR="007B4EE4" w:rsidRDefault="00B833D5">
            <w:pPr>
              <w:jc w:val="center"/>
            </w:pPr>
            <w:r>
              <w:rPr>
                <w:rFonts w:eastAsiaTheme="minorEastAsia"/>
                <w:color w:val="000000"/>
                <w:szCs w:val="21"/>
              </w:rPr>
              <w:t>Barclays Capital Securities Limited</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8,849.21</w:t>
            </w:r>
          </w:p>
        </w:tc>
        <w:tc>
          <w:tcPr>
            <w:tcW w:w="1080" w:type="dxa"/>
            <w:vAlign w:val="center"/>
          </w:tcPr>
          <w:p w:rsidR="007B4EE4" w:rsidRDefault="00B833D5">
            <w:pPr>
              <w:jc w:val="right"/>
            </w:pPr>
            <w:r>
              <w:rPr>
                <w:rFonts w:eastAsiaTheme="minorEastAsia"/>
                <w:color w:val="000000"/>
                <w:szCs w:val="21"/>
              </w:rPr>
              <w:t>0.04%</w:t>
            </w:r>
          </w:p>
        </w:tc>
        <w:tc>
          <w:tcPr>
            <w:tcW w:w="1620" w:type="dxa"/>
            <w:vAlign w:val="center"/>
          </w:tcPr>
          <w:p w:rsidR="007B4EE4" w:rsidRDefault="00B833D5">
            <w:pPr>
              <w:jc w:val="right"/>
            </w:pPr>
            <w:r>
              <w:rPr>
                <w:rFonts w:eastAsiaTheme="minorEastAsia"/>
                <w:color w:val="000000"/>
                <w:szCs w:val="21"/>
              </w:rPr>
              <w:t>0.00</w:t>
            </w:r>
          </w:p>
        </w:tc>
        <w:tc>
          <w:tcPr>
            <w:tcW w:w="1080" w:type="dxa"/>
            <w:vAlign w:val="center"/>
          </w:tcPr>
          <w:p w:rsidR="007B4EE4" w:rsidRDefault="00B833D5">
            <w:pPr>
              <w:jc w:val="right"/>
            </w:pPr>
            <w:r>
              <w:rPr>
                <w:rFonts w:eastAsiaTheme="minorEastAsia"/>
                <w:color w:val="000000"/>
                <w:szCs w:val="21"/>
              </w:rPr>
              <w:t>0.00%</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 xml:space="preserve">China Merchants Securities (HK) </w:t>
            </w:r>
            <w:r>
              <w:rPr>
                <w:rFonts w:eastAsiaTheme="minorEastAsia"/>
                <w:color w:val="000000"/>
                <w:szCs w:val="21"/>
              </w:rPr>
              <w:lastRenderedPageBreak/>
              <w:t>Co Ltd</w:t>
            </w:r>
          </w:p>
        </w:tc>
        <w:tc>
          <w:tcPr>
            <w:tcW w:w="780" w:type="dxa"/>
            <w:vAlign w:val="center"/>
          </w:tcPr>
          <w:p w:rsidR="007B4EE4" w:rsidRDefault="00B833D5">
            <w:pPr>
              <w:jc w:val="right"/>
            </w:pPr>
            <w:r>
              <w:rPr>
                <w:rFonts w:eastAsiaTheme="minorEastAsia"/>
                <w:color w:val="000000"/>
                <w:szCs w:val="21"/>
              </w:rPr>
              <w:lastRenderedPageBreak/>
              <w:t>1</w:t>
            </w:r>
          </w:p>
        </w:tc>
        <w:tc>
          <w:tcPr>
            <w:tcW w:w="1800" w:type="dxa"/>
            <w:vAlign w:val="center"/>
          </w:tcPr>
          <w:p w:rsidR="007B4EE4" w:rsidRDefault="00B833D5">
            <w:pPr>
              <w:jc w:val="right"/>
            </w:pPr>
            <w:r>
              <w:rPr>
                <w:rFonts w:eastAsiaTheme="minorEastAsia"/>
                <w:color w:val="000000"/>
                <w:szCs w:val="21"/>
              </w:rPr>
              <w:t>9,793,924.62</w:t>
            </w:r>
          </w:p>
        </w:tc>
        <w:tc>
          <w:tcPr>
            <w:tcW w:w="1080" w:type="dxa"/>
            <w:vAlign w:val="center"/>
          </w:tcPr>
          <w:p w:rsidR="007B4EE4" w:rsidRDefault="00B833D5">
            <w:pPr>
              <w:jc w:val="right"/>
            </w:pPr>
            <w:r>
              <w:rPr>
                <w:rFonts w:eastAsiaTheme="minorEastAsia"/>
                <w:color w:val="000000"/>
                <w:szCs w:val="21"/>
              </w:rPr>
              <w:t>49.19%</w:t>
            </w:r>
          </w:p>
        </w:tc>
        <w:tc>
          <w:tcPr>
            <w:tcW w:w="1620" w:type="dxa"/>
            <w:vAlign w:val="center"/>
          </w:tcPr>
          <w:p w:rsidR="007B4EE4" w:rsidRDefault="00B833D5">
            <w:pPr>
              <w:jc w:val="right"/>
            </w:pPr>
            <w:r>
              <w:rPr>
                <w:rFonts w:eastAsiaTheme="minorEastAsia"/>
                <w:color w:val="000000"/>
                <w:szCs w:val="21"/>
              </w:rPr>
              <w:t>7,835.05</w:t>
            </w:r>
          </w:p>
        </w:tc>
        <w:tc>
          <w:tcPr>
            <w:tcW w:w="1080" w:type="dxa"/>
            <w:vAlign w:val="center"/>
          </w:tcPr>
          <w:p w:rsidR="007B4EE4" w:rsidRDefault="00B833D5">
            <w:pPr>
              <w:jc w:val="right"/>
            </w:pPr>
            <w:r>
              <w:rPr>
                <w:rFonts w:eastAsiaTheme="minorEastAsia"/>
                <w:color w:val="000000"/>
                <w:szCs w:val="21"/>
              </w:rPr>
              <w:t>59.32%</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Haitong International Securities Company Limited</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1,048,254.05</w:t>
            </w:r>
          </w:p>
        </w:tc>
        <w:tc>
          <w:tcPr>
            <w:tcW w:w="1080" w:type="dxa"/>
            <w:vAlign w:val="center"/>
          </w:tcPr>
          <w:p w:rsidR="007B4EE4" w:rsidRDefault="00B833D5">
            <w:pPr>
              <w:jc w:val="right"/>
            </w:pPr>
            <w:r>
              <w:rPr>
                <w:rFonts w:eastAsiaTheme="minorEastAsia"/>
                <w:color w:val="000000"/>
                <w:szCs w:val="21"/>
              </w:rPr>
              <w:t>5.26%</w:t>
            </w:r>
          </w:p>
        </w:tc>
        <w:tc>
          <w:tcPr>
            <w:tcW w:w="1620" w:type="dxa"/>
            <w:vAlign w:val="center"/>
          </w:tcPr>
          <w:p w:rsidR="007B4EE4" w:rsidRDefault="00B833D5">
            <w:pPr>
              <w:jc w:val="right"/>
            </w:pPr>
            <w:r>
              <w:rPr>
                <w:rFonts w:eastAsiaTheme="minorEastAsia"/>
                <w:color w:val="000000"/>
                <w:szCs w:val="21"/>
              </w:rPr>
              <w:t>838.60</w:t>
            </w:r>
          </w:p>
        </w:tc>
        <w:tc>
          <w:tcPr>
            <w:tcW w:w="1080" w:type="dxa"/>
            <w:vAlign w:val="center"/>
          </w:tcPr>
          <w:p w:rsidR="007B4EE4" w:rsidRDefault="00B833D5">
            <w:pPr>
              <w:jc w:val="right"/>
            </w:pPr>
            <w:r>
              <w:rPr>
                <w:rFonts w:eastAsiaTheme="minorEastAsia"/>
                <w:color w:val="000000"/>
                <w:szCs w:val="21"/>
              </w:rPr>
              <w:t>6.35%</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Goldman Sachs</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19,623.44</w:t>
            </w:r>
          </w:p>
        </w:tc>
        <w:tc>
          <w:tcPr>
            <w:tcW w:w="1080" w:type="dxa"/>
            <w:vAlign w:val="center"/>
          </w:tcPr>
          <w:p w:rsidR="007B4EE4" w:rsidRDefault="00B833D5">
            <w:pPr>
              <w:jc w:val="right"/>
            </w:pPr>
            <w:r>
              <w:rPr>
                <w:rFonts w:eastAsiaTheme="minorEastAsia"/>
                <w:color w:val="000000"/>
                <w:szCs w:val="21"/>
              </w:rPr>
              <w:t>0.10%</w:t>
            </w:r>
          </w:p>
        </w:tc>
        <w:tc>
          <w:tcPr>
            <w:tcW w:w="1620" w:type="dxa"/>
            <w:vAlign w:val="center"/>
          </w:tcPr>
          <w:p w:rsidR="007B4EE4" w:rsidRDefault="00B833D5">
            <w:pPr>
              <w:jc w:val="right"/>
            </w:pPr>
            <w:r>
              <w:rPr>
                <w:rFonts w:eastAsiaTheme="minorEastAsia"/>
                <w:color w:val="000000"/>
                <w:szCs w:val="21"/>
              </w:rPr>
              <w:t>14.39</w:t>
            </w:r>
          </w:p>
        </w:tc>
        <w:tc>
          <w:tcPr>
            <w:tcW w:w="1080" w:type="dxa"/>
            <w:vAlign w:val="center"/>
          </w:tcPr>
          <w:p w:rsidR="007B4EE4" w:rsidRDefault="00B833D5">
            <w:pPr>
              <w:jc w:val="right"/>
            </w:pPr>
            <w:r>
              <w:rPr>
                <w:rFonts w:eastAsiaTheme="minorEastAsia"/>
                <w:color w:val="000000"/>
                <w:szCs w:val="21"/>
              </w:rPr>
              <w:t>0.11%</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Everbright Securities (International) Limited</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9,039,301.05</w:t>
            </w:r>
          </w:p>
        </w:tc>
        <w:tc>
          <w:tcPr>
            <w:tcW w:w="1080" w:type="dxa"/>
            <w:vAlign w:val="center"/>
          </w:tcPr>
          <w:p w:rsidR="007B4EE4" w:rsidRDefault="00B833D5">
            <w:pPr>
              <w:jc w:val="right"/>
            </w:pPr>
            <w:r>
              <w:rPr>
                <w:rFonts w:eastAsiaTheme="minorEastAsia"/>
                <w:color w:val="000000"/>
                <w:szCs w:val="21"/>
              </w:rPr>
              <w:t>45.40%</w:t>
            </w:r>
          </w:p>
        </w:tc>
        <w:tc>
          <w:tcPr>
            <w:tcW w:w="1620" w:type="dxa"/>
            <w:vAlign w:val="center"/>
          </w:tcPr>
          <w:p w:rsidR="007B4EE4" w:rsidRDefault="00B833D5">
            <w:pPr>
              <w:jc w:val="right"/>
            </w:pPr>
            <w:r>
              <w:rPr>
                <w:rFonts w:eastAsiaTheme="minorEastAsia"/>
                <w:color w:val="000000"/>
                <w:szCs w:val="21"/>
              </w:rPr>
              <w:t>4,520.80</w:t>
            </w:r>
          </w:p>
        </w:tc>
        <w:tc>
          <w:tcPr>
            <w:tcW w:w="1080" w:type="dxa"/>
            <w:vAlign w:val="center"/>
          </w:tcPr>
          <w:p w:rsidR="007B4EE4" w:rsidRDefault="00B833D5">
            <w:pPr>
              <w:jc w:val="right"/>
            </w:pPr>
            <w:r>
              <w:rPr>
                <w:rFonts w:eastAsiaTheme="minorEastAsia"/>
                <w:color w:val="000000"/>
                <w:szCs w:val="21"/>
              </w:rPr>
              <w:t>34.23%</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GF Securities (Hong Kong) Brokerage Limited</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JP Morgan Securities Limited</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Shenyin Wanguo Securities HK Ltd</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State Street Securities Hong Kong Limited</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CITIC Securities Brokerage (HK) Limited</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新时代证券</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高华证券</w:t>
            </w:r>
          </w:p>
        </w:tc>
        <w:tc>
          <w:tcPr>
            <w:tcW w:w="780" w:type="dxa"/>
            <w:vAlign w:val="center"/>
          </w:tcPr>
          <w:p w:rsidR="007B4EE4" w:rsidRDefault="00B833D5">
            <w:pPr>
              <w:jc w:val="right"/>
            </w:pPr>
            <w:r>
              <w:rPr>
                <w:rFonts w:eastAsiaTheme="minorEastAsia"/>
                <w:color w:val="000000"/>
                <w:szCs w:val="21"/>
              </w:rPr>
              <w:t>2</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广发证券</w:t>
            </w:r>
          </w:p>
        </w:tc>
        <w:tc>
          <w:tcPr>
            <w:tcW w:w="780" w:type="dxa"/>
            <w:vAlign w:val="center"/>
          </w:tcPr>
          <w:p w:rsidR="007B4EE4" w:rsidRDefault="00B833D5">
            <w:pPr>
              <w:jc w:val="right"/>
            </w:pPr>
            <w:r>
              <w:rPr>
                <w:rFonts w:eastAsiaTheme="minorEastAsia"/>
                <w:color w:val="000000"/>
                <w:szCs w:val="21"/>
              </w:rPr>
              <w:t>4</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申万宏源</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东方证券</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银河证券</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r w:rsidR="007B4EE4">
        <w:tc>
          <w:tcPr>
            <w:tcW w:w="1560" w:type="dxa"/>
            <w:vAlign w:val="center"/>
          </w:tcPr>
          <w:p w:rsidR="007B4EE4" w:rsidRDefault="00B833D5">
            <w:pPr>
              <w:jc w:val="center"/>
            </w:pPr>
            <w:r>
              <w:rPr>
                <w:rFonts w:eastAsiaTheme="minorEastAsia"/>
                <w:color w:val="000000"/>
                <w:szCs w:val="21"/>
              </w:rPr>
              <w:t>招商证券</w:t>
            </w:r>
          </w:p>
        </w:tc>
        <w:tc>
          <w:tcPr>
            <w:tcW w:w="780" w:type="dxa"/>
            <w:vAlign w:val="center"/>
          </w:tcPr>
          <w:p w:rsidR="007B4EE4" w:rsidRDefault="00B833D5">
            <w:pPr>
              <w:jc w:val="right"/>
            </w:pPr>
            <w:r>
              <w:rPr>
                <w:rFonts w:eastAsiaTheme="minorEastAsia"/>
                <w:color w:val="000000"/>
                <w:szCs w:val="21"/>
              </w:rPr>
              <w:t>1</w:t>
            </w:r>
          </w:p>
        </w:tc>
        <w:tc>
          <w:tcPr>
            <w:tcW w:w="180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62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right"/>
            </w:pPr>
            <w:r>
              <w:rPr>
                <w:rFonts w:eastAsiaTheme="minorEastAsia"/>
                <w:color w:val="000000"/>
                <w:szCs w:val="21"/>
              </w:rPr>
              <w:t>-</w:t>
            </w:r>
          </w:p>
        </w:tc>
        <w:tc>
          <w:tcPr>
            <w:tcW w:w="1080" w:type="dxa"/>
            <w:vAlign w:val="center"/>
          </w:tcPr>
          <w:p w:rsidR="007B4EE4" w:rsidRDefault="00B833D5">
            <w:pPr>
              <w:jc w:val="left"/>
            </w:pPr>
            <w:r>
              <w:rPr>
                <w:rFonts w:eastAsiaTheme="minorEastAsia"/>
                <w:color w:val="000000"/>
                <w:szCs w:val="21"/>
              </w:rPr>
              <w:t>-</w:t>
            </w:r>
          </w:p>
        </w:tc>
      </w:tr>
    </w:tbl>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 xml:space="preserve">a) </w:t>
      </w:r>
      <w:r>
        <w:rPr>
          <w:rFonts w:eastAsiaTheme="minorEastAsia"/>
          <w:kern w:val="0"/>
          <w:szCs w:val="21"/>
        </w:rPr>
        <w:t>本报告期内本基金无减少交易账户</w:t>
      </w:r>
      <w:r>
        <w:rPr>
          <w:rFonts w:eastAsiaTheme="minorEastAsia"/>
          <w:kern w:val="0"/>
          <w:szCs w:val="21"/>
        </w:rPr>
        <w:t>,</w:t>
      </w:r>
      <w:r>
        <w:rPr>
          <w:rFonts w:eastAsiaTheme="minorEastAsia"/>
          <w:kern w:val="0"/>
          <w:szCs w:val="21"/>
        </w:rPr>
        <w:t>新增招商证券股份有限公司一个交易单元；于如下证券经营机构</w:t>
      </w:r>
      <w:r>
        <w:rPr>
          <w:rFonts w:eastAsiaTheme="minorEastAsia"/>
          <w:kern w:val="0"/>
          <w:szCs w:val="21"/>
        </w:rPr>
        <w:t>Barclays Capital Securities Limited</w:t>
      </w:r>
      <w:r>
        <w:rPr>
          <w:rFonts w:eastAsiaTheme="minorEastAsia"/>
          <w:kern w:val="0"/>
          <w:szCs w:val="21"/>
        </w:rPr>
        <w:t>新增一个交易账户。</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b</w:t>
      </w:r>
      <w:r>
        <w:rPr>
          <w:rFonts w:eastAsiaTheme="minorEastAsia"/>
          <w:kern w:val="0"/>
          <w:szCs w:val="21"/>
        </w:rPr>
        <w:t>）本基金管理人负责选择证券经营机构，并在该机构开立交易账户。基金交易账户的开立标准如下：</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）交易执行能力。主要指证券经营机构能否对投资指令进行有效地执行，以及能否取得较高质</w:t>
      </w:r>
      <w:r>
        <w:rPr>
          <w:rFonts w:eastAsiaTheme="minorEastAsia"/>
          <w:kern w:val="0"/>
          <w:szCs w:val="21"/>
        </w:rPr>
        <w:lastRenderedPageBreak/>
        <w:t>量的成交结果；</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）研究报告质量。主要指证券经营机构能否提供高质量的宏观经济研究、行业研究及市场走向、个股分析报告和专题研究报告等；</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3</w:t>
      </w:r>
      <w:r>
        <w:rPr>
          <w:rFonts w:eastAsiaTheme="minorEastAsia"/>
          <w:kern w:val="0"/>
          <w:szCs w:val="21"/>
        </w:rPr>
        <w:t>）提供研究服务的质量。主要包括协助安排上市公司调研、研究资料共享、路演服务、日常沟通交流、接受委托研究的服务质量等方面；</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4</w:t>
      </w:r>
      <w:r>
        <w:rPr>
          <w:rFonts w:eastAsiaTheme="minorEastAsia"/>
          <w:kern w:val="0"/>
          <w:szCs w:val="21"/>
        </w:rPr>
        <w:t>）法规监管资讯服务。主要包括境外投资法律规定、交易监管规则、信息披露、个人利益冲突、税收等资讯的提供与培训；</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5</w:t>
      </w:r>
      <w:r>
        <w:rPr>
          <w:rFonts w:eastAsiaTheme="minorEastAsia"/>
          <w:kern w:val="0"/>
          <w:szCs w:val="21"/>
        </w:rPr>
        <w:t>）价值贡献。主要是指证券经营机构对公司研究团队、投资团队在业务能力提升上所做的培训服务、对公司投资提升所作出的贡献；</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6</w:t>
      </w:r>
      <w:r>
        <w:rPr>
          <w:rFonts w:eastAsiaTheme="minorEastAsia"/>
          <w:kern w:val="0"/>
          <w:szCs w:val="21"/>
        </w:rPr>
        <w:t>）其他因素。主要是证券经营机构的财务状况、经营行为规范、风险管理机制、近年内有无重大违规行为等。</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c</w:t>
      </w:r>
      <w:r>
        <w:rPr>
          <w:rFonts w:eastAsiaTheme="minorEastAsia"/>
          <w:kern w:val="0"/>
          <w:szCs w:val="21"/>
        </w:rPr>
        <w:t>）基金交易账户的选择程序如下：</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）本基金管理人根据上述标准考察后确定选用交易账户的证券经营机构。</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）基金管理人与所选定的证券经营机构办理开立交易账户事宜。</w:t>
      </w:r>
    </w:p>
    <w:p w:rsidR="008A5A5D" w:rsidRPr="00C24ACA" w:rsidRDefault="000D1F25" w:rsidP="00732F5C">
      <w:pPr>
        <w:spacing w:beforeLines="100" w:before="312" w:line="360" w:lineRule="auto"/>
        <w:rPr>
          <w:rFonts w:eastAsiaTheme="minorEastAsia"/>
          <w:b/>
          <w:szCs w:val="21"/>
        </w:rPr>
      </w:pPr>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2</w:t>
      </w:r>
      <w:r w:rsidR="008A5A5D" w:rsidRPr="00C24ACA">
        <w:rPr>
          <w:rFonts w:eastAsiaTheme="minorEastAsia"/>
          <w:b/>
          <w:szCs w:val="21"/>
        </w:rPr>
        <w:t>基金租用证券公司交易单元进行其他证券投资的情况</w:t>
      </w:r>
      <w:bookmarkEnd w:id="359"/>
    </w:p>
    <w:p w:rsidR="008A5A5D" w:rsidRPr="00C24ACA" w:rsidRDefault="008A5A5D" w:rsidP="002116B9">
      <w:pPr>
        <w:wordWrap w:val="0"/>
        <w:ind w:firstLine="420"/>
        <w:jc w:val="right"/>
        <w:rPr>
          <w:rFonts w:eastAsiaTheme="minorEastAsia"/>
          <w:color w:val="000000"/>
          <w:szCs w:val="21"/>
        </w:rPr>
      </w:pPr>
      <w:r w:rsidRPr="00C24ACA">
        <w:rPr>
          <w:rFonts w:eastAsiaTheme="minor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62C75" w:rsidRPr="00C24ACA" w:rsidTr="00762C75">
        <w:tc>
          <w:tcPr>
            <w:tcW w:w="709" w:type="dxa"/>
            <w:vMerge w:val="restart"/>
            <w:vAlign w:val="center"/>
          </w:tcPr>
          <w:p w:rsidR="00762C75" w:rsidRPr="00C24ACA" w:rsidRDefault="00762C75" w:rsidP="004A4847">
            <w:pPr>
              <w:jc w:val="center"/>
              <w:rPr>
                <w:rFonts w:eastAsiaTheme="minorEastAsia"/>
                <w:color w:val="000000"/>
                <w:kern w:val="0"/>
                <w:szCs w:val="21"/>
              </w:rPr>
            </w:pPr>
            <w:r w:rsidRPr="00C24ACA">
              <w:rPr>
                <w:rFonts w:eastAsiaTheme="minorEastAsia"/>
                <w:color w:val="000000"/>
                <w:szCs w:val="21"/>
              </w:rPr>
              <w:t>券商名称</w:t>
            </w:r>
          </w:p>
        </w:tc>
        <w:tc>
          <w:tcPr>
            <w:tcW w:w="1985"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债券交易</w:t>
            </w:r>
          </w:p>
        </w:tc>
        <w:tc>
          <w:tcPr>
            <w:tcW w:w="2023" w:type="dxa"/>
            <w:gridSpan w:val="2"/>
            <w:vAlign w:val="center"/>
          </w:tcPr>
          <w:p w:rsidR="00762C75" w:rsidRPr="00C24ACA" w:rsidRDefault="005A7B0E" w:rsidP="004A4847">
            <w:pPr>
              <w:jc w:val="center"/>
              <w:rPr>
                <w:rFonts w:eastAsiaTheme="minorEastAsia"/>
                <w:color w:val="000000"/>
                <w:szCs w:val="21"/>
              </w:rPr>
            </w:pPr>
            <w:r>
              <w:rPr>
                <w:rFonts w:eastAsiaTheme="minorEastAsia" w:hint="eastAsia"/>
                <w:color w:val="000000"/>
                <w:szCs w:val="21"/>
              </w:rPr>
              <w:t>债券</w:t>
            </w:r>
            <w:r w:rsidR="00762C75" w:rsidRPr="00C24ACA">
              <w:rPr>
                <w:rFonts w:eastAsiaTheme="minorEastAsia"/>
                <w:color w:val="000000"/>
                <w:szCs w:val="21"/>
              </w:rPr>
              <w:t>回购交易</w:t>
            </w:r>
          </w:p>
        </w:tc>
        <w:tc>
          <w:tcPr>
            <w:tcW w:w="2164"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权证交易</w:t>
            </w:r>
          </w:p>
        </w:tc>
        <w:tc>
          <w:tcPr>
            <w:tcW w:w="1962" w:type="dxa"/>
            <w:gridSpan w:val="2"/>
          </w:tcPr>
          <w:p w:rsidR="00762C75" w:rsidRPr="00C24ACA" w:rsidRDefault="00AF0AFC" w:rsidP="004A4847">
            <w:pPr>
              <w:jc w:val="center"/>
              <w:rPr>
                <w:rFonts w:eastAsiaTheme="minorEastAsia"/>
                <w:color w:val="000000"/>
                <w:szCs w:val="21"/>
              </w:rPr>
            </w:pPr>
            <w:r w:rsidRPr="00C24ACA">
              <w:rPr>
                <w:rFonts w:eastAsiaTheme="minorEastAsia"/>
                <w:color w:val="000000"/>
                <w:szCs w:val="21"/>
              </w:rPr>
              <w:t>基金交易</w:t>
            </w:r>
          </w:p>
        </w:tc>
      </w:tr>
      <w:tr w:rsidR="00762C75" w:rsidRPr="00C24ACA" w:rsidTr="00762C75">
        <w:tc>
          <w:tcPr>
            <w:tcW w:w="709" w:type="dxa"/>
            <w:vMerge/>
            <w:vAlign w:val="center"/>
          </w:tcPr>
          <w:p w:rsidR="00762C75" w:rsidRPr="00C24ACA" w:rsidRDefault="00762C75" w:rsidP="004A4847">
            <w:pPr>
              <w:widowControl/>
              <w:jc w:val="left"/>
              <w:rPr>
                <w:rFonts w:eastAsiaTheme="minorEastAsia"/>
                <w:color w:val="000000"/>
                <w:kern w:val="0"/>
                <w:szCs w:val="21"/>
              </w:rPr>
            </w:pPr>
          </w:p>
        </w:tc>
        <w:tc>
          <w:tcPr>
            <w:tcW w:w="709"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76"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占当期债券成交总额的比例</w:t>
            </w:r>
          </w:p>
        </w:tc>
        <w:tc>
          <w:tcPr>
            <w:tcW w:w="763"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6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w:t>
            </w:r>
            <w:r w:rsidR="005A7B0E">
              <w:rPr>
                <w:rFonts w:eastAsiaTheme="minorEastAsia" w:hint="eastAsia"/>
                <w:color w:val="000000"/>
                <w:szCs w:val="21"/>
              </w:rPr>
              <w:t>债券</w:t>
            </w:r>
            <w:r w:rsidRPr="00C24ACA">
              <w:rPr>
                <w:rFonts w:eastAsiaTheme="minorEastAsia"/>
                <w:color w:val="000000"/>
                <w:szCs w:val="21"/>
              </w:rPr>
              <w:t>回购成交总额的比例</w:t>
            </w:r>
          </w:p>
        </w:tc>
        <w:tc>
          <w:tcPr>
            <w:tcW w:w="724"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44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占当期权证成交总额的比例</w:t>
            </w:r>
          </w:p>
        </w:tc>
        <w:tc>
          <w:tcPr>
            <w:tcW w:w="781" w:type="dxa"/>
            <w:vAlign w:val="center"/>
          </w:tcPr>
          <w:p w:rsidR="00762C75" w:rsidRPr="00C24ACA" w:rsidRDefault="00762C75" w:rsidP="00B03EF5">
            <w:pPr>
              <w:jc w:val="center"/>
              <w:rPr>
                <w:rFonts w:eastAsiaTheme="minorEastAsia"/>
                <w:color w:val="000000"/>
                <w:szCs w:val="21"/>
              </w:rPr>
            </w:pPr>
            <w:r w:rsidRPr="00C24ACA">
              <w:rPr>
                <w:rFonts w:eastAsiaTheme="minorEastAsia"/>
                <w:color w:val="000000"/>
                <w:szCs w:val="21"/>
              </w:rPr>
              <w:t>成交金额</w:t>
            </w:r>
          </w:p>
        </w:tc>
        <w:tc>
          <w:tcPr>
            <w:tcW w:w="1181" w:type="dxa"/>
            <w:vAlign w:val="center"/>
          </w:tcPr>
          <w:p w:rsidR="00762C75" w:rsidRPr="00C24ACA" w:rsidRDefault="00762C75" w:rsidP="00511FD1">
            <w:pPr>
              <w:jc w:val="center"/>
              <w:rPr>
                <w:rFonts w:eastAsiaTheme="minorEastAsia"/>
                <w:color w:val="000000"/>
                <w:szCs w:val="21"/>
              </w:rPr>
            </w:pPr>
            <w:r w:rsidRPr="00C24ACA">
              <w:rPr>
                <w:rFonts w:eastAsiaTheme="minorEastAsia"/>
                <w:color w:val="000000"/>
                <w:szCs w:val="21"/>
              </w:rPr>
              <w:t>占当期</w:t>
            </w:r>
            <w:r w:rsidR="00511FD1" w:rsidRPr="00C24ACA">
              <w:rPr>
                <w:rFonts w:eastAsiaTheme="minorEastAsia"/>
                <w:color w:val="000000"/>
                <w:szCs w:val="21"/>
              </w:rPr>
              <w:t>基金</w:t>
            </w:r>
            <w:r w:rsidRPr="00C24ACA">
              <w:rPr>
                <w:rFonts w:eastAsiaTheme="minorEastAsia"/>
                <w:color w:val="000000"/>
                <w:szCs w:val="21"/>
              </w:rPr>
              <w:t>成交总额的比例</w:t>
            </w:r>
          </w:p>
        </w:tc>
      </w:tr>
      <w:tr w:rsidR="007B4EE4">
        <w:tc>
          <w:tcPr>
            <w:tcW w:w="709" w:type="dxa"/>
            <w:vAlign w:val="center"/>
          </w:tcPr>
          <w:p w:rsidR="007B4EE4" w:rsidRDefault="00B833D5">
            <w:pPr>
              <w:jc w:val="left"/>
            </w:pPr>
            <w:r>
              <w:rPr>
                <w:rFonts w:eastAsiaTheme="minorEastAsia"/>
                <w:color w:val="000000"/>
                <w:szCs w:val="21"/>
              </w:rPr>
              <w:t>Barclays Capital Securities Limited</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 xml:space="preserve">China Merchants Securities (HK) </w:t>
            </w:r>
            <w:r>
              <w:rPr>
                <w:rFonts w:eastAsiaTheme="minorEastAsia"/>
                <w:color w:val="000000"/>
                <w:szCs w:val="21"/>
              </w:rPr>
              <w:lastRenderedPageBreak/>
              <w:t>Co Ltd</w:t>
            </w:r>
          </w:p>
        </w:tc>
        <w:tc>
          <w:tcPr>
            <w:tcW w:w="709" w:type="dxa"/>
            <w:vAlign w:val="center"/>
          </w:tcPr>
          <w:p w:rsidR="007B4EE4" w:rsidRDefault="00B833D5">
            <w:pPr>
              <w:jc w:val="right"/>
            </w:pPr>
            <w:r>
              <w:rPr>
                <w:rFonts w:eastAsiaTheme="minorEastAsia"/>
                <w:color w:val="000000"/>
                <w:szCs w:val="21"/>
              </w:rPr>
              <w:lastRenderedPageBreak/>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Haitong International Securities Company Limited</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Goldman Sachs</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Everbright Securities (International) Limited</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GF Securities (Hong Kong) Brokerage Limited</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JP Morgan Securities Limited</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Shen</w:t>
            </w:r>
            <w:r>
              <w:rPr>
                <w:rFonts w:eastAsiaTheme="minorEastAsia"/>
                <w:color w:val="000000"/>
                <w:szCs w:val="21"/>
              </w:rPr>
              <w:lastRenderedPageBreak/>
              <w:t>yin Wanguo Securities HK Ltd</w:t>
            </w:r>
          </w:p>
        </w:tc>
        <w:tc>
          <w:tcPr>
            <w:tcW w:w="709" w:type="dxa"/>
            <w:vAlign w:val="center"/>
          </w:tcPr>
          <w:p w:rsidR="007B4EE4" w:rsidRDefault="00B833D5">
            <w:pPr>
              <w:jc w:val="right"/>
            </w:pPr>
            <w:r>
              <w:rPr>
                <w:rFonts w:eastAsiaTheme="minorEastAsia"/>
                <w:color w:val="000000"/>
                <w:szCs w:val="21"/>
              </w:rPr>
              <w:lastRenderedPageBreak/>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State Street Securities Hong Kong Limited</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CITIC Securities Brokerage (HK) Limited</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新时代证券</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高华证券</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广发证券</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申万宏源</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东方证券</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银河证券</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r w:rsidR="007B4EE4">
        <w:tc>
          <w:tcPr>
            <w:tcW w:w="709" w:type="dxa"/>
            <w:vAlign w:val="center"/>
          </w:tcPr>
          <w:p w:rsidR="007B4EE4" w:rsidRDefault="00B833D5">
            <w:pPr>
              <w:jc w:val="left"/>
            </w:pPr>
            <w:r>
              <w:rPr>
                <w:rFonts w:eastAsiaTheme="minorEastAsia"/>
                <w:color w:val="000000"/>
                <w:szCs w:val="21"/>
              </w:rPr>
              <w:t>招商证券</w:t>
            </w:r>
          </w:p>
        </w:tc>
        <w:tc>
          <w:tcPr>
            <w:tcW w:w="709" w:type="dxa"/>
            <w:vAlign w:val="center"/>
          </w:tcPr>
          <w:p w:rsidR="007B4EE4" w:rsidRDefault="00B833D5">
            <w:pPr>
              <w:jc w:val="right"/>
            </w:pPr>
            <w:r>
              <w:rPr>
                <w:rFonts w:eastAsiaTheme="minorEastAsia"/>
                <w:color w:val="000000"/>
                <w:szCs w:val="21"/>
              </w:rPr>
              <w:t>-</w:t>
            </w:r>
          </w:p>
        </w:tc>
        <w:tc>
          <w:tcPr>
            <w:tcW w:w="1276" w:type="dxa"/>
            <w:vAlign w:val="center"/>
          </w:tcPr>
          <w:p w:rsidR="007B4EE4" w:rsidRDefault="00B833D5">
            <w:pPr>
              <w:jc w:val="right"/>
            </w:pPr>
            <w:r>
              <w:rPr>
                <w:rFonts w:eastAsiaTheme="minorEastAsia"/>
                <w:color w:val="000000"/>
                <w:szCs w:val="21"/>
              </w:rPr>
              <w:t>-</w:t>
            </w:r>
          </w:p>
        </w:tc>
        <w:tc>
          <w:tcPr>
            <w:tcW w:w="763" w:type="dxa"/>
            <w:vAlign w:val="center"/>
          </w:tcPr>
          <w:p w:rsidR="007B4EE4" w:rsidRDefault="00B833D5">
            <w:pPr>
              <w:jc w:val="right"/>
            </w:pPr>
            <w:r>
              <w:rPr>
                <w:rFonts w:eastAsiaTheme="minorEastAsia"/>
                <w:color w:val="000000"/>
                <w:szCs w:val="21"/>
              </w:rPr>
              <w:t>-</w:t>
            </w:r>
          </w:p>
        </w:tc>
        <w:tc>
          <w:tcPr>
            <w:tcW w:w="1260" w:type="dxa"/>
            <w:vAlign w:val="center"/>
          </w:tcPr>
          <w:p w:rsidR="007B4EE4" w:rsidRDefault="00B833D5">
            <w:pPr>
              <w:jc w:val="right"/>
            </w:pPr>
            <w:r>
              <w:rPr>
                <w:rFonts w:eastAsiaTheme="minorEastAsia"/>
                <w:color w:val="000000"/>
                <w:szCs w:val="21"/>
              </w:rPr>
              <w:t>-</w:t>
            </w:r>
          </w:p>
        </w:tc>
        <w:tc>
          <w:tcPr>
            <w:tcW w:w="724" w:type="dxa"/>
            <w:vAlign w:val="center"/>
          </w:tcPr>
          <w:p w:rsidR="007B4EE4" w:rsidRDefault="00B833D5">
            <w:pPr>
              <w:jc w:val="right"/>
            </w:pPr>
            <w:r>
              <w:rPr>
                <w:rFonts w:eastAsiaTheme="minorEastAsia"/>
                <w:color w:val="000000"/>
                <w:szCs w:val="21"/>
              </w:rPr>
              <w:t>-</w:t>
            </w:r>
          </w:p>
        </w:tc>
        <w:tc>
          <w:tcPr>
            <w:tcW w:w="1440" w:type="dxa"/>
            <w:vAlign w:val="center"/>
          </w:tcPr>
          <w:p w:rsidR="007B4EE4" w:rsidRDefault="00B833D5">
            <w:pPr>
              <w:jc w:val="right"/>
            </w:pPr>
            <w:r>
              <w:rPr>
                <w:rFonts w:eastAsiaTheme="minorEastAsia"/>
                <w:color w:val="000000"/>
                <w:szCs w:val="21"/>
              </w:rPr>
              <w:t>-</w:t>
            </w:r>
          </w:p>
        </w:tc>
        <w:tc>
          <w:tcPr>
            <w:tcW w:w="781" w:type="dxa"/>
            <w:vAlign w:val="center"/>
          </w:tcPr>
          <w:p w:rsidR="007B4EE4" w:rsidRDefault="00B833D5">
            <w:pPr>
              <w:jc w:val="right"/>
            </w:pPr>
            <w:r>
              <w:rPr>
                <w:rFonts w:eastAsiaTheme="minorEastAsia"/>
                <w:color w:val="000000"/>
                <w:szCs w:val="21"/>
              </w:rPr>
              <w:t>-</w:t>
            </w:r>
          </w:p>
        </w:tc>
        <w:tc>
          <w:tcPr>
            <w:tcW w:w="1181" w:type="dxa"/>
            <w:vAlign w:val="center"/>
          </w:tcPr>
          <w:p w:rsidR="007B4EE4" w:rsidRDefault="00B833D5">
            <w:pPr>
              <w:jc w:val="right"/>
            </w:pPr>
            <w:r>
              <w:rPr>
                <w:rFonts w:eastAsiaTheme="minorEastAsia"/>
                <w:color w:val="000000"/>
                <w:szCs w:val="21"/>
              </w:rPr>
              <w:t>-</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60" w:name="_Toc352256018"/>
      <w:bookmarkStart w:id="361" w:name="_Toc352256086"/>
      <w:bookmarkStart w:id="362" w:name="_Toc352331264"/>
      <w:bookmarkStart w:id="363" w:name="_Toc390164848"/>
      <w:bookmarkStart w:id="364" w:name="_Toc48663889"/>
      <w:r w:rsidRPr="0087359D">
        <w:rPr>
          <w:rFonts w:ascii="宋体" w:hAnsi="宋体"/>
          <w:kern w:val="0"/>
          <w:sz w:val="21"/>
          <w:szCs w:val="21"/>
        </w:rPr>
        <w:t>10.8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其他重大事件</w:t>
      </w:r>
      <w:bookmarkEnd w:id="360"/>
      <w:bookmarkEnd w:id="361"/>
      <w:bookmarkEnd w:id="362"/>
      <w:bookmarkEnd w:id="363"/>
      <w:bookmarkEnd w:id="36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8A5A5D" w:rsidRPr="00C24ACA" w:rsidTr="004A4847">
        <w:tc>
          <w:tcPr>
            <w:tcW w:w="7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序号</w:t>
            </w:r>
          </w:p>
        </w:tc>
        <w:tc>
          <w:tcPr>
            <w:tcW w:w="43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公告事项</w:t>
            </w:r>
          </w:p>
        </w:tc>
        <w:tc>
          <w:tcPr>
            <w:tcW w:w="25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法定披露方式</w:t>
            </w:r>
          </w:p>
        </w:tc>
        <w:tc>
          <w:tcPr>
            <w:tcW w:w="144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法定披露日期</w:t>
            </w:r>
          </w:p>
        </w:tc>
      </w:tr>
      <w:tr w:rsidR="007B4EE4">
        <w:tc>
          <w:tcPr>
            <w:tcW w:w="720" w:type="dxa"/>
            <w:vAlign w:val="center"/>
          </w:tcPr>
          <w:p w:rsidR="007B4EE4" w:rsidRDefault="00B833D5">
            <w:pPr>
              <w:jc w:val="center"/>
            </w:pPr>
            <w:r>
              <w:rPr>
                <w:rFonts w:eastAsiaTheme="minorEastAsia"/>
                <w:color w:val="000000"/>
                <w:szCs w:val="21"/>
              </w:rPr>
              <w:lastRenderedPageBreak/>
              <w:t>1</w:t>
            </w:r>
          </w:p>
        </w:tc>
        <w:tc>
          <w:tcPr>
            <w:tcW w:w="4320" w:type="dxa"/>
            <w:vAlign w:val="center"/>
          </w:tcPr>
          <w:p w:rsidR="007B4EE4" w:rsidRDefault="00B833D5">
            <w:pPr>
              <w:jc w:val="left"/>
            </w:pPr>
            <w:r>
              <w:rPr>
                <w:rFonts w:eastAsiaTheme="minorEastAsia"/>
                <w:color w:val="000000"/>
                <w:szCs w:val="21"/>
              </w:rPr>
              <w:t>易方达基金管理有限公司旗下部分开放式基金参加中国农业银行费率优惠活动的公告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2020-01-06</w:t>
            </w:r>
          </w:p>
        </w:tc>
      </w:tr>
      <w:tr w:rsidR="007B4EE4">
        <w:tc>
          <w:tcPr>
            <w:tcW w:w="720" w:type="dxa"/>
            <w:vAlign w:val="center"/>
          </w:tcPr>
          <w:p w:rsidR="007B4EE4" w:rsidRDefault="00B833D5">
            <w:pPr>
              <w:jc w:val="center"/>
            </w:pPr>
            <w:r>
              <w:rPr>
                <w:rFonts w:eastAsiaTheme="minorEastAsia"/>
                <w:color w:val="000000"/>
                <w:szCs w:val="21"/>
              </w:rPr>
              <w:t>2</w:t>
            </w:r>
          </w:p>
        </w:tc>
        <w:tc>
          <w:tcPr>
            <w:tcW w:w="4320" w:type="dxa"/>
            <w:vAlign w:val="center"/>
          </w:tcPr>
          <w:p w:rsidR="007B4EE4" w:rsidRDefault="00B833D5">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年第</w:t>
            </w:r>
            <w:r>
              <w:rPr>
                <w:rFonts w:eastAsiaTheme="minorEastAsia"/>
                <w:color w:val="000000"/>
                <w:szCs w:val="21"/>
              </w:rPr>
              <w:t>4</w:t>
            </w:r>
            <w:r>
              <w:rPr>
                <w:rFonts w:eastAsiaTheme="minorEastAsia"/>
                <w:color w:val="000000"/>
                <w:szCs w:val="21"/>
              </w:rPr>
              <w:t>季度报告提示性公告</w:t>
            </w:r>
          </w:p>
        </w:tc>
        <w:tc>
          <w:tcPr>
            <w:tcW w:w="2520" w:type="dxa"/>
            <w:vAlign w:val="center"/>
          </w:tcPr>
          <w:p w:rsidR="007B4EE4" w:rsidRDefault="00B833D5">
            <w:pPr>
              <w:jc w:val="left"/>
            </w:pPr>
            <w:r>
              <w:rPr>
                <w:rFonts w:eastAsiaTheme="minorEastAsia"/>
                <w:color w:val="000000"/>
                <w:szCs w:val="21"/>
              </w:rPr>
              <w:t>证券时报</w:t>
            </w:r>
          </w:p>
        </w:tc>
        <w:tc>
          <w:tcPr>
            <w:tcW w:w="1440" w:type="dxa"/>
            <w:vAlign w:val="center"/>
          </w:tcPr>
          <w:p w:rsidR="007B4EE4" w:rsidRDefault="00B833D5">
            <w:pPr>
              <w:jc w:val="center"/>
            </w:pPr>
            <w:r>
              <w:rPr>
                <w:rFonts w:eastAsiaTheme="minorEastAsia"/>
                <w:color w:val="000000"/>
                <w:szCs w:val="21"/>
              </w:rPr>
              <w:t>2020-01-18</w:t>
            </w:r>
          </w:p>
        </w:tc>
      </w:tr>
      <w:tr w:rsidR="007B4EE4">
        <w:tc>
          <w:tcPr>
            <w:tcW w:w="720" w:type="dxa"/>
            <w:vAlign w:val="center"/>
          </w:tcPr>
          <w:p w:rsidR="007B4EE4" w:rsidRDefault="00B833D5">
            <w:pPr>
              <w:jc w:val="center"/>
            </w:pPr>
            <w:r>
              <w:rPr>
                <w:rFonts w:eastAsiaTheme="minorEastAsia"/>
                <w:color w:val="000000"/>
                <w:szCs w:val="21"/>
              </w:rPr>
              <w:t>3</w:t>
            </w:r>
          </w:p>
        </w:tc>
        <w:tc>
          <w:tcPr>
            <w:tcW w:w="4320" w:type="dxa"/>
            <w:vAlign w:val="center"/>
          </w:tcPr>
          <w:p w:rsidR="007B4EE4" w:rsidRDefault="00B833D5">
            <w:pPr>
              <w:jc w:val="left"/>
            </w:pPr>
            <w:r>
              <w:rPr>
                <w:rFonts w:eastAsiaTheme="minorEastAsia"/>
                <w:color w:val="000000"/>
                <w:szCs w:val="21"/>
              </w:rPr>
              <w:t>易方达基金管理有限公司旗下部分开放式基金参加泉州银行费率优惠活动的公告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2020-01-23</w:t>
            </w:r>
          </w:p>
        </w:tc>
      </w:tr>
      <w:tr w:rsidR="007B4EE4">
        <w:tc>
          <w:tcPr>
            <w:tcW w:w="720" w:type="dxa"/>
            <w:vAlign w:val="center"/>
          </w:tcPr>
          <w:p w:rsidR="007B4EE4" w:rsidRDefault="00B833D5">
            <w:pPr>
              <w:jc w:val="center"/>
            </w:pPr>
            <w:r>
              <w:rPr>
                <w:rFonts w:eastAsiaTheme="minorEastAsia"/>
                <w:color w:val="000000"/>
                <w:szCs w:val="21"/>
              </w:rPr>
              <w:t>4</w:t>
            </w:r>
          </w:p>
        </w:tc>
        <w:tc>
          <w:tcPr>
            <w:tcW w:w="4320" w:type="dxa"/>
            <w:vAlign w:val="center"/>
          </w:tcPr>
          <w:p w:rsidR="007B4EE4" w:rsidRDefault="00B833D5">
            <w:pPr>
              <w:jc w:val="left"/>
            </w:pPr>
            <w:r>
              <w:rPr>
                <w:rFonts w:eastAsiaTheme="minorEastAsia"/>
                <w:color w:val="000000"/>
                <w:szCs w:val="21"/>
              </w:rPr>
              <w:t>易方达基金管理有限公司关于旗下基金</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31</w:t>
            </w:r>
            <w:r>
              <w:rPr>
                <w:rFonts w:eastAsiaTheme="minorEastAsia"/>
                <w:color w:val="000000"/>
                <w:szCs w:val="21"/>
              </w:rPr>
              <w:t>日不开放申购、赎回、转换、定期定额投资等业务的提示性公告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2020-01-30</w:t>
            </w:r>
          </w:p>
        </w:tc>
      </w:tr>
      <w:tr w:rsidR="007B4EE4">
        <w:tc>
          <w:tcPr>
            <w:tcW w:w="720" w:type="dxa"/>
            <w:vAlign w:val="center"/>
          </w:tcPr>
          <w:p w:rsidR="007B4EE4" w:rsidRDefault="00B833D5">
            <w:pPr>
              <w:jc w:val="center"/>
            </w:pPr>
            <w:r>
              <w:rPr>
                <w:rFonts w:eastAsiaTheme="minorEastAsia"/>
                <w:color w:val="000000"/>
                <w:szCs w:val="21"/>
              </w:rPr>
              <w:t>5</w:t>
            </w:r>
          </w:p>
        </w:tc>
        <w:tc>
          <w:tcPr>
            <w:tcW w:w="4320" w:type="dxa"/>
            <w:vAlign w:val="center"/>
          </w:tcPr>
          <w:p w:rsidR="007B4EE4" w:rsidRDefault="00B833D5">
            <w:pPr>
              <w:jc w:val="left"/>
            </w:pPr>
            <w:r>
              <w:rPr>
                <w:rFonts w:eastAsiaTheme="minorEastAsia"/>
                <w:color w:val="000000"/>
                <w:szCs w:val="21"/>
              </w:rPr>
              <w:t>易方达基金管理有限公司及全资子公司投资旗下基金相关事宜的公告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2020-02-04</w:t>
            </w:r>
          </w:p>
        </w:tc>
      </w:tr>
      <w:tr w:rsidR="007B4EE4">
        <w:tc>
          <w:tcPr>
            <w:tcW w:w="720" w:type="dxa"/>
            <w:vAlign w:val="center"/>
          </w:tcPr>
          <w:p w:rsidR="007B4EE4" w:rsidRDefault="00B833D5">
            <w:pPr>
              <w:jc w:val="center"/>
            </w:pPr>
            <w:r>
              <w:rPr>
                <w:rFonts w:eastAsiaTheme="minorEastAsia"/>
                <w:color w:val="000000"/>
                <w:szCs w:val="21"/>
              </w:rPr>
              <w:t>6</w:t>
            </w:r>
          </w:p>
        </w:tc>
        <w:tc>
          <w:tcPr>
            <w:tcW w:w="4320" w:type="dxa"/>
            <w:vAlign w:val="center"/>
          </w:tcPr>
          <w:p w:rsidR="007B4EE4" w:rsidRDefault="00B833D5">
            <w:pPr>
              <w:jc w:val="left"/>
            </w:pPr>
            <w:r>
              <w:rPr>
                <w:rFonts w:eastAsiaTheme="minorEastAsia"/>
                <w:color w:val="000000"/>
                <w:szCs w:val="21"/>
              </w:rPr>
              <w:t>易方达基金管理有限公司旗下部分开放式基金增加好买基金为销售机构的公告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2020-03-02</w:t>
            </w:r>
          </w:p>
        </w:tc>
      </w:tr>
      <w:tr w:rsidR="007B4EE4">
        <w:tc>
          <w:tcPr>
            <w:tcW w:w="720" w:type="dxa"/>
            <w:vAlign w:val="center"/>
          </w:tcPr>
          <w:p w:rsidR="007B4EE4" w:rsidRDefault="00B833D5">
            <w:pPr>
              <w:jc w:val="center"/>
            </w:pPr>
            <w:r>
              <w:rPr>
                <w:rFonts w:eastAsiaTheme="minorEastAsia"/>
                <w:color w:val="000000"/>
                <w:szCs w:val="21"/>
              </w:rPr>
              <w:t>7</w:t>
            </w:r>
          </w:p>
        </w:tc>
        <w:tc>
          <w:tcPr>
            <w:tcW w:w="4320" w:type="dxa"/>
            <w:vAlign w:val="center"/>
          </w:tcPr>
          <w:p w:rsidR="007B4EE4" w:rsidRDefault="00B833D5">
            <w:pPr>
              <w:jc w:val="left"/>
            </w:pPr>
            <w:r>
              <w:rPr>
                <w:rFonts w:eastAsiaTheme="minorEastAsia"/>
                <w:color w:val="000000"/>
                <w:szCs w:val="21"/>
              </w:rPr>
              <w:t>易方达基金管理有限公司旗下部分开放式基金参加中金公司费率优惠活动的公告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2020-03-05</w:t>
            </w:r>
          </w:p>
        </w:tc>
      </w:tr>
      <w:tr w:rsidR="007B4EE4">
        <w:tc>
          <w:tcPr>
            <w:tcW w:w="720" w:type="dxa"/>
            <w:vAlign w:val="center"/>
          </w:tcPr>
          <w:p w:rsidR="007B4EE4" w:rsidRDefault="00B833D5">
            <w:pPr>
              <w:jc w:val="center"/>
            </w:pPr>
            <w:r>
              <w:rPr>
                <w:rFonts w:eastAsiaTheme="minorEastAsia"/>
                <w:color w:val="000000"/>
                <w:szCs w:val="21"/>
              </w:rPr>
              <w:t>8</w:t>
            </w:r>
          </w:p>
        </w:tc>
        <w:tc>
          <w:tcPr>
            <w:tcW w:w="4320" w:type="dxa"/>
            <w:vAlign w:val="center"/>
          </w:tcPr>
          <w:p w:rsidR="007B4EE4" w:rsidRDefault="00B833D5">
            <w:pPr>
              <w:jc w:val="left"/>
            </w:pPr>
            <w:r>
              <w:rPr>
                <w:rFonts w:eastAsiaTheme="minorEastAsia"/>
                <w:color w:val="000000"/>
                <w:szCs w:val="21"/>
              </w:rPr>
              <w:t>易方达基金管理有限公司旗下部分开放式基金参加百度百盈费率优惠活动的公告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2020-03-10</w:t>
            </w:r>
          </w:p>
        </w:tc>
      </w:tr>
      <w:tr w:rsidR="007B4EE4">
        <w:tc>
          <w:tcPr>
            <w:tcW w:w="720" w:type="dxa"/>
            <w:vAlign w:val="center"/>
          </w:tcPr>
          <w:p w:rsidR="007B4EE4" w:rsidRDefault="00B833D5">
            <w:pPr>
              <w:jc w:val="center"/>
            </w:pPr>
            <w:r>
              <w:rPr>
                <w:rFonts w:eastAsiaTheme="minorEastAsia"/>
                <w:color w:val="000000"/>
                <w:szCs w:val="21"/>
              </w:rPr>
              <w:t>9</w:t>
            </w:r>
          </w:p>
        </w:tc>
        <w:tc>
          <w:tcPr>
            <w:tcW w:w="4320" w:type="dxa"/>
            <w:vAlign w:val="center"/>
          </w:tcPr>
          <w:p w:rsidR="007B4EE4" w:rsidRDefault="00B833D5">
            <w:pPr>
              <w:jc w:val="left"/>
            </w:pPr>
            <w:r>
              <w:rPr>
                <w:rFonts w:eastAsiaTheme="minorEastAsia"/>
                <w:color w:val="000000"/>
                <w:szCs w:val="21"/>
              </w:rPr>
              <w:t>易方达香港恒生综合小型股指数证券投资基金（</w:t>
            </w:r>
            <w:r>
              <w:rPr>
                <w:rFonts w:eastAsiaTheme="minorEastAsia"/>
                <w:color w:val="000000"/>
                <w:szCs w:val="21"/>
              </w:rPr>
              <w:t>LOF</w:t>
            </w:r>
            <w:r>
              <w:rPr>
                <w:rFonts w:eastAsiaTheme="minorEastAsia"/>
                <w:color w:val="000000"/>
                <w:szCs w:val="21"/>
              </w:rPr>
              <w:t>）暂停大额申购业务的公告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2020-03-10</w:t>
            </w:r>
          </w:p>
        </w:tc>
      </w:tr>
      <w:tr w:rsidR="007B4EE4">
        <w:tc>
          <w:tcPr>
            <w:tcW w:w="720" w:type="dxa"/>
            <w:vAlign w:val="center"/>
          </w:tcPr>
          <w:p w:rsidR="007B4EE4" w:rsidRDefault="00B833D5">
            <w:pPr>
              <w:jc w:val="center"/>
            </w:pPr>
            <w:r>
              <w:rPr>
                <w:rFonts w:eastAsiaTheme="minorEastAsia"/>
                <w:color w:val="000000"/>
                <w:szCs w:val="21"/>
              </w:rPr>
              <w:t>10</w:t>
            </w:r>
          </w:p>
        </w:tc>
        <w:tc>
          <w:tcPr>
            <w:tcW w:w="4320" w:type="dxa"/>
            <w:vAlign w:val="center"/>
          </w:tcPr>
          <w:p w:rsidR="007B4EE4" w:rsidRDefault="00B833D5">
            <w:pPr>
              <w:jc w:val="left"/>
            </w:pPr>
            <w:r>
              <w:rPr>
                <w:rFonts w:eastAsiaTheme="minorEastAsia"/>
                <w:color w:val="000000"/>
                <w:szCs w:val="21"/>
              </w:rPr>
              <w:t>易方达香港恒生综合小型股指数证券投资基金（</w:t>
            </w:r>
            <w:r>
              <w:rPr>
                <w:rFonts w:eastAsiaTheme="minorEastAsia"/>
                <w:color w:val="000000"/>
                <w:szCs w:val="21"/>
              </w:rPr>
              <w:t>LOF</w:t>
            </w:r>
            <w:r>
              <w:rPr>
                <w:rFonts w:eastAsiaTheme="minorEastAsia"/>
                <w:color w:val="000000"/>
                <w:szCs w:val="21"/>
              </w:rPr>
              <w:t>）暂停申购及定期定额投资业务的公告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2020-03-11</w:t>
            </w:r>
          </w:p>
        </w:tc>
      </w:tr>
      <w:tr w:rsidR="007B4EE4">
        <w:tc>
          <w:tcPr>
            <w:tcW w:w="720" w:type="dxa"/>
            <w:vAlign w:val="center"/>
          </w:tcPr>
          <w:p w:rsidR="007B4EE4" w:rsidRDefault="00B833D5">
            <w:pPr>
              <w:jc w:val="center"/>
            </w:pPr>
            <w:r>
              <w:rPr>
                <w:rFonts w:eastAsiaTheme="minorEastAsia"/>
                <w:color w:val="000000"/>
                <w:szCs w:val="21"/>
              </w:rPr>
              <w:t>11</w:t>
            </w:r>
          </w:p>
        </w:tc>
        <w:tc>
          <w:tcPr>
            <w:tcW w:w="4320" w:type="dxa"/>
            <w:vAlign w:val="center"/>
          </w:tcPr>
          <w:p w:rsidR="007B4EE4" w:rsidRDefault="00B833D5">
            <w:pPr>
              <w:jc w:val="left"/>
            </w:pPr>
            <w:r>
              <w:rPr>
                <w:rFonts w:eastAsiaTheme="minorEastAsia"/>
                <w:color w:val="000000"/>
                <w:szCs w:val="21"/>
              </w:rPr>
              <w:t>易方达香港恒生综合小型股指数证券投资基金（</w:t>
            </w:r>
            <w:r>
              <w:rPr>
                <w:rFonts w:eastAsiaTheme="minorEastAsia"/>
                <w:color w:val="000000"/>
                <w:szCs w:val="21"/>
              </w:rPr>
              <w:t>LOF</w:t>
            </w:r>
            <w:r>
              <w:rPr>
                <w:rFonts w:eastAsiaTheme="minorEastAsia"/>
                <w:color w:val="000000"/>
                <w:szCs w:val="21"/>
              </w:rPr>
              <w:t>）基金经理变更公告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2020-03-18</w:t>
            </w:r>
          </w:p>
        </w:tc>
      </w:tr>
      <w:tr w:rsidR="007B4EE4">
        <w:tc>
          <w:tcPr>
            <w:tcW w:w="720" w:type="dxa"/>
            <w:vAlign w:val="center"/>
          </w:tcPr>
          <w:p w:rsidR="007B4EE4" w:rsidRDefault="00B833D5">
            <w:pPr>
              <w:jc w:val="center"/>
            </w:pPr>
            <w:r>
              <w:rPr>
                <w:rFonts w:eastAsiaTheme="minorEastAsia"/>
                <w:color w:val="000000"/>
                <w:szCs w:val="21"/>
              </w:rPr>
              <w:t>12</w:t>
            </w:r>
          </w:p>
        </w:tc>
        <w:tc>
          <w:tcPr>
            <w:tcW w:w="4320" w:type="dxa"/>
            <w:vAlign w:val="center"/>
          </w:tcPr>
          <w:p w:rsidR="007B4EE4" w:rsidRDefault="00B833D5">
            <w:pPr>
              <w:jc w:val="left"/>
            </w:pPr>
            <w:r>
              <w:rPr>
                <w:rFonts w:eastAsiaTheme="minorEastAsia"/>
                <w:color w:val="000000"/>
                <w:szCs w:val="21"/>
              </w:rPr>
              <w:t>易方达香港恒生综合小型股指数证券投资基金（</w:t>
            </w:r>
            <w:r>
              <w:rPr>
                <w:rFonts w:eastAsiaTheme="minorEastAsia"/>
                <w:color w:val="000000"/>
                <w:szCs w:val="21"/>
              </w:rPr>
              <w:t>LOF</w:t>
            </w:r>
            <w:r>
              <w:rPr>
                <w:rFonts w:eastAsiaTheme="minorEastAsia"/>
                <w:color w:val="000000"/>
                <w:szCs w:val="21"/>
              </w:rPr>
              <w:t>）恢复申购、定期定额投资业务并暂停大额申购业务的公告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2020-03-19</w:t>
            </w:r>
          </w:p>
        </w:tc>
      </w:tr>
      <w:tr w:rsidR="007B4EE4">
        <w:tc>
          <w:tcPr>
            <w:tcW w:w="720" w:type="dxa"/>
            <w:vAlign w:val="center"/>
          </w:tcPr>
          <w:p w:rsidR="007B4EE4" w:rsidRDefault="00B833D5">
            <w:pPr>
              <w:jc w:val="center"/>
            </w:pPr>
            <w:r>
              <w:rPr>
                <w:rFonts w:eastAsiaTheme="minorEastAsia"/>
                <w:color w:val="000000"/>
                <w:szCs w:val="21"/>
              </w:rPr>
              <w:t>13</w:t>
            </w:r>
          </w:p>
        </w:tc>
        <w:tc>
          <w:tcPr>
            <w:tcW w:w="4320" w:type="dxa"/>
            <w:vAlign w:val="center"/>
          </w:tcPr>
          <w:p w:rsidR="007B4EE4" w:rsidRDefault="00B833D5">
            <w:pPr>
              <w:jc w:val="left"/>
            </w:pPr>
            <w:r>
              <w:rPr>
                <w:rFonts w:eastAsiaTheme="minorEastAsia"/>
                <w:color w:val="000000"/>
                <w:szCs w:val="21"/>
              </w:rPr>
              <w:t>易方达基金管理有限公司旗下部分开放式基金增加华瑞保险销售为销售机构、参加华瑞保险销售费率优惠活动的公告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2020-03-23</w:t>
            </w:r>
          </w:p>
        </w:tc>
      </w:tr>
      <w:tr w:rsidR="007B4EE4">
        <w:tc>
          <w:tcPr>
            <w:tcW w:w="720" w:type="dxa"/>
            <w:vAlign w:val="center"/>
          </w:tcPr>
          <w:p w:rsidR="007B4EE4" w:rsidRDefault="00B833D5">
            <w:pPr>
              <w:jc w:val="center"/>
            </w:pPr>
            <w:r>
              <w:rPr>
                <w:rFonts w:eastAsiaTheme="minorEastAsia"/>
                <w:color w:val="000000"/>
                <w:szCs w:val="21"/>
              </w:rPr>
              <w:t>14</w:t>
            </w:r>
          </w:p>
        </w:tc>
        <w:tc>
          <w:tcPr>
            <w:tcW w:w="4320" w:type="dxa"/>
            <w:vAlign w:val="center"/>
          </w:tcPr>
          <w:p w:rsidR="007B4EE4" w:rsidRDefault="00B833D5">
            <w:pPr>
              <w:jc w:val="left"/>
            </w:pPr>
            <w:r>
              <w:rPr>
                <w:rFonts w:eastAsiaTheme="minorEastAsia"/>
                <w:color w:val="000000"/>
                <w:szCs w:val="21"/>
              </w:rPr>
              <w:t>易方达基金管理有限公司旗下部分开放式基金增加弘业期货为销售机构的公告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2020-03-24</w:t>
            </w:r>
          </w:p>
        </w:tc>
      </w:tr>
      <w:tr w:rsidR="007B4EE4">
        <w:tc>
          <w:tcPr>
            <w:tcW w:w="720" w:type="dxa"/>
            <w:vAlign w:val="center"/>
          </w:tcPr>
          <w:p w:rsidR="007B4EE4" w:rsidRDefault="00B833D5">
            <w:pPr>
              <w:jc w:val="center"/>
            </w:pPr>
            <w:r>
              <w:rPr>
                <w:rFonts w:eastAsiaTheme="minorEastAsia"/>
                <w:color w:val="000000"/>
                <w:szCs w:val="21"/>
              </w:rPr>
              <w:t>15</w:t>
            </w:r>
          </w:p>
        </w:tc>
        <w:tc>
          <w:tcPr>
            <w:tcW w:w="4320" w:type="dxa"/>
            <w:vAlign w:val="center"/>
          </w:tcPr>
          <w:p w:rsidR="007B4EE4" w:rsidRDefault="00B833D5">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年年度报告提示性公告</w:t>
            </w:r>
          </w:p>
        </w:tc>
        <w:tc>
          <w:tcPr>
            <w:tcW w:w="2520" w:type="dxa"/>
            <w:vAlign w:val="center"/>
          </w:tcPr>
          <w:p w:rsidR="007B4EE4" w:rsidRDefault="00B833D5">
            <w:pPr>
              <w:jc w:val="left"/>
            </w:pPr>
            <w:r>
              <w:rPr>
                <w:rFonts w:eastAsiaTheme="minorEastAsia"/>
                <w:color w:val="000000"/>
                <w:szCs w:val="21"/>
              </w:rPr>
              <w:t>证券时报</w:t>
            </w:r>
          </w:p>
        </w:tc>
        <w:tc>
          <w:tcPr>
            <w:tcW w:w="1440" w:type="dxa"/>
            <w:vAlign w:val="center"/>
          </w:tcPr>
          <w:p w:rsidR="007B4EE4" w:rsidRDefault="00B833D5">
            <w:pPr>
              <w:jc w:val="center"/>
            </w:pPr>
            <w:r>
              <w:rPr>
                <w:rFonts w:eastAsiaTheme="minorEastAsia"/>
                <w:color w:val="000000"/>
                <w:szCs w:val="21"/>
              </w:rPr>
              <w:t>2020-03-31</w:t>
            </w:r>
          </w:p>
        </w:tc>
      </w:tr>
      <w:tr w:rsidR="007B4EE4">
        <w:tc>
          <w:tcPr>
            <w:tcW w:w="720" w:type="dxa"/>
            <w:vAlign w:val="center"/>
          </w:tcPr>
          <w:p w:rsidR="007B4EE4" w:rsidRDefault="00B833D5">
            <w:pPr>
              <w:jc w:val="center"/>
            </w:pPr>
            <w:r>
              <w:rPr>
                <w:rFonts w:eastAsiaTheme="minorEastAsia"/>
                <w:color w:val="000000"/>
                <w:szCs w:val="21"/>
              </w:rPr>
              <w:t>16</w:t>
            </w:r>
          </w:p>
        </w:tc>
        <w:tc>
          <w:tcPr>
            <w:tcW w:w="4320" w:type="dxa"/>
            <w:vAlign w:val="center"/>
          </w:tcPr>
          <w:p w:rsidR="007B4EE4" w:rsidRDefault="00B833D5">
            <w:pPr>
              <w:jc w:val="left"/>
            </w:pPr>
            <w:r>
              <w:rPr>
                <w:rFonts w:eastAsiaTheme="minorEastAsia"/>
                <w:color w:val="000000"/>
                <w:szCs w:val="21"/>
              </w:rPr>
              <w:t>易方达香港恒生综合小型股指数证券投资基</w:t>
            </w:r>
            <w:r>
              <w:rPr>
                <w:rFonts w:eastAsiaTheme="minorEastAsia"/>
                <w:color w:val="000000"/>
                <w:szCs w:val="21"/>
              </w:rPr>
              <w:lastRenderedPageBreak/>
              <w:t>金（</w:t>
            </w:r>
            <w:r>
              <w:rPr>
                <w:rFonts w:eastAsiaTheme="minorEastAsia"/>
                <w:color w:val="000000"/>
                <w:szCs w:val="21"/>
              </w:rPr>
              <w:t>LOF</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10</w:t>
            </w:r>
            <w:r>
              <w:rPr>
                <w:rFonts w:eastAsiaTheme="minorEastAsia"/>
                <w:color w:val="000000"/>
                <w:szCs w:val="21"/>
              </w:rPr>
              <w:t>日、</w:t>
            </w:r>
            <w:r>
              <w:rPr>
                <w:rFonts w:eastAsiaTheme="minorEastAsia"/>
                <w:color w:val="000000"/>
                <w:szCs w:val="21"/>
              </w:rPr>
              <w:t>4</w:t>
            </w:r>
            <w:r>
              <w:rPr>
                <w:rFonts w:eastAsiaTheme="minorEastAsia"/>
                <w:color w:val="000000"/>
                <w:szCs w:val="21"/>
              </w:rPr>
              <w:t>月</w:t>
            </w:r>
            <w:r>
              <w:rPr>
                <w:rFonts w:eastAsiaTheme="minorEastAsia"/>
                <w:color w:val="000000"/>
                <w:szCs w:val="21"/>
              </w:rPr>
              <w:t>13</w:t>
            </w:r>
            <w:r>
              <w:rPr>
                <w:rFonts w:eastAsiaTheme="minorEastAsia"/>
                <w:color w:val="000000"/>
                <w:szCs w:val="21"/>
              </w:rPr>
              <w:t>日暂停申购、赎回、定期定额投资业务的公告</w:t>
            </w:r>
          </w:p>
        </w:tc>
        <w:tc>
          <w:tcPr>
            <w:tcW w:w="2520" w:type="dxa"/>
            <w:vAlign w:val="center"/>
          </w:tcPr>
          <w:p w:rsidR="007B4EE4" w:rsidRDefault="00B833D5">
            <w:pPr>
              <w:jc w:val="left"/>
            </w:pPr>
            <w:r>
              <w:rPr>
                <w:rFonts w:eastAsiaTheme="minorEastAsia"/>
                <w:color w:val="000000"/>
                <w:szCs w:val="21"/>
              </w:rPr>
              <w:lastRenderedPageBreak/>
              <w:t>证券时报、基金管理人网</w:t>
            </w:r>
            <w:r>
              <w:rPr>
                <w:rFonts w:eastAsiaTheme="minorEastAsia"/>
                <w:color w:val="000000"/>
                <w:szCs w:val="21"/>
              </w:rPr>
              <w:lastRenderedPageBreak/>
              <w:t>站及中国证监会基金电子披露网站</w:t>
            </w:r>
          </w:p>
        </w:tc>
        <w:tc>
          <w:tcPr>
            <w:tcW w:w="1440" w:type="dxa"/>
            <w:vAlign w:val="center"/>
          </w:tcPr>
          <w:p w:rsidR="007B4EE4" w:rsidRDefault="00B833D5">
            <w:pPr>
              <w:jc w:val="center"/>
            </w:pPr>
            <w:r>
              <w:rPr>
                <w:rFonts w:eastAsiaTheme="minorEastAsia"/>
                <w:color w:val="000000"/>
                <w:szCs w:val="21"/>
              </w:rPr>
              <w:lastRenderedPageBreak/>
              <w:t>2020-04-07</w:t>
            </w:r>
          </w:p>
        </w:tc>
      </w:tr>
      <w:tr w:rsidR="007B4EE4">
        <w:tc>
          <w:tcPr>
            <w:tcW w:w="720" w:type="dxa"/>
            <w:vAlign w:val="center"/>
          </w:tcPr>
          <w:p w:rsidR="007B4EE4" w:rsidRDefault="00B833D5">
            <w:pPr>
              <w:jc w:val="center"/>
            </w:pPr>
            <w:r>
              <w:rPr>
                <w:rFonts w:eastAsiaTheme="minorEastAsia"/>
                <w:color w:val="000000"/>
                <w:szCs w:val="21"/>
              </w:rPr>
              <w:t>17</w:t>
            </w:r>
          </w:p>
        </w:tc>
        <w:tc>
          <w:tcPr>
            <w:tcW w:w="4320" w:type="dxa"/>
            <w:vAlign w:val="center"/>
          </w:tcPr>
          <w:p w:rsidR="007B4EE4" w:rsidRDefault="00B833D5">
            <w:pPr>
              <w:jc w:val="left"/>
            </w:pPr>
            <w:r>
              <w:rPr>
                <w:rFonts w:eastAsiaTheme="minorEastAsia"/>
                <w:color w:val="000000"/>
                <w:szCs w:val="21"/>
              </w:rPr>
              <w:t>易方达基金管理有限公司关于提醒投资者及时提供或更新身份信息资料的公告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2020-04-10</w:t>
            </w:r>
          </w:p>
        </w:tc>
      </w:tr>
      <w:tr w:rsidR="007B4EE4">
        <w:tc>
          <w:tcPr>
            <w:tcW w:w="720" w:type="dxa"/>
            <w:vAlign w:val="center"/>
          </w:tcPr>
          <w:p w:rsidR="007B4EE4" w:rsidRDefault="00B833D5">
            <w:pPr>
              <w:jc w:val="center"/>
            </w:pPr>
            <w:r>
              <w:rPr>
                <w:rFonts w:eastAsiaTheme="minorEastAsia"/>
                <w:color w:val="000000"/>
                <w:szCs w:val="21"/>
              </w:rPr>
              <w:t>18</w:t>
            </w:r>
          </w:p>
        </w:tc>
        <w:tc>
          <w:tcPr>
            <w:tcW w:w="4320" w:type="dxa"/>
            <w:vAlign w:val="center"/>
          </w:tcPr>
          <w:p w:rsidR="007B4EE4" w:rsidRDefault="00B833D5">
            <w:pPr>
              <w:jc w:val="left"/>
            </w:pPr>
            <w:r>
              <w:rPr>
                <w:rFonts w:eastAsiaTheme="minorEastAsia"/>
                <w:color w:val="000000"/>
                <w:szCs w:val="21"/>
              </w:rPr>
              <w:t>易方达基金管理有限公司旗下部分开放式基金参加诺亚正行费率优惠活动的公告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2020-04-17</w:t>
            </w:r>
          </w:p>
        </w:tc>
      </w:tr>
      <w:tr w:rsidR="007B4EE4">
        <w:tc>
          <w:tcPr>
            <w:tcW w:w="720" w:type="dxa"/>
            <w:vAlign w:val="center"/>
          </w:tcPr>
          <w:p w:rsidR="007B4EE4" w:rsidRDefault="00B833D5">
            <w:pPr>
              <w:jc w:val="center"/>
            </w:pPr>
            <w:r>
              <w:rPr>
                <w:rFonts w:eastAsiaTheme="minorEastAsia"/>
                <w:color w:val="000000"/>
                <w:szCs w:val="21"/>
              </w:rPr>
              <w:t>19</w:t>
            </w:r>
          </w:p>
        </w:tc>
        <w:tc>
          <w:tcPr>
            <w:tcW w:w="4320" w:type="dxa"/>
            <w:vAlign w:val="center"/>
          </w:tcPr>
          <w:p w:rsidR="007B4EE4" w:rsidRDefault="00B833D5">
            <w:pPr>
              <w:jc w:val="left"/>
            </w:pPr>
            <w:r>
              <w:rPr>
                <w:rFonts w:eastAsiaTheme="minorEastAsia"/>
                <w:color w:val="000000"/>
                <w:szCs w:val="21"/>
              </w:rPr>
              <w:t>易方达基金管理有限公司旗下基金</w:t>
            </w:r>
            <w:r>
              <w:rPr>
                <w:rFonts w:eastAsiaTheme="minorEastAsia"/>
                <w:color w:val="000000"/>
                <w:szCs w:val="21"/>
              </w:rPr>
              <w:t>2020</w:t>
            </w:r>
            <w:r>
              <w:rPr>
                <w:rFonts w:eastAsiaTheme="minorEastAsia"/>
                <w:color w:val="000000"/>
                <w:szCs w:val="21"/>
              </w:rPr>
              <w:t>年第</w:t>
            </w:r>
            <w:r>
              <w:rPr>
                <w:rFonts w:eastAsiaTheme="minorEastAsia"/>
                <w:color w:val="000000"/>
                <w:szCs w:val="21"/>
              </w:rPr>
              <w:t>1</w:t>
            </w:r>
            <w:r>
              <w:rPr>
                <w:rFonts w:eastAsiaTheme="minorEastAsia"/>
                <w:color w:val="000000"/>
                <w:szCs w:val="21"/>
              </w:rPr>
              <w:t>季度报告提示性公告</w:t>
            </w:r>
          </w:p>
        </w:tc>
        <w:tc>
          <w:tcPr>
            <w:tcW w:w="2520" w:type="dxa"/>
            <w:vAlign w:val="center"/>
          </w:tcPr>
          <w:p w:rsidR="007B4EE4" w:rsidRDefault="00B833D5">
            <w:pPr>
              <w:jc w:val="left"/>
            </w:pPr>
            <w:r>
              <w:rPr>
                <w:rFonts w:eastAsiaTheme="minorEastAsia"/>
                <w:color w:val="000000"/>
                <w:szCs w:val="21"/>
              </w:rPr>
              <w:t>证券时报</w:t>
            </w:r>
          </w:p>
        </w:tc>
        <w:tc>
          <w:tcPr>
            <w:tcW w:w="1440" w:type="dxa"/>
            <w:vAlign w:val="center"/>
          </w:tcPr>
          <w:p w:rsidR="007B4EE4" w:rsidRDefault="00B833D5">
            <w:pPr>
              <w:jc w:val="center"/>
            </w:pPr>
            <w:r>
              <w:rPr>
                <w:rFonts w:eastAsiaTheme="minorEastAsia"/>
                <w:color w:val="000000"/>
                <w:szCs w:val="21"/>
              </w:rPr>
              <w:t>2020-04-21</w:t>
            </w:r>
          </w:p>
        </w:tc>
      </w:tr>
      <w:tr w:rsidR="007B4EE4">
        <w:tc>
          <w:tcPr>
            <w:tcW w:w="720" w:type="dxa"/>
            <w:vAlign w:val="center"/>
          </w:tcPr>
          <w:p w:rsidR="007B4EE4" w:rsidRDefault="00B833D5">
            <w:pPr>
              <w:jc w:val="center"/>
            </w:pPr>
            <w:r>
              <w:rPr>
                <w:rFonts w:eastAsiaTheme="minorEastAsia"/>
                <w:color w:val="000000"/>
                <w:szCs w:val="21"/>
              </w:rPr>
              <w:t>20</w:t>
            </w:r>
          </w:p>
        </w:tc>
        <w:tc>
          <w:tcPr>
            <w:tcW w:w="4320" w:type="dxa"/>
            <w:vAlign w:val="center"/>
          </w:tcPr>
          <w:p w:rsidR="007B4EE4" w:rsidRDefault="00B833D5">
            <w:pPr>
              <w:jc w:val="left"/>
            </w:pPr>
            <w:r>
              <w:rPr>
                <w:rFonts w:eastAsiaTheme="minorEastAsia"/>
                <w:color w:val="000000"/>
                <w:szCs w:val="21"/>
              </w:rPr>
              <w:t>易方达基金管理有限公司旗下部分开放式基金参加国联证券费率优惠活动的公告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2020-04-22</w:t>
            </w:r>
          </w:p>
        </w:tc>
      </w:tr>
      <w:tr w:rsidR="007B4EE4">
        <w:tc>
          <w:tcPr>
            <w:tcW w:w="720" w:type="dxa"/>
            <w:vAlign w:val="center"/>
          </w:tcPr>
          <w:p w:rsidR="007B4EE4" w:rsidRDefault="00B833D5">
            <w:pPr>
              <w:jc w:val="center"/>
            </w:pPr>
            <w:r>
              <w:rPr>
                <w:rFonts w:eastAsiaTheme="minorEastAsia"/>
                <w:color w:val="000000"/>
                <w:szCs w:val="21"/>
              </w:rPr>
              <w:t>21</w:t>
            </w:r>
          </w:p>
        </w:tc>
        <w:tc>
          <w:tcPr>
            <w:tcW w:w="4320" w:type="dxa"/>
            <w:vAlign w:val="center"/>
          </w:tcPr>
          <w:p w:rsidR="007B4EE4" w:rsidRDefault="00B833D5">
            <w:pPr>
              <w:jc w:val="left"/>
            </w:pPr>
            <w:r>
              <w:rPr>
                <w:rFonts w:eastAsiaTheme="minorEastAsia"/>
                <w:color w:val="000000"/>
                <w:szCs w:val="21"/>
              </w:rPr>
              <w:t>易方达香港恒生综合小型股指数证券投资基金（</w:t>
            </w:r>
            <w:r>
              <w:rPr>
                <w:rFonts w:eastAsiaTheme="minorEastAsia"/>
                <w:color w:val="000000"/>
                <w:szCs w:val="21"/>
              </w:rPr>
              <w:t>LOF</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30</w:t>
            </w:r>
            <w:r>
              <w:rPr>
                <w:rFonts w:eastAsiaTheme="minorEastAsia"/>
                <w:color w:val="000000"/>
                <w:szCs w:val="21"/>
              </w:rPr>
              <w:t>日暂停申购、赎回、定期定额投资业务的公告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2020-04-27</w:t>
            </w:r>
          </w:p>
        </w:tc>
      </w:tr>
      <w:tr w:rsidR="007B4EE4">
        <w:tc>
          <w:tcPr>
            <w:tcW w:w="720" w:type="dxa"/>
            <w:vAlign w:val="center"/>
          </w:tcPr>
          <w:p w:rsidR="007B4EE4" w:rsidRDefault="00B833D5">
            <w:pPr>
              <w:jc w:val="center"/>
            </w:pPr>
            <w:r>
              <w:rPr>
                <w:rFonts w:eastAsiaTheme="minorEastAsia"/>
                <w:color w:val="000000"/>
                <w:szCs w:val="21"/>
              </w:rPr>
              <w:t>22</w:t>
            </w:r>
          </w:p>
        </w:tc>
        <w:tc>
          <w:tcPr>
            <w:tcW w:w="4320" w:type="dxa"/>
            <w:vAlign w:val="center"/>
          </w:tcPr>
          <w:p w:rsidR="007B4EE4" w:rsidRDefault="00B833D5">
            <w:pPr>
              <w:jc w:val="left"/>
            </w:pPr>
            <w:r>
              <w:rPr>
                <w:rFonts w:eastAsiaTheme="minorEastAsia"/>
                <w:color w:val="000000"/>
                <w:szCs w:val="21"/>
              </w:rPr>
              <w:t>易方达基金管理有限公司旗下部分开放式基金参加中金公司申购费率优惠活动的公告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2020-05-14</w:t>
            </w:r>
          </w:p>
        </w:tc>
      </w:tr>
      <w:tr w:rsidR="007B4EE4">
        <w:tc>
          <w:tcPr>
            <w:tcW w:w="720" w:type="dxa"/>
            <w:vAlign w:val="center"/>
          </w:tcPr>
          <w:p w:rsidR="007B4EE4" w:rsidRDefault="00B833D5">
            <w:pPr>
              <w:jc w:val="center"/>
            </w:pPr>
            <w:r>
              <w:rPr>
                <w:rFonts w:eastAsiaTheme="minorEastAsia"/>
                <w:color w:val="000000"/>
                <w:szCs w:val="21"/>
              </w:rPr>
              <w:t>23</w:t>
            </w:r>
          </w:p>
        </w:tc>
        <w:tc>
          <w:tcPr>
            <w:tcW w:w="4320" w:type="dxa"/>
            <w:vAlign w:val="center"/>
          </w:tcPr>
          <w:p w:rsidR="007B4EE4" w:rsidRDefault="00B833D5">
            <w:pPr>
              <w:jc w:val="left"/>
            </w:pPr>
            <w:r>
              <w:rPr>
                <w:rFonts w:eastAsiaTheme="minorEastAsia"/>
                <w:color w:val="000000"/>
                <w:szCs w:val="21"/>
              </w:rPr>
              <w:t>易方达基金管理有限公司旗下部分开放式基金参加华夏财富费率优惠活动的公告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2020-05-23</w:t>
            </w:r>
          </w:p>
        </w:tc>
      </w:tr>
      <w:tr w:rsidR="007B4EE4">
        <w:tc>
          <w:tcPr>
            <w:tcW w:w="720" w:type="dxa"/>
            <w:vAlign w:val="center"/>
          </w:tcPr>
          <w:p w:rsidR="007B4EE4" w:rsidRDefault="00B833D5">
            <w:pPr>
              <w:jc w:val="center"/>
            </w:pPr>
            <w:r>
              <w:rPr>
                <w:rFonts w:eastAsiaTheme="minorEastAsia"/>
                <w:color w:val="000000"/>
                <w:szCs w:val="21"/>
              </w:rPr>
              <w:t>24</w:t>
            </w:r>
          </w:p>
        </w:tc>
        <w:tc>
          <w:tcPr>
            <w:tcW w:w="4320" w:type="dxa"/>
            <w:vAlign w:val="center"/>
          </w:tcPr>
          <w:p w:rsidR="007B4EE4" w:rsidRDefault="00B833D5">
            <w:pPr>
              <w:jc w:val="left"/>
            </w:pPr>
            <w:r>
              <w:rPr>
                <w:rFonts w:eastAsiaTheme="minorEastAsia"/>
                <w:color w:val="000000"/>
                <w:szCs w:val="21"/>
              </w:rPr>
              <w:t>易方达基金管理有限公司关于暂停上海朝阳永续基金销售有限公司办理旗下基金相关销售业务的公告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2020-06-03</w:t>
            </w:r>
          </w:p>
        </w:tc>
      </w:tr>
      <w:tr w:rsidR="007B4EE4">
        <w:tc>
          <w:tcPr>
            <w:tcW w:w="720" w:type="dxa"/>
            <w:vAlign w:val="center"/>
          </w:tcPr>
          <w:p w:rsidR="007B4EE4" w:rsidRDefault="00B833D5">
            <w:pPr>
              <w:jc w:val="center"/>
            </w:pPr>
            <w:r>
              <w:rPr>
                <w:rFonts w:eastAsiaTheme="minorEastAsia"/>
                <w:color w:val="000000"/>
                <w:szCs w:val="21"/>
              </w:rPr>
              <w:t>25</w:t>
            </w:r>
          </w:p>
        </w:tc>
        <w:tc>
          <w:tcPr>
            <w:tcW w:w="4320" w:type="dxa"/>
            <w:vAlign w:val="center"/>
          </w:tcPr>
          <w:p w:rsidR="007B4EE4" w:rsidRDefault="00B833D5">
            <w:pPr>
              <w:jc w:val="left"/>
            </w:pPr>
            <w:r>
              <w:rPr>
                <w:rFonts w:eastAsiaTheme="minorEastAsia"/>
                <w:color w:val="000000"/>
                <w:szCs w:val="21"/>
              </w:rPr>
              <w:t>易方达基金管理有限公司关于调整旗下部分开放式基金在招商银行最低定期定额投资金额限制的公告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2020-06-04</w:t>
            </w:r>
          </w:p>
        </w:tc>
      </w:tr>
      <w:tr w:rsidR="007B4EE4">
        <w:tc>
          <w:tcPr>
            <w:tcW w:w="720" w:type="dxa"/>
            <w:vAlign w:val="center"/>
          </w:tcPr>
          <w:p w:rsidR="007B4EE4" w:rsidRDefault="00B833D5">
            <w:pPr>
              <w:jc w:val="center"/>
            </w:pPr>
            <w:r>
              <w:rPr>
                <w:rFonts w:eastAsiaTheme="minorEastAsia"/>
                <w:color w:val="000000"/>
                <w:szCs w:val="21"/>
              </w:rPr>
              <w:t>26</w:t>
            </w:r>
          </w:p>
        </w:tc>
        <w:tc>
          <w:tcPr>
            <w:tcW w:w="4320" w:type="dxa"/>
            <w:vAlign w:val="center"/>
          </w:tcPr>
          <w:p w:rsidR="007B4EE4" w:rsidRDefault="00B833D5">
            <w:pPr>
              <w:jc w:val="left"/>
            </w:pPr>
            <w:r>
              <w:rPr>
                <w:rFonts w:eastAsiaTheme="minorEastAsia"/>
                <w:color w:val="000000"/>
                <w:szCs w:val="21"/>
              </w:rPr>
              <w:t>易方达基金管理有限公司高级管理人员变更公告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2020-06-22</w:t>
            </w:r>
          </w:p>
        </w:tc>
      </w:tr>
      <w:tr w:rsidR="007B4EE4">
        <w:tc>
          <w:tcPr>
            <w:tcW w:w="720" w:type="dxa"/>
            <w:vAlign w:val="center"/>
          </w:tcPr>
          <w:p w:rsidR="007B4EE4" w:rsidRDefault="00B833D5">
            <w:pPr>
              <w:jc w:val="center"/>
            </w:pPr>
            <w:r>
              <w:rPr>
                <w:rFonts w:eastAsiaTheme="minorEastAsia"/>
                <w:color w:val="000000"/>
                <w:szCs w:val="21"/>
              </w:rPr>
              <w:t>27</w:t>
            </w:r>
          </w:p>
        </w:tc>
        <w:tc>
          <w:tcPr>
            <w:tcW w:w="4320" w:type="dxa"/>
            <w:vAlign w:val="center"/>
          </w:tcPr>
          <w:p w:rsidR="007B4EE4" w:rsidRDefault="00B833D5">
            <w:pPr>
              <w:jc w:val="left"/>
            </w:pPr>
            <w:r>
              <w:rPr>
                <w:rFonts w:eastAsiaTheme="minorEastAsia"/>
                <w:color w:val="000000"/>
                <w:szCs w:val="21"/>
              </w:rPr>
              <w:t>易方达香港恒生综合小型股指数证券投资基金（</w:t>
            </w:r>
            <w:r>
              <w:rPr>
                <w:rFonts w:eastAsiaTheme="minorEastAsia"/>
                <w:color w:val="000000"/>
                <w:szCs w:val="21"/>
              </w:rPr>
              <w:t>LOF</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1</w:t>
            </w:r>
            <w:r>
              <w:rPr>
                <w:rFonts w:eastAsiaTheme="minorEastAsia"/>
                <w:color w:val="000000"/>
                <w:szCs w:val="21"/>
              </w:rPr>
              <w:t>日暂停申购、赎回、定期定额投资业务的公告</w:t>
            </w:r>
          </w:p>
        </w:tc>
        <w:tc>
          <w:tcPr>
            <w:tcW w:w="2520" w:type="dxa"/>
            <w:vAlign w:val="center"/>
          </w:tcPr>
          <w:p w:rsidR="007B4EE4" w:rsidRDefault="00B833D5">
            <w:pPr>
              <w:jc w:val="left"/>
            </w:pPr>
            <w:r>
              <w:rPr>
                <w:rFonts w:eastAsiaTheme="minorEastAsia"/>
                <w:color w:val="000000"/>
                <w:szCs w:val="21"/>
              </w:rPr>
              <w:t>证券时报、基金管理人网站及中国证监会基金电子披露网站</w:t>
            </w:r>
          </w:p>
        </w:tc>
        <w:tc>
          <w:tcPr>
            <w:tcW w:w="1440" w:type="dxa"/>
            <w:vAlign w:val="center"/>
          </w:tcPr>
          <w:p w:rsidR="007B4EE4" w:rsidRDefault="00B833D5">
            <w:pPr>
              <w:jc w:val="center"/>
            </w:pPr>
            <w:r>
              <w:rPr>
                <w:rFonts w:eastAsiaTheme="minorEastAsia"/>
                <w:color w:val="000000"/>
                <w:szCs w:val="21"/>
              </w:rPr>
              <w:t>2020-06-24</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65" w:name="_Toc225500055"/>
      <w:bookmarkStart w:id="366" w:name="_Toc352256020"/>
      <w:bookmarkStart w:id="367" w:name="_Toc352256088"/>
      <w:bookmarkStart w:id="368" w:name="_Toc352331266"/>
      <w:bookmarkStart w:id="369" w:name="_Toc390164850"/>
      <w:bookmarkStart w:id="370" w:name="_Toc48663890"/>
      <w:r w:rsidRPr="000C6CCD">
        <w:rPr>
          <w:rFonts w:ascii="宋体" w:hAnsi="宋体"/>
          <w:bCs w:val="0"/>
          <w:color w:val="000000"/>
          <w:sz w:val="21"/>
          <w:szCs w:val="21"/>
        </w:rPr>
        <w:t>11</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备查文件目录</w:t>
      </w:r>
      <w:bookmarkEnd w:id="365"/>
      <w:bookmarkEnd w:id="366"/>
      <w:bookmarkEnd w:id="367"/>
      <w:bookmarkEnd w:id="368"/>
      <w:bookmarkEnd w:id="369"/>
      <w:bookmarkEnd w:id="370"/>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1" w:name="_Toc352256021"/>
      <w:bookmarkStart w:id="372" w:name="_Toc352256089"/>
      <w:bookmarkStart w:id="373" w:name="_Toc352331267"/>
      <w:bookmarkStart w:id="374" w:name="_Toc390164851"/>
      <w:bookmarkStart w:id="375" w:name="_Toc48663891"/>
      <w:r w:rsidRPr="0087359D">
        <w:rPr>
          <w:rFonts w:ascii="宋体" w:hAnsi="宋体"/>
          <w:kern w:val="0"/>
          <w:sz w:val="21"/>
          <w:szCs w:val="21"/>
        </w:rPr>
        <w:t>11.1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备查文件目录</w:t>
      </w:r>
      <w:bookmarkEnd w:id="371"/>
      <w:bookmarkEnd w:id="372"/>
      <w:bookmarkEnd w:id="373"/>
      <w:bookmarkEnd w:id="374"/>
      <w:bookmarkEnd w:id="375"/>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中国证监会准予易方达香港恒生综合小型股指数证券投资基金（</w:t>
      </w:r>
      <w:r>
        <w:rPr>
          <w:rFonts w:eastAsiaTheme="minorEastAsia"/>
          <w:kern w:val="0"/>
          <w:szCs w:val="21"/>
        </w:rPr>
        <w:t>LOF</w:t>
      </w:r>
      <w:r>
        <w:rPr>
          <w:rFonts w:eastAsiaTheme="minorEastAsia"/>
          <w:kern w:val="0"/>
          <w:szCs w:val="21"/>
        </w:rPr>
        <w:t>）注册的文件；</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2. </w:t>
      </w:r>
      <w:r>
        <w:rPr>
          <w:rFonts w:eastAsiaTheme="minorEastAsia"/>
          <w:kern w:val="0"/>
          <w:szCs w:val="21"/>
        </w:rPr>
        <w:t>《易方达香港恒生综合小型股指数证券投资基金（</w:t>
      </w:r>
      <w:r>
        <w:rPr>
          <w:rFonts w:eastAsiaTheme="minorEastAsia"/>
          <w:kern w:val="0"/>
          <w:szCs w:val="21"/>
        </w:rPr>
        <w:t>LOF</w:t>
      </w:r>
      <w:r>
        <w:rPr>
          <w:rFonts w:eastAsiaTheme="minorEastAsia"/>
          <w:kern w:val="0"/>
          <w:szCs w:val="21"/>
        </w:rPr>
        <w:t>）基金合同》；</w:t>
      </w:r>
    </w:p>
    <w:p w:rsidR="007B4EE4" w:rsidRDefault="00B833D5">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3. </w:t>
      </w:r>
      <w:r>
        <w:rPr>
          <w:rFonts w:eastAsiaTheme="minorEastAsia"/>
          <w:kern w:val="0"/>
          <w:szCs w:val="21"/>
        </w:rPr>
        <w:t>《易方达香港恒生综合小型股指数证券投资基金（</w:t>
      </w:r>
      <w:r>
        <w:rPr>
          <w:rFonts w:eastAsiaTheme="minorEastAsia"/>
          <w:kern w:val="0"/>
          <w:szCs w:val="21"/>
        </w:rPr>
        <w:t>LOF</w:t>
      </w:r>
      <w:r>
        <w:rPr>
          <w:rFonts w:eastAsiaTheme="minorEastAsia"/>
          <w:kern w:val="0"/>
          <w:szCs w:val="21"/>
        </w:rPr>
        <w:t>）托管协议》；</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 xml:space="preserve">4. </w:t>
      </w:r>
      <w:r w:rsidRPr="00C24ACA">
        <w:rPr>
          <w:rFonts w:eastAsiaTheme="minorEastAsia"/>
          <w:kern w:val="0"/>
          <w:szCs w:val="21"/>
        </w:rPr>
        <w:t>基金管理人业务资格批件和营业执照。</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6" w:name="_Toc352256022"/>
      <w:bookmarkStart w:id="377" w:name="_Toc352256090"/>
      <w:bookmarkStart w:id="378" w:name="_Toc352331268"/>
      <w:bookmarkStart w:id="379" w:name="_Toc390164852"/>
      <w:bookmarkStart w:id="380" w:name="_Toc48663892"/>
      <w:r w:rsidRPr="0087359D">
        <w:rPr>
          <w:rFonts w:ascii="宋体" w:hAnsi="宋体"/>
          <w:kern w:val="0"/>
          <w:sz w:val="21"/>
          <w:szCs w:val="21"/>
        </w:rPr>
        <w:lastRenderedPageBreak/>
        <w:t>11.2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存放地点</w:t>
      </w:r>
      <w:bookmarkEnd w:id="376"/>
      <w:bookmarkEnd w:id="377"/>
      <w:bookmarkEnd w:id="378"/>
      <w:bookmarkEnd w:id="379"/>
      <w:bookmarkEnd w:id="380"/>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广州市天河区珠江新城珠江东路</w:t>
      </w:r>
      <w:r w:rsidRPr="00C24ACA">
        <w:rPr>
          <w:rFonts w:eastAsiaTheme="minorEastAsia"/>
          <w:kern w:val="0"/>
          <w:szCs w:val="21"/>
        </w:rPr>
        <w:t>30</w:t>
      </w:r>
      <w:r w:rsidRPr="00C24ACA">
        <w:rPr>
          <w:rFonts w:eastAsiaTheme="minorEastAsia"/>
          <w:kern w:val="0"/>
          <w:szCs w:val="21"/>
        </w:rPr>
        <w:t>号广州银行大厦</w:t>
      </w:r>
      <w:r w:rsidRPr="00C24ACA">
        <w:rPr>
          <w:rFonts w:eastAsiaTheme="minorEastAsia"/>
          <w:kern w:val="0"/>
          <w:szCs w:val="21"/>
        </w:rPr>
        <w:t>40-43</w:t>
      </w:r>
      <w:r w:rsidRPr="00C24ACA">
        <w:rPr>
          <w:rFonts w:eastAsiaTheme="minorEastAsia"/>
          <w:kern w:val="0"/>
          <w:szCs w:val="21"/>
        </w:rPr>
        <w:t>楼。</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81" w:name="_Toc352256023"/>
      <w:bookmarkStart w:id="382" w:name="_Toc352256091"/>
      <w:bookmarkStart w:id="383" w:name="_Toc352331269"/>
      <w:bookmarkStart w:id="384" w:name="_Toc390164853"/>
      <w:bookmarkStart w:id="385" w:name="_Toc48663893"/>
      <w:r w:rsidRPr="0087359D">
        <w:rPr>
          <w:rFonts w:ascii="宋体" w:hAnsi="宋体"/>
          <w:kern w:val="0"/>
          <w:sz w:val="21"/>
          <w:szCs w:val="21"/>
        </w:rPr>
        <w:t>11.3</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查阅方式</w:t>
      </w:r>
      <w:bookmarkEnd w:id="381"/>
      <w:bookmarkEnd w:id="382"/>
      <w:bookmarkEnd w:id="383"/>
      <w:bookmarkEnd w:id="384"/>
      <w:bookmarkEnd w:id="385"/>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投资者可在营业时间免费查阅，也可按工本费购买复印件。</w:t>
      </w: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2116B9">
      <w:pPr>
        <w:spacing w:line="360" w:lineRule="auto"/>
        <w:ind w:left="840"/>
        <w:jc w:val="right"/>
        <w:rPr>
          <w:rFonts w:eastAsiaTheme="minorEastAsia"/>
          <w:b/>
          <w:bCs/>
          <w:szCs w:val="21"/>
        </w:rPr>
      </w:pPr>
      <w:r w:rsidRPr="00C24ACA">
        <w:rPr>
          <w:rFonts w:eastAsiaTheme="minorEastAsia"/>
          <w:b/>
          <w:bCs/>
          <w:szCs w:val="21"/>
        </w:rPr>
        <w:t>易方达基金管理有限公司</w:t>
      </w:r>
    </w:p>
    <w:p w:rsidR="008A5A5D" w:rsidRPr="00C24ACA" w:rsidRDefault="00025106" w:rsidP="002116B9">
      <w:pPr>
        <w:spacing w:line="360" w:lineRule="auto"/>
        <w:ind w:left="840"/>
        <w:jc w:val="right"/>
        <w:rPr>
          <w:rFonts w:eastAsiaTheme="minorEastAsia"/>
          <w:b/>
          <w:bCs/>
          <w:szCs w:val="21"/>
        </w:rPr>
      </w:pPr>
      <w:r w:rsidRPr="00C24ACA">
        <w:rPr>
          <w:rFonts w:eastAsiaTheme="minorEastAsia"/>
          <w:b/>
          <w:bCs/>
          <w:szCs w:val="21"/>
        </w:rPr>
        <w:t>二〇二〇年八月二十八日</w:t>
      </w:r>
      <w:bookmarkEnd w:id="0"/>
    </w:p>
    <w:sectPr w:rsidR="008A5A5D" w:rsidRPr="00C24ACA" w:rsidSect="00937AC9">
      <w:footerReference w:type="even"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D43" w:rsidRDefault="00166D43">
      <w:r>
        <w:separator/>
      </w:r>
    </w:p>
  </w:endnote>
  <w:endnote w:type="continuationSeparator" w:id="0">
    <w:p w:rsidR="00166D43" w:rsidRDefault="0016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Pr="00FF5BA7" w:rsidRDefault="00D93CEC" w:rsidP="008134C7">
    <w:pPr>
      <w:pStyle w:val="a7"/>
      <w:ind w:right="360"/>
      <w:jc w:val="center"/>
      <w:rPr>
        <w:sz w:val="21"/>
        <w:szCs w:val="21"/>
      </w:rPr>
    </w:pPr>
    <w:r w:rsidRPr="00FF5BA7">
      <w:rPr>
        <w:rFonts w:hint="eastAsia"/>
        <w:kern w:val="0"/>
        <w:sz w:val="21"/>
        <w:szCs w:val="21"/>
      </w:rPr>
      <w:t>第</w:t>
    </w:r>
    <w:r w:rsidRPr="00FF5BA7">
      <w:rPr>
        <w:kern w:val="0"/>
        <w:sz w:val="21"/>
        <w:szCs w:val="21"/>
      </w:rPr>
      <w:fldChar w:fldCharType="begin"/>
    </w:r>
    <w:r w:rsidRPr="00FF5BA7">
      <w:rPr>
        <w:kern w:val="0"/>
        <w:sz w:val="21"/>
        <w:szCs w:val="21"/>
      </w:rPr>
      <w:instrText xml:space="preserve"> PAGE </w:instrText>
    </w:r>
    <w:r w:rsidRPr="00FF5BA7">
      <w:rPr>
        <w:kern w:val="0"/>
        <w:sz w:val="21"/>
        <w:szCs w:val="21"/>
      </w:rPr>
      <w:fldChar w:fldCharType="separate"/>
    </w:r>
    <w:r w:rsidR="003C1A92">
      <w:rPr>
        <w:noProof/>
        <w:kern w:val="0"/>
        <w:sz w:val="21"/>
        <w:szCs w:val="21"/>
      </w:rPr>
      <w:t>72</w:t>
    </w:r>
    <w:r w:rsidRPr="00FF5BA7">
      <w:rPr>
        <w:kern w:val="0"/>
        <w:sz w:val="21"/>
        <w:szCs w:val="21"/>
      </w:rPr>
      <w:fldChar w:fldCharType="end"/>
    </w:r>
    <w:r w:rsidRPr="00FF5BA7">
      <w:rPr>
        <w:rFonts w:hint="eastAsia"/>
        <w:kern w:val="0"/>
        <w:sz w:val="21"/>
        <w:szCs w:val="21"/>
      </w:rPr>
      <w:t>页，共</w:t>
    </w:r>
    <w:r w:rsidRPr="00FF5BA7">
      <w:rPr>
        <w:kern w:val="0"/>
        <w:sz w:val="21"/>
        <w:szCs w:val="21"/>
      </w:rPr>
      <w:fldChar w:fldCharType="begin"/>
    </w:r>
    <w:r w:rsidRPr="00FF5BA7">
      <w:rPr>
        <w:kern w:val="0"/>
        <w:sz w:val="21"/>
        <w:szCs w:val="21"/>
      </w:rPr>
      <w:instrText xml:space="preserve"> NUMPAGES </w:instrText>
    </w:r>
    <w:r w:rsidRPr="00FF5BA7">
      <w:rPr>
        <w:kern w:val="0"/>
        <w:sz w:val="21"/>
        <w:szCs w:val="21"/>
      </w:rPr>
      <w:fldChar w:fldCharType="separate"/>
    </w:r>
    <w:r w:rsidR="003C1A92">
      <w:rPr>
        <w:noProof/>
        <w:kern w:val="0"/>
        <w:sz w:val="21"/>
        <w:szCs w:val="21"/>
      </w:rPr>
      <w:t>72</w:t>
    </w:r>
    <w:r w:rsidRPr="00FF5BA7">
      <w:rPr>
        <w:kern w:val="0"/>
        <w:sz w:val="21"/>
        <w:szCs w:val="21"/>
      </w:rPr>
      <w:fldChar w:fldCharType="end"/>
    </w:r>
    <w:r w:rsidRPr="00FF5BA7">
      <w:rPr>
        <w:rFonts w:hint="eastAsia"/>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Default="00D93CEC"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93CEC" w:rsidRDefault="00D93CEC" w:rsidP="00C03B3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D43" w:rsidRDefault="00166D43">
      <w:r>
        <w:separator/>
      </w:r>
    </w:p>
  </w:footnote>
  <w:footnote w:type="continuationSeparator" w:id="0">
    <w:p w:rsidR="00166D43" w:rsidRDefault="00166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Pr="007018D6" w:rsidRDefault="00D93CEC" w:rsidP="009D66C1">
    <w:pPr>
      <w:pStyle w:val="aa"/>
      <w:pBdr>
        <w:bottom w:val="single" w:sz="6" w:space="0" w:color="auto"/>
      </w:pBdr>
      <w:jc w:val="right"/>
    </w:pPr>
    <w:r w:rsidRPr="007018D6">
      <w:t>易方达香港恒生综合小型股指数证券投资基金（</w:t>
    </w:r>
    <w:r w:rsidRPr="007018D6">
      <w:t>LOF</w:t>
    </w:r>
    <w:r w:rsidRPr="007018D6">
      <w:t>）</w:t>
    </w:r>
    <w:r w:rsidRPr="007018D6">
      <w:t>2020</w:t>
    </w:r>
    <w:r w:rsidRPr="007018D6">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213"/>
    <w:rsid w:val="000019B6"/>
    <w:rsid w:val="00001B33"/>
    <w:rsid w:val="00001B39"/>
    <w:rsid w:val="00002644"/>
    <w:rsid w:val="00002FDA"/>
    <w:rsid w:val="00003577"/>
    <w:rsid w:val="0000403B"/>
    <w:rsid w:val="00004337"/>
    <w:rsid w:val="00005172"/>
    <w:rsid w:val="0000551D"/>
    <w:rsid w:val="00005911"/>
    <w:rsid w:val="00005C09"/>
    <w:rsid w:val="00005D29"/>
    <w:rsid w:val="000061CF"/>
    <w:rsid w:val="000102A7"/>
    <w:rsid w:val="00010918"/>
    <w:rsid w:val="00010A83"/>
    <w:rsid w:val="00010A8E"/>
    <w:rsid w:val="00010AC3"/>
    <w:rsid w:val="00010C1F"/>
    <w:rsid w:val="00010F11"/>
    <w:rsid w:val="00011081"/>
    <w:rsid w:val="00011EB5"/>
    <w:rsid w:val="0001280C"/>
    <w:rsid w:val="00013749"/>
    <w:rsid w:val="00013CAE"/>
    <w:rsid w:val="00015C4F"/>
    <w:rsid w:val="00015E54"/>
    <w:rsid w:val="000162AF"/>
    <w:rsid w:val="00016604"/>
    <w:rsid w:val="00016CEB"/>
    <w:rsid w:val="00016F07"/>
    <w:rsid w:val="00017581"/>
    <w:rsid w:val="0001767C"/>
    <w:rsid w:val="00020583"/>
    <w:rsid w:val="00020644"/>
    <w:rsid w:val="00021813"/>
    <w:rsid w:val="00021DD4"/>
    <w:rsid w:val="000221FE"/>
    <w:rsid w:val="00022F8F"/>
    <w:rsid w:val="00023BE7"/>
    <w:rsid w:val="00024491"/>
    <w:rsid w:val="0002453B"/>
    <w:rsid w:val="000246E6"/>
    <w:rsid w:val="00024C15"/>
    <w:rsid w:val="00024C62"/>
    <w:rsid w:val="00024CA0"/>
    <w:rsid w:val="00025106"/>
    <w:rsid w:val="00025805"/>
    <w:rsid w:val="000262B0"/>
    <w:rsid w:val="000274FE"/>
    <w:rsid w:val="000276C9"/>
    <w:rsid w:val="00027CFC"/>
    <w:rsid w:val="00027F5F"/>
    <w:rsid w:val="0003228A"/>
    <w:rsid w:val="000322D5"/>
    <w:rsid w:val="0003271C"/>
    <w:rsid w:val="000327EA"/>
    <w:rsid w:val="00032ADD"/>
    <w:rsid w:val="00032FE1"/>
    <w:rsid w:val="000331EA"/>
    <w:rsid w:val="00033E6C"/>
    <w:rsid w:val="00033EC1"/>
    <w:rsid w:val="00034BA5"/>
    <w:rsid w:val="000358FE"/>
    <w:rsid w:val="00036C37"/>
    <w:rsid w:val="00036CFB"/>
    <w:rsid w:val="00037267"/>
    <w:rsid w:val="000378BC"/>
    <w:rsid w:val="00037CF2"/>
    <w:rsid w:val="00037FCF"/>
    <w:rsid w:val="000400FF"/>
    <w:rsid w:val="0004087B"/>
    <w:rsid w:val="00040DAC"/>
    <w:rsid w:val="000415E6"/>
    <w:rsid w:val="00041BC8"/>
    <w:rsid w:val="000421B8"/>
    <w:rsid w:val="000429DF"/>
    <w:rsid w:val="00042AAD"/>
    <w:rsid w:val="000430CA"/>
    <w:rsid w:val="0004381B"/>
    <w:rsid w:val="00043ABF"/>
    <w:rsid w:val="00044158"/>
    <w:rsid w:val="000445E4"/>
    <w:rsid w:val="000471B4"/>
    <w:rsid w:val="00050260"/>
    <w:rsid w:val="0005049D"/>
    <w:rsid w:val="000510AB"/>
    <w:rsid w:val="000514E0"/>
    <w:rsid w:val="00052E9B"/>
    <w:rsid w:val="00053091"/>
    <w:rsid w:val="0005346A"/>
    <w:rsid w:val="000534CD"/>
    <w:rsid w:val="00053758"/>
    <w:rsid w:val="00053EED"/>
    <w:rsid w:val="00053F17"/>
    <w:rsid w:val="0005448A"/>
    <w:rsid w:val="00055AF1"/>
    <w:rsid w:val="00056F23"/>
    <w:rsid w:val="000573B5"/>
    <w:rsid w:val="00060423"/>
    <w:rsid w:val="00060597"/>
    <w:rsid w:val="00060A2C"/>
    <w:rsid w:val="00060CB4"/>
    <w:rsid w:val="00061167"/>
    <w:rsid w:val="00062997"/>
    <w:rsid w:val="00062D12"/>
    <w:rsid w:val="00063D34"/>
    <w:rsid w:val="00063FEA"/>
    <w:rsid w:val="000642EA"/>
    <w:rsid w:val="000643C3"/>
    <w:rsid w:val="0006475F"/>
    <w:rsid w:val="00064AE3"/>
    <w:rsid w:val="00064FC8"/>
    <w:rsid w:val="00066524"/>
    <w:rsid w:val="000671A3"/>
    <w:rsid w:val="00067CC5"/>
    <w:rsid w:val="00070CD1"/>
    <w:rsid w:val="00071022"/>
    <w:rsid w:val="000710CD"/>
    <w:rsid w:val="0007171B"/>
    <w:rsid w:val="000717A1"/>
    <w:rsid w:val="000726C0"/>
    <w:rsid w:val="00072DE0"/>
    <w:rsid w:val="00073DB1"/>
    <w:rsid w:val="00073F87"/>
    <w:rsid w:val="00076397"/>
    <w:rsid w:val="000764CB"/>
    <w:rsid w:val="00076CC5"/>
    <w:rsid w:val="000801F4"/>
    <w:rsid w:val="00080423"/>
    <w:rsid w:val="0008141B"/>
    <w:rsid w:val="00081A3D"/>
    <w:rsid w:val="00081D05"/>
    <w:rsid w:val="00082038"/>
    <w:rsid w:val="0008226A"/>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2FA"/>
    <w:rsid w:val="000908ED"/>
    <w:rsid w:val="0009091B"/>
    <w:rsid w:val="00090D5E"/>
    <w:rsid w:val="000917D5"/>
    <w:rsid w:val="000919B7"/>
    <w:rsid w:val="00093E08"/>
    <w:rsid w:val="00094876"/>
    <w:rsid w:val="000951F7"/>
    <w:rsid w:val="00095912"/>
    <w:rsid w:val="00095CE0"/>
    <w:rsid w:val="00096933"/>
    <w:rsid w:val="00096995"/>
    <w:rsid w:val="00096B18"/>
    <w:rsid w:val="00097013"/>
    <w:rsid w:val="00097230"/>
    <w:rsid w:val="000A010B"/>
    <w:rsid w:val="000A1448"/>
    <w:rsid w:val="000A1B79"/>
    <w:rsid w:val="000A1BFB"/>
    <w:rsid w:val="000A2779"/>
    <w:rsid w:val="000A3022"/>
    <w:rsid w:val="000A38DE"/>
    <w:rsid w:val="000A457E"/>
    <w:rsid w:val="000A4672"/>
    <w:rsid w:val="000A4FEF"/>
    <w:rsid w:val="000A53FD"/>
    <w:rsid w:val="000A549A"/>
    <w:rsid w:val="000A578A"/>
    <w:rsid w:val="000A6557"/>
    <w:rsid w:val="000A72F2"/>
    <w:rsid w:val="000B0C56"/>
    <w:rsid w:val="000B1EA7"/>
    <w:rsid w:val="000B2714"/>
    <w:rsid w:val="000B2B57"/>
    <w:rsid w:val="000B2C8D"/>
    <w:rsid w:val="000B36CC"/>
    <w:rsid w:val="000B3E43"/>
    <w:rsid w:val="000B417C"/>
    <w:rsid w:val="000B4365"/>
    <w:rsid w:val="000B5CC0"/>
    <w:rsid w:val="000B6328"/>
    <w:rsid w:val="000B682A"/>
    <w:rsid w:val="000B6D23"/>
    <w:rsid w:val="000C01F9"/>
    <w:rsid w:val="000C05AB"/>
    <w:rsid w:val="000C0871"/>
    <w:rsid w:val="000C0CA5"/>
    <w:rsid w:val="000C0F55"/>
    <w:rsid w:val="000C127D"/>
    <w:rsid w:val="000C15BE"/>
    <w:rsid w:val="000C1723"/>
    <w:rsid w:val="000C1B20"/>
    <w:rsid w:val="000C224F"/>
    <w:rsid w:val="000C2BDC"/>
    <w:rsid w:val="000C3FD9"/>
    <w:rsid w:val="000C4107"/>
    <w:rsid w:val="000C45E7"/>
    <w:rsid w:val="000C45F5"/>
    <w:rsid w:val="000C5E98"/>
    <w:rsid w:val="000C5F67"/>
    <w:rsid w:val="000C698D"/>
    <w:rsid w:val="000C6CCD"/>
    <w:rsid w:val="000C705C"/>
    <w:rsid w:val="000C7AE4"/>
    <w:rsid w:val="000D01F4"/>
    <w:rsid w:val="000D0B89"/>
    <w:rsid w:val="000D1497"/>
    <w:rsid w:val="000D1519"/>
    <w:rsid w:val="000D1F25"/>
    <w:rsid w:val="000D3145"/>
    <w:rsid w:val="000D36D1"/>
    <w:rsid w:val="000D4AAD"/>
    <w:rsid w:val="000D52DC"/>
    <w:rsid w:val="000D6054"/>
    <w:rsid w:val="000D619B"/>
    <w:rsid w:val="000D788B"/>
    <w:rsid w:val="000E1057"/>
    <w:rsid w:val="000E148A"/>
    <w:rsid w:val="000E28C9"/>
    <w:rsid w:val="000E34ED"/>
    <w:rsid w:val="000E4456"/>
    <w:rsid w:val="000E458D"/>
    <w:rsid w:val="000E56C3"/>
    <w:rsid w:val="000E6184"/>
    <w:rsid w:val="000E67FE"/>
    <w:rsid w:val="000E6DA9"/>
    <w:rsid w:val="000E7C24"/>
    <w:rsid w:val="000E7E16"/>
    <w:rsid w:val="000F0C0A"/>
    <w:rsid w:val="000F175F"/>
    <w:rsid w:val="000F17D1"/>
    <w:rsid w:val="000F1913"/>
    <w:rsid w:val="000F1B87"/>
    <w:rsid w:val="000F1EE4"/>
    <w:rsid w:val="000F2C75"/>
    <w:rsid w:val="000F3506"/>
    <w:rsid w:val="000F350C"/>
    <w:rsid w:val="000F3D90"/>
    <w:rsid w:val="000F4232"/>
    <w:rsid w:val="000F4DB9"/>
    <w:rsid w:val="000F593E"/>
    <w:rsid w:val="000F60F3"/>
    <w:rsid w:val="000F60FF"/>
    <w:rsid w:val="000F6198"/>
    <w:rsid w:val="000F635F"/>
    <w:rsid w:val="000F6C61"/>
    <w:rsid w:val="00100C12"/>
    <w:rsid w:val="001013A8"/>
    <w:rsid w:val="00102CC8"/>
    <w:rsid w:val="001030B5"/>
    <w:rsid w:val="0010352B"/>
    <w:rsid w:val="001049B6"/>
    <w:rsid w:val="00104A39"/>
    <w:rsid w:val="00104DE3"/>
    <w:rsid w:val="001051C6"/>
    <w:rsid w:val="00105211"/>
    <w:rsid w:val="0010577B"/>
    <w:rsid w:val="00105C9C"/>
    <w:rsid w:val="001069ED"/>
    <w:rsid w:val="00106A87"/>
    <w:rsid w:val="00106C1F"/>
    <w:rsid w:val="00107C33"/>
    <w:rsid w:val="001116BA"/>
    <w:rsid w:val="0011177A"/>
    <w:rsid w:val="0011179E"/>
    <w:rsid w:val="00111C71"/>
    <w:rsid w:val="00113B73"/>
    <w:rsid w:val="001141C0"/>
    <w:rsid w:val="001150A3"/>
    <w:rsid w:val="00115AD8"/>
    <w:rsid w:val="00116B10"/>
    <w:rsid w:val="00116E31"/>
    <w:rsid w:val="00120169"/>
    <w:rsid w:val="00120E31"/>
    <w:rsid w:val="00120EED"/>
    <w:rsid w:val="001212B4"/>
    <w:rsid w:val="00121A03"/>
    <w:rsid w:val="0012304E"/>
    <w:rsid w:val="0012380F"/>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0C28"/>
    <w:rsid w:val="00131EC2"/>
    <w:rsid w:val="0013226C"/>
    <w:rsid w:val="00132E82"/>
    <w:rsid w:val="0013374F"/>
    <w:rsid w:val="00135467"/>
    <w:rsid w:val="00136211"/>
    <w:rsid w:val="001364D3"/>
    <w:rsid w:val="001366C4"/>
    <w:rsid w:val="0013686A"/>
    <w:rsid w:val="00136BE0"/>
    <w:rsid w:val="0013718B"/>
    <w:rsid w:val="00137BB5"/>
    <w:rsid w:val="00137BB9"/>
    <w:rsid w:val="00137D50"/>
    <w:rsid w:val="00140038"/>
    <w:rsid w:val="001412CA"/>
    <w:rsid w:val="00142280"/>
    <w:rsid w:val="0014241E"/>
    <w:rsid w:val="001424C6"/>
    <w:rsid w:val="00142A56"/>
    <w:rsid w:val="001432A7"/>
    <w:rsid w:val="00143BE5"/>
    <w:rsid w:val="00144280"/>
    <w:rsid w:val="00144AAD"/>
    <w:rsid w:val="00144DF5"/>
    <w:rsid w:val="001455C7"/>
    <w:rsid w:val="00145A97"/>
    <w:rsid w:val="00145B50"/>
    <w:rsid w:val="00145CAE"/>
    <w:rsid w:val="00146485"/>
    <w:rsid w:val="0014666D"/>
    <w:rsid w:val="00146835"/>
    <w:rsid w:val="00146A28"/>
    <w:rsid w:val="00146FBA"/>
    <w:rsid w:val="00147492"/>
    <w:rsid w:val="0015080E"/>
    <w:rsid w:val="00150AD6"/>
    <w:rsid w:val="0015173F"/>
    <w:rsid w:val="00151B23"/>
    <w:rsid w:val="001529AD"/>
    <w:rsid w:val="00152B88"/>
    <w:rsid w:val="0015328C"/>
    <w:rsid w:val="001535AE"/>
    <w:rsid w:val="00153B40"/>
    <w:rsid w:val="00153B9D"/>
    <w:rsid w:val="00153BCF"/>
    <w:rsid w:val="00154ADA"/>
    <w:rsid w:val="00154B08"/>
    <w:rsid w:val="00154C44"/>
    <w:rsid w:val="0015531A"/>
    <w:rsid w:val="00155875"/>
    <w:rsid w:val="001558FD"/>
    <w:rsid w:val="00155A35"/>
    <w:rsid w:val="00157418"/>
    <w:rsid w:val="00157B5A"/>
    <w:rsid w:val="0016050B"/>
    <w:rsid w:val="00161476"/>
    <w:rsid w:val="0016380C"/>
    <w:rsid w:val="00163816"/>
    <w:rsid w:val="00163B27"/>
    <w:rsid w:val="0016425E"/>
    <w:rsid w:val="00164BF7"/>
    <w:rsid w:val="00165317"/>
    <w:rsid w:val="001657AB"/>
    <w:rsid w:val="00166D43"/>
    <w:rsid w:val="0016725E"/>
    <w:rsid w:val="0017073D"/>
    <w:rsid w:val="001707EF"/>
    <w:rsid w:val="00170D38"/>
    <w:rsid w:val="00171484"/>
    <w:rsid w:val="0017173B"/>
    <w:rsid w:val="00171BAD"/>
    <w:rsid w:val="00171F2C"/>
    <w:rsid w:val="001731C7"/>
    <w:rsid w:val="00173AF1"/>
    <w:rsid w:val="001744B4"/>
    <w:rsid w:val="001751EF"/>
    <w:rsid w:val="001756A1"/>
    <w:rsid w:val="001761EE"/>
    <w:rsid w:val="00176D47"/>
    <w:rsid w:val="00176EAA"/>
    <w:rsid w:val="00177030"/>
    <w:rsid w:val="0017725A"/>
    <w:rsid w:val="0017747A"/>
    <w:rsid w:val="00177C4B"/>
    <w:rsid w:val="00177F6A"/>
    <w:rsid w:val="00182708"/>
    <w:rsid w:val="00182A38"/>
    <w:rsid w:val="00182BB8"/>
    <w:rsid w:val="0018325A"/>
    <w:rsid w:val="00183BA8"/>
    <w:rsid w:val="00183D7A"/>
    <w:rsid w:val="00183F2D"/>
    <w:rsid w:val="00184CAE"/>
    <w:rsid w:val="00186199"/>
    <w:rsid w:val="00186F7A"/>
    <w:rsid w:val="00187CB2"/>
    <w:rsid w:val="00190AE2"/>
    <w:rsid w:val="00190E27"/>
    <w:rsid w:val="001928F7"/>
    <w:rsid w:val="00192AD3"/>
    <w:rsid w:val="00193182"/>
    <w:rsid w:val="00193575"/>
    <w:rsid w:val="0019389D"/>
    <w:rsid w:val="00193B62"/>
    <w:rsid w:val="00194537"/>
    <w:rsid w:val="00194F79"/>
    <w:rsid w:val="0019563C"/>
    <w:rsid w:val="001956CA"/>
    <w:rsid w:val="00195B79"/>
    <w:rsid w:val="00196BCF"/>
    <w:rsid w:val="00197CE2"/>
    <w:rsid w:val="001A02F4"/>
    <w:rsid w:val="001A088E"/>
    <w:rsid w:val="001A0AD5"/>
    <w:rsid w:val="001A0F4A"/>
    <w:rsid w:val="001A19C2"/>
    <w:rsid w:val="001A1B13"/>
    <w:rsid w:val="001A1D38"/>
    <w:rsid w:val="001A21A9"/>
    <w:rsid w:val="001A2A97"/>
    <w:rsid w:val="001A364F"/>
    <w:rsid w:val="001A39B7"/>
    <w:rsid w:val="001A3EE4"/>
    <w:rsid w:val="001A42FA"/>
    <w:rsid w:val="001A4AEC"/>
    <w:rsid w:val="001A5051"/>
    <w:rsid w:val="001A58FE"/>
    <w:rsid w:val="001A59D8"/>
    <w:rsid w:val="001A5FA6"/>
    <w:rsid w:val="001A644F"/>
    <w:rsid w:val="001A668F"/>
    <w:rsid w:val="001A71CC"/>
    <w:rsid w:val="001A7F30"/>
    <w:rsid w:val="001B017D"/>
    <w:rsid w:val="001B0C1E"/>
    <w:rsid w:val="001B2F0C"/>
    <w:rsid w:val="001B30CA"/>
    <w:rsid w:val="001B3513"/>
    <w:rsid w:val="001B353A"/>
    <w:rsid w:val="001B3D3E"/>
    <w:rsid w:val="001B3F69"/>
    <w:rsid w:val="001B4CEC"/>
    <w:rsid w:val="001B50CD"/>
    <w:rsid w:val="001B52FE"/>
    <w:rsid w:val="001B7890"/>
    <w:rsid w:val="001C005A"/>
    <w:rsid w:val="001C00CF"/>
    <w:rsid w:val="001C0806"/>
    <w:rsid w:val="001C1110"/>
    <w:rsid w:val="001C156D"/>
    <w:rsid w:val="001C1C77"/>
    <w:rsid w:val="001C2F9C"/>
    <w:rsid w:val="001C3399"/>
    <w:rsid w:val="001C37F6"/>
    <w:rsid w:val="001C4928"/>
    <w:rsid w:val="001C4D9F"/>
    <w:rsid w:val="001C4EB6"/>
    <w:rsid w:val="001C5289"/>
    <w:rsid w:val="001C6288"/>
    <w:rsid w:val="001C67A1"/>
    <w:rsid w:val="001C7C6D"/>
    <w:rsid w:val="001C7E6F"/>
    <w:rsid w:val="001D0538"/>
    <w:rsid w:val="001D0634"/>
    <w:rsid w:val="001D0D6A"/>
    <w:rsid w:val="001D0F6A"/>
    <w:rsid w:val="001D21BC"/>
    <w:rsid w:val="001D2230"/>
    <w:rsid w:val="001D2D34"/>
    <w:rsid w:val="001D2E47"/>
    <w:rsid w:val="001D2FA5"/>
    <w:rsid w:val="001D35E0"/>
    <w:rsid w:val="001D5016"/>
    <w:rsid w:val="001D5045"/>
    <w:rsid w:val="001D5281"/>
    <w:rsid w:val="001D5494"/>
    <w:rsid w:val="001D5A44"/>
    <w:rsid w:val="001D6213"/>
    <w:rsid w:val="001D6BEF"/>
    <w:rsid w:val="001D724B"/>
    <w:rsid w:val="001D730C"/>
    <w:rsid w:val="001E03BE"/>
    <w:rsid w:val="001E07AE"/>
    <w:rsid w:val="001E09F9"/>
    <w:rsid w:val="001E0AAA"/>
    <w:rsid w:val="001E0F28"/>
    <w:rsid w:val="001E0F82"/>
    <w:rsid w:val="001E11D3"/>
    <w:rsid w:val="001E15F1"/>
    <w:rsid w:val="001E1C4F"/>
    <w:rsid w:val="001E1C7C"/>
    <w:rsid w:val="001E2332"/>
    <w:rsid w:val="001E287E"/>
    <w:rsid w:val="001E2A6A"/>
    <w:rsid w:val="001E3BB1"/>
    <w:rsid w:val="001E3DC2"/>
    <w:rsid w:val="001E49F3"/>
    <w:rsid w:val="001E56FF"/>
    <w:rsid w:val="001E5C6B"/>
    <w:rsid w:val="001E6862"/>
    <w:rsid w:val="001E6EBF"/>
    <w:rsid w:val="001F0307"/>
    <w:rsid w:val="001F03E1"/>
    <w:rsid w:val="001F0DE9"/>
    <w:rsid w:val="001F147B"/>
    <w:rsid w:val="001F221F"/>
    <w:rsid w:val="001F2246"/>
    <w:rsid w:val="001F3CC6"/>
    <w:rsid w:val="001F3F50"/>
    <w:rsid w:val="001F4530"/>
    <w:rsid w:val="001F489E"/>
    <w:rsid w:val="001F5CE2"/>
    <w:rsid w:val="001F5DBA"/>
    <w:rsid w:val="001F5DE3"/>
    <w:rsid w:val="001F5F74"/>
    <w:rsid w:val="002000DE"/>
    <w:rsid w:val="002010DE"/>
    <w:rsid w:val="00201962"/>
    <w:rsid w:val="00201B58"/>
    <w:rsid w:val="00201DDA"/>
    <w:rsid w:val="00202968"/>
    <w:rsid w:val="00202C32"/>
    <w:rsid w:val="00203940"/>
    <w:rsid w:val="00203973"/>
    <w:rsid w:val="00203AEF"/>
    <w:rsid w:val="00206D74"/>
    <w:rsid w:val="002075E2"/>
    <w:rsid w:val="00207E26"/>
    <w:rsid w:val="002116B9"/>
    <w:rsid w:val="00211A26"/>
    <w:rsid w:val="00212249"/>
    <w:rsid w:val="002125F7"/>
    <w:rsid w:val="00212901"/>
    <w:rsid w:val="00213709"/>
    <w:rsid w:val="0021397C"/>
    <w:rsid w:val="00214463"/>
    <w:rsid w:val="00214756"/>
    <w:rsid w:val="00215CF2"/>
    <w:rsid w:val="00215D9F"/>
    <w:rsid w:val="00216310"/>
    <w:rsid w:val="00216BCE"/>
    <w:rsid w:val="00216D8F"/>
    <w:rsid w:val="00217867"/>
    <w:rsid w:val="00220542"/>
    <w:rsid w:val="00220D7F"/>
    <w:rsid w:val="002210EB"/>
    <w:rsid w:val="00221174"/>
    <w:rsid w:val="00222DE3"/>
    <w:rsid w:val="002233F0"/>
    <w:rsid w:val="0022498A"/>
    <w:rsid w:val="00225756"/>
    <w:rsid w:val="00225ADC"/>
    <w:rsid w:val="00225CEB"/>
    <w:rsid w:val="0022692D"/>
    <w:rsid w:val="00227ABF"/>
    <w:rsid w:val="002318F3"/>
    <w:rsid w:val="00232443"/>
    <w:rsid w:val="00232763"/>
    <w:rsid w:val="00232F17"/>
    <w:rsid w:val="0023323F"/>
    <w:rsid w:val="00233A86"/>
    <w:rsid w:val="00234202"/>
    <w:rsid w:val="00235842"/>
    <w:rsid w:val="002359EB"/>
    <w:rsid w:val="002363AB"/>
    <w:rsid w:val="00236412"/>
    <w:rsid w:val="00236933"/>
    <w:rsid w:val="0023727B"/>
    <w:rsid w:val="00237579"/>
    <w:rsid w:val="00237675"/>
    <w:rsid w:val="00237C6D"/>
    <w:rsid w:val="0024096B"/>
    <w:rsid w:val="00241582"/>
    <w:rsid w:val="00241B45"/>
    <w:rsid w:val="00241D0E"/>
    <w:rsid w:val="002424D7"/>
    <w:rsid w:val="0024260D"/>
    <w:rsid w:val="00242657"/>
    <w:rsid w:val="002428F6"/>
    <w:rsid w:val="00242FA2"/>
    <w:rsid w:val="00243C23"/>
    <w:rsid w:val="0024402C"/>
    <w:rsid w:val="00244D4F"/>
    <w:rsid w:val="00245012"/>
    <w:rsid w:val="0024504E"/>
    <w:rsid w:val="00245761"/>
    <w:rsid w:val="00245F01"/>
    <w:rsid w:val="0024651F"/>
    <w:rsid w:val="00247729"/>
    <w:rsid w:val="0025158D"/>
    <w:rsid w:val="00251C7E"/>
    <w:rsid w:val="00251D61"/>
    <w:rsid w:val="00252697"/>
    <w:rsid w:val="0025281A"/>
    <w:rsid w:val="00253D3C"/>
    <w:rsid w:val="00254022"/>
    <w:rsid w:val="002544D7"/>
    <w:rsid w:val="00254C82"/>
    <w:rsid w:val="00255292"/>
    <w:rsid w:val="002561CC"/>
    <w:rsid w:val="002571F0"/>
    <w:rsid w:val="00257578"/>
    <w:rsid w:val="00257CCE"/>
    <w:rsid w:val="00260200"/>
    <w:rsid w:val="00260B06"/>
    <w:rsid w:val="00260BFB"/>
    <w:rsid w:val="00260DA3"/>
    <w:rsid w:val="00261D93"/>
    <w:rsid w:val="00261E92"/>
    <w:rsid w:val="00262029"/>
    <w:rsid w:val="00262553"/>
    <w:rsid w:val="002631B5"/>
    <w:rsid w:val="00263BBD"/>
    <w:rsid w:val="002648D8"/>
    <w:rsid w:val="00265AFB"/>
    <w:rsid w:val="00267EE3"/>
    <w:rsid w:val="00267F59"/>
    <w:rsid w:val="002700E9"/>
    <w:rsid w:val="00270CE9"/>
    <w:rsid w:val="002716BD"/>
    <w:rsid w:val="0027235A"/>
    <w:rsid w:val="00273CDB"/>
    <w:rsid w:val="00273F86"/>
    <w:rsid w:val="002741BE"/>
    <w:rsid w:val="002752EA"/>
    <w:rsid w:val="00275882"/>
    <w:rsid w:val="00275D56"/>
    <w:rsid w:val="00275EAD"/>
    <w:rsid w:val="00276B03"/>
    <w:rsid w:val="00276C3A"/>
    <w:rsid w:val="002773FB"/>
    <w:rsid w:val="002774F0"/>
    <w:rsid w:val="00277722"/>
    <w:rsid w:val="00280A4F"/>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5FE"/>
    <w:rsid w:val="002916E3"/>
    <w:rsid w:val="002916F1"/>
    <w:rsid w:val="00291A70"/>
    <w:rsid w:val="00291A85"/>
    <w:rsid w:val="00291F6F"/>
    <w:rsid w:val="0029379A"/>
    <w:rsid w:val="00293C97"/>
    <w:rsid w:val="002942CB"/>
    <w:rsid w:val="00294C7F"/>
    <w:rsid w:val="00294D8F"/>
    <w:rsid w:val="00295D5A"/>
    <w:rsid w:val="002964F9"/>
    <w:rsid w:val="0029690F"/>
    <w:rsid w:val="002969CC"/>
    <w:rsid w:val="00297D85"/>
    <w:rsid w:val="002A07F4"/>
    <w:rsid w:val="002A090A"/>
    <w:rsid w:val="002A0B47"/>
    <w:rsid w:val="002A1381"/>
    <w:rsid w:val="002A1C58"/>
    <w:rsid w:val="002A1F14"/>
    <w:rsid w:val="002A2678"/>
    <w:rsid w:val="002A2E01"/>
    <w:rsid w:val="002A32E5"/>
    <w:rsid w:val="002A34B9"/>
    <w:rsid w:val="002A398F"/>
    <w:rsid w:val="002A3DFD"/>
    <w:rsid w:val="002A46A7"/>
    <w:rsid w:val="002A4F2C"/>
    <w:rsid w:val="002A525F"/>
    <w:rsid w:val="002A5C6B"/>
    <w:rsid w:val="002A5D31"/>
    <w:rsid w:val="002A5E63"/>
    <w:rsid w:val="002A714F"/>
    <w:rsid w:val="002A75D7"/>
    <w:rsid w:val="002B09C0"/>
    <w:rsid w:val="002B1851"/>
    <w:rsid w:val="002B1EC9"/>
    <w:rsid w:val="002B27FF"/>
    <w:rsid w:val="002B2B42"/>
    <w:rsid w:val="002B2F4E"/>
    <w:rsid w:val="002B5C8E"/>
    <w:rsid w:val="002B6688"/>
    <w:rsid w:val="002B6793"/>
    <w:rsid w:val="002B7562"/>
    <w:rsid w:val="002B780B"/>
    <w:rsid w:val="002B7D25"/>
    <w:rsid w:val="002C03E0"/>
    <w:rsid w:val="002C1260"/>
    <w:rsid w:val="002C1726"/>
    <w:rsid w:val="002C21A6"/>
    <w:rsid w:val="002C26D5"/>
    <w:rsid w:val="002C5777"/>
    <w:rsid w:val="002C5889"/>
    <w:rsid w:val="002C5909"/>
    <w:rsid w:val="002C5B7A"/>
    <w:rsid w:val="002C65FA"/>
    <w:rsid w:val="002C661D"/>
    <w:rsid w:val="002C7C89"/>
    <w:rsid w:val="002D05AC"/>
    <w:rsid w:val="002D1A0F"/>
    <w:rsid w:val="002D1A88"/>
    <w:rsid w:val="002D22BF"/>
    <w:rsid w:val="002D237C"/>
    <w:rsid w:val="002D32E3"/>
    <w:rsid w:val="002D33F1"/>
    <w:rsid w:val="002D353D"/>
    <w:rsid w:val="002D4733"/>
    <w:rsid w:val="002D528B"/>
    <w:rsid w:val="002D52AD"/>
    <w:rsid w:val="002D58D8"/>
    <w:rsid w:val="002D5EB1"/>
    <w:rsid w:val="002D7777"/>
    <w:rsid w:val="002D77FF"/>
    <w:rsid w:val="002D7BFF"/>
    <w:rsid w:val="002E0394"/>
    <w:rsid w:val="002E0644"/>
    <w:rsid w:val="002E0FEB"/>
    <w:rsid w:val="002E171B"/>
    <w:rsid w:val="002E1BCA"/>
    <w:rsid w:val="002E204F"/>
    <w:rsid w:val="002E2625"/>
    <w:rsid w:val="002E319D"/>
    <w:rsid w:val="002E372D"/>
    <w:rsid w:val="002E3CD4"/>
    <w:rsid w:val="002E4AD5"/>
    <w:rsid w:val="002E4C2D"/>
    <w:rsid w:val="002E72C5"/>
    <w:rsid w:val="002F0F79"/>
    <w:rsid w:val="002F100F"/>
    <w:rsid w:val="002F19F9"/>
    <w:rsid w:val="002F1C9E"/>
    <w:rsid w:val="002F1EB2"/>
    <w:rsid w:val="002F2450"/>
    <w:rsid w:val="002F280E"/>
    <w:rsid w:val="002F2CBB"/>
    <w:rsid w:val="002F324A"/>
    <w:rsid w:val="002F3470"/>
    <w:rsid w:val="002F3709"/>
    <w:rsid w:val="002F3A6C"/>
    <w:rsid w:val="002F4296"/>
    <w:rsid w:val="002F5777"/>
    <w:rsid w:val="002F60EA"/>
    <w:rsid w:val="002F62F1"/>
    <w:rsid w:val="002F680E"/>
    <w:rsid w:val="002F7330"/>
    <w:rsid w:val="00300816"/>
    <w:rsid w:val="00300951"/>
    <w:rsid w:val="00300E8A"/>
    <w:rsid w:val="00301185"/>
    <w:rsid w:val="0030216B"/>
    <w:rsid w:val="003023C9"/>
    <w:rsid w:val="003029E6"/>
    <w:rsid w:val="00302CA8"/>
    <w:rsid w:val="00302DE9"/>
    <w:rsid w:val="00303EA9"/>
    <w:rsid w:val="00304860"/>
    <w:rsid w:val="00304E23"/>
    <w:rsid w:val="00305084"/>
    <w:rsid w:val="00305871"/>
    <w:rsid w:val="00305BCF"/>
    <w:rsid w:val="00306026"/>
    <w:rsid w:val="00306408"/>
    <w:rsid w:val="0030682A"/>
    <w:rsid w:val="00306B13"/>
    <w:rsid w:val="00307249"/>
    <w:rsid w:val="00307E35"/>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0DAB"/>
    <w:rsid w:val="0032160D"/>
    <w:rsid w:val="00321618"/>
    <w:rsid w:val="00321E8C"/>
    <w:rsid w:val="00321FDA"/>
    <w:rsid w:val="00322318"/>
    <w:rsid w:val="00322A86"/>
    <w:rsid w:val="00323041"/>
    <w:rsid w:val="00323AE8"/>
    <w:rsid w:val="00323B32"/>
    <w:rsid w:val="00324548"/>
    <w:rsid w:val="0032494A"/>
    <w:rsid w:val="003251F4"/>
    <w:rsid w:val="00325408"/>
    <w:rsid w:val="0032555D"/>
    <w:rsid w:val="00326927"/>
    <w:rsid w:val="003273A3"/>
    <w:rsid w:val="003277CD"/>
    <w:rsid w:val="003303E3"/>
    <w:rsid w:val="00330651"/>
    <w:rsid w:val="00331A88"/>
    <w:rsid w:val="003329EA"/>
    <w:rsid w:val="00332C6E"/>
    <w:rsid w:val="00332D73"/>
    <w:rsid w:val="0033368C"/>
    <w:rsid w:val="003338BE"/>
    <w:rsid w:val="00336AA2"/>
    <w:rsid w:val="00337271"/>
    <w:rsid w:val="00337B1B"/>
    <w:rsid w:val="00337ED3"/>
    <w:rsid w:val="003405DA"/>
    <w:rsid w:val="003407A5"/>
    <w:rsid w:val="00340CBC"/>
    <w:rsid w:val="003410A1"/>
    <w:rsid w:val="00341188"/>
    <w:rsid w:val="0034147B"/>
    <w:rsid w:val="003424CB"/>
    <w:rsid w:val="003439DB"/>
    <w:rsid w:val="00344FBE"/>
    <w:rsid w:val="00346759"/>
    <w:rsid w:val="00350238"/>
    <w:rsid w:val="00350315"/>
    <w:rsid w:val="0035109C"/>
    <w:rsid w:val="00351752"/>
    <w:rsid w:val="00351F0A"/>
    <w:rsid w:val="00352648"/>
    <w:rsid w:val="003532D4"/>
    <w:rsid w:val="00353AC6"/>
    <w:rsid w:val="00353E6B"/>
    <w:rsid w:val="003542B7"/>
    <w:rsid w:val="0035432B"/>
    <w:rsid w:val="00354765"/>
    <w:rsid w:val="00354E10"/>
    <w:rsid w:val="003574C8"/>
    <w:rsid w:val="0035753E"/>
    <w:rsid w:val="00357B15"/>
    <w:rsid w:val="00357BB3"/>
    <w:rsid w:val="003602EA"/>
    <w:rsid w:val="00360F81"/>
    <w:rsid w:val="00361E7E"/>
    <w:rsid w:val="00363564"/>
    <w:rsid w:val="003648F2"/>
    <w:rsid w:val="00364FA1"/>
    <w:rsid w:val="00366B02"/>
    <w:rsid w:val="003671F5"/>
    <w:rsid w:val="003700E2"/>
    <w:rsid w:val="00370348"/>
    <w:rsid w:val="00370AA4"/>
    <w:rsid w:val="003711F2"/>
    <w:rsid w:val="003717FC"/>
    <w:rsid w:val="00371FF4"/>
    <w:rsid w:val="003723C2"/>
    <w:rsid w:val="0037275D"/>
    <w:rsid w:val="00372797"/>
    <w:rsid w:val="003736DD"/>
    <w:rsid w:val="003745EC"/>
    <w:rsid w:val="003746F1"/>
    <w:rsid w:val="0037470E"/>
    <w:rsid w:val="00374D1B"/>
    <w:rsid w:val="00375CC4"/>
    <w:rsid w:val="00376103"/>
    <w:rsid w:val="003767B3"/>
    <w:rsid w:val="00376B49"/>
    <w:rsid w:val="00376FC5"/>
    <w:rsid w:val="003771E2"/>
    <w:rsid w:val="00377520"/>
    <w:rsid w:val="00380273"/>
    <w:rsid w:val="00380404"/>
    <w:rsid w:val="00380D36"/>
    <w:rsid w:val="00380F49"/>
    <w:rsid w:val="003819F9"/>
    <w:rsid w:val="00381AE2"/>
    <w:rsid w:val="003822D3"/>
    <w:rsid w:val="0038480C"/>
    <w:rsid w:val="00384DC9"/>
    <w:rsid w:val="0038566E"/>
    <w:rsid w:val="00385C66"/>
    <w:rsid w:val="00385EDA"/>
    <w:rsid w:val="00386630"/>
    <w:rsid w:val="00386A6C"/>
    <w:rsid w:val="00390379"/>
    <w:rsid w:val="00390741"/>
    <w:rsid w:val="003909FB"/>
    <w:rsid w:val="00390B25"/>
    <w:rsid w:val="00390DD9"/>
    <w:rsid w:val="00390DDD"/>
    <w:rsid w:val="003921B9"/>
    <w:rsid w:val="00392AE5"/>
    <w:rsid w:val="003933F1"/>
    <w:rsid w:val="003936AD"/>
    <w:rsid w:val="003937F7"/>
    <w:rsid w:val="00393A83"/>
    <w:rsid w:val="003955D3"/>
    <w:rsid w:val="00395809"/>
    <w:rsid w:val="00395CAA"/>
    <w:rsid w:val="00395F75"/>
    <w:rsid w:val="00395F76"/>
    <w:rsid w:val="00396588"/>
    <w:rsid w:val="00396863"/>
    <w:rsid w:val="00396F0A"/>
    <w:rsid w:val="00397156"/>
    <w:rsid w:val="00397960"/>
    <w:rsid w:val="00397D91"/>
    <w:rsid w:val="003A0663"/>
    <w:rsid w:val="003A10D5"/>
    <w:rsid w:val="003A1660"/>
    <w:rsid w:val="003A1FE0"/>
    <w:rsid w:val="003A2C23"/>
    <w:rsid w:val="003A3BC4"/>
    <w:rsid w:val="003A458A"/>
    <w:rsid w:val="003A551D"/>
    <w:rsid w:val="003A647F"/>
    <w:rsid w:val="003A6B26"/>
    <w:rsid w:val="003A7E6F"/>
    <w:rsid w:val="003B05F2"/>
    <w:rsid w:val="003B0F3D"/>
    <w:rsid w:val="003B2040"/>
    <w:rsid w:val="003B23CB"/>
    <w:rsid w:val="003B2F13"/>
    <w:rsid w:val="003B3353"/>
    <w:rsid w:val="003B405E"/>
    <w:rsid w:val="003B446F"/>
    <w:rsid w:val="003B4712"/>
    <w:rsid w:val="003B47EB"/>
    <w:rsid w:val="003B48BA"/>
    <w:rsid w:val="003B4F62"/>
    <w:rsid w:val="003B57D3"/>
    <w:rsid w:val="003B59CA"/>
    <w:rsid w:val="003B6067"/>
    <w:rsid w:val="003B632D"/>
    <w:rsid w:val="003B6AA4"/>
    <w:rsid w:val="003C0135"/>
    <w:rsid w:val="003C018A"/>
    <w:rsid w:val="003C05AF"/>
    <w:rsid w:val="003C08E3"/>
    <w:rsid w:val="003C09B5"/>
    <w:rsid w:val="003C0B69"/>
    <w:rsid w:val="003C0F62"/>
    <w:rsid w:val="003C1176"/>
    <w:rsid w:val="003C1A92"/>
    <w:rsid w:val="003C1D9A"/>
    <w:rsid w:val="003C1F58"/>
    <w:rsid w:val="003C3232"/>
    <w:rsid w:val="003C36E1"/>
    <w:rsid w:val="003C48B1"/>
    <w:rsid w:val="003C57A7"/>
    <w:rsid w:val="003C5C2B"/>
    <w:rsid w:val="003C6943"/>
    <w:rsid w:val="003C6BD2"/>
    <w:rsid w:val="003C7294"/>
    <w:rsid w:val="003C792F"/>
    <w:rsid w:val="003C7ABD"/>
    <w:rsid w:val="003C7B20"/>
    <w:rsid w:val="003C7C3D"/>
    <w:rsid w:val="003D08F8"/>
    <w:rsid w:val="003D124B"/>
    <w:rsid w:val="003D18F3"/>
    <w:rsid w:val="003D21FB"/>
    <w:rsid w:val="003D2CC1"/>
    <w:rsid w:val="003D33F2"/>
    <w:rsid w:val="003D3725"/>
    <w:rsid w:val="003D4FFC"/>
    <w:rsid w:val="003D51ED"/>
    <w:rsid w:val="003D535A"/>
    <w:rsid w:val="003D569B"/>
    <w:rsid w:val="003D73EF"/>
    <w:rsid w:val="003D78B5"/>
    <w:rsid w:val="003E0204"/>
    <w:rsid w:val="003E0918"/>
    <w:rsid w:val="003E099F"/>
    <w:rsid w:val="003E244F"/>
    <w:rsid w:val="003E37AE"/>
    <w:rsid w:val="003E5165"/>
    <w:rsid w:val="003E62A6"/>
    <w:rsid w:val="003E648D"/>
    <w:rsid w:val="003E6731"/>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C45"/>
    <w:rsid w:val="00400241"/>
    <w:rsid w:val="0040132C"/>
    <w:rsid w:val="0040145D"/>
    <w:rsid w:val="004016C4"/>
    <w:rsid w:val="004019F7"/>
    <w:rsid w:val="00401D95"/>
    <w:rsid w:val="0040231A"/>
    <w:rsid w:val="00402ACB"/>
    <w:rsid w:val="00403562"/>
    <w:rsid w:val="004049BD"/>
    <w:rsid w:val="00404EB5"/>
    <w:rsid w:val="00405085"/>
    <w:rsid w:val="00405D28"/>
    <w:rsid w:val="0040629D"/>
    <w:rsid w:val="004066FC"/>
    <w:rsid w:val="00407481"/>
    <w:rsid w:val="00407753"/>
    <w:rsid w:val="00407C10"/>
    <w:rsid w:val="00407E90"/>
    <w:rsid w:val="004113B4"/>
    <w:rsid w:val="00413323"/>
    <w:rsid w:val="00413B17"/>
    <w:rsid w:val="004141C0"/>
    <w:rsid w:val="00414503"/>
    <w:rsid w:val="00414827"/>
    <w:rsid w:val="004153B3"/>
    <w:rsid w:val="00415772"/>
    <w:rsid w:val="004161F8"/>
    <w:rsid w:val="004163FD"/>
    <w:rsid w:val="0041683D"/>
    <w:rsid w:val="00416C10"/>
    <w:rsid w:val="00417976"/>
    <w:rsid w:val="00417A0E"/>
    <w:rsid w:val="0042053A"/>
    <w:rsid w:val="004213D6"/>
    <w:rsid w:val="00421425"/>
    <w:rsid w:val="00421B37"/>
    <w:rsid w:val="004222D0"/>
    <w:rsid w:val="00422440"/>
    <w:rsid w:val="00422916"/>
    <w:rsid w:val="00423BA3"/>
    <w:rsid w:val="00424213"/>
    <w:rsid w:val="00424EF3"/>
    <w:rsid w:val="0042551C"/>
    <w:rsid w:val="004267DB"/>
    <w:rsid w:val="004268BB"/>
    <w:rsid w:val="00426A4B"/>
    <w:rsid w:val="00427130"/>
    <w:rsid w:val="00427704"/>
    <w:rsid w:val="00427AA3"/>
    <w:rsid w:val="00427BFF"/>
    <w:rsid w:val="00430724"/>
    <w:rsid w:val="0043097C"/>
    <w:rsid w:val="00431047"/>
    <w:rsid w:val="00431B86"/>
    <w:rsid w:val="004322C7"/>
    <w:rsid w:val="00432E06"/>
    <w:rsid w:val="00433065"/>
    <w:rsid w:val="004332B5"/>
    <w:rsid w:val="00433EED"/>
    <w:rsid w:val="00436196"/>
    <w:rsid w:val="004375A2"/>
    <w:rsid w:val="00437C96"/>
    <w:rsid w:val="004408EC"/>
    <w:rsid w:val="004416A4"/>
    <w:rsid w:val="00441ABA"/>
    <w:rsid w:val="00441E6A"/>
    <w:rsid w:val="00442AEE"/>
    <w:rsid w:val="00443C8F"/>
    <w:rsid w:val="00444C60"/>
    <w:rsid w:val="00444E35"/>
    <w:rsid w:val="0044502D"/>
    <w:rsid w:val="00445F6B"/>
    <w:rsid w:val="0044755D"/>
    <w:rsid w:val="00447CEF"/>
    <w:rsid w:val="00447E28"/>
    <w:rsid w:val="00450BA9"/>
    <w:rsid w:val="00450F23"/>
    <w:rsid w:val="004515EB"/>
    <w:rsid w:val="0045169A"/>
    <w:rsid w:val="00452481"/>
    <w:rsid w:val="004528FA"/>
    <w:rsid w:val="00453DC8"/>
    <w:rsid w:val="00455165"/>
    <w:rsid w:val="004576F7"/>
    <w:rsid w:val="00457804"/>
    <w:rsid w:val="00460AEF"/>
    <w:rsid w:val="00460C52"/>
    <w:rsid w:val="00461108"/>
    <w:rsid w:val="0046209A"/>
    <w:rsid w:val="00462279"/>
    <w:rsid w:val="004626CD"/>
    <w:rsid w:val="00463182"/>
    <w:rsid w:val="004646BF"/>
    <w:rsid w:val="00464744"/>
    <w:rsid w:val="0046535F"/>
    <w:rsid w:val="004665A8"/>
    <w:rsid w:val="004665E3"/>
    <w:rsid w:val="0046760F"/>
    <w:rsid w:val="00471935"/>
    <w:rsid w:val="0047237D"/>
    <w:rsid w:val="00472561"/>
    <w:rsid w:val="004731F1"/>
    <w:rsid w:val="00473AE0"/>
    <w:rsid w:val="00473EB5"/>
    <w:rsid w:val="00474021"/>
    <w:rsid w:val="004743F8"/>
    <w:rsid w:val="0047456B"/>
    <w:rsid w:val="00475251"/>
    <w:rsid w:val="00475D19"/>
    <w:rsid w:val="00477400"/>
    <w:rsid w:val="0048088E"/>
    <w:rsid w:val="00480BC8"/>
    <w:rsid w:val="00481265"/>
    <w:rsid w:val="004814BF"/>
    <w:rsid w:val="00482649"/>
    <w:rsid w:val="00483630"/>
    <w:rsid w:val="004836EA"/>
    <w:rsid w:val="00483A13"/>
    <w:rsid w:val="00483F72"/>
    <w:rsid w:val="00485215"/>
    <w:rsid w:val="00485340"/>
    <w:rsid w:val="0048587E"/>
    <w:rsid w:val="00485B57"/>
    <w:rsid w:val="00486200"/>
    <w:rsid w:val="004868C8"/>
    <w:rsid w:val="00486C9C"/>
    <w:rsid w:val="00486D6A"/>
    <w:rsid w:val="00487815"/>
    <w:rsid w:val="00487830"/>
    <w:rsid w:val="00487C2B"/>
    <w:rsid w:val="004900FF"/>
    <w:rsid w:val="00490561"/>
    <w:rsid w:val="0049125B"/>
    <w:rsid w:val="004914B6"/>
    <w:rsid w:val="00491C58"/>
    <w:rsid w:val="00491FAB"/>
    <w:rsid w:val="00492081"/>
    <w:rsid w:val="0049227D"/>
    <w:rsid w:val="0049297D"/>
    <w:rsid w:val="004929F2"/>
    <w:rsid w:val="00492F1A"/>
    <w:rsid w:val="00492F5E"/>
    <w:rsid w:val="00493E9D"/>
    <w:rsid w:val="00495A03"/>
    <w:rsid w:val="00495E28"/>
    <w:rsid w:val="00497079"/>
    <w:rsid w:val="00497450"/>
    <w:rsid w:val="00497F49"/>
    <w:rsid w:val="004A1135"/>
    <w:rsid w:val="004A1BBA"/>
    <w:rsid w:val="004A23C2"/>
    <w:rsid w:val="004A2F25"/>
    <w:rsid w:val="004A3336"/>
    <w:rsid w:val="004A3E3C"/>
    <w:rsid w:val="004A4069"/>
    <w:rsid w:val="004A42E5"/>
    <w:rsid w:val="004A455B"/>
    <w:rsid w:val="004A4847"/>
    <w:rsid w:val="004A484E"/>
    <w:rsid w:val="004A5562"/>
    <w:rsid w:val="004A6513"/>
    <w:rsid w:val="004A7CCE"/>
    <w:rsid w:val="004B0440"/>
    <w:rsid w:val="004B0E6D"/>
    <w:rsid w:val="004B16E8"/>
    <w:rsid w:val="004B19EA"/>
    <w:rsid w:val="004B202D"/>
    <w:rsid w:val="004B2CA5"/>
    <w:rsid w:val="004B412E"/>
    <w:rsid w:val="004B5B92"/>
    <w:rsid w:val="004B5DB7"/>
    <w:rsid w:val="004B6250"/>
    <w:rsid w:val="004B66F3"/>
    <w:rsid w:val="004B68EC"/>
    <w:rsid w:val="004B759C"/>
    <w:rsid w:val="004B76B1"/>
    <w:rsid w:val="004C0057"/>
    <w:rsid w:val="004C02E0"/>
    <w:rsid w:val="004C030A"/>
    <w:rsid w:val="004C0541"/>
    <w:rsid w:val="004C07EB"/>
    <w:rsid w:val="004C0BBF"/>
    <w:rsid w:val="004C1D08"/>
    <w:rsid w:val="004C1D55"/>
    <w:rsid w:val="004C2836"/>
    <w:rsid w:val="004C2C46"/>
    <w:rsid w:val="004C405B"/>
    <w:rsid w:val="004C47DF"/>
    <w:rsid w:val="004C54CA"/>
    <w:rsid w:val="004C686E"/>
    <w:rsid w:val="004C6CE2"/>
    <w:rsid w:val="004C7214"/>
    <w:rsid w:val="004C7235"/>
    <w:rsid w:val="004C753B"/>
    <w:rsid w:val="004C7955"/>
    <w:rsid w:val="004D0213"/>
    <w:rsid w:val="004D047F"/>
    <w:rsid w:val="004D0B63"/>
    <w:rsid w:val="004D0FA5"/>
    <w:rsid w:val="004D1529"/>
    <w:rsid w:val="004D29F1"/>
    <w:rsid w:val="004D29F3"/>
    <w:rsid w:val="004D2E04"/>
    <w:rsid w:val="004D2F51"/>
    <w:rsid w:val="004D3D96"/>
    <w:rsid w:val="004D40BB"/>
    <w:rsid w:val="004D4854"/>
    <w:rsid w:val="004D4EA1"/>
    <w:rsid w:val="004D5316"/>
    <w:rsid w:val="004D575C"/>
    <w:rsid w:val="004D650F"/>
    <w:rsid w:val="004D679F"/>
    <w:rsid w:val="004D7269"/>
    <w:rsid w:val="004D74EE"/>
    <w:rsid w:val="004D7F01"/>
    <w:rsid w:val="004E0140"/>
    <w:rsid w:val="004E08FC"/>
    <w:rsid w:val="004E0B6E"/>
    <w:rsid w:val="004E2133"/>
    <w:rsid w:val="004E2BD2"/>
    <w:rsid w:val="004E34BB"/>
    <w:rsid w:val="004E37C3"/>
    <w:rsid w:val="004E395B"/>
    <w:rsid w:val="004E3A3B"/>
    <w:rsid w:val="004E3C7D"/>
    <w:rsid w:val="004E4CD7"/>
    <w:rsid w:val="004E5EDB"/>
    <w:rsid w:val="004E60FB"/>
    <w:rsid w:val="004E73A5"/>
    <w:rsid w:val="004E758A"/>
    <w:rsid w:val="004F09DD"/>
    <w:rsid w:val="004F1C42"/>
    <w:rsid w:val="004F23CE"/>
    <w:rsid w:val="004F2C5A"/>
    <w:rsid w:val="004F3870"/>
    <w:rsid w:val="004F3E01"/>
    <w:rsid w:val="004F3E31"/>
    <w:rsid w:val="004F409E"/>
    <w:rsid w:val="004F4541"/>
    <w:rsid w:val="004F4601"/>
    <w:rsid w:val="004F779C"/>
    <w:rsid w:val="004F7846"/>
    <w:rsid w:val="005000A6"/>
    <w:rsid w:val="005000D4"/>
    <w:rsid w:val="005004EE"/>
    <w:rsid w:val="005007AB"/>
    <w:rsid w:val="0050087E"/>
    <w:rsid w:val="00500B1E"/>
    <w:rsid w:val="00500B24"/>
    <w:rsid w:val="00500C17"/>
    <w:rsid w:val="005027F4"/>
    <w:rsid w:val="005036C2"/>
    <w:rsid w:val="0050492E"/>
    <w:rsid w:val="005051C9"/>
    <w:rsid w:val="00505E48"/>
    <w:rsid w:val="00506389"/>
    <w:rsid w:val="005067F4"/>
    <w:rsid w:val="00506FF7"/>
    <w:rsid w:val="0051084C"/>
    <w:rsid w:val="00510A69"/>
    <w:rsid w:val="00510CAF"/>
    <w:rsid w:val="0051114C"/>
    <w:rsid w:val="00511597"/>
    <w:rsid w:val="0051164A"/>
    <w:rsid w:val="00511915"/>
    <w:rsid w:val="005119A4"/>
    <w:rsid w:val="00511AC6"/>
    <w:rsid w:val="00511FD1"/>
    <w:rsid w:val="00512235"/>
    <w:rsid w:val="005128C5"/>
    <w:rsid w:val="00512905"/>
    <w:rsid w:val="00512D8B"/>
    <w:rsid w:val="00512E85"/>
    <w:rsid w:val="005136C7"/>
    <w:rsid w:val="0051478B"/>
    <w:rsid w:val="00514C1C"/>
    <w:rsid w:val="0051524F"/>
    <w:rsid w:val="0051559D"/>
    <w:rsid w:val="0051566A"/>
    <w:rsid w:val="00515D7B"/>
    <w:rsid w:val="00515DD8"/>
    <w:rsid w:val="005166E9"/>
    <w:rsid w:val="00516C92"/>
    <w:rsid w:val="00517917"/>
    <w:rsid w:val="0052009E"/>
    <w:rsid w:val="005200F7"/>
    <w:rsid w:val="00520AB5"/>
    <w:rsid w:val="00520D7F"/>
    <w:rsid w:val="00521596"/>
    <w:rsid w:val="00522066"/>
    <w:rsid w:val="005222FA"/>
    <w:rsid w:val="005247B4"/>
    <w:rsid w:val="00525059"/>
    <w:rsid w:val="00525740"/>
    <w:rsid w:val="00525E59"/>
    <w:rsid w:val="005278EE"/>
    <w:rsid w:val="00530A21"/>
    <w:rsid w:val="005310DD"/>
    <w:rsid w:val="00531851"/>
    <w:rsid w:val="005318CC"/>
    <w:rsid w:val="0053199E"/>
    <w:rsid w:val="00531D65"/>
    <w:rsid w:val="005321E1"/>
    <w:rsid w:val="00532255"/>
    <w:rsid w:val="00532FAE"/>
    <w:rsid w:val="005334E4"/>
    <w:rsid w:val="005349B1"/>
    <w:rsid w:val="00535AA4"/>
    <w:rsid w:val="00535DA3"/>
    <w:rsid w:val="005364A6"/>
    <w:rsid w:val="005364AE"/>
    <w:rsid w:val="0053652C"/>
    <w:rsid w:val="0053659B"/>
    <w:rsid w:val="005368A0"/>
    <w:rsid w:val="005374BC"/>
    <w:rsid w:val="0054069B"/>
    <w:rsid w:val="00540EC2"/>
    <w:rsid w:val="0054101E"/>
    <w:rsid w:val="005427DC"/>
    <w:rsid w:val="00543177"/>
    <w:rsid w:val="00543188"/>
    <w:rsid w:val="005432F0"/>
    <w:rsid w:val="00543367"/>
    <w:rsid w:val="00543741"/>
    <w:rsid w:val="0054384E"/>
    <w:rsid w:val="00543BFA"/>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3C4"/>
    <w:rsid w:val="005558FA"/>
    <w:rsid w:val="0055637C"/>
    <w:rsid w:val="00556B00"/>
    <w:rsid w:val="0055753F"/>
    <w:rsid w:val="00557618"/>
    <w:rsid w:val="00557782"/>
    <w:rsid w:val="00560866"/>
    <w:rsid w:val="00560C90"/>
    <w:rsid w:val="00560C94"/>
    <w:rsid w:val="00560FD5"/>
    <w:rsid w:val="0056101E"/>
    <w:rsid w:val="00561C0A"/>
    <w:rsid w:val="00562765"/>
    <w:rsid w:val="0056283B"/>
    <w:rsid w:val="0056291C"/>
    <w:rsid w:val="00563E82"/>
    <w:rsid w:val="00564289"/>
    <w:rsid w:val="005643FD"/>
    <w:rsid w:val="005646BB"/>
    <w:rsid w:val="005647F9"/>
    <w:rsid w:val="00564B19"/>
    <w:rsid w:val="00564C4B"/>
    <w:rsid w:val="0056586F"/>
    <w:rsid w:val="00565A63"/>
    <w:rsid w:val="00566588"/>
    <w:rsid w:val="0056662E"/>
    <w:rsid w:val="00566A26"/>
    <w:rsid w:val="00566F23"/>
    <w:rsid w:val="00566F6B"/>
    <w:rsid w:val="00567012"/>
    <w:rsid w:val="00567BA7"/>
    <w:rsid w:val="00567EA5"/>
    <w:rsid w:val="0057004B"/>
    <w:rsid w:val="00570514"/>
    <w:rsid w:val="005705B3"/>
    <w:rsid w:val="00571111"/>
    <w:rsid w:val="00571A41"/>
    <w:rsid w:val="0057216B"/>
    <w:rsid w:val="005721D0"/>
    <w:rsid w:val="0057275D"/>
    <w:rsid w:val="00572919"/>
    <w:rsid w:val="00572C41"/>
    <w:rsid w:val="0057329C"/>
    <w:rsid w:val="00573AD5"/>
    <w:rsid w:val="00573D1A"/>
    <w:rsid w:val="00574103"/>
    <w:rsid w:val="00574DA2"/>
    <w:rsid w:val="00575B68"/>
    <w:rsid w:val="00575DA6"/>
    <w:rsid w:val="00576423"/>
    <w:rsid w:val="00577104"/>
    <w:rsid w:val="0057737F"/>
    <w:rsid w:val="005800A9"/>
    <w:rsid w:val="00580488"/>
    <w:rsid w:val="005805A0"/>
    <w:rsid w:val="0058074D"/>
    <w:rsid w:val="00580FD1"/>
    <w:rsid w:val="00581A62"/>
    <w:rsid w:val="00582FAD"/>
    <w:rsid w:val="00583489"/>
    <w:rsid w:val="0058391F"/>
    <w:rsid w:val="00583A80"/>
    <w:rsid w:val="00584188"/>
    <w:rsid w:val="00584E33"/>
    <w:rsid w:val="00585432"/>
    <w:rsid w:val="00585AD4"/>
    <w:rsid w:val="00585E5C"/>
    <w:rsid w:val="00586819"/>
    <w:rsid w:val="00586E9A"/>
    <w:rsid w:val="00587419"/>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742"/>
    <w:rsid w:val="005A19CD"/>
    <w:rsid w:val="005A1C30"/>
    <w:rsid w:val="005A1CC6"/>
    <w:rsid w:val="005A31C9"/>
    <w:rsid w:val="005A3295"/>
    <w:rsid w:val="005A46FF"/>
    <w:rsid w:val="005A4AFF"/>
    <w:rsid w:val="005A65F0"/>
    <w:rsid w:val="005A7758"/>
    <w:rsid w:val="005A7B0E"/>
    <w:rsid w:val="005A7DB8"/>
    <w:rsid w:val="005B011E"/>
    <w:rsid w:val="005B028B"/>
    <w:rsid w:val="005B0764"/>
    <w:rsid w:val="005B2E84"/>
    <w:rsid w:val="005B352F"/>
    <w:rsid w:val="005B36DA"/>
    <w:rsid w:val="005B3E66"/>
    <w:rsid w:val="005B3FE8"/>
    <w:rsid w:val="005B436C"/>
    <w:rsid w:val="005B477E"/>
    <w:rsid w:val="005B4F97"/>
    <w:rsid w:val="005B50B0"/>
    <w:rsid w:val="005B52A4"/>
    <w:rsid w:val="005B5CA4"/>
    <w:rsid w:val="005B6E01"/>
    <w:rsid w:val="005B7476"/>
    <w:rsid w:val="005B7688"/>
    <w:rsid w:val="005B7849"/>
    <w:rsid w:val="005B7B0E"/>
    <w:rsid w:val="005C0DFA"/>
    <w:rsid w:val="005C0FF0"/>
    <w:rsid w:val="005C219B"/>
    <w:rsid w:val="005C3575"/>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0B95"/>
    <w:rsid w:val="005D15AE"/>
    <w:rsid w:val="005D1A7B"/>
    <w:rsid w:val="005D1EDD"/>
    <w:rsid w:val="005D456F"/>
    <w:rsid w:val="005D45B3"/>
    <w:rsid w:val="005D4AB3"/>
    <w:rsid w:val="005D4CEB"/>
    <w:rsid w:val="005D5344"/>
    <w:rsid w:val="005D5DA8"/>
    <w:rsid w:val="005D61EB"/>
    <w:rsid w:val="005E0AE0"/>
    <w:rsid w:val="005E518C"/>
    <w:rsid w:val="005E5F9A"/>
    <w:rsid w:val="005E6628"/>
    <w:rsid w:val="005E77F2"/>
    <w:rsid w:val="005F02B8"/>
    <w:rsid w:val="005F043C"/>
    <w:rsid w:val="005F0444"/>
    <w:rsid w:val="005F04E6"/>
    <w:rsid w:val="005F1138"/>
    <w:rsid w:val="005F13C8"/>
    <w:rsid w:val="005F17EC"/>
    <w:rsid w:val="005F1C2F"/>
    <w:rsid w:val="005F2F3F"/>
    <w:rsid w:val="005F39D5"/>
    <w:rsid w:val="005F3AB5"/>
    <w:rsid w:val="005F3E05"/>
    <w:rsid w:val="005F3E08"/>
    <w:rsid w:val="005F43B9"/>
    <w:rsid w:val="005F4BBF"/>
    <w:rsid w:val="005F55D6"/>
    <w:rsid w:val="005F5CA9"/>
    <w:rsid w:val="005F68CB"/>
    <w:rsid w:val="005F6BDE"/>
    <w:rsid w:val="005F7C62"/>
    <w:rsid w:val="005F7F90"/>
    <w:rsid w:val="00600242"/>
    <w:rsid w:val="00601974"/>
    <w:rsid w:val="00602652"/>
    <w:rsid w:val="00602B51"/>
    <w:rsid w:val="006033E3"/>
    <w:rsid w:val="00605FC7"/>
    <w:rsid w:val="00606218"/>
    <w:rsid w:val="00606CA3"/>
    <w:rsid w:val="00606E91"/>
    <w:rsid w:val="00607018"/>
    <w:rsid w:val="006077ED"/>
    <w:rsid w:val="00607C5F"/>
    <w:rsid w:val="00610954"/>
    <w:rsid w:val="00610CBE"/>
    <w:rsid w:val="00610E1F"/>
    <w:rsid w:val="0061321C"/>
    <w:rsid w:val="00614C5C"/>
    <w:rsid w:val="00614CA1"/>
    <w:rsid w:val="00615C2C"/>
    <w:rsid w:val="00616D42"/>
    <w:rsid w:val="00617297"/>
    <w:rsid w:val="0062038A"/>
    <w:rsid w:val="006203A8"/>
    <w:rsid w:val="00620E59"/>
    <w:rsid w:val="00621132"/>
    <w:rsid w:val="00622656"/>
    <w:rsid w:val="00622A77"/>
    <w:rsid w:val="00622C05"/>
    <w:rsid w:val="0062386E"/>
    <w:rsid w:val="00623D9A"/>
    <w:rsid w:val="00623F01"/>
    <w:rsid w:val="006242FB"/>
    <w:rsid w:val="00624738"/>
    <w:rsid w:val="0062670B"/>
    <w:rsid w:val="00626E2D"/>
    <w:rsid w:val="006272DE"/>
    <w:rsid w:val="00627A55"/>
    <w:rsid w:val="00627D94"/>
    <w:rsid w:val="00630490"/>
    <w:rsid w:val="006304D3"/>
    <w:rsid w:val="00630A33"/>
    <w:rsid w:val="00630AB9"/>
    <w:rsid w:val="00630B42"/>
    <w:rsid w:val="006310FC"/>
    <w:rsid w:val="006313B1"/>
    <w:rsid w:val="00631688"/>
    <w:rsid w:val="006316A4"/>
    <w:rsid w:val="006320D8"/>
    <w:rsid w:val="00632540"/>
    <w:rsid w:val="00632E88"/>
    <w:rsid w:val="0063454C"/>
    <w:rsid w:val="00634DBB"/>
    <w:rsid w:val="00635744"/>
    <w:rsid w:val="00635EA5"/>
    <w:rsid w:val="00637C26"/>
    <w:rsid w:val="00640732"/>
    <w:rsid w:val="006413B3"/>
    <w:rsid w:val="0064185E"/>
    <w:rsid w:val="00642072"/>
    <w:rsid w:val="00642088"/>
    <w:rsid w:val="00643DBD"/>
    <w:rsid w:val="006440ED"/>
    <w:rsid w:val="0064467C"/>
    <w:rsid w:val="00644F1E"/>
    <w:rsid w:val="00645213"/>
    <w:rsid w:val="00645293"/>
    <w:rsid w:val="006468CB"/>
    <w:rsid w:val="006469D9"/>
    <w:rsid w:val="00646CF8"/>
    <w:rsid w:val="00650A2D"/>
    <w:rsid w:val="00651B78"/>
    <w:rsid w:val="00652263"/>
    <w:rsid w:val="0065238F"/>
    <w:rsid w:val="00652881"/>
    <w:rsid w:val="00652985"/>
    <w:rsid w:val="006533AE"/>
    <w:rsid w:val="00653C38"/>
    <w:rsid w:val="006551AE"/>
    <w:rsid w:val="00657424"/>
    <w:rsid w:val="00661974"/>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2C9E"/>
    <w:rsid w:val="0067307E"/>
    <w:rsid w:val="0067333F"/>
    <w:rsid w:val="006739C0"/>
    <w:rsid w:val="00673F6D"/>
    <w:rsid w:val="00674850"/>
    <w:rsid w:val="00675116"/>
    <w:rsid w:val="00675D03"/>
    <w:rsid w:val="00676016"/>
    <w:rsid w:val="00676462"/>
    <w:rsid w:val="00676EA7"/>
    <w:rsid w:val="006805DF"/>
    <w:rsid w:val="00681B97"/>
    <w:rsid w:val="00682EC2"/>
    <w:rsid w:val="00683F61"/>
    <w:rsid w:val="00686A36"/>
    <w:rsid w:val="00687AD5"/>
    <w:rsid w:val="00687FBD"/>
    <w:rsid w:val="0069211A"/>
    <w:rsid w:val="00692775"/>
    <w:rsid w:val="00692B81"/>
    <w:rsid w:val="00692C4F"/>
    <w:rsid w:val="00693B90"/>
    <w:rsid w:val="00693F2C"/>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28BF"/>
    <w:rsid w:val="006A2EA3"/>
    <w:rsid w:val="006A303F"/>
    <w:rsid w:val="006A3CC1"/>
    <w:rsid w:val="006A3F9D"/>
    <w:rsid w:val="006A4899"/>
    <w:rsid w:val="006A62E1"/>
    <w:rsid w:val="006A6566"/>
    <w:rsid w:val="006A72C6"/>
    <w:rsid w:val="006A7310"/>
    <w:rsid w:val="006B02DA"/>
    <w:rsid w:val="006B08FB"/>
    <w:rsid w:val="006B0A5A"/>
    <w:rsid w:val="006B14BF"/>
    <w:rsid w:val="006B2065"/>
    <w:rsid w:val="006B275B"/>
    <w:rsid w:val="006B2D79"/>
    <w:rsid w:val="006B2F8B"/>
    <w:rsid w:val="006B30BF"/>
    <w:rsid w:val="006B38C6"/>
    <w:rsid w:val="006B3940"/>
    <w:rsid w:val="006B45A6"/>
    <w:rsid w:val="006B47D3"/>
    <w:rsid w:val="006B62F0"/>
    <w:rsid w:val="006B6C6B"/>
    <w:rsid w:val="006C09B6"/>
    <w:rsid w:val="006C111B"/>
    <w:rsid w:val="006C168D"/>
    <w:rsid w:val="006C2BF5"/>
    <w:rsid w:val="006C48EF"/>
    <w:rsid w:val="006C4A40"/>
    <w:rsid w:val="006C4E56"/>
    <w:rsid w:val="006C58DB"/>
    <w:rsid w:val="006C5CE0"/>
    <w:rsid w:val="006C5E49"/>
    <w:rsid w:val="006C5EDB"/>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B4D"/>
    <w:rsid w:val="006D41EF"/>
    <w:rsid w:val="006D53AA"/>
    <w:rsid w:val="006D6993"/>
    <w:rsid w:val="006D70F0"/>
    <w:rsid w:val="006D78AA"/>
    <w:rsid w:val="006E0D09"/>
    <w:rsid w:val="006E12C6"/>
    <w:rsid w:val="006E1F1D"/>
    <w:rsid w:val="006E241F"/>
    <w:rsid w:val="006E24EE"/>
    <w:rsid w:val="006E25BD"/>
    <w:rsid w:val="006E3379"/>
    <w:rsid w:val="006E34B7"/>
    <w:rsid w:val="006E36B8"/>
    <w:rsid w:val="006E3874"/>
    <w:rsid w:val="006E5585"/>
    <w:rsid w:val="006E5842"/>
    <w:rsid w:val="006E59EA"/>
    <w:rsid w:val="006E5BAC"/>
    <w:rsid w:val="006E5E32"/>
    <w:rsid w:val="006E62D5"/>
    <w:rsid w:val="006E633A"/>
    <w:rsid w:val="006E6A14"/>
    <w:rsid w:val="006E6B16"/>
    <w:rsid w:val="006E6DE8"/>
    <w:rsid w:val="006E780C"/>
    <w:rsid w:val="006F0823"/>
    <w:rsid w:val="006F0BA7"/>
    <w:rsid w:val="006F0EB9"/>
    <w:rsid w:val="006F0F01"/>
    <w:rsid w:val="006F174D"/>
    <w:rsid w:val="006F1F41"/>
    <w:rsid w:val="006F3222"/>
    <w:rsid w:val="006F32EF"/>
    <w:rsid w:val="006F3615"/>
    <w:rsid w:val="006F3788"/>
    <w:rsid w:val="006F3C54"/>
    <w:rsid w:val="006F4CD8"/>
    <w:rsid w:val="006F53D9"/>
    <w:rsid w:val="006F5812"/>
    <w:rsid w:val="006F609A"/>
    <w:rsid w:val="006F6E7A"/>
    <w:rsid w:val="006F7FDA"/>
    <w:rsid w:val="007004DC"/>
    <w:rsid w:val="00701093"/>
    <w:rsid w:val="007018D6"/>
    <w:rsid w:val="007022C4"/>
    <w:rsid w:val="007026E9"/>
    <w:rsid w:val="00703C8B"/>
    <w:rsid w:val="00703E8A"/>
    <w:rsid w:val="00704372"/>
    <w:rsid w:val="00704F60"/>
    <w:rsid w:val="00706045"/>
    <w:rsid w:val="00706EA3"/>
    <w:rsid w:val="007078BE"/>
    <w:rsid w:val="00710BF6"/>
    <w:rsid w:val="00711522"/>
    <w:rsid w:val="007118A6"/>
    <w:rsid w:val="007124FE"/>
    <w:rsid w:val="00712533"/>
    <w:rsid w:val="00713186"/>
    <w:rsid w:val="00713757"/>
    <w:rsid w:val="00713758"/>
    <w:rsid w:val="007137D8"/>
    <w:rsid w:val="00714064"/>
    <w:rsid w:val="00715517"/>
    <w:rsid w:val="00716A38"/>
    <w:rsid w:val="00717772"/>
    <w:rsid w:val="00717BDC"/>
    <w:rsid w:val="007200E5"/>
    <w:rsid w:val="00720622"/>
    <w:rsid w:val="00720C17"/>
    <w:rsid w:val="00721AF1"/>
    <w:rsid w:val="0072280F"/>
    <w:rsid w:val="00722B5E"/>
    <w:rsid w:val="007230F1"/>
    <w:rsid w:val="007235F5"/>
    <w:rsid w:val="00723B2C"/>
    <w:rsid w:val="007253CC"/>
    <w:rsid w:val="00725668"/>
    <w:rsid w:val="00726F5A"/>
    <w:rsid w:val="0072708F"/>
    <w:rsid w:val="00730172"/>
    <w:rsid w:val="00730E81"/>
    <w:rsid w:val="00731000"/>
    <w:rsid w:val="00731204"/>
    <w:rsid w:val="007319BC"/>
    <w:rsid w:val="0073222B"/>
    <w:rsid w:val="00732582"/>
    <w:rsid w:val="00732D1D"/>
    <w:rsid w:val="00732F5C"/>
    <w:rsid w:val="007332C4"/>
    <w:rsid w:val="00733C68"/>
    <w:rsid w:val="00734381"/>
    <w:rsid w:val="00735EAA"/>
    <w:rsid w:val="00736034"/>
    <w:rsid w:val="0073681C"/>
    <w:rsid w:val="0073725B"/>
    <w:rsid w:val="00737E96"/>
    <w:rsid w:val="00740189"/>
    <w:rsid w:val="0074033C"/>
    <w:rsid w:val="0074050E"/>
    <w:rsid w:val="0074065B"/>
    <w:rsid w:val="00740B66"/>
    <w:rsid w:val="00741AF8"/>
    <w:rsid w:val="00741EBE"/>
    <w:rsid w:val="00742112"/>
    <w:rsid w:val="00742181"/>
    <w:rsid w:val="00742218"/>
    <w:rsid w:val="007424EC"/>
    <w:rsid w:val="00742728"/>
    <w:rsid w:val="00742AB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2144"/>
    <w:rsid w:val="0076230F"/>
    <w:rsid w:val="00762ABF"/>
    <w:rsid w:val="00762C75"/>
    <w:rsid w:val="00762F29"/>
    <w:rsid w:val="00764A94"/>
    <w:rsid w:val="00764B26"/>
    <w:rsid w:val="00764EA6"/>
    <w:rsid w:val="0076511D"/>
    <w:rsid w:val="007651A9"/>
    <w:rsid w:val="007651E5"/>
    <w:rsid w:val="0076524F"/>
    <w:rsid w:val="00765584"/>
    <w:rsid w:val="007665B2"/>
    <w:rsid w:val="00766B12"/>
    <w:rsid w:val="007670DC"/>
    <w:rsid w:val="00767356"/>
    <w:rsid w:val="00770F2A"/>
    <w:rsid w:val="0077111A"/>
    <w:rsid w:val="00771F95"/>
    <w:rsid w:val="0077213A"/>
    <w:rsid w:val="007721E2"/>
    <w:rsid w:val="00772272"/>
    <w:rsid w:val="0077369F"/>
    <w:rsid w:val="0077463A"/>
    <w:rsid w:val="00774AB3"/>
    <w:rsid w:val="00774D0F"/>
    <w:rsid w:val="00774D7B"/>
    <w:rsid w:val="007756ED"/>
    <w:rsid w:val="0077589D"/>
    <w:rsid w:val="0077617F"/>
    <w:rsid w:val="00776A3D"/>
    <w:rsid w:val="0077707A"/>
    <w:rsid w:val="007776BF"/>
    <w:rsid w:val="00780B65"/>
    <w:rsid w:val="007819A1"/>
    <w:rsid w:val="00782B2A"/>
    <w:rsid w:val="00783BA5"/>
    <w:rsid w:val="00784F9E"/>
    <w:rsid w:val="0078533C"/>
    <w:rsid w:val="007857FB"/>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2F93"/>
    <w:rsid w:val="007A3680"/>
    <w:rsid w:val="007A3BCD"/>
    <w:rsid w:val="007A5214"/>
    <w:rsid w:val="007A5357"/>
    <w:rsid w:val="007A59B8"/>
    <w:rsid w:val="007A65AF"/>
    <w:rsid w:val="007A7682"/>
    <w:rsid w:val="007A7F38"/>
    <w:rsid w:val="007A7F42"/>
    <w:rsid w:val="007B0E14"/>
    <w:rsid w:val="007B2862"/>
    <w:rsid w:val="007B2FD8"/>
    <w:rsid w:val="007B3968"/>
    <w:rsid w:val="007B3B0A"/>
    <w:rsid w:val="007B45AF"/>
    <w:rsid w:val="007B4DD0"/>
    <w:rsid w:val="007B4EE4"/>
    <w:rsid w:val="007B611E"/>
    <w:rsid w:val="007B662A"/>
    <w:rsid w:val="007B684F"/>
    <w:rsid w:val="007B6A73"/>
    <w:rsid w:val="007B71DC"/>
    <w:rsid w:val="007B758B"/>
    <w:rsid w:val="007B7743"/>
    <w:rsid w:val="007C04F4"/>
    <w:rsid w:val="007C0CFB"/>
    <w:rsid w:val="007C2139"/>
    <w:rsid w:val="007C27DE"/>
    <w:rsid w:val="007C299E"/>
    <w:rsid w:val="007C2DFD"/>
    <w:rsid w:val="007C3C64"/>
    <w:rsid w:val="007C3F97"/>
    <w:rsid w:val="007C525F"/>
    <w:rsid w:val="007C5321"/>
    <w:rsid w:val="007C5E8A"/>
    <w:rsid w:val="007C5F4B"/>
    <w:rsid w:val="007C6AAB"/>
    <w:rsid w:val="007C6DDF"/>
    <w:rsid w:val="007C6EA8"/>
    <w:rsid w:val="007C7B84"/>
    <w:rsid w:val="007C7E09"/>
    <w:rsid w:val="007D1FE9"/>
    <w:rsid w:val="007D28C9"/>
    <w:rsid w:val="007D3009"/>
    <w:rsid w:val="007D326B"/>
    <w:rsid w:val="007D38F0"/>
    <w:rsid w:val="007D3CC8"/>
    <w:rsid w:val="007D430A"/>
    <w:rsid w:val="007D47FB"/>
    <w:rsid w:val="007D4DD3"/>
    <w:rsid w:val="007D4F6E"/>
    <w:rsid w:val="007D5362"/>
    <w:rsid w:val="007D576A"/>
    <w:rsid w:val="007D5AA3"/>
    <w:rsid w:val="007D62F9"/>
    <w:rsid w:val="007D63A4"/>
    <w:rsid w:val="007D6542"/>
    <w:rsid w:val="007D7313"/>
    <w:rsid w:val="007E1AA2"/>
    <w:rsid w:val="007E1EE3"/>
    <w:rsid w:val="007E1F2C"/>
    <w:rsid w:val="007E2429"/>
    <w:rsid w:val="007E2793"/>
    <w:rsid w:val="007E279D"/>
    <w:rsid w:val="007E2D69"/>
    <w:rsid w:val="007E3B9A"/>
    <w:rsid w:val="007E46E8"/>
    <w:rsid w:val="007E470F"/>
    <w:rsid w:val="007E4C1F"/>
    <w:rsid w:val="007E500F"/>
    <w:rsid w:val="007E55C0"/>
    <w:rsid w:val="007F01DE"/>
    <w:rsid w:val="007F0759"/>
    <w:rsid w:val="007F0BCC"/>
    <w:rsid w:val="007F0D5B"/>
    <w:rsid w:val="007F156E"/>
    <w:rsid w:val="007F1C97"/>
    <w:rsid w:val="007F1CF3"/>
    <w:rsid w:val="007F25C0"/>
    <w:rsid w:val="007F30BB"/>
    <w:rsid w:val="007F3368"/>
    <w:rsid w:val="007F3D6A"/>
    <w:rsid w:val="007F4C96"/>
    <w:rsid w:val="007F5F52"/>
    <w:rsid w:val="007F672A"/>
    <w:rsid w:val="007F6A1D"/>
    <w:rsid w:val="007F6A4B"/>
    <w:rsid w:val="007F77C6"/>
    <w:rsid w:val="007F79D4"/>
    <w:rsid w:val="008003A1"/>
    <w:rsid w:val="008006B7"/>
    <w:rsid w:val="00800FDB"/>
    <w:rsid w:val="00802081"/>
    <w:rsid w:val="008020F6"/>
    <w:rsid w:val="0080298E"/>
    <w:rsid w:val="00802F04"/>
    <w:rsid w:val="00803833"/>
    <w:rsid w:val="00804316"/>
    <w:rsid w:val="008044F8"/>
    <w:rsid w:val="00804B55"/>
    <w:rsid w:val="008050BC"/>
    <w:rsid w:val="00805D3E"/>
    <w:rsid w:val="00806461"/>
    <w:rsid w:val="008064C1"/>
    <w:rsid w:val="00806635"/>
    <w:rsid w:val="0081096D"/>
    <w:rsid w:val="00810EAD"/>
    <w:rsid w:val="00811833"/>
    <w:rsid w:val="008134C7"/>
    <w:rsid w:val="00814BDE"/>
    <w:rsid w:val="00814DBC"/>
    <w:rsid w:val="008159A9"/>
    <w:rsid w:val="008174D4"/>
    <w:rsid w:val="0082002E"/>
    <w:rsid w:val="0082083C"/>
    <w:rsid w:val="00820C54"/>
    <w:rsid w:val="00820F37"/>
    <w:rsid w:val="00820FE6"/>
    <w:rsid w:val="00821A66"/>
    <w:rsid w:val="00822476"/>
    <w:rsid w:val="008227FB"/>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1CAC"/>
    <w:rsid w:val="008320ED"/>
    <w:rsid w:val="00832A0F"/>
    <w:rsid w:val="008353D5"/>
    <w:rsid w:val="00835408"/>
    <w:rsid w:val="008358A2"/>
    <w:rsid w:val="008359DA"/>
    <w:rsid w:val="00837CEF"/>
    <w:rsid w:val="00837E2F"/>
    <w:rsid w:val="00840035"/>
    <w:rsid w:val="00842661"/>
    <w:rsid w:val="008428A9"/>
    <w:rsid w:val="00842D1E"/>
    <w:rsid w:val="00844112"/>
    <w:rsid w:val="008444D6"/>
    <w:rsid w:val="008456C9"/>
    <w:rsid w:val="00845CE1"/>
    <w:rsid w:val="0084611D"/>
    <w:rsid w:val="00846177"/>
    <w:rsid w:val="008462E0"/>
    <w:rsid w:val="0084654D"/>
    <w:rsid w:val="00846C9F"/>
    <w:rsid w:val="00847BD6"/>
    <w:rsid w:val="00850137"/>
    <w:rsid w:val="00850C62"/>
    <w:rsid w:val="00852B48"/>
    <w:rsid w:val="0085474D"/>
    <w:rsid w:val="008550E7"/>
    <w:rsid w:val="00856481"/>
    <w:rsid w:val="00856484"/>
    <w:rsid w:val="008567A2"/>
    <w:rsid w:val="00856E6C"/>
    <w:rsid w:val="008578A7"/>
    <w:rsid w:val="00857DE1"/>
    <w:rsid w:val="00860793"/>
    <w:rsid w:val="00862636"/>
    <w:rsid w:val="00863011"/>
    <w:rsid w:val="0086340E"/>
    <w:rsid w:val="00863C5B"/>
    <w:rsid w:val="00863D2E"/>
    <w:rsid w:val="00864E32"/>
    <w:rsid w:val="00865075"/>
    <w:rsid w:val="00865B2B"/>
    <w:rsid w:val="00865E2D"/>
    <w:rsid w:val="0086615F"/>
    <w:rsid w:val="0086748F"/>
    <w:rsid w:val="00870FBB"/>
    <w:rsid w:val="00871A0D"/>
    <w:rsid w:val="00871B95"/>
    <w:rsid w:val="008720A7"/>
    <w:rsid w:val="00872757"/>
    <w:rsid w:val="00872CE4"/>
    <w:rsid w:val="0087359D"/>
    <w:rsid w:val="0087391D"/>
    <w:rsid w:val="00873AA4"/>
    <w:rsid w:val="00873CA8"/>
    <w:rsid w:val="00873F3E"/>
    <w:rsid w:val="00873F5D"/>
    <w:rsid w:val="0087507A"/>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0FFF"/>
    <w:rsid w:val="0089214A"/>
    <w:rsid w:val="00892226"/>
    <w:rsid w:val="008922FA"/>
    <w:rsid w:val="00892D3E"/>
    <w:rsid w:val="008936DC"/>
    <w:rsid w:val="00893784"/>
    <w:rsid w:val="00893E53"/>
    <w:rsid w:val="008945EB"/>
    <w:rsid w:val="00894C2A"/>
    <w:rsid w:val="008964A8"/>
    <w:rsid w:val="0089690B"/>
    <w:rsid w:val="00896A5F"/>
    <w:rsid w:val="0089728F"/>
    <w:rsid w:val="008976C0"/>
    <w:rsid w:val="00897708"/>
    <w:rsid w:val="00897D88"/>
    <w:rsid w:val="008A14C7"/>
    <w:rsid w:val="008A17AF"/>
    <w:rsid w:val="008A1F98"/>
    <w:rsid w:val="008A2C65"/>
    <w:rsid w:val="008A2F16"/>
    <w:rsid w:val="008A36AE"/>
    <w:rsid w:val="008A3B1C"/>
    <w:rsid w:val="008A48C3"/>
    <w:rsid w:val="008A4E18"/>
    <w:rsid w:val="008A520C"/>
    <w:rsid w:val="008A5493"/>
    <w:rsid w:val="008A596C"/>
    <w:rsid w:val="008A5A5D"/>
    <w:rsid w:val="008A64C4"/>
    <w:rsid w:val="008A6789"/>
    <w:rsid w:val="008A6BF7"/>
    <w:rsid w:val="008A6CC1"/>
    <w:rsid w:val="008A7011"/>
    <w:rsid w:val="008A72FB"/>
    <w:rsid w:val="008A7F03"/>
    <w:rsid w:val="008B009C"/>
    <w:rsid w:val="008B1823"/>
    <w:rsid w:val="008B1B4E"/>
    <w:rsid w:val="008B24DC"/>
    <w:rsid w:val="008B2BDF"/>
    <w:rsid w:val="008B4198"/>
    <w:rsid w:val="008B586A"/>
    <w:rsid w:val="008B6651"/>
    <w:rsid w:val="008B6E16"/>
    <w:rsid w:val="008B7110"/>
    <w:rsid w:val="008B7A20"/>
    <w:rsid w:val="008C0DF9"/>
    <w:rsid w:val="008C2029"/>
    <w:rsid w:val="008C267C"/>
    <w:rsid w:val="008C2E44"/>
    <w:rsid w:val="008C3427"/>
    <w:rsid w:val="008C381D"/>
    <w:rsid w:val="008C3BC2"/>
    <w:rsid w:val="008C4413"/>
    <w:rsid w:val="008C4F76"/>
    <w:rsid w:val="008C55AD"/>
    <w:rsid w:val="008C6127"/>
    <w:rsid w:val="008C61D6"/>
    <w:rsid w:val="008C649D"/>
    <w:rsid w:val="008C64F1"/>
    <w:rsid w:val="008C69DE"/>
    <w:rsid w:val="008C6E7E"/>
    <w:rsid w:val="008C7163"/>
    <w:rsid w:val="008C7C1A"/>
    <w:rsid w:val="008D0DC1"/>
    <w:rsid w:val="008D1326"/>
    <w:rsid w:val="008D191C"/>
    <w:rsid w:val="008D1BB0"/>
    <w:rsid w:val="008D20FF"/>
    <w:rsid w:val="008D24F5"/>
    <w:rsid w:val="008D2B9A"/>
    <w:rsid w:val="008D396D"/>
    <w:rsid w:val="008D3DE6"/>
    <w:rsid w:val="008D4223"/>
    <w:rsid w:val="008D44CC"/>
    <w:rsid w:val="008D46E3"/>
    <w:rsid w:val="008D4CED"/>
    <w:rsid w:val="008D50F9"/>
    <w:rsid w:val="008D5CAF"/>
    <w:rsid w:val="008D6709"/>
    <w:rsid w:val="008E083A"/>
    <w:rsid w:val="008E12AD"/>
    <w:rsid w:val="008E21BC"/>
    <w:rsid w:val="008E22FF"/>
    <w:rsid w:val="008E2450"/>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668"/>
    <w:rsid w:val="008F48E1"/>
    <w:rsid w:val="008F4C10"/>
    <w:rsid w:val="008F5442"/>
    <w:rsid w:val="008F653E"/>
    <w:rsid w:val="008F7328"/>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753"/>
    <w:rsid w:val="00907264"/>
    <w:rsid w:val="00907488"/>
    <w:rsid w:val="0090765F"/>
    <w:rsid w:val="00907DE6"/>
    <w:rsid w:val="00910642"/>
    <w:rsid w:val="00911305"/>
    <w:rsid w:val="00912590"/>
    <w:rsid w:val="009125B5"/>
    <w:rsid w:val="00913200"/>
    <w:rsid w:val="00914EAB"/>
    <w:rsid w:val="009152D8"/>
    <w:rsid w:val="009154FD"/>
    <w:rsid w:val="00915A1D"/>
    <w:rsid w:val="0092042F"/>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0E85"/>
    <w:rsid w:val="00931040"/>
    <w:rsid w:val="00931663"/>
    <w:rsid w:val="00931D22"/>
    <w:rsid w:val="00932CC7"/>
    <w:rsid w:val="00935306"/>
    <w:rsid w:val="00935CDE"/>
    <w:rsid w:val="0093605E"/>
    <w:rsid w:val="00936688"/>
    <w:rsid w:val="00936F09"/>
    <w:rsid w:val="00937683"/>
    <w:rsid w:val="00937AC9"/>
    <w:rsid w:val="00937CFA"/>
    <w:rsid w:val="00937FC6"/>
    <w:rsid w:val="00940291"/>
    <w:rsid w:val="009406B3"/>
    <w:rsid w:val="00942286"/>
    <w:rsid w:val="00942EFD"/>
    <w:rsid w:val="00942F30"/>
    <w:rsid w:val="00943748"/>
    <w:rsid w:val="00943AB7"/>
    <w:rsid w:val="00943CEE"/>
    <w:rsid w:val="009444F4"/>
    <w:rsid w:val="00944674"/>
    <w:rsid w:val="00945727"/>
    <w:rsid w:val="00945CC4"/>
    <w:rsid w:val="00945CF5"/>
    <w:rsid w:val="0094691C"/>
    <w:rsid w:val="00947C95"/>
    <w:rsid w:val="00947EED"/>
    <w:rsid w:val="009500A1"/>
    <w:rsid w:val="009502B0"/>
    <w:rsid w:val="0095037E"/>
    <w:rsid w:val="00951D97"/>
    <w:rsid w:val="00952230"/>
    <w:rsid w:val="00952AAD"/>
    <w:rsid w:val="00953B2B"/>
    <w:rsid w:val="00954567"/>
    <w:rsid w:val="009547B3"/>
    <w:rsid w:val="00954A89"/>
    <w:rsid w:val="00954DE0"/>
    <w:rsid w:val="00955B17"/>
    <w:rsid w:val="00956671"/>
    <w:rsid w:val="009568D4"/>
    <w:rsid w:val="00956EEA"/>
    <w:rsid w:val="00957466"/>
    <w:rsid w:val="009576F7"/>
    <w:rsid w:val="00960646"/>
    <w:rsid w:val="00960722"/>
    <w:rsid w:val="00961356"/>
    <w:rsid w:val="00962401"/>
    <w:rsid w:val="00962510"/>
    <w:rsid w:val="0096260B"/>
    <w:rsid w:val="0096275C"/>
    <w:rsid w:val="009627FF"/>
    <w:rsid w:val="0096290F"/>
    <w:rsid w:val="00962A27"/>
    <w:rsid w:val="00962B9D"/>
    <w:rsid w:val="00962EDC"/>
    <w:rsid w:val="00964E3D"/>
    <w:rsid w:val="009664D5"/>
    <w:rsid w:val="009668A9"/>
    <w:rsid w:val="00966E6A"/>
    <w:rsid w:val="009670C1"/>
    <w:rsid w:val="00970C69"/>
    <w:rsid w:val="00971262"/>
    <w:rsid w:val="00971F1C"/>
    <w:rsid w:val="009720F0"/>
    <w:rsid w:val="0097211D"/>
    <w:rsid w:val="009724F9"/>
    <w:rsid w:val="0097263C"/>
    <w:rsid w:val="00972DF9"/>
    <w:rsid w:val="00972E10"/>
    <w:rsid w:val="009738AD"/>
    <w:rsid w:val="00973DE4"/>
    <w:rsid w:val="00974694"/>
    <w:rsid w:val="009746CA"/>
    <w:rsid w:val="00974E7C"/>
    <w:rsid w:val="00976F71"/>
    <w:rsid w:val="00977134"/>
    <w:rsid w:val="00980013"/>
    <w:rsid w:val="0098010E"/>
    <w:rsid w:val="009801B9"/>
    <w:rsid w:val="0098028A"/>
    <w:rsid w:val="0098030F"/>
    <w:rsid w:val="00980E65"/>
    <w:rsid w:val="0098122D"/>
    <w:rsid w:val="00981963"/>
    <w:rsid w:val="00982AAE"/>
    <w:rsid w:val="009831B9"/>
    <w:rsid w:val="00983A16"/>
    <w:rsid w:val="00983C82"/>
    <w:rsid w:val="009844D6"/>
    <w:rsid w:val="00984520"/>
    <w:rsid w:val="00985337"/>
    <w:rsid w:val="0098545C"/>
    <w:rsid w:val="00985F36"/>
    <w:rsid w:val="009862F1"/>
    <w:rsid w:val="00986F70"/>
    <w:rsid w:val="009871EA"/>
    <w:rsid w:val="00987CEA"/>
    <w:rsid w:val="00991675"/>
    <w:rsid w:val="00992BA2"/>
    <w:rsid w:val="00992F83"/>
    <w:rsid w:val="0099344F"/>
    <w:rsid w:val="00993577"/>
    <w:rsid w:val="00993A3C"/>
    <w:rsid w:val="00994633"/>
    <w:rsid w:val="0099508A"/>
    <w:rsid w:val="009967D7"/>
    <w:rsid w:val="009974EB"/>
    <w:rsid w:val="00997A12"/>
    <w:rsid w:val="009A0C49"/>
    <w:rsid w:val="009A1126"/>
    <w:rsid w:val="009A1CB4"/>
    <w:rsid w:val="009A2157"/>
    <w:rsid w:val="009A439E"/>
    <w:rsid w:val="009A5564"/>
    <w:rsid w:val="009A5C33"/>
    <w:rsid w:val="009A7469"/>
    <w:rsid w:val="009B07EE"/>
    <w:rsid w:val="009B1584"/>
    <w:rsid w:val="009B1B32"/>
    <w:rsid w:val="009B21CA"/>
    <w:rsid w:val="009B2648"/>
    <w:rsid w:val="009B424E"/>
    <w:rsid w:val="009B4317"/>
    <w:rsid w:val="009B4EBB"/>
    <w:rsid w:val="009B529C"/>
    <w:rsid w:val="009B5FA5"/>
    <w:rsid w:val="009B61B2"/>
    <w:rsid w:val="009B679E"/>
    <w:rsid w:val="009B7332"/>
    <w:rsid w:val="009B7420"/>
    <w:rsid w:val="009B7B09"/>
    <w:rsid w:val="009B7B46"/>
    <w:rsid w:val="009C0294"/>
    <w:rsid w:val="009C03E5"/>
    <w:rsid w:val="009C08B6"/>
    <w:rsid w:val="009C0920"/>
    <w:rsid w:val="009C12C3"/>
    <w:rsid w:val="009C1928"/>
    <w:rsid w:val="009C196C"/>
    <w:rsid w:val="009C1B5C"/>
    <w:rsid w:val="009C1FD2"/>
    <w:rsid w:val="009C36E6"/>
    <w:rsid w:val="009C3730"/>
    <w:rsid w:val="009C37BD"/>
    <w:rsid w:val="009C3888"/>
    <w:rsid w:val="009C3AAC"/>
    <w:rsid w:val="009C4D19"/>
    <w:rsid w:val="009C5F6C"/>
    <w:rsid w:val="009C5FDB"/>
    <w:rsid w:val="009C693E"/>
    <w:rsid w:val="009C6B2C"/>
    <w:rsid w:val="009C6ED6"/>
    <w:rsid w:val="009C70CB"/>
    <w:rsid w:val="009C7623"/>
    <w:rsid w:val="009C7D89"/>
    <w:rsid w:val="009C7E41"/>
    <w:rsid w:val="009D07C7"/>
    <w:rsid w:val="009D14EB"/>
    <w:rsid w:val="009D1B18"/>
    <w:rsid w:val="009D1E70"/>
    <w:rsid w:val="009D1EA4"/>
    <w:rsid w:val="009D27AA"/>
    <w:rsid w:val="009D2BFD"/>
    <w:rsid w:val="009D2FF8"/>
    <w:rsid w:val="009D3F20"/>
    <w:rsid w:val="009D428F"/>
    <w:rsid w:val="009D4991"/>
    <w:rsid w:val="009D597B"/>
    <w:rsid w:val="009D5A89"/>
    <w:rsid w:val="009D5BB5"/>
    <w:rsid w:val="009D6657"/>
    <w:rsid w:val="009D66C1"/>
    <w:rsid w:val="009D696D"/>
    <w:rsid w:val="009D6993"/>
    <w:rsid w:val="009D6ED2"/>
    <w:rsid w:val="009D78A3"/>
    <w:rsid w:val="009D7DB4"/>
    <w:rsid w:val="009E0603"/>
    <w:rsid w:val="009E08B3"/>
    <w:rsid w:val="009E0F1A"/>
    <w:rsid w:val="009E140D"/>
    <w:rsid w:val="009E43DD"/>
    <w:rsid w:val="009E4465"/>
    <w:rsid w:val="009E5318"/>
    <w:rsid w:val="009E6401"/>
    <w:rsid w:val="009E6C54"/>
    <w:rsid w:val="009E72E8"/>
    <w:rsid w:val="009F04C8"/>
    <w:rsid w:val="009F0812"/>
    <w:rsid w:val="009F0E02"/>
    <w:rsid w:val="009F1B6A"/>
    <w:rsid w:val="009F2408"/>
    <w:rsid w:val="009F248B"/>
    <w:rsid w:val="009F2A25"/>
    <w:rsid w:val="009F3A1A"/>
    <w:rsid w:val="009F4C7D"/>
    <w:rsid w:val="009F5235"/>
    <w:rsid w:val="009F531A"/>
    <w:rsid w:val="009F5EB9"/>
    <w:rsid w:val="009F6344"/>
    <w:rsid w:val="009F6550"/>
    <w:rsid w:val="009F6B65"/>
    <w:rsid w:val="009F786E"/>
    <w:rsid w:val="009F7B30"/>
    <w:rsid w:val="00A00817"/>
    <w:rsid w:val="00A00902"/>
    <w:rsid w:val="00A0098B"/>
    <w:rsid w:val="00A01A28"/>
    <w:rsid w:val="00A0294E"/>
    <w:rsid w:val="00A0327A"/>
    <w:rsid w:val="00A039FF"/>
    <w:rsid w:val="00A04524"/>
    <w:rsid w:val="00A046F6"/>
    <w:rsid w:val="00A05758"/>
    <w:rsid w:val="00A05ACE"/>
    <w:rsid w:val="00A06DBC"/>
    <w:rsid w:val="00A10C6C"/>
    <w:rsid w:val="00A114B9"/>
    <w:rsid w:val="00A11895"/>
    <w:rsid w:val="00A1211A"/>
    <w:rsid w:val="00A139BF"/>
    <w:rsid w:val="00A13A2E"/>
    <w:rsid w:val="00A13A65"/>
    <w:rsid w:val="00A13A67"/>
    <w:rsid w:val="00A14589"/>
    <w:rsid w:val="00A14AE3"/>
    <w:rsid w:val="00A151A0"/>
    <w:rsid w:val="00A16675"/>
    <w:rsid w:val="00A218AC"/>
    <w:rsid w:val="00A21955"/>
    <w:rsid w:val="00A22BB6"/>
    <w:rsid w:val="00A22CD6"/>
    <w:rsid w:val="00A234EC"/>
    <w:rsid w:val="00A24128"/>
    <w:rsid w:val="00A2417A"/>
    <w:rsid w:val="00A25642"/>
    <w:rsid w:val="00A26668"/>
    <w:rsid w:val="00A2681F"/>
    <w:rsid w:val="00A27804"/>
    <w:rsid w:val="00A317EA"/>
    <w:rsid w:val="00A320F6"/>
    <w:rsid w:val="00A3276D"/>
    <w:rsid w:val="00A330B0"/>
    <w:rsid w:val="00A334D1"/>
    <w:rsid w:val="00A34029"/>
    <w:rsid w:val="00A34257"/>
    <w:rsid w:val="00A34426"/>
    <w:rsid w:val="00A346FC"/>
    <w:rsid w:val="00A34F44"/>
    <w:rsid w:val="00A34F72"/>
    <w:rsid w:val="00A35CDF"/>
    <w:rsid w:val="00A3655D"/>
    <w:rsid w:val="00A36822"/>
    <w:rsid w:val="00A36AB5"/>
    <w:rsid w:val="00A374FD"/>
    <w:rsid w:val="00A3754B"/>
    <w:rsid w:val="00A402DD"/>
    <w:rsid w:val="00A4069E"/>
    <w:rsid w:val="00A40BBF"/>
    <w:rsid w:val="00A411D1"/>
    <w:rsid w:val="00A432E9"/>
    <w:rsid w:val="00A43389"/>
    <w:rsid w:val="00A434A7"/>
    <w:rsid w:val="00A43687"/>
    <w:rsid w:val="00A43E71"/>
    <w:rsid w:val="00A4526F"/>
    <w:rsid w:val="00A454C0"/>
    <w:rsid w:val="00A45753"/>
    <w:rsid w:val="00A457B8"/>
    <w:rsid w:val="00A46E47"/>
    <w:rsid w:val="00A479DC"/>
    <w:rsid w:val="00A47B15"/>
    <w:rsid w:val="00A5094A"/>
    <w:rsid w:val="00A51708"/>
    <w:rsid w:val="00A52F84"/>
    <w:rsid w:val="00A533CC"/>
    <w:rsid w:val="00A54284"/>
    <w:rsid w:val="00A5465A"/>
    <w:rsid w:val="00A54FB5"/>
    <w:rsid w:val="00A552C0"/>
    <w:rsid w:val="00A55BFA"/>
    <w:rsid w:val="00A56B05"/>
    <w:rsid w:val="00A56C06"/>
    <w:rsid w:val="00A56E50"/>
    <w:rsid w:val="00A57678"/>
    <w:rsid w:val="00A57972"/>
    <w:rsid w:val="00A579F5"/>
    <w:rsid w:val="00A57F07"/>
    <w:rsid w:val="00A57F83"/>
    <w:rsid w:val="00A60E2F"/>
    <w:rsid w:val="00A6199F"/>
    <w:rsid w:val="00A627AD"/>
    <w:rsid w:val="00A63246"/>
    <w:rsid w:val="00A63284"/>
    <w:rsid w:val="00A63458"/>
    <w:rsid w:val="00A634AE"/>
    <w:rsid w:val="00A6372D"/>
    <w:rsid w:val="00A64CB8"/>
    <w:rsid w:val="00A64E3E"/>
    <w:rsid w:val="00A66065"/>
    <w:rsid w:val="00A66D10"/>
    <w:rsid w:val="00A67018"/>
    <w:rsid w:val="00A671D2"/>
    <w:rsid w:val="00A67289"/>
    <w:rsid w:val="00A672F3"/>
    <w:rsid w:val="00A673DC"/>
    <w:rsid w:val="00A7076E"/>
    <w:rsid w:val="00A709BE"/>
    <w:rsid w:val="00A70D85"/>
    <w:rsid w:val="00A7162E"/>
    <w:rsid w:val="00A72D71"/>
    <w:rsid w:val="00A73112"/>
    <w:rsid w:val="00A73617"/>
    <w:rsid w:val="00A747D2"/>
    <w:rsid w:val="00A7511E"/>
    <w:rsid w:val="00A75123"/>
    <w:rsid w:val="00A753C0"/>
    <w:rsid w:val="00A75705"/>
    <w:rsid w:val="00A75F35"/>
    <w:rsid w:val="00A765A9"/>
    <w:rsid w:val="00A77BF3"/>
    <w:rsid w:val="00A77C69"/>
    <w:rsid w:val="00A812B1"/>
    <w:rsid w:val="00A82C61"/>
    <w:rsid w:val="00A8301B"/>
    <w:rsid w:val="00A83049"/>
    <w:rsid w:val="00A83945"/>
    <w:rsid w:val="00A83953"/>
    <w:rsid w:val="00A83CD7"/>
    <w:rsid w:val="00A8400B"/>
    <w:rsid w:val="00A8416A"/>
    <w:rsid w:val="00A846DA"/>
    <w:rsid w:val="00A853D8"/>
    <w:rsid w:val="00A8661E"/>
    <w:rsid w:val="00A8695A"/>
    <w:rsid w:val="00A86ACF"/>
    <w:rsid w:val="00A8708E"/>
    <w:rsid w:val="00A903B6"/>
    <w:rsid w:val="00A90F4F"/>
    <w:rsid w:val="00A919AD"/>
    <w:rsid w:val="00A91F90"/>
    <w:rsid w:val="00A92507"/>
    <w:rsid w:val="00A92579"/>
    <w:rsid w:val="00A92EF7"/>
    <w:rsid w:val="00A936F9"/>
    <w:rsid w:val="00A947AA"/>
    <w:rsid w:val="00A94888"/>
    <w:rsid w:val="00A94990"/>
    <w:rsid w:val="00A9681C"/>
    <w:rsid w:val="00A96867"/>
    <w:rsid w:val="00A96B3D"/>
    <w:rsid w:val="00A97141"/>
    <w:rsid w:val="00A97820"/>
    <w:rsid w:val="00A97A4E"/>
    <w:rsid w:val="00A97E07"/>
    <w:rsid w:val="00AA1B53"/>
    <w:rsid w:val="00AA1DEA"/>
    <w:rsid w:val="00AA256D"/>
    <w:rsid w:val="00AA311D"/>
    <w:rsid w:val="00AA3556"/>
    <w:rsid w:val="00AA35FD"/>
    <w:rsid w:val="00AA364F"/>
    <w:rsid w:val="00AA3DB7"/>
    <w:rsid w:val="00AA41D3"/>
    <w:rsid w:val="00AA46A1"/>
    <w:rsid w:val="00AA554C"/>
    <w:rsid w:val="00AA694F"/>
    <w:rsid w:val="00AA712F"/>
    <w:rsid w:val="00AB0039"/>
    <w:rsid w:val="00AB0D96"/>
    <w:rsid w:val="00AB15A3"/>
    <w:rsid w:val="00AB177A"/>
    <w:rsid w:val="00AB216D"/>
    <w:rsid w:val="00AB21AA"/>
    <w:rsid w:val="00AB2F94"/>
    <w:rsid w:val="00AB3012"/>
    <w:rsid w:val="00AB321C"/>
    <w:rsid w:val="00AB3CED"/>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FF3"/>
    <w:rsid w:val="00AC4938"/>
    <w:rsid w:val="00AC4A34"/>
    <w:rsid w:val="00AC4BC1"/>
    <w:rsid w:val="00AC5029"/>
    <w:rsid w:val="00AC5715"/>
    <w:rsid w:val="00AC7D8D"/>
    <w:rsid w:val="00AD04BD"/>
    <w:rsid w:val="00AD0765"/>
    <w:rsid w:val="00AD0F00"/>
    <w:rsid w:val="00AD14B8"/>
    <w:rsid w:val="00AD296B"/>
    <w:rsid w:val="00AD299E"/>
    <w:rsid w:val="00AD312A"/>
    <w:rsid w:val="00AD5374"/>
    <w:rsid w:val="00AD55A8"/>
    <w:rsid w:val="00AD5A2E"/>
    <w:rsid w:val="00AD5CA4"/>
    <w:rsid w:val="00AD6076"/>
    <w:rsid w:val="00AD634F"/>
    <w:rsid w:val="00AD6591"/>
    <w:rsid w:val="00AD6A91"/>
    <w:rsid w:val="00AD6EE3"/>
    <w:rsid w:val="00AD7214"/>
    <w:rsid w:val="00AE04DB"/>
    <w:rsid w:val="00AE0C58"/>
    <w:rsid w:val="00AE0E09"/>
    <w:rsid w:val="00AE103C"/>
    <w:rsid w:val="00AE1066"/>
    <w:rsid w:val="00AE14DD"/>
    <w:rsid w:val="00AE1A2D"/>
    <w:rsid w:val="00AE2CB7"/>
    <w:rsid w:val="00AE2FA5"/>
    <w:rsid w:val="00AE3215"/>
    <w:rsid w:val="00AE3A4F"/>
    <w:rsid w:val="00AE4518"/>
    <w:rsid w:val="00AE49D9"/>
    <w:rsid w:val="00AE4C42"/>
    <w:rsid w:val="00AE5D7F"/>
    <w:rsid w:val="00AE7140"/>
    <w:rsid w:val="00AE79F0"/>
    <w:rsid w:val="00AF07B0"/>
    <w:rsid w:val="00AF0AFC"/>
    <w:rsid w:val="00AF109C"/>
    <w:rsid w:val="00AF1752"/>
    <w:rsid w:val="00AF2896"/>
    <w:rsid w:val="00AF3F1D"/>
    <w:rsid w:val="00AF42FC"/>
    <w:rsid w:val="00AF4AC5"/>
    <w:rsid w:val="00AF4C2C"/>
    <w:rsid w:val="00AF597D"/>
    <w:rsid w:val="00AF6EC1"/>
    <w:rsid w:val="00AF7416"/>
    <w:rsid w:val="00AF784D"/>
    <w:rsid w:val="00AF7CE9"/>
    <w:rsid w:val="00B00331"/>
    <w:rsid w:val="00B00E46"/>
    <w:rsid w:val="00B01102"/>
    <w:rsid w:val="00B014A1"/>
    <w:rsid w:val="00B01A80"/>
    <w:rsid w:val="00B03EF5"/>
    <w:rsid w:val="00B046AF"/>
    <w:rsid w:val="00B06036"/>
    <w:rsid w:val="00B061F5"/>
    <w:rsid w:val="00B07C27"/>
    <w:rsid w:val="00B07DDE"/>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20203"/>
    <w:rsid w:val="00B203C4"/>
    <w:rsid w:val="00B20863"/>
    <w:rsid w:val="00B20CDD"/>
    <w:rsid w:val="00B20E37"/>
    <w:rsid w:val="00B21584"/>
    <w:rsid w:val="00B21F27"/>
    <w:rsid w:val="00B224DF"/>
    <w:rsid w:val="00B22683"/>
    <w:rsid w:val="00B22BC9"/>
    <w:rsid w:val="00B22E81"/>
    <w:rsid w:val="00B232FE"/>
    <w:rsid w:val="00B23996"/>
    <w:rsid w:val="00B23A8A"/>
    <w:rsid w:val="00B23BBE"/>
    <w:rsid w:val="00B23CB2"/>
    <w:rsid w:val="00B240CC"/>
    <w:rsid w:val="00B24E14"/>
    <w:rsid w:val="00B2561A"/>
    <w:rsid w:val="00B256C1"/>
    <w:rsid w:val="00B25A64"/>
    <w:rsid w:val="00B25A79"/>
    <w:rsid w:val="00B25B94"/>
    <w:rsid w:val="00B26E97"/>
    <w:rsid w:val="00B26EB9"/>
    <w:rsid w:val="00B271F2"/>
    <w:rsid w:val="00B277C4"/>
    <w:rsid w:val="00B31884"/>
    <w:rsid w:val="00B31D19"/>
    <w:rsid w:val="00B32155"/>
    <w:rsid w:val="00B32396"/>
    <w:rsid w:val="00B32AB3"/>
    <w:rsid w:val="00B32DAE"/>
    <w:rsid w:val="00B33825"/>
    <w:rsid w:val="00B34BB2"/>
    <w:rsid w:val="00B34E7C"/>
    <w:rsid w:val="00B35AF6"/>
    <w:rsid w:val="00B36228"/>
    <w:rsid w:val="00B366A3"/>
    <w:rsid w:val="00B368EA"/>
    <w:rsid w:val="00B3741E"/>
    <w:rsid w:val="00B37EEF"/>
    <w:rsid w:val="00B41344"/>
    <w:rsid w:val="00B418AD"/>
    <w:rsid w:val="00B41DAD"/>
    <w:rsid w:val="00B4229C"/>
    <w:rsid w:val="00B42F1A"/>
    <w:rsid w:val="00B43790"/>
    <w:rsid w:val="00B4430B"/>
    <w:rsid w:val="00B443D9"/>
    <w:rsid w:val="00B44531"/>
    <w:rsid w:val="00B445EA"/>
    <w:rsid w:val="00B46587"/>
    <w:rsid w:val="00B47AD2"/>
    <w:rsid w:val="00B47CF7"/>
    <w:rsid w:val="00B50686"/>
    <w:rsid w:val="00B50C50"/>
    <w:rsid w:val="00B50ED1"/>
    <w:rsid w:val="00B513C0"/>
    <w:rsid w:val="00B52CF8"/>
    <w:rsid w:val="00B53708"/>
    <w:rsid w:val="00B53DCB"/>
    <w:rsid w:val="00B5428F"/>
    <w:rsid w:val="00B54370"/>
    <w:rsid w:val="00B54DEA"/>
    <w:rsid w:val="00B54FDF"/>
    <w:rsid w:val="00B55185"/>
    <w:rsid w:val="00B55C03"/>
    <w:rsid w:val="00B55F0B"/>
    <w:rsid w:val="00B5695D"/>
    <w:rsid w:val="00B56A70"/>
    <w:rsid w:val="00B602D5"/>
    <w:rsid w:val="00B60638"/>
    <w:rsid w:val="00B606F8"/>
    <w:rsid w:val="00B60A44"/>
    <w:rsid w:val="00B616D5"/>
    <w:rsid w:val="00B61872"/>
    <w:rsid w:val="00B61923"/>
    <w:rsid w:val="00B621D6"/>
    <w:rsid w:val="00B63AF2"/>
    <w:rsid w:val="00B64278"/>
    <w:rsid w:val="00B65747"/>
    <w:rsid w:val="00B65D6F"/>
    <w:rsid w:val="00B65FAD"/>
    <w:rsid w:val="00B66174"/>
    <w:rsid w:val="00B661B5"/>
    <w:rsid w:val="00B67B37"/>
    <w:rsid w:val="00B67C23"/>
    <w:rsid w:val="00B7079B"/>
    <w:rsid w:val="00B70BE5"/>
    <w:rsid w:val="00B70DC7"/>
    <w:rsid w:val="00B721A4"/>
    <w:rsid w:val="00B72B5B"/>
    <w:rsid w:val="00B72EFF"/>
    <w:rsid w:val="00B73AA7"/>
    <w:rsid w:val="00B73C25"/>
    <w:rsid w:val="00B73DCE"/>
    <w:rsid w:val="00B746E4"/>
    <w:rsid w:val="00B74A6F"/>
    <w:rsid w:val="00B74D64"/>
    <w:rsid w:val="00B750C2"/>
    <w:rsid w:val="00B75411"/>
    <w:rsid w:val="00B7546A"/>
    <w:rsid w:val="00B756CB"/>
    <w:rsid w:val="00B75735"/>
    <w:rsid w:val="00B77142"/>
    <w:rsid w:val="00B77746"/>
    <w:rsid w:val="00B8010E"/>
    <w:rsid w:val="00B80879"/>
    <w:rsid w:val="00B80A2C"/>
    <w:rsid w:val="00B80D3B"/>
    <w:rsid w:val="00B8135C"/>
    <w:rsid w:val="00B814BB"/>
    <w:rsid w:val="00B81730"/>
    <w:rsid w:val="00B81F60"/>
    <w:rsid w:val="00B82123"/>
    <w:rsid w:val="00B823D4"/>
    <w:rsid w:val="00B82BEC"/>
    <w:rsid w:val="00B8314A"/>
    <w:rsid w:val="00B833D5"/>
    <w:rsid w:val="00B841AC"/>
    <w:rsid w:val="00B844A6"/>
    <w:rsid w:val="00B85873"/>
    <w:rsid w:val="00B85E95"/>
    <w:rsid w:val="00B865B0"/>
    <w:rsid w:val="00B865DC"/>
    <w:rsid w:val="00B86E3A"/>
    <w:rsid w:val="00B870E8"/>
    <w:rsid w:val="00B874E9"/>
    <w:rsid w:val="00B875E3"/>
    <w:rsid w:val="00B87ACB"/>
    <w:rsid w:val="00B87C29"/>
    <w:rsid w:val="00B90780"/>
    <w:rsid w:val="00B90968"/>
    <w:rsid w:val="00B918BB"/>
    <w:rsid w:val="00B91A15"/>
    <w:rsid w:val="00B91BC2"/>
    <w:rsid w:val="00B9240D"/>
    <w:rsid w:val="00B93E0B"/>
    <w:rsid w:val="00B94855"/>
    <w:rsid w:val="00B94960"/>
    <w:rsid w:val="00B9543E"/>
    <w:rsid w:val="00B96F6E"/>
    <w:rsid w:val="00B9702A"/>
    <w:rsid w:val="00B979D4"/>
    <w:rsid w:val="00BA027A"/>
    <w:rsid w:val="00BA0703"/>
    <w:rsid w:val="00BA22A8"/>
    <w:rsid w:val="00BA309F"/>
    <w:rsid w:val="00BA3B8F"/>
    <w:rsid w:val="00BA3E48"/>
    <w:rsid w:val="00BA4905"/>
    <w:rsid w:val="00BA4BD3"/>
    <w:rsid w:val="00BA5B51"/>
    <w:rsid w:val="00BA6120"/>
    <w:rsid w:val="00BA6E49"/>
    <w:rsid w:val="00BB0187"/>
    <w:rsid w:val="00BB0C2D"/>
    <w:rsid w:val="00BB0E56"/>
    <w:rsid w:val="00BB1473"/>
    <w:rsid w:val="00BB1EB3"/>
    <w:rsid w:val="00BB2678"/>
    <w:rsid w:val="00BB3077"/>
    <w:rsid w:val="00BB31D5"/>
    <w:rsid w:val="00BB33A8"/>
    <w:rsid w:val="00BB3927"/>
    <w:rsid w:val="00BB3D8C"/>
    <w:rsid w:val="00BB4B39"/>
    <w:rsid w:val="00BB4E17"/>
    <w:rsid w:val="00BB53AF"/>
    <w:rsid w:val="00BB5BDF"/>
    <w:rsid w:val="00BB5C26"/>
    <w:rsid w:val="00BB64B7"/>
    <w:rsid w:val="00BB6591"/>
    <w:rsid w:val="00BB6A40"/>
    <w:rsid w:val="00BC013A"/>
    <w:rsid w:val="00BC12F7"/>
    <w:rsid w:val="00BC162A"/>
    <w:rsid w:val="00BC2343"/>
    <w:rsid w:val="00BC2A29"/>
    <w:rsid w:val="00BC2BE7"/>
    <w:rsid w:val="00BC2E1B"/>
    <w:rsid w:val="00BC3F52"/>
    <w:rsid w:val="00BC43D7"/>
    <w:rsid w:val="00BC4ED3"/>
    <w:rsid w:val="00BC5824"/>
    <w:rsid w:val="00BC6B20"/>
    <w:rsid w:val="00BC702F"/>
    <w:rsid w:val="00BC7377"/>
    <w:rsid w:val="00BD0707"/>
    <w:rsid w:val="00BD0ECF"/>
    <w:rsid w:val="00BD13C1"/>
    <w:rsid w:val="00BD30C8"/>
    <w:rsid w:val="00BD38F4"/>
    <w:rsid w:val="00BD3EB4"/>
    <w:rsid w:val="00BD4C5B"/>
    <w:rsid w:val="00BD4F01"/>
    <w:rsid w:val="00BD5359"/>
    <w:rsid w:val="00BD556E"/>
    <w:rsid w:val="00BD5C65"/>
    <w:rsid w:val="00BD7906"/>
    <w:rsid w:val="00BD7BCC"/>
    <w:rsid w:val="00BE0557"/>
    <w:rsid w:val="00BE16E9"/>
    <w:rsid w:val="00BE1E11"/>
    <w:rsid w:val="00BE2730"/>
    <w:rsid w:val="00BE2A17"/>
    <w:rsid w:val="00BE2D83"/>
    <w:rsid w:val="00BE31BE"/>
    <w:rsid w:val="00BE3A1D"/>
    <w:rsid w:val="00BE3ABB"/>
    <w:rsid w:val="00BE3B92"/>
    <w:rsid w:val="00BE487E"/>
    <w:rsid w:val="00BE528E"/>
    <w:rsid w:val="00BE6018"/>
    <w:rsid w:val="00BE7086"/>
    <w:rsid w:val="00BE7278"/>
    <w:rsid w:val="00BF1F57"/>
    <w:rsid w:val="00BF20FD"/>
    <w:rsid w:val="00BF2239"/>
    <w:rsid w:val="00BF22C6"/>
    <w:rsid w:val="00BF27DD"/>
    <w:rsid w:val="00BF34C2"/>
    <w:rsid w:val="00BF3804"/>
    <w:rsid w:val="00BF3B4E"/>
    <w:rsid w:val="00BF3B89"/>
    <w:rsid w:val="00BF4086"/>
    <w:rsid w:val="00BF426C"/>
    <w:rsid w:val="00BF4594"/>
    <w:rsid w:val="00BF58D0"/>
    <w:rsid w:val="00BF6027"/>
    <w:rsid w:val="00BF6702"/>
    <w:rsid w:val="00BF7561"/>
    <w:rsid w:val="00BF7952"/>
    <w:rsid w:val="00BF7D6A"/>
    <w:rsid w:val="00C0021D"/>
    <w:rsid w:val="00C00300"/>
    <w:rsid w:val="00C0068D"/>
    <w:rsid w:val="00C00A6C"/>
    <w:rsid w:val="00C00B8B"/>
    <w:rsid w:val="00C013E1"/>
    <w:rsid w:val="00C01611"/>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153"/>
    <w:rsid w:val="00C11521"/>
    <w:rsid w:val="00C142AD"/>
    <w:rsid w:val="00C142C1"/>
    <w:rsid w:val="00C14A30"/>
    <w:rsid w:val="00C152FE"/>
    <w:rsid w:val="00C15D1B"/>
    <w:rsid w:val="00C16739"/>
    <w:rsid w:val="00C168DD"/>
    <w:rsid w:val="00C176CC"/>
    <w:rsid w:val="00C20E37"/>
    <w:rsid w:val="00C21031"/>
    <w:rsid w:val="00C221B9"/>
    <w:rsid w:val="00C225EA"/>
    <w:rsid w:val="00C226E6"/>
    <w:rsid w:val="00C22CCE"/>
    <w:rsid w:val="00C232BC"/>
    <w:rsid w:val="00C23BA2"/>
    <w:rsid w:val="00C2485F"/>
    <w:rsid w:val="00C248B1"/>
    <w:rsid w:val="00C24ACA"/>
    <w:rsid w:val="00C24B63"/>
    <w:rsid w:val="00C256C3"/>
    <w:rsid w:val="00C262A0"/>
    <w:rsid w:val="00C26A4E"/>
    <w:rsid w:val="00C271D2"/>
    <w:rsid w:val="00C31195"/>
    <w:rsid w:val="00C31774"/>
    <w:rsid w:val="00C3180E"/>
    <w:rsid w:val="00C32AF2"/>
    <w:rsid w:val="00C33051"/>
    <w:rsid w:val="00C33204"/>
    <w:rsid w:val="00C338EB"/>
    <w:rsid w:val="00C34389"/>
    <w:rsid w:val="00C3465D"/>
    <w:rsid w:val="00C347D5"/>
    <w:rsid w:val="00C35C57"/>
    <w:rsid w:val="00C379E9"/>
    <w:rsid w:val="00C37C29"/>
    <w:rsid w:val="00C37EDC"/>
    <w:rsid w:val="00C403CD"/>
    <w:rsid w:val="00C4082B"/>
    <w:rsid w:val="00C40ECA"/>
    <w:rsid w:val="00C411AC"/>
    <w:rsid w:val="00C41B04"/>
    <w:rsid w:val="00C42041"/>
    <w:rsid w:val="00C42949"/>
    <w:rsid w:val="00C42BD9"/>
    <w:rsid w:val="00C43934"/>
    <w:rsid w:val="00C43935"/>
    <w:rsid w:val="00C439FB"/>
    <w:rsid w:val="00C43AA8"/>
    <w:rsid w:val="00C43F23"/>
    <w:rsid w:val="00C441A4"/>
    <w:rsid w:val="00C452E1"/>
    <w:rsid w:val="00C45C1B"/>
    <w:rsid w:val="00C463C9"/>
    <w:rsid w:val="00C47648"/>
    <w:rsid w:val="00C47852"/>
    <w:rsid w:val="00C50011"/>
    <w:rsid w:val="00C51827"/>
    <w:rsid w:val="00C5254B"/>
    <w:rsid w:val="00C53973"/>
    <w:rsid w:val="00C5569A"/>
    <w:rsid w:val="00C55D39"/>
    <w:rsid w:val="00C55FBF"/>
    <w:rsid w:val="00C57E68"/>
    <w:rsid w:val="00C601C9"/>
    <w:rsid w:val="00C6038C"/>
    <w:rsid w:val="00C616D0"/>
    <w:rsid w:val="00C623C6"/>
    <w:rsid w:val="00C62C8A"/>
    <w:rsid w:val="00C631D3"/>
    <w:rsid w:val="00C631E8"/>
    <w:rsid w:val="00C645E6"/>
    <w:rsid w:val="00C64813"/>
    <w:rsid w:val="00C64D82"/>
    <w:rsid w:val="00C64FBC"/>
    <w:rsid w:val="00C65A83"/>
    <w:rsid w:val="00C66A00"/>
    <w:rsid w:val="00C66CBE"/>
    <w:rsid w:val="00C67118"/>
    <w:rsid w:val="00C67276"/>
    <w:rsid w:val="00C67DDD"/>
    <w:rsid w:val="00C70139"/>
    <w:rsid w:val="00C7072A"/>
    <w:rsid w:val="00C7191D"/>
    <w:rsid w:val="00C72603"/>
    <w:rsid w:val="00C728C2"/>
    <w:rsid w:val="00C72C6F"/>
    <w:rsid w:val="00C73BE3"/>
    <w:rsid w:val="00C74453"/>
    <w:rsid w:val="00C7473A"/>
    <w:rsid w:val="00C750E4"/>
    <w:rsid w:val="00C75AB0"/>
    <w:rsid w:val="00C75EDE"/>
    <w:rsid w:val="00C76166"/>
    <w:rsid w:val="00C76B7B"/>
    <w:rsid w:val="00C76BBD"/>
    <w:rsid w:val="00C76DE2"/>
    <w:rsid w:val="00C772BA"/>
    <w:rsid w:val="00C77555"/>
    <w:rsid w:val="00C7770C"/>
    <w:rsid w:val="00C802D1"/>
    <w:rsid w:val="00C8036C"/>
    <w:rsid w:val="00C80CD8"/>
    <w:rsid w:val="00C80F23"/>
    <w:rsid w:val="00C81151"/>
    <w:rsid w:val="00C82AC2"/>
    <w:rsid w:val="00C82CC6"/>
    <w:rsid w:val="00C839CB"/>
    <w:rsid w:val="00C841CE"/>
    <w:rsid w:val="00C84593"/>
    <w:rsid w:val="00C850A3"/>
    <w:rsid w:val="00C85C32"/>
    <w:rsid w:val="00C85D4F"/>
    <w:rsid w:val="00C85F45"/>
    <w:rsid w:val="00C86C8C"/>
    <w:rsid w:val="00C87473"/>
    <w:rsid w:val="00C87568"/>
    <w:rsid w:val="00C87FD0"/>
    <w:rsid w:val="00C902C8"/>
    <w:rsid w:val="00C903E7"/>
    <w:rsid w:val="00C90DB6"/>
    <w:rsid w:val="00C92603"/>
    <w:rsid w:val="00C92CAB"/>
    <w:rsid w:val="00C93649"/>
    <w:rsid w:val="00C9394F"/>
    <w:rsid w:val="00C93B1A"/>
    <w:rsid w:val="00C95E97"/>
    <w:rsid w:val="00C96D24"/>
    <w:rsid w:val="00C96F5F"/>
    <w:rsid w:val="00C97055"/>
    <w:rsid w:val="00C97D41"/>
    <w:rsid w:val="00CA0351"/>
    <w:rsid w:val="00CA1E82"/>
    <w:rsid w:val="00CA2B4F"/>
    <w:rsid w:val="00CA30C3"/>
    <w:rsid w:val="00CA3549"/>
    <w:rsid w:val="00CA5927"/>
    <w:rsid w:val="00CA5D23"/>
    <w:rsid w:val="00CA635E"/>
    <w:rsid w:val="00CA6BB0"/>
    <w:rsid w:val="00CA70CE"/>
    <w:rsid w:val="00CA79EC"/>
    <w:rsid w:val="00CB002C"/>
    <w:rsid w:val="00CB1E4B"/>
    <w:rsid w:val="00CB259F"/>
    <w:rsid w:val="00CB389B"/>
    <w:rsid w:val="00CB39C2"/>
    <w:rsid w:val="00CB45FC"/>
    <w:rsid w:val="00CB4C8C"/>
    <w:rsid w:val="00CB4E90"/>
    <w:rsid w:val="00CB5850"/>
    <w:rsid w:val="00CB5C99"/>
    <w:rsid w:val="00CB633B"/>
    <w:rsid w:val="00CB6782"/>
    <w:rsid w:val="00CB6E3E"/>
    <w:rsid w:val="00CB72CD"/>
    <w:rsid w:val="00CC080A"/>
    <w:rsid w:val="00CC09EB"/>
    <w:rsid w:val="00CC0D0F"/>
    <w:rsid w:val="00CC1275"/>
    <w:rsid w:val="00CC12EE"/>
    <w:rsid w:val="00CC1A4D"/>
    <w:rsid w:val="00CC3588"/>
    <w:rsid w:val="00CC5767"/>
    <w:rsid w:val="00CC5D2F"/>
    <w:rsid w:val="00CC667C"/>
    <w:rsid w:val="00CC68CC"/>
    <w:rsid w:val="00CC6CB9"/>
    <w:rsid w:val="00CC701E"/>
    <w:rsid w:val="00CC7735"/>
    <w:rsid w:val="00CC7CAD"/>
    <w:rsid w:val="00CD0310"/>
    <w:rsid w:val="00CD0D09"/>
    <w:rsid w:val="00CD268B"/>
    <w:rsid w:val="00CD2E48"/>
    <w:rsid w:val="00CD4826"/>
    <w:rsid w:val="00CD4E19"/>
    <w:rsid w:val="00CD6219"/>
    <w:rsid w:val="00CD700F"/>
    <w:rsid w:val="00CD70EB"/>
    <w:rsid w:val="00CD7319"/>
    <w:rsid w:val="00CD7BA2"/>
    <w:rsid w:val="00CD7DF8"/>
    <w:rsid w:val="00CE04BC"/>
    <w:rsid w:val="00CE0A6E"/>
    <w:rsid w:val="00CE148E"/>
    <w:rsid w:val="00CE208D"/>
    <w:rsid w:val="00CE242D"/>
    <w:rsid w:val="00CE2453"/>
    <w:rsid w:val="00CE356D"/>
    <w:rsid w:val="00CE3FA4"/>
    <w:rsid w:val="00CE44F8"/>
    <w:rsid w:val="00CE485F"/>
    <w:rsid w:val="00CE5277"/>
    <w:rsid w:val="00CE58F6"/>
    <w:rsid w:val="00CE5B4D"/>
    <w:rsid w:val="00CE6358"/>
    <w:rsid w:val="00CE6686"/>
    <w:rsid w:val="00CE6E97"/>
    <w:rsid w:val="00CE7868"/>
    <w:rsid w:val="00CE789A"/>
    <w:rsid w:val="00CE7968"/>
    <w:rsid w:val="00CE796C"/>
    <w:rsid w:val="00CF0DB0"/>
    <w:rsid w:val="00CF1B70"/>
    <w:rsid w:val="00CF1DD1"/>
    <w:rsid w:val="00CF2161"/>
    <w:rsid w:val="00CF2307"/>
    <w:rsid w:val="00CF26AE"/>
    <w:rsid w:val="00CF2D54"/>
    <w:rsid w:val="00CF311F"/>
    <w:rsid w:val="00CF44D0"/>
    <w:rsid w:val="00CF5047"/>
    <w:rsid w:val="00D007BA"/>
    <w:rsid w:val="00D01344"/>
    <w:rsid w:val="00D01B90"/>
    <w:rsid w:val="00D024CD"/>
    <w:rsid w:val="00D02C7C"/>
    <w:rsid w:val="00D034DA"/>
    <w:rsid w:val="00D03538"/>
    <w:rsid w:val="00D0421D"/>
    <w:rsid w:val="00D046FD"/>
    <w:rsid w:val="00D047F7"/>
    <w:rsid w:val="00D049B8"/>
    <w:rsid w:val="00D04C8A"/>
    <w:rsid w:val="00D04EB2"/>
    <w:rsid w:val="00D0516C"/>
    <w:rsid w:val="00D05B56"/>
    <w:rsid w:val="00D05BBE"/>
    <w:rsid w:val="00D05C2F"/>
    <w:rsid w:val="00D05EE7"/>
    <w:rsid w:val="00D068D0"/>
    <w:rsid w:val="00D06FE0"/>
    <w:rsid w:val="00D07307"/>
    <w:rsid w:val="00D076A9"/>
    <w:rsid w:val="00D07754"/>
    <w:rsid w:val="00D078D1"/>
    <w:rsid w:val="00D07B2E"/>
    <w:rsid w:val="00D10824"/>
    <w:rsid w:val="00D1188B"/>
    <w:rsid w:val="00D1293B"/>
    <w:rsid w:val="00D129A8"/>
    <w:rsid w:val="00D12FB9"/>
    <w:rsid w:val="00D13431"/>
    <w:rsid w:val="00D135F2"/>
    <w:rsid w:val="00D13D00"/>
    <w:rsid w:val="00D147C0"/>
    <w:rsid w:val="00D15696"/>
    <w:rsid w:val="00D15C51"/>
    <w:rsid w:val="00D16C68"/>
    <w:rsid w:val="00D17FDD"/>
    <w:rsid w:val="00D200BD"/>
    <w:rsid w:val="00D201AA"/>
    <w:rsid w:val="00D204A7"/>
    <w:rsid w:val="00D20AA5"/>
    <w:rsid w:val="00D20DC4"/>
    <w:rsid w:val="00D21059"/>
    <w:rsid w:val="00D22399"/>
    <w:rsid w:val="00D26223"/>
    <w:rsid w:val="00D2662C"/>
    <w:rsid w:val="00D27FA3"/>
    <w:rsid w:val="00D30711"/>
    <w:rsid w:val="00D316D2"/>
    <w:rsid w:val="00D3176C"/>
    <w:rsid w:val="00D31B3F"/>
    <w:rsid w:val="00D31DE7"/>
    <w:rsid w:val="00D321AF"/>
    <w:rsid w:val="00D3249F"/>
    <w:rsid w:val="00D33751"/>
    <w:rsid w:val="00D34AB9"/>
    <w:rsid w:val="00D35D4A"/>
    <w:rsid w:val="00D36F6E"/>
    <w:rsid w:val="00D372B0"/>
    <w:rsid w:val="00D37343"/>
    <w:rsid w:val="00D376AD"/>
    <w:rsid w:val="00D41E6A"/>
    <w:rsid w:val="00D42034"/>
    <w:rsid w:val="00D4205E"/>
    <w:rsid w:val="00D44EB8"/>
    <w:rsid w:val="00D464AE"/>
    <w:rsid w:val="00D47399"/>
    <w:rsid w:val="00D47BB2"/>
    <w:rsid w:val="00D47D04"/>
    <w:rsid w:val="00D5056A"/>
    <w:rsid w:val="00D510A0"/>
    <w:rsid w:val="00D51F73"/>
    <w:rsid w:val="00D527EE"/>
    <w:rsid w:val="00D5286F"/>
    <w:rsid w:val="00D529C4"/>
    <w:rsid w:val="00D53929"/>
    <w:rsid w:val="00D539B5"/>
    <w:rsid w:val="00D539D0"/>
    <w:rsid w:val="00D53F2B"/>
    <w:rsid w:val="00D540DC"/>
    <w:rsid w:val="00D54CA4"/>
    <w:rsid w:val="00D55616"/>
    <w:rsid w:val="00D5574C"/>
    <w:rsid w:val="00D55DAC"/>
    <w:rsid w:val="00D561C5"/>
    <w:rsid w:val="00D5636F"/>
    <w:rsid w:val="00D57FDF"/>
    <w:rsid w:val="00D6153F"/>
    <w:rsid w:val="00D61982"/>
    <w:rsid w:val="00D61A2D"/>
    <w:rsid w:val="00D61EA9"/>
    <w:rsid w:val="00D61EFF"/>
    <w:rsid w:val="00D62655"/>
    <w:rsid w:val="00D6267A"/>
    <w:rsid w:val="00D62998"/>
    <w:rsid w:val="00D636B6"/>
    <w:rsid w:val="00D6468E"/>
    <w:rsid w:val="00D647DE"/>
    <w:rsid w:val="00D6501F"/>
    <w:rsid w:val="00D65347"/>
    <w:rsid w:val="00D6575E"/>
    <w:rsid w:val="00D67D12"/>
    <w:rsid w:val="00D700D9"/>
    <w:rsid w:val="00D70309"/>
    <w:rsid w:val="00D705FF"/>
    <w:rsid w:val="00D70B0C"/>
    <w:rsid w:val="00D70DE6"/>
    <w:rsid w:val="00D7145C"/>
    <w:rsid w:val="00D7332F"/>
    <w:rsid w:val="00D744BC"/>
    <w:rsid w:val="00D7585A"/>
    <w:rsid w:val="00D7604B"/>
    <w:rsid w:val="00D7751E"/>
    <w:rsid w:val="00D77C53"/>
    <w:rsid w:val="00D77E96"/>
    <w:rsid w:val="00D80618"/>
    <w:rsid w:val="00D8068C"/>
    <w:rsid w:val="00D807DF"/>
    <w:rsid w:val="00D81006"/>
    <w:rsid w:val="00D82339"/>
    <w:rsid w:val="00D82494"/>
    <w:rsid w:val="00D82696"/>
    <w:rsid w:val="00D82FF2"/>
    <w:rsid w:val="00D830B9"/>
    <w:rsid w:val="00D83774"/>
    <w:rsid w:val="00D83C1D"/>
    <w:rsid w:val="00D84A4B"/>
    <w:rsid w:val="00D84E83"/>
    <w:rsid w:val="00D8555A"/>
    <w:rsid w:val="00D85631"/>
    <w:rsid w:val="00D85D98"/>
    <w:rsid w:val="00D85F8D"/>
    <w:rsid w:val="00D879CB"/>
    <w:rsid w:val="00D87C11"/>
    <w:rsid w:val="00D90A81"/>
    <w:rsid w:val="00D90B7D"/>
    <w:rsid w:val="00D90B81"/>
    <w:rsid w:val="00D90CC7"/>
    <w:rsid w:val="00D90DCE"/>
    <w:rsid w:val="00D92168"/>
    <w:rsid w:val="00D9231C"/>
    <w:rsid w:val="00D92356"/>
    <w:rsid w:val="00D92A5E"/>
    <w:rsid w:val="00D935BD"/>
    <w:rsid w:val="00D93CEC"/>
    <w:rsid w:val="00D93EEC"/>
    <w:rsid w:val="00D940B5"/>
    <w:rsid w:val="00D953F2"/>
    <w:rsid w:val="00D9582D"/>
    <w:rsid w:val="00D95CB0"/>
    <w:rsid w:val="00D9654F"/>
    <w:rsid w:val="00D966FE"/>
    <w:rsid w:val="00D977C0"/>
    <w:rsid w:val="00D97E14"/>
    <w:rsid w:val="00DA00A3"/>
    <w:rsid w:val="00DA13F3"/>
    <w:rsid w:val="00DA2DE3"/>
    <w:rsid w:val="00DA3633"/>
    <w:rsid w:val="00DA400B"/>
    <w:rsid w:val="00DA4130"/>
    <w:rsid w:val="00DA4909"/>
    <w:rsid w:val="00DA5999"/>
    <w:rsid w:val="00DA6443"/>
    <w:rsid w:val="00DA6B5E"/>
    <w:rsid w:val="00DA7146"/>
    <w:rsid w:val="00DA716A"/>
    <w:rsid w:val="00DA7B82"/>
    <w:rsid w:val="00DB02ED"/>
    <w:rsid w:val="00DB02EE"/>
    <w:rsid w:val="00DB0843"/>
    <w:rsid w:val="00DB1F4F"/>
    <w:rsid w:val="00DB2CD0"/>
    <w:rsid w:val="00DB37EE"/>
    <w:rsid w:val="00DB401F"/>
    <w:rsid w:val="00DB4450"/>
    <w:rsid w:val="00DB4EE7"/>
    <w:rsid w:val="00DB5102"/>
    <w:rsid w:val="00DB521D"/>
    <w:rsid w:val="00DB5971"/>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2FF"/>
    <w:rsid w:val="00DD0925"/>
    <w:rsid w:val="00DD24F9"/>
    <w:rsid w:val="00DD26EC"/>
    <w:rsid w:val="00DD2C06"/>
    <w:rsid w:val="00DD2DFB"/>
    <w:rsid w:val="00DD3604"/>
    <w:rsid w:val="00DD36B0"/>
    <w:rsid w:val="00DD3F4D"/>
    <w:rsid w:val="00DD6F2E"/>
    <w:rsid w:val="00DD72E1"/>
    <w:rsid w:val="00DD7848"/>
    <w:rsid w:val="00DD796C"/>
    <w:rsid w:val="00DD7EA2"/>
    <w:rsid w:val="00DE00F2"/>
    <w:rsid w:val="00DE1120"/>
    <w:rsid w:val="00DE117F"/>
    <w:rsid w:val="00DE22D3"/>
    <w:rsid w:val="00DE2D17"/>
    <w:rsid w:val="00DE353C"/>
    <w:rsid w:val="00DE401C"/>
    <w:rsid w:val="00DE549C"/>
    <w:rsid w:val="00DE5510"/>
    <w:rsid w:val="00DE5954"/>
    <w:rsid w:val="00DE5EC7"/>
    <w:rsid w:val="00DE6E2F"/>
    <w:rsid w:val="00DE6F47"/>
    <w:rsid w:val="00DE7D13"/>
    <w:rsid w:val="00DE7DD2"/>
    <w:rsid w:val="00DF1EAE"/>
    <w:rsid w:val="00DF2AF6"/>
    <w:rsid w:val="00DF2B22"/>
    <w:rsid w:val="00DF3816"/>
    <w:rsid w:val="00DF3818"/>
    <w:rsid w:val="00DF3F94"/>
    <w:rsid w:val="00DF4369"/>
    <w:rsid w:val="00DF4B8D"/>
    <w:rsid w:val="00DF55FC"/>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39F9"/>
    <w:rsid w:val="00E042A1"/>
    <w:rsid w:val="00E05E82"/>
    <w:rsid w:val="00E069E3"/>
    <w:rsid w:val="00E07425"/>
    <w:rsid w:val="00E1043E"/>
    <w:rsid w:val="00E104FA"/>
    <w:rsid w:val="00E1082A"/>
    <w:rsid w:val="00E10956"/>
    <w:rsid w:val="00E10B68"/>
    <w:rsid w:val="00E110B5"/>
    <w:rsid w:val="00E11166"/>
    <w:rsid w:val="00E12818"/>
    <w:rsid w:val="00E12887"/>
    <w:rsid w:val="00E12D39"/>
    <w:rsid w:val="00E13182"/>
    <w:rsid w:val="00E13426"/>
    <w:rsid w:val="00E141AF"/>
    <w:rsid w:val="00E14523"/>
    <w:rsid w:val="00E14972"/>
    <w:rsid w:val="00E14A89"/>
    <w:rsid w:val="00E14CB9"/>
    <w:rsid w:val="00E151F2"/>
    <w:rsid w:val="00E15383"/>
    <w:rsid w:val="00E15C82"/>
    <w:rsid w:val="00E1738C"/>
    <w:rsid w:val="00E17797"/>
    <w:rsid w:val="00E17C9D"/>
    <w:rsid w:val="00E201C0"/>
    <w:rsid w:val="00E21ABD"/>
    <w:rsid w:val="00E22775"/>
    <w:rsid w:val="00E22D28"/>
    <w:rsid w:val="00E22F81"/>
    <w:rsid w:val="00E22F87"/>
    <w:rsid w:val="00E230E3"/>
    <w:rsid w:val="00E23C97"/>
    <w:rsid w:val="00E244B0"/>
    <w:rsid w:val="00E24727"/>
    <w:rsid w:val="00E24D5F"/>
    <w:rsid w:val="00E250DB"/>
    <w:rsid w:val="00E265A7"/>
    <w:rsid w:val="00E26FC5"/>
    <w:rsid w:val="00E27B80"/>
    <w:rsid w:val="00E30EDF"/>
    <w:rsid w:val="00E31B43"/>
    <w:rsid w:val="00E31FBA"/>
    <w:rsid w:val="00E326D0"/>
    <w:rsid w:val="00E33513"/>
    <w:rsid w:val="00E33A4F"/>
    <w:rsid w:val="00E33F3E"/>
    <w:rsid w:val="00E341E5"/>
    <w:rsid w:val="00E34315"/>
    <w:rsid w:val="00E35FBC"/>
    <w:rsid w:val="00E36AAE"/>
    <w:rsid w:val="00E37198"/>
    <w:rsid w:val="00E3774C"/>
    <w:rsid w:val="00E41013"/>
    <w:rsid w:val="00E41313"/>
    <w:rsid w:val="00E41773"/>
    <w:rsid w:val="00E41ACD"/>
    <w:rsid w:val="00E42FE6"/>
    <w:rsid w:val="00E43B4A"/>
    <w:rsid w:val="00E44D25"/>
    <w:rsid w:val="00E44E78"/>
    <w:rsid w:val="00E45C40"/>
    <w:rsid w:val="00E460B6"/>
    <w:rsid w:val="00E46BD2"/>
    <w:rsid w:val="00E46CF3"/>
    <w:rsid w:val="00E473D4"/>
    <w:rsid w:val="00E474CF"/>
    <w:rsid w:val="00E513F6"/>
    <w:rsid w:val="00E519A7"/>
    <w:rsid w:val="00E51A4C"/>
    <w:rsid w:val="00E51EC6"/>
    <w:rsid w:val="00E5203E"/>
    <w:rsid w:val="00E52F3B"/>
    <w:rsid w:val="00E52F80"/>
    <w:rsid w:val="00E53BEE"/>
    <w:rsid w:val="00E53D94"/>
    <w:rsid w:val="00E53DEA"/>
    <w:rsid w:val="00E5424B"/>
    <w:rsid w:val="00E544BA"/>
    <w:rsid w:val="00E55B64"/>
    <w:rsid w:val="00E573EF"/>
    <w:rsid w:val="00E616DB"/>
    <w:rsid w:val="00E62442"/>
    <w:rsid w:val="00E627A4"/>
    <w:rsid w:val="00E62A5E"/>
    <w:rsid w:val="00E630ED"/>
    <w:rsid w:val="00E6395F"/>
    <w:rsid w:val="00E6437C"/>
    <w:rsid w:val="00E65237"/>
    <w:rsid w:val="00E66367"/>
    <w:rsid w:val="00E67862"/>
    <w:rsid w:val="00E67ADD"/>
    <w:rsid w:val="00E70ACF"/>
    <w:rsid w:val="00E70D46"/>
    <w:rsid w:val="00E712A9"/>
    <w:rsid w:val="00E713BC"/>
    <w:rsid w:val="00E72444"/>
    <w:rsid w:val="00E726A8"/>
    <w:rsid w:val="00E72D3D"/>
    <w:rsid w:val="00E72E07"/>
    <w:rsid w:val="00E72EAD"/>
    <w:rsid w:val="00E7410F"/>
    <w:rsid w:val="00E74EC5"/>
    <w:rsid w:val="00E75161"/>
    <w:rsid w:val="00E76B86"/>
    <w:rsid w:val="00E773F4"/>
    <w:rsid w:val="00E8000D"/>
    <w:rsid w:val="00E809F3"/>
    <w:rsid w:val="00E80C21"/>
    <w:rsid w:val="00E820BD"/>
    <w:rsid w:val="00E8227B"/>
    <w:rsid w:val="00E8342F"/>
    <w:rsid w:val="00E84210"/>
    <w:rsid w:val="00E844CD"/>
    <w:rsid w:val="00E847A7"/>
    <w:rsid w:val="00E84FE5"/>
    <w:rsid w:val="00E860D6"/>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EEF"/>
    <w:rsid w:val="00E936DA"/>
    <w:rsid w:val="00E9399B"/>
    <w:rsid w:val="00E939A7"/>
    <w:rsid w:val="00E94008"/>
    <w:rsid w:val="00E94762"/>
    <w:rsid w:val="00E94884"/>
    <w:rsid w:val="00E94BDB"/>
    <w:rsid w:val="00E95208"/>
    <w:rsid w:val="00E956BA"/>
    <w:rsid w:val="00E96B52"/>
    <w:rsid w:val="00EA0018"/>
    <w:rsid w:val="00EA08BE"/>
    <w:rsid w:val="00EA0A85"/>
    <w:rsid w:val="00EA14B0"/>
    <w:rsid w:val="00EA2244"/>
    <w:rsid w:val="00EA4DDC"/>
    <w:rsid w:val="00EA6FA7"/>
    <w:rsid w:val="00EB067F"/>
    <w:rsid w:val="00EB150C"/>
    <w:rsid w:val="00EB17BE"/>
    <w:rsid w:val="00EB1A1B"/>
    <w:rsid w:val="00EB1F02"/>
    <w:rsid w:val="00EB2A00"/>
    <w:rsid w:val="00EB2E64"/>
    <w:rsid w:val="00EB2FEF"/>
    <w:rsid w:val="00EB3290"/>
    <w:rsid w:val="00EB3F7A"/>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5D33"/>
    <w:rsid w:val="00EC638F"/>
    <w:rsid w:val="00EC68BF"/>
    <w:rsid w:val="00EC7927"/>
    <w:rsid w:val="00ED095E"/>
    <w:rsid w:val="00ED1A0B"/>
    <w:rsid w:val="00ED27DD"/>
    <w:rsid w:val="00ED312F"/>
    <w:rsid w:val="00ED31E5"/>
    <w:rsid w:val="00ED4E9C"/>
    <w:rsid w:val="00ED5162"/>
    <w:rsid w:val="00ED697C"/>
    <w:rsid w:val="00EE06CA"/>
    <w:rsid w:val="00EE1E0C"/>
    <w:rsid w:val="00EE43AD"/>
    <w:rsid w:val="00EE4874"/>
    <w:rsid w:val="00EE48D6"/>
    <w:rsid w:val="00EE4A6E"/>
    <w:rsid w:val="00EE4BAB"/>
    <w:rsid w:val="00EE4D3B"/>
    <w:rsid w:val="00EE511D"/>
    <w:rsid w:val="00EE6FC6"/>
    <w:rsid w:val="00EE7922"/>
    <w:rsid w:val="00EE79A6"/>
    <w:rsid w:val="00EF11DF"/>
    <w:rsid w:val="00EF130D"/>
    <w:rsid w:val="00EF2E26"/>
    <w:rsid w:val="00EF30E0"/>
    <w:rsid w:val="00EF3A81"/>
    <w:rsid w:val="00EF3D05"/>
    <w:rsid w:val="00EF42CF"/>
    <w:rsid w:val="00EF45D8"/>
    <w:rsid w:val="00EF5403"/>
    <w:rsid w:val="00EF567D"/>
    <w:rsid w:val="00EF5B08"/>
    <w:rsid w:val="00EF5F11"/>
    <w:rsid w:val="00EF6111"/>
    <w:rsid w:val="00EF6CFA"/>
    <w:rsid w:val="00F005A0"/>
    <w:rsid w:val="00F01835"/>
    <w:rsid w:val="00F01891"/>
    <w:rsid w:val="00F01DE9"/>
    <w:rsid w:val="00F0229D"/>
    <w:rsid w:val="00F02B1B"/>
    <w:rsid w:val="00F0322F"/>
    <w:rsid w:val="00F032BB"/>
    <w:rsid w:val="00F032C8"/>
    <w:rsid w:val="00F03522"/>
    <w:rsid w:val="00F03567"/>
    <w:rsid w:val="00F03DD3"/>
    <w:rsid w:val="00F04BBE"/>
    <w:rsid w:val="00F0580C"/>
    <w:rsid w:val="00F06616"/>
    <w:rsid w:val="00F07485"/>
    <w:rsid w:val="00F07EDE"/>
    <w:rsid w:val="00F10BC6"/>
    <w:rsid w:val="00F11352"/>
    <w:rsid w:val="00F11AD0"/>
    <w:rsid w:val="00F12313"/>
    <w:rsid w:val="00F13D34"/>
    <w:rsid w:val="00F14308"/>
    <w:rsid w:val="00F14602"/>
    <w:rsid w:val="00F1498D"/>
    <w:rsid w:val="00F14DDF"/>
    <w:rsid w:val="00F152AD"/>
    <w:rsid w:val="00F15BA3"/>
    <w:rsid w:val="00F15D52"/>
    <w:rsid w:val="00F165B7"/>
    <w:rsid w:val="00F1722F"/>
    <w:rsid w:val="00F20C9C"/>
    <w:rsid w:val="00F21827"/>
    <w:rsid w:val="00F21A00"/>
    <w:rsid w:val="00F2285F"/>
    <w:rsid w:val="00F23155"/>
    <w:rsid w:val="00F23EE4"/>
    <w:rsid w:val="00F24236"/>
    <w:rsid w:val="00F24E0E"/>
    <w:rsid w:val="00F2525F"/>
    <w:rsid w:val="00F25504"/>
    <w:rsid w:val="00F25707"/>
    <w:rsid w:val="00F26693"/>
    <w:rsid w:val="00F26A13"/>
    <w:rsid w:val="00F26CEB"/>
    <w:rsid w:val="00F27D3B"/>
    <w:rsid w:val="00F30F7A"/>
    <w:rsid w:val="00F31261"/>
    <w:rsid w:val="00F31334"/>
    <w:rsid w:val="00F31BB3"/>
    <w:rsid w:val="00F31C67"/>
    <w:rsid w:val="00F323C3"/>
    <w:rsid w:val="00F32A15"/>
    <w:rsid w:val="00F32C93"/>
    <w:rsid w:val="00F32EE6"/>
    <w:rsid w:val="00F32F3C"/>
    <w:rsid w:val="00F339EC"/>
    <w:rsid w:val="00F3414F"/>
    <w:rsid w:val="00F3443B"/>
    <w:rsid w:val="00F34FDD"/>
    <w:rsid w:val="00F35279"/>
    <w:rsid w:val="00F35CC2"/>
    <w:rsid w:val="00F35F1A"/>
    <w:rsid w:val="00F36130"/>
    <w:rsid w:val="00F36278"/>
    <w:rsid w:val="00F3644F"/>
    <w:rsid w:val="00F36B71"/>
    <w:rsid w:val="00F373AE"/>
    <w:rsid w:val="00F37D22"/>
    <w:rsid w:val="00F4032F"/>
    <w:rsid w:val="00F40360"/>
    <w:rsid w:val="00F40444"/>
    <w:rsid w:val="00F40CE6"/>
    <w:rsid w:val="00F40EC2"/>
    <w:rsid w:val="00F41B59"/>
    <w:rsid w:val="00F42099"/>
    <w:rsid w:val="00F423BD"/>
    <w:rsid w:val="00F42AFB"/>
    <w:rsid w:val="00F42ED8"/>
    <w:rsid w:val="00F431C5"/>
    <w:rsid w:val="00F432FF"/>
    <w:rsid w:val="00F433C2"/>
    <w:rsid w:val="00F4457F"/>
    <w:rsid w:val="00F44B9C"/>
    <w:rsid w:val="00F456D2"/>
    <w:rsid w:val="00F45B0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5E6D"/>
    <w:rsid w:val="00F56024"/>
    <w:rsid w:val="00F565E8"/>
    <w:rsid w:val="00F56CB4"/>
    <w:rsid w:val="00F5754B"/>
    <w:rsid w:val="00F576DE"/>
    <w:rsid w:val="00F57747"/>
    <w:rsid w:val="00F578BC"/>
    <w:rsid w:val="00F633F1"/>
    <w:rsid w:val="00F63BF7"/>
    <w:rsid w:val="00F6453E"/>
    <w:rsid w:val="00F65215"/>
    <w:rsid w:val="00F655C6"/>
    <w:rsid w:val="00F65617"/>
    <w:rsid w:val="00F65A88"/>
    <w:rsid w:val="00F66494"/>
    <w:rsid w:val="00F700B9"/>
    <w:rsid w:val="00F7011F"/>
    <w:rsid w:val="00F710BE"/>
    <w:rsid w:val="00F71BF5"/>
    <w:rsid w:val="00F72016"/>
    <w:rsid w:val="00F72C08"/>
    <w:rsid w:val="00F72DAD"/>
    <w:rsid w:val="00F736D2"/>
    <w:rsid w:val="00F74CEE"/>
    <w:rsid w:val="00F7564C"/>
    <w:rsid w:val="00F76220"/>
    <w:rsid w:val="00F769BE"/>
    <w:rsid w:val="00F7735C"/>
    <w:rsid w:val="00F77BD5"/>
    <w:rsid w:val="00F82E6B"/>
    <w:rsid w:val="00F83662"/>
    <w:rsid w:val="00F838C0"/>
    <w:rsid w:val="00F85F83"/>
    <w:rsid w:val="00F86374"/>
    <w:rsid w:val="00F86739"/>
    <w:rsid w:val="00F87E7F"/>
    <w:rsid w:val="00F90D75"/>
    <w:rsid w:val="00F91049"/>
    <w:rsid w:val="00F912FD"/>
    <w:rsid w:val="00F91D43"/>
    <w:rsid w:val="00F92B65"/>
    <w:rsid w:val="00F9367F"/>
    <w:rsid w:val="00F9512B"/>
    <w:rsid w:val="00F95411"/>
    <w:rsid w:val="00F9619C"/>
    <w:rsid w:val="00F96339"/>
    <w:rsid w:val="00F9759C"/>
    <w:rsid w:val="00F97859"/>
    <w:rsid w:val="00F97973"/>
    <w:rsid w:val="00F97B71"/>
    <w:rsid w:val="00FA06A3"/>
    <w:rsid w:val="00FA0E23"/>
    <w:rsid w:val="00FA230F"/>
    <w:rsid w:val="00FA2CFC"/>
    <w:rsid w:val="00FA2DDA"/>
    <w:rsid w:val="00FA34CA"/>
    <w:rsid w:val="00FA3E3E"/>
    <w:rsid w:val="00FA4A55"/>
    <w:rsid w:val="00FA4D4F"/>
    <w:rsid w:val="00FA54E8"/>
    <w:rsid w:val="00FA5FE8"/>
    <w:rsid w:val="00FA668B"/>
    <w:rsid w:val="00FA67CF"/>
    <w:rsid w:val="00FA7659"/>
    <w:rsid w:val="00FA7F6F"/>
    <w:rsid w:val="00FB10EC"/>
    <w:rsid w:val="00FB2D17"/>
    <w:rsid w:val="00FB2F69"/>
    <w:rsid w:val="00FB368B"/>
    <w:rsid w:val="00FB3A3A"/>
    <w:rsid w:val="00FB3D98"/>
    <w:rsid w:val="00FB4217"/>
    <w:rsid w:val="00FB4379"/>
    <w:rsid w:val="00FB45FF"/>
    <w:rsid w:val="00FB4C09"/>
    <w:rsid w:val="00FB55D8"/>
    <w:rsid w:val="00FB5D97"/>
    <w:rsid w:val="00FB61EA"/>
    <w:rsid w:val="00FB6C7A"/>
    <w:rsid w:val="00FB732E"/>
    <w:rsid w:val="00FB79F7"/>
    <w:rsid w:val="00FC09E7"/>
    <w:rsid w:val="00FC1CA5"/>
    <w:rsid w:val="00FC1D8E"/>
    <w:rsid w:val="00FC24EB"/>
    <w:rsid w:val="00FC2733"/>
    <w:rsid w:val="00FC2979"/>
    <w:rsid w:val="00FC5041"/>
    <w:rsid w:val="00FC5407"/>
    <w:rsid w:val="00FC6D6C"/>
    <w:rsid w:val="00FC6E91"/>
    <w:rsid w:val="00FC71A8"/>
    <w:rsid w:val="00FD1BEF"/>
    <w:rsid w:val="00FD1C3C"/>
    <w:rsid w:val="00FD24F6"/>
    <w:rsid w:val="00FD2DB1"/>
    <w:rsid w:val="00FD38A8"/>
    <w:rsid w:val="00FD3A23"/>
    <w:rsid w:val="00FD5348"/>
    <w:rsid w:val="00FD6AC8"/>
    <w:rsid w:val="00FD6ADD"/>
    <w:rsid w:val="00FE06DF"/>
    <w:rsid w:val="00FE0A6C"/>
    <w:rsid w:val="00FE1727"/>
    <w:rsid w:val="00FE1738"/>
    <w:rsid w:val="00FE225B"/>
    <w:rsid w:val="00FE3638"/>
    <w:rsid w:val="00FE3EA1"/>
    <w:rsid w:val="00FE4818"/>
    <w:rsid w:val="00FE4CA4"/>
    <w:rsid w:val="00FE5AE4"/>
    <w:rsid w:val="00FE5D80"/>
    <w:rsid w:val="00FE637F"/>
    <w:rsid w:val="00FE64EE"/>
    <w:rsid w:val="00FE73F7"/>
    <w:rsid w:val="00FE745E"/>
    <w:rsid w:val="00FE7865"/>
    <w:rsid w:val="00FF05DE"/>
    <w:rsid w:val="00FF06C4"/>
    <w:rsid w:val="00FF0BB0"/>
    <w:rsid w:val="00FF1342"/>
    <w:rsid w:val="00FF1513"/>
    <w:rsid w:val="00FF1577"/>
    <w:rsid w:val="00FF17DD"/>
    <w:rsid w:val="00FF2145"/>
    <w:rsid w:val="00FF314D"/>
    <w:rsid w:val="00FF3334"/>
    <w:rsid w:val="00FF50AB"/>
    <w:rsid w:val="00FF54A3"/>
    <w:rsid w:val="00FF5733"/>
    <w:rsid w:val="00FF59BE"/>
    <w:rsid w:val="00FF5BA7"/>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6BEF111D-7B67-4CF6-BE3A-8849D5E3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paragraph" w:styleId="40">
    <w:name w:val="heading 4"/>
    <w:basedOn w:val="a"/>
    <w:next w:val="a"/>
    <w:link w:val="4Char"/>
    <w:unhideWhenUsed/>
    <w:qFormat/>
    <w:locked/>
    <w:rsid w:val="0091064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4">
    <w:name w:val="Balloon Text"/>
    <w:basedOn w:val="a"/>
    <w:link w:val="Char"/>
    <w:uiPriority w:val="99"/>
    <w:semiHidden/>
    <w:rsid w:val="00FB732E"/>
    <w:rPr>
      <w:sz w:val="18"/>
      <w:szCs w:val="18"/>
    </w:rPr>
  </w:style>
  <w:style w:type="character" w:customStyle="1" w:styleId="Char">
    <w:name w:val="批注框文本 Char"/>
    <w:link w:val="a4"/>
    <w:uiPriority w:val="99"/>
    <w:semiHidden/>
    <w:locked/>
    <w:rsid w:val="006D141C"/>
    <w:rPr>
      <w:rFonts w:cs="Times New Roman"/>
      <w:kern w:val="2"/>
      <w:sz w:val="18"/>
      <w:szCs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0">
    <w:name w:val="正文文本缩进 Char"/>
    <w:link w:val="a5"/>
    <w:uiPriority w:val="99"/>
    <w:locked/>
    <w:rsid w:val="006D141C"/>
    <w:rPr>
      <w:rFonts w:ascii="Arial Unicode MS" w:eastAsia="Times New Roman" w:hAnsi="Arial Unicode MS" w:cs="Arial Unicode MS"/>
      <w:sz w:val="24"/>
      <w:szCs w:val="24"/>
    </w:rPr>
  </w:style>
  <w:style w:type="paragraph" w:styleId="a6">
    <w:name w:val="Plain Text"/>
    <w:basedOn w:val="a"/>
    <w:link w:val="Char1"/>
    <w:uiPriority w:val="99"/>
    <w:rsid w:val="00FB732E"/>
    <w:rPr>
      <w:rFonts w:ascii="宋体" w:hAnsi="Courier New"/>
      <w:szCs w:val="21"/>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7">
    <w:name w:val="footer"/>
    <w:basedOn w:val="a"/>
    <w:link w:val="Char2"/>
    <w:uiPriority w:val="99"/>
    <w:rsid w:val="00FB732E"/>
    <w:pPr>
      <w:tabs>
        <w:tab w:val="center" w:pos="4153"/>
        <w:tab w:val="right" w:pos="8306"/>
      </w:tabs>
      <w:snapToGrid w:val="0"/>
      <w:jc w:val="left"/>
    </w:pPr>
    <w:rPr>
      <w:sz w:val="18"/>
      <w:szCs w:val="18"/>
    </w:rPr>
  </w:style>
  <w:style w:type="character" w:customStyle="1" w:styleId="Char2">
    <w:name w:val="页脚 Char"/>
    <w:link w:val="a7"/>
    <w:uiPriority w:val="99"/>
    <w:locked/>
    <w:rsid w:val="006D141C"/>
    <w:rPr>
      <w:rFonts w:cs="Times New Roman"/>
      <w:kern w:val="2"/>
      <w:sz w:val="18"/>
      <w:szCs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a"/>
    <w:uiPriority w:val="99"/>
    <w:locked/>
    <w:rsid w:val="006D141C"/>
    <w:rPr>
      <w:rFonts w:cs="Times New Roman"/>
      <w:kern w:val="2"/>
      <w:sz w:val="18"/>
      <w:szCs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rPr>
      <w:szCs w:val="20"/>
    </w:rPr>
  </w:style>
  <w:style w:type="paragraph" w:styleId="ad">
    <w:name w:val="Body Text"/>
    <w:basedOn w:val="a"/>
    <w:link w:val="Char4"/>
    <w:uiPriority w:val="99"/>
    <w:rsid w:val="00FB732E"/>
    <w:pPr>
      <w:spacing w:after="120"/>
    </w:pPr>
  </w:style>
  <w:style w:type="character" w:customStyle="1" w:styleId="Char4">
    <w:name w:val="正文文本 Char"/>
    <w:link w:val="ad"/>
    <w:uiPriority w:val="99"/>
    <w:locked/>
    <w:rsid w:val="006D141C"/>
    <w:rPr>
      <w:rFonts w:cs="Times New Roman"/>
      <w:kern w:val="2"/>
      <w:sz w:val="24"/>
      <w:szCs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semiHidden/>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qFormat/>
    <w:rsid w:val="003D3725"/>
    <w:pPr>
      <w:tabs>
        <w:tab w:val="left" w:pos="1260"/>
        <w:tab w:val="right" w:leader="dot" w:pos="9072"/>
      </w:tabs>
      <w:ind w:leftChars="200" w:left="20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937FC6"/>
    <w:pPr>
      <w:tabs>
        <w:tab w:val="left" w:pos="420"/>
        <w:tab w:val="right" w:leader="dot" w:pos="9072"/>
      </w:tabs>
    </w:pPr>
  </w:style>
  <w:style w:type="paragraph" w:styleId="32">
    <w:name w:val="toc 3"/>
    <w:basedOn w:val="a"/>
    <w:next w:val="a"/>
    <w:autoRedefine/>
    <w:uiPriority w:val="99"/>
    <w:semiHidden/>
    <w:qFormat/>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numbering" w:customStyle="1" w:styleId="5">
    <w:name w:val="样式5"/>
    <w:rsid w:val="00CB660F"/>
    <w:pPr>
      <w:numPr>
        <w:numId w:val="8"/>
      </w:numPr>
    </w:pPr>
  </w:style>
  <w:style w:type="numbering" w:customStyle="1" w:styleId="3">
    <w:name w:val="样式3"/>
    <w:rsid w:val="00CB660F"/>
    <w:pPr>
      <w:numPr>
        <w:numId w:val="7"/>
      </w:numPr>
    </w:pPr>
  </w:style>
  <w:style w:type="numbering" w:customStyle="1" w:styleId="4">
    <w:name w:val="样式4"/>
    <w:rsid w:val="00CB660F"/>
    <w:pPr>
      <w:numPr>
        <w:numId w:val="9"/>
      </w:numPr>
    </w:pPr>
  </w:style>
  <w:style w:type="numbering" w:customStyle="1" w:styleId="2">
    <w:name w:val="样式2"/>
    <w:rsid w:val="00CB660F"/>
    <w:pPr>
      <w:numPr>
        <w:numId w:val="16"/>
      </w:numPr>
    </w:pPr>
  </w:style>
  <w:style w:type="character" w:styleId="af8">
    <w:name w:val="Strong"/>
    <w:basedOn w:val="a1"/>
    <w:uiPriority w:val="22"/>
    <w:qFormat/>
    <w:locked/>
    <w:rsid w:val="00490561"/>
    <w:rPr>
      <w:b/>
      <w:bCs/>
    </w:rPr>
  </w:style>
  <w:style w:type="paragraph" w:customStyle="1" w:styleId="af9">
    <w:name w:val="目录模式"/>
    <w:basedOn w:val="22"/>
    <w:link w:val="Charb"/>
    <w:qFormat/>
    <w:rsid w:val="00F655C6"/>
    <w:rPr>
      <w:rFonts w:ascii="宋体" w:hAnsi="宋体"/>
      <w:noProof/>
      <w:szCs w:val="24"/>
    </w:rPr>
  </w:style>
  <w:style w:type="paragraph" w:customStyle="1" w:styleId="12">
    <w:name w:val="样式1"/>
    <w:basedOn w:val="22"/>
    <w:link w:val="1Char0"/>
    <w:autoRedefine/>
    <w:qFormat/>
    <w:rsid w:val="00F655C6"/>
    <w:rPr>
      <w:rFonts w:ascii="宋体" w:hAnsi="宋体"/>
      <w:noProof/>
      <w:szCs w:val="24"/>
    </w:rPr>
  </w:style>
  <w:style w:type="character" w:customStyle="1" w:styleId="2Char1">
    <w:name w:val="目录 2 Char"/>
    <w:basedOn w:val="a1"/>
    <w:link w:val="22"/>
    <w:uiPriority w:val="99"/>
    <w:rsid w:val="003D3725"/>
    <w:rPr>
      <w:sz w:val="21"/>
      <w:szCs w:val="21"/>
    </w:rPr>
  </w:style>
  <w:style w:type="character" w:customStyle="1" w:styleId="Charb">
    <w:name w:val="目录模式 Char"/>
    <w:basedOn w:val="2Char1"/>
    <w:link w:val="af9"/>
    <w:rsid w:val="00F655C6"/>
    <w:rPr>
      <w:rFonts w:ascii="宋体" w:hAnsi="宋体"/>
      <w:noProof/>
      <w:sz w:val="24"/>
      <w:szCs w:val="24"/>
    </w:rPr>
  </w:style>
  <w:style w:type="character" w:customStyle="1" w:styleId="1Char0">
    <w:name w:val="样式1 Char"/>
    <w:basedOn w:val="2Char1"/>
    <w:link w:val="12"/>
    <w:rsid w:val="00F655C6"/>
    <w:rPr>
      <w:rFonts w:ascii="宋体" w:hAnsi="宋体"/>
      <w:noProof/>
      <w:sz w:val="24"/>
      <w:szCs w:val="24"/>
    </w:rPr>
  </w:style>
  <w:style w:type="character" w:customStyle="1" w:styleId="4Char">
    <w:name w:val="标题 4 Char"/>
    <w:basedOn w:val="a1"/>
    <w:link w:val="40"/>
    <w:rsid w:val="00910642"/>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45285">
      <w:bodyDiv w:val="1"/>
      <w:marLeft w:val="0"/>
      <w:marRight w:val="0"/>
      <w:marTop w:val="0"/>
      <w:marBottom w:val="0"/>
      <w:divBdr>
        <w:top w:val="none" w:sz="0" w:space="0" w:color="auto"/>
        <w:left w:val="none" w:sz="0" w:space="0" w:color="auto"/>
        <w:bottom w:val="none" w:sz="0" w:space="0" w:color="auto"/>
        <w:right w:val="none" w:sz="0" w:space="0" w:color="auto"/>
      </w:divBdr>
    </w:div>
    <w:div w:id="79330798">
      <w:bodyDiv w:val="1"/>
      <w:marLeft w:val="0"/>
      <w:marRight w:val="0"/>
      <w:marTop w:val="0"/>
      <w:marBottom w:val="0"/>
      <w:divBdr>
        <w:top w:val="none" w:sz="0" w:space="0" w:color="auto"/>
        <w:left w:val="none" w:sz="0" w:space="0" w:color="auto"/>
        <w:bottom w:val="none" w:sz="0" w:space="0" w:color="auto"/>
        <w:right w:val="none" w:sz="0" w:space="0" w:color="auto"/>
      </w:divBdr>
    </w:div>
    <w:div w:id="213123387">
      <w:marLeft w:val="0"/>
      <w:marRight w:val="0"/>
      <w:marTop w:val="0"/>
      <w:marBottom w:val="0"/>
      <w:divBdr>
        <w:top w:val="none" w:sz="0" w:space="0" w:color="auto"/>
        <w:left w:val="none" w:sz="0" w:space="0" w:color="auto"/>
        <w:bottom w:val="none" w:sz="0" w:space="0" w:color="auto"/>
        <w:right w:val="none" w:sz="0" w:space="0" w:color="auto"/>
      </w:divBdr>
    </w:div>
    <w:div w:id="213123388">
      <w:marLeft w:val="0"/>
      <w:marRight w:val="0"/>
      <w:marTop w:val="0"/>
      <w:marBottom w:val="0"/>
      <w:divBdr>
        <w:top w:val="none" w:sz="0" w:space="0" w:color="auto"/>
        <w:left w:val="none" w:sz="0" w:space="0" w:color="auto"/>
        <w:bottom w:val="none" w:sz="0" w:space="0" w:color="auto"/>
        <w:right w:val="none" w:sz="0" w:space="0" w:color="auto"/>
      </w:divBdr>
    </w:div>
    <w:div w:id="213123389">
      <w:marLeft w:val="0"/>
      <w:marRight w:val="0"/>
      <w:marTop w:val="0"/>
      <w:marBottom w:val="0"/>
      <w:divBdr>
        <w:top w:val="none" w:sz="0" w:space="0" w:color="auto"/>
        <w:left w:val="none" w:sz="0" w:space="0" w:color="auto"/>
        <w:bottom w:val="none" w:sz="0" w:space="0" w:color="auto"/>
        <w:right w:val="none" w:sz="0" w:space="0" w:color="auto"/>
      </w:divBdr>
    </w:div>
    <w:div w:id="213123390">
      <w:marLeft w:val="0"/>
      <w:marRight w:val="0"/>
      <w:marTop w:val="0"/>
      <w:marBottom w:val="0"/>
      <w:divBdr>
        <w:top w:val="none" w:sz="0" w:space="0" w:color="auto"/>
        <w:left w:val="none" w:sz="0" w:space="0" w:color="auto"/>
        <w:bottom w:val="none" w:sz="0" w:space="0" w:color="auto"/>
        <w:right w:val="none" w:sz="0" w:space="0" w:color="auto"/>
      </w:divBdr>
    </w:div>
    <w:div w:id="213123391">
      <w:marLeft w:val="0"/>
      <w:marRight w:val="0"/>
      <w:marTop w:val="0"/>
      <w:marBottom w:val="0"/>
      <w:divBdr>
        <w:top w:val="none" w:sz="0" w:space="0" w:color="auto"/>
        <w:left w:val="none" w:sz="0" w:space="0" w:color="auto"/>
        <w:bottom w:val="none" w:sz="0" w:space="0" w:color="auto"/>
        <w:right w:val="none" w:sz="0" w:space="0" w:color="auto"/>
      </w:divBdr>
    </w:div>
    <w:div w:id="213123392">
      <w:marLeft w:val="0"/>
      <w:marRight w:val="0"/>
      <w:marTop w:val="0"/>
      <w:marBottom w:val="0"/>
      <w:divBdr>
        <w:top w:val="none" w:sz="0" w:space="0" w:color="auto"/>
        <w:left w:val="none" w:sz="0" w:space="0" w:color="auto"/>
        <w:bottom w:val="none" w:sz="0" w:space="0" w:color="auto"/>
        <w:right w:val="none" w:sz="0" w:space="0" w:color="auto"/>
      </w:divBdr>
    </w:div>
    <w:div w:id="213123393">
      <w:marLeft w:val="0"/>
      <w:marRight w:val="0"/>
      <w:marTop w:val="0"/>
      <w:marBottom w:val="0"/>
      <w:divBdr>
        <w:top w:val="none" w:sz="0" w:space="0" w:color="auto"/>
        <w:left w:val="none" w:sz="0" w:space="0" w:color="auto"/>
        <w:bottom w:val="none" w:sz="0" w:space="0" w:color="auto"/>
        <w:right w:val="none" w:sz="0" w:space="0" w:color="auto"/>
      </w:divBdr>
    </w:div>
    <w:div w:id="213123394">
      <w:marLeft w:val="0"/>
      <w:marRight w:val="0"/>
      <w:marTop w:val="0"/>
      <w:marBottom w:val="0"/>
      <w:divBdr>
        <w:top w:val="none" w:sz="0" w:space="0" w:color="auto"/>
        <w:left w:val="none" w:sz="0" w:space="0" w:color="auto"/>
        <w:bottom w:val="none" w:sz="0" w:space="0" w:color="auto"/>
        <w:right w:val="none" w:sz="0" w:space="0" w:color="auto"/>
      </w:divBdr>
    </w:div>
    <w:div w:id="213123395">
      <w:marLeft w:val="0"/>
      <w:marRight w:val="0"/>
      <w:marTop w:val="0"/>
      <w:marBottom w:val="0"/>
      <w:divBdr>
        <w:top w:val="none" w:sz="0" w:space="0" w:color="auto"/>
        <w:left w:val="none" w:sz="0" w:space="0" w:color="auto"/>
        <w:bottom w:val="none" w:sz="0" w:space="0" w:color="auto"/>
        <w:right w:val="none" w:sz="0" w:space="0" w:color="auto"/>
      </w:divBdr>
    </w:div>
    <w:div w:id="213123396">
      <w:marLeft w:val="0"/>
      <w:marRight w:val="0"/>
      <w:marTop w:val="0"/>
      <w:marBottom w:val="0"/>
      <w:divBdr>
        <w:top w:val="none" w:sz="0" w:space="0" w:color="auto"/>
        <w:left w:val="none" w:sz="0" w:space="0" w:color="auto"/>
        <w:bottom w:val="none" w:sz="0" w:space="0" w:color="auto"/>
        <w:right w:val="none" w:sz="0" w:space="0" w:color="auto"/>
      </w:divBdr>
    </w:div>
    <w:div w:id="213123397">
      <w:marLeft w:val="0"/>
      <w:marRight w:val="0"/>
      <w:marTop w:val="0"/>
      <w:marBottom w:val="0"/>
      <w:divBdr>
        <w:top w:val="none" w:sz="0" w:space="0" w:color="auto"/>
        <w:left w:val="none" w:sz="0" w:space="0" w:color="auto"/>
        <w:bottom w:val="none" w:sz="0" w:space="0" w:color="auto"/>
        <w:right w:val="none" w:sz="0" w:space="0" w:color="auto"/>
      </w:divBdr>
    </w:div>
    <w:div w:id="213123398">
      <w:marLeft w:val="0"/>
      <w:marRight w:val="0"/>
      <w:marTop w:val="0"/>
      <w:marBottom w:val="0"/>
      <w:divBdr>
        <w:top w:val="none" w:sz="0" w:space="0" w:color="auto"/>
        <w:left w:val="none" w:sz="0" w:space="0" w:color="auto"/>
        <w:bottom w:val="none" w:sz="0" w:space="0" w:color="auto"/>
        <w:right w:val="none" w:sz="0" w:space="0" w:color="auto"/>
      </w:divBdr>
    </w:div>
    <w:div w:id="213123399">
      <w:marLeft w:val="0"/>
      <w:marRight w:val="0"/>
      <w:marTop w:val="0"/>
      <w:marBottom w:val="0"/>
      <w:divBdr>
        <w:top w:val="none" w:sz="0" w:space="0" w:color="auto"/>
        <w:left w:val="none" w:sz="0" w:space="0" w:color="auto"/>
        <w:bottom w:val="none" w:sz="0" w:space="0" w:color="auto"/>
        <w:right w:val="none" w:sz="0" w:space="0" w:color="auto"/>
      </w:divBdr>
    </w:div>
    <w:div w:id="213123400">
      <w:marLeft w:val="0"/>
      <w:marRight w:val="0"/>
      <w:marTop w:val="0"/>
      <w:marBottom w:val="0"/>
      <w:divBdr>
        <w:top w:val="none" w:sz="0" w:space="0" w:color="auto"/>
        <w:left w:val="none" w:sz="0" w:space="0" w:color="auto"/>
        <w:bottom w:val="none" w:sz="0" w:space="0" w:color="auto"/>
        <w:right w:val="none" w:sz="0" w:space="0" w:color="auto"/>
      </w:divBdr>
    </w:div>
    <w:div w:id="213123401">
      <w:marLeft w:val="0"/>
      <w:marRight w:val="0"/>
      <w:marTop w:val="0"/>
      <w:marBottom w:val="0"/>
      <w:divBdr>
        <w:top w:val="none" w:sz="0" w:space="0" w:color="auto"/>
        <w:left w:val="none" w:sz="0" w:space="0" w:color="auto"/>
        <w:bottom w:val="none" w:sz="0" w:space="0" w:color="auto"/>
        <w:right w:val="none" w:sz="0" w:space="0" w:color="auto"/>
      </w:divBdr>
    </w:div>
    <w:div w:id="213123402">
      <w:marLeft w:val="0"/>
      <w:marRight w:val="0"/>
      <w:marTop w:val="0"/>
      <w:marBottom w:val="0"/>
      <w:divBdr>
        <w:top w:val="none" w:sz="0" w:space="0" w:color="auto"/>
        <w:left w:val="none" w:sz="0" w:space="0" w:color="auto"/>
        <w:bottom w:val="none" w:sz="0" w:space="0" w:color="auto"/>
        <w:right w:val="none" w:sz="0" w:space="0" w:color="auto"/>
      </w:divBdr>
    </w:div>
    <w:div w:id="213123403">
      <w:marLeft w:val="0"/>
      <w:marRight w:val="0"/>
      <w:marTop w:val="0"/>
      <w:marBottom w:val="0"/>
      <w:divBdr>
        <w:top w:val="none" w:sz="0" w:space="0" w:color="auto"/>
        <w:left w:val="none" w:sz="0" w:space="0" w:color="auto"/>
        <w:bottom w:val="none" w:sz="0" w:space="0" w:color="auto"/>
        <w:right w:val="none" w:sz="0" w:space="0" w:color="auto"/>
      </w:divBdr>
    </w:div>
    <w:div w:id="213123404">
      <w:marLeft w:val="0"/>
      <w:marRight w:val="0"/>
      <w:marTop w:val="0"/>
      <w:marBottom w:val="0"/>
      <w:divBdr>
        <w:top w:val="none" w:sz="0" w:space="0" w:color="auto"/>
        <w:left w:val="none" w:sz="0" w:space="0" w:color="auto"/>
        <w:bottom w:val="none" w:sz="0" w:space="0" w:color="auto"/>
        <w:right w:val="none" w:sz="0" w:space="0" w:color="auto"/>
      </w:divBdr>
    </w:div>
    <w:div w:id="213123405">
      <w:marLeft w:val="0"/>
      <w:marRight w:val="0"/>
      <w:marTop w:val="0"/>
      <w:marBottom w:val="0"/>
      <w:divBdr>
        <w:top w:val="none" w:sz="0" w:space="0" w:color="auto"/>
        <w:left w:val="none" w:sz="0" w:space="0" w:color="auto"/>
        <w:bottom w:val="none" w:sz="0" w:space="0" w:color="auto"/>
        <w:right w:val="none" w:sz="0" w:space="0" w:color="auto"/>
      </w:divBdr>
    </w:div>
    <w:div w:id="213123406">
      <w:marLeft w:val="0"/>
      <w:marRight w:val="0"/>
      <w:marTop w:val="0"/>
      <w:marBottom w:val="0"/>
      <w:divBdr>
        <w:top w:val="none" w:sz="0" w:space="0" w:color="auto"/>
        <w:left w:val="none" w:sz="0" w:space="0" w:color="auto"/>
        <w:bottom w:val="none" w:sz="0" w:space="0" w:color="auto"/>
        <w:right w:val="none" w:sz="0" w:space="0" w:color="auto"/>
      </w:divBdr>
    </w:div>
    <w:div w:id="213123407">
      <w:marLeft w:val="0"/>
      <w:marRight w:val="0"/>
      <w:marTop w:val="0"/>
      <w:marBottom w:val="0"/>
      <w:divBdr>
        <w:top w:val="none" w:sz="0" w:space="0" w:color="auto"/>
        <w:left w:val="none" w:sz="0" w:space="0" w:color="auto"/>
        <w:bottom w:val="none" w:sz="0" w:space="0" w:color="auto"/>
        <w:right w:val="none" w:sz="0" w:space="0" w:color="auto"/>
      </w:divBdr>
    </w:div>
    <w:div w:id="213123408">
      <w:marLeft w:val="0"/>
      <w:marRight w:val="0"/>
      <w:marTop w:val="0"/>
      <w:marBottom w:val="0"/>
      <w:divBdr>
        <w:top w:val="none" w:sz="0" w:space="0" w:color="auto"/>
        <w:left w:val="none" w:sz="0" w:space="0" w:color="auto"/>
        <w:bottom w:val="none" w:sz="0" w:space="0" w:color="auto"/>
        <w:right w:val="none" w:sz="0" w:space="0" w:color="auto"/>
      </w:divBdr>
    </w:div>
    <w:div w:id="213123409">
      <w:marLeft w:val="0"/>
      <w:marRight w:val="0"/>
      <w:marTop w:val="0"/>
      <w:marBottom w:val="0"/>
      <w:divBdr>
        <w:top w:val="none" w:sz="0" w:space="0" w:color="auto"/>
        <w:left w:val="none" w:sz="0" w:space="0" w:color="auto"/>
        <w:bottom w:val="none" w:sz="0" w:space="0" w:color="auto"/>
        <w:right w:val="none" w:sz="0" w:space="0" w:color="auto"/>
      </w:divBdr>
    </w:div>
    <w:div w:id="213123410">
      <w:marLeft w:val="0"/>
      <w:marRight w:val="0"/>
      <w:marTop w:val="0"/>
      <w:marBottom w:val="0"/>
      <w:divBdr>
        <w:top w:val="none" w:sz="0" w:space="0" w:color="auto"/>
        <w:left w:val="none" w:sz="0" w:space="0" w:color="auto"/>
        <w:bottom w:val="none" w:sz="0" w:space="0" w:color="auto"/>
        <w:right w:val="none" w:sz="0" w:space="0" w:color="auto"/>
      </w:divBdr>
    </w:div>
    <w:div w:id="213123411">
      <w:marLeft w:val="0"/>
      <w:marRight w:val="0"/>
      <w:marTop w:val="0"/>
      <w:marBottom w:val="0"/>
      <w:divBdr>
        <w:top w:val="none" w:sz="0" w:space="0" w:color="auto"/>
        <w:left w:val="none" w:sz="0" w:space="0" w:color="auto"/>
        <w:bottom w:val="none" w:sz="0" w:space="0" w:color="auto"/>
        <w:right w:val="none" w:sz="0" w:space="0" w:color="auto"/>
      </w:divBdr>
    </w:div>
    <w:div w:id="213123412">
      <w:marLeft w:val="0"/>
      <w:marRight w:val="0"/>
      <w:marTop w:val="0"/>
      <w:marBottom w:val="0"/>
      <w:divBdr>
        <w:top w:val="none" w:sz="0" w:space="0" w:color="auto"/>
        <w:left w:val="none" w:sz="0" w:space="0" w:color="auto"/>
        <w:bottom w:val="none" w:sz="0" w:space="0" w:color="auto"/>
        <w:right w:val="none" w:sz="0" w:space="0" w:color="auto"/>
      </w:divBdr>
      <w:divsChild>
        <w:div w:id="213123536">
          <w:marLeft w:val="0"/>
          <w:marRight w:val="0"/>
          <w:marTop w:val="0"/>
          <w:marBottom w:val="0"/>
          <w:divBdr>
            <w:top w:val="none" w:sz="0" w:space="0" w:color="auto"/>
            <w:left w:val="none" w:sz="0" w:space="0" w:color="auto"/>
            <w:bottom w:val="none" w:sz="0" w:space="0" w:color="auto"/>
            <w:right w:val="none" w:sz="0" w:space="0" w:color="auto"/>
          </w:divBdr>
        </w:div>
      </w:divsChild>
    </w:div>
    <w:div w:id="213123413">
      <w:marLeft w:val="0"/>
      <w:marRight w:val="0"/>
      <w:marTop w:val="0"/>
      <w:marBottom w:val="0"/>
      <w:divBdr>
        <w:top w:val="none" w:sz="0" w:space="0" w:color="auto"/>
        <w:left w:val="none" w:sz="0" w:space="0" w:color="auto"/>
        <w:bottom w:val="none" w:sz="0" w:space="0" w:color="auto"/>
        <w:right w:val="none" w:sz="0" w:space="0" w:color="auto"/>
      </w:divBdr>
    </w:div>
    <w:div w:id="213123414">
      <w:marLeft w:val="0"/>
      <w:marRight w:val="0"/>
      <w:marTop w:val="0"/>
      <w:marBottom w:val="0"/>
      <w:divBdr>
        <w:top w:val="none" w:sz="0" w:space="0" w:color="auto"/>
        <w:left w:val="none" w:sz="0" w:space="0" w:color="auto"/>
        <w:bottom w:val="none" w:sz="0" w:space="0" w:color="auto"/>
        <w:right w:val="none" w:sz="0" w:space="0" w:color="auto"/>
      </w:divBdr>
    </w:div>
    <w:div w:id="213123415">
      <w:marLeft w:val="0"/>
      <w:marRight w:val="0"/>
      <w:marTop w:val="0"/>
      <w:marBottom w:val="0"/>
      <w:divBdr>
        <w:top w:val="none" w:sz="0" w:space="0" w:color="auto"/>
        <w:left w:val="none" w:sz="0" w:space="0" w:color="auto"/>
        <w:bottom w:val="none" w:sz="0" w:space="0" w:color="auto"/>
        <w:right w:val="none" w:sz="0" w:space="0" w:color="auto"/>
      </w:divBdr>
    </w:div>
    <w:div w:id="213123416">
      <w:marLeft w:val="0"/>
      <w:marRight w:val="0"/>
      <w:marTop w:val="0"/>
      <w:marBottom w:val="0"/>
      <w:divBdr>
        <w:top w:val="none" w:sz="0" w:space="0" w:color="auto"/>
        <w:left w:val="none" w:sz="0" w:space="0" w:color="auto"/>
        <w:bottom w:val="none" w:sz="0" w:space="0" w:color="auto"/>
        <w:right w:val="none" w:sz="0" w:space="0" w:color="auto"/>
      </w:divBdr>
    </w:div>
    <w:div w:id="213123417">
      <w:marLeft w:val="0"/>
      <w:marRight w:val="0"/>
      <w:marTop w:val="0"/>
      <w:marBottom w:val="0"/>
      <w:divBdr>
        <w:top w:val="none" w:sz="0" w:space="0" w:color="auto"/>
        <w:left w:val="none" w:sz="0" w:space="0" w:color="auto"/>
        <w:bottom w:val="none" w:sz="0" w:space="0" w:color="auto"/>
        <w:right w:val="none" w:sz="0" w:space="0" w:color="auto"/>
      </w:divBdr>
    </w:div>
    <w:div w:id="213123418">
      <w:marLeft w:val="0"/>
      <w:marRight w:val="0"/>
      <w:marTop w:val="0"/>
      <w:marBottom w:val="0"/>
      <w:divBdr>
        <w:top w:val="none" w:sz="0" w:space="0" w:color="auto"/>
        <w:left w:val="none" w:sz="0" w:space="0" w:color="auto"/>
        <w:bottom w:val="none" w:sz="0" w:space="0" w:color="auto"/>
        <w:right w:val="none" w:sz="0" w:space="0" w:color="auto"/>
      </w:divBdr>
    </w:div>
    <w:div w:id="213123419">
      <w:marLeft w:val="0"/>
      <w:marRight w:val="0"/>
      <w:marTop w:val="0"/>
      <w:marBottom w:val="0"/>
      <w:divBdr>
        <w:top w:val="none" w:sz="0" w:space="0" w:color="auto"/>
        <w:left w:val="none" w:sz="0" w:space="0" w:color="auto"/>
        <w:bottom w:val="none" w:sz="0" w:space="0" w:color="auto"/>
        <w:right w:val="none" w:sz="0" w:space="0" w:color="auto"/>
      </w:divBdr>
    </w:div>
    <w:div w:id="213123420">
      <w:marLeft w:val="0"/>
      <w:marRight w:val="0"/>
      <w:marTop w:val="0"/>
      <w:marBottom w:val="0"/>
      <w:divBdr>
        <w:top w:val="none" w:sz="0" w:space="0" w:color="auto"/>
        <w:left w:val="none" w:sz="0" w:space="0" w:color="auto"/>
        <w:bottom w:val="none" w:sz="0" w:space="0" w:color="auto"/>
        <w:right w:val="none" w:sz="0" w:space="0" w:color="auto"/>
      </w:divBdr>
    </w:div>
    <w:div w:id="213123421">
      <w:marLeft w:val="0"/>
      <w:marRight w:val="0"/>
      <w:marTop w:val="0"/>
      <w:marBottom w:val="0"/>
      <w:divBdr>
        <w:top w:val="none" w:sz="0" w:space="0" w:color="auto"/>
        <w:left w:val="none" w:sz="0" w:space="0" w:color="auto"/>
        <w:bottom w:val="none" w:sz="0" w:space="0" w:color="auto"/>
        <w:right w:val="none" w:sz="0" w:space="0" w:color="auto"/>
      </w:divBdr>
    </w:div>
    <w:div w:id="213123422">
      <w:marLeft w:val="0"/>
      <w:marRight w:val="0"/>
      <w:marTop w:val="0"/>
      <w:marBottom w:val="0"/>
      <w:divBdr>
        <w:top w:val="none" w:sz="0" w:space="0" w:color="auto"/>
        <w:left w:val="none" w:sz="0" w:space="0" w:color="auto"/>
        <w:bottom w:val="none" w:sz="0" w:space="0" w:color="auto"/>
        <w:right w:val="none" w:sz="0" w:space="0" w:color="auto"/>
      </w:divBdr>
    </w:div>
    <w:div w:id="213123423">
      <w:marLeft w:val="0"/>
      <w:marRight w:val="0"/>
      <w:marTop w:val="0"/>
      <w:marBottom w:val="0"/>
      <w:divBdr>
        <w:top w:val="none" w:sz="0" w:space="0" w:color="auto"/>
        <w:left w:val="none" w:sz="0" w:space="0" w:color="auto"/>
        <w:bottom w:val="none" w:sz="0" w:space="0" w:color="auto"/>
        <w:right w:val="none" w:sz="0" w:space="0" w:color="auto"/>
      </w:divBdr>
    </w:div>
    <w:div w:id="213123424">
      <w:marLeft w:val="0"/>
      <w:marRight w:val="0"/>
      <w:marTop w:val="0"/>
      <w:marBottom w:val="0"/>
      <w:divBdr>
        <w:top w:val="none" w:sz="0" w:space="0" w:color="auto"/>
        <w:left w:val="none" w:sz="0" w:space="0" w:color="auto"/>
        <w:bottom w:val="none" w:sz="0" w:space="0" w:color="auto"/>
        <w:right w:val="none" w:sz="0" w:space="0" w:color="auto"/>
      </w:divBdr>
    </w:div>
    <w:div w:id="213123425">
      <w:marLeft w:val="0"/>
      <w:marRight w:val="0"/>
      <w:marTop w:val="0"/>
      <w:marBottom w:val="0"/>
      <w:divBdr>
        <w:top w:val="none" w:sz="0" w:space="0" w:color="auto"/>
        <w:left w:val="none" w:sz="0" w:space="0" w:color="auto"/>
        <w:bottom w:val="none" w:sz="0" w:space="0" w:color="auto"/>
        <w:right w:val="none" w:sz="0" w:space="0" w:color="auto"/>
      </w:divBdr>
    </w:div>
    <w:div w:id="213123426">
      <w:marLeft w:val="0"/>
      <w:marRight w:val="0"/>
      <w:marTop w:val="0"/>
      <w:marBottom w:val="0"/>
      <w:divBdr>
        <w:top w:val="none" w:sz="0" w:space="0" w:color="auto"/>
        <w:left w:val="none" w:sz="0" w:space="0" w:color="auto"/>
        <w:bottom w:val="none" w:sz="0" w:space="0" w:color="auto"/>
        <w:right w:val="none" w:sz="0" w:space="0" w:color="auto"/>
      </w:divBdr>
    </w:div>
    <w:div w:id="213123427">
      <w:marLeft w:val="0"/>
      <w:marRight w:val="0"/>
      <w:marTop w:val="0"/>
      <w:marBottom w:val="0"/>
      <w:divBdr>
        <w:top w:val="none" w:sz="0" w:space="0" w:color="auto"/>
        <w:left w:val="none" w:sz="0" w:space="0" w:color="auto"/>
        <w:bottom w:val="none" w:sz="0" w:space="0" w:color="auto"/>
        <w:right w:val="none" w:sz="0" w:space="0" w:color="auto"/>
      </w:divBdr>
    </w:div>
    <w:div w:id="213123428">
      <w:marLeft w:val="0"/>
      <w:marRight w:val="0"/>
      <w:marTop w:val="0"/>
      <w:marBottom w:val="0"/>
      <w:divBdr>
        <w:top w:val="none" w:sz="0" w:space="0" w:color="auto"/>
        <w:left w:val="none" w:sz="0" w:space="0" w:color="auto"/>
        <w:bottom w:val="none" w:sz="0" w:space="0" w:color="auto"/>
        <w:right w:val="none" w:sz="0" w:space="0" w:color="auto"/>
      </w:divBdr>
    </w:div>
    <w:div w:id="213123429">
      <w:marLeft w:val="0"/>
      <w:marRight w:val="0"/>
      <w:marTop w:val="0"/>
      <w:marBottom w:val="0"/>
      <w:divBdr>
        <w:top w:val="none" w:sz="0" w:space="0" w:color="auto"/>
        <w:left w:val="none" w:sz="0" w:space="0" w:color="auto"/>
        <w:bottom w:val="none" w:sz="0" w:space="0" w:color="auto"/>
        <w:right w:val="none" w:sz="0" w:space="0" w:color="auto"/>
      </w:divBdr>
    </w:div>
    <w:div w:id="213123430">
      <w:marLeft w:val="0"/>
      <w:marRight w:val="0"/>
      <w:marTop w:val="0"/>
      <w:marBottom w:val="0"/>
      <w:divBdr>
        <w:top w:val="none" w:sz="0" w:space="0" w:color="auto"/>
        <w:left w:val="none" w:sz="0" w:space="0" w:color="auto"/>
        <w:bottom w:val="none" w:sz="0" w:space="0" w:color="auto"/>
        <w:right w:val="none" w:sz="0" w:space="0" w:color="auto"/>
      </w:divBdr>
    </w:div>
    <w:div w:id="213123431">
      <w:marLeft w:val="0"/>
      <w:marRight w:val="0"/>
      <w:marTop w:val="0"/>
      <w:marBottom w:val="0"/>
      <w:divBdr>
        <w:top w:val="none" w:sz="0" w:space="0" w:color="auto"/>
        <w:left w:val="none" w:sz="0" w:space="0" w:color="auto"/>
        <w:bottom w:val="none" w:sz="0" w:space="0" w:color="auto"/>
        <w:right w:val="none" w:sz="0" w:space="0" w:color="auto"/>
      </w:divBdr>
    </w:div>
    <w:div w:id="213123432">
      <w:marLeft w:val="0"/>
      <w:marRight w:val="0"/>
      <w:marTop w:val="0"/>
      <w:marBottom w:val="0"/>
      <w:divBdr>
        <w:top w:val="none" w:sz="0" w:space="0" w:color="auto"/>
        <w:left w:val="none" w:sz="0" w:space="0" w:color="auto"/>
        <w:bottom w:val="none" w:sz="0" w:space="0" w:color="auto"/>
        <w:right w:val="none" w:sz="0" w:space="0" w:color="auto"/>
      </w:divBdr>
    </w:div>
    <w:div w:id="213123433">
      <w:marLeft w:val="0"/>
      <w:marRight w:val="0"/>
      <w:marTop w:val="0"/>
      <w:marBottom w:val="0"/>
      <w:divBdr>
        <w:top w:val="none" w:sz="0" w:space="0" w:color="auto"/>
        <w:left w:val="none" w:sz="0" w:space="0" w:color="auto"/>
        <w:bottom w:val="none" w:sz="0" w:space="0" w:color="auto"/>
        <w:right w:val="none" w:sz="0" w:space="0" w:color="auto"/>
      </w:divBdr>
    </w:div>
    <w:div w:id="213123434">
      <w:marLeft w:val="0"/>
      <w:marRight w:val="0"/>
      <w:marTop w:val="0"/>
      <w:marBottom w:val="0"/>
      <w:divBdr>
        <w:top w:val="none" w:sz="0" w:space="0" w:color="auto"/>
        <w:left w:val="none" w:sz="0" w:space="0" w:color="auto"/>
        <w:bottom w:val="none" w:sz="0" w:space="0" w:color="auto"/>
        <w:right w:val="none" w:sz="0" w:space="0" w:color="auto"/>
      </w:divBdr>
    </w:div>
    <w:div w:id="213123435">
      <w:marLeft w:val="0"/>
      <w:marRight w:val="0"/>
      <w:marTop w:val="0"/>
      <w:marBottom w:val="0"/>
      <w:divBdr>
        <w:top w:val="none" w:sz="0" w:space="0" w:color="auto"/>
        <w:left w:val="none" w:sz="0" w:space="0" w:color="auto"/>
        <w:bottom w:val="none" w:sz="0" w:space="0" w:color="auto"/>
        <w:right w:val="none" w:sz="0" w:space="0" w:color="auto"/>
      </w:divBdr>
    </w:div>
    <w:div w:id="213123436">
      <w:marLeft w:val="0"/>
      <w:marRight w:val="0"/>
      <w:marTop w:val="0"/>
      <w:marBottom w:val="0"/>
      <w:divBdr>
        <w:top w:val="none" w:sz="0" w:space="0" w:color="auto"/>
        <w:left w:val="none" w:sz="0" w:space="0" w:color="auto"/>
        <w:bottom w:val="none" w:sz="0" w:space="0" w:color="auto"/>
        <w:right w:val="none" w:sz="0" w:space="0" w:color="auto"/>
      </w:divBdr>
    </w:div>
    <w:div w:id="213123437">
      <w:marLeft w:val="0"/>
      <w:marRight w:val="0"/>
      <w:marTop w:val="0"/>
      <w:marBottom w:val="0"/>
      <w:divBdr>
        <w:top w:val="none" w:sz="0" w:space="0" w:color="auto"/>
        <w:left w:val="none" w:sz="0" w:space="0" w:color="auto"/>
        <w:bottom w:val="none" w:sz="0" w:space="0" w:color="auto"/>
        <w:right w:val="none" w:sz="0" w:space="0" w:color="auto"/>
      </w:divBdr>
    </w:div>
    <w:div w:id="213123438">
      <w:marLeft w:val="0"/>
      <w:marRight w:val="0"/>
      <w:marTop w:val="0"/>
      <w:marBottom w:val="0"/>
      <w:divBdr>
        <w:top w:val="none" w:sz="0" w:space="0" w:color="auto"/>
        <w:left w:val="none" w:sz="0" w:space="0" w:color="auto"/>
        <w:bottom w:val="none" w:sz="0" w:space="0" w:color="auto"/>
        <w:right w:val="none" w:sz="0" w:space="0" w:color="auto"/>
      </w:divBdr>
    </w:div>
    <w:div w:id="213123439">
      <w:marLeft w:val="0"/>
      <w:marRight w:val="0"/>
      <w:marTop w:val="0"/>
      <w:marBottom w:val="0"/>
      <w:divBdr>
        <w:top w:val="none" w:sz="0" w:space="0" w:color="auto"/>
        <w:left w:val="none" w:sz="0" w:space="0" w:color="auto"/>
        <w:bottom w:val="none" w:sz="0" w:space="0" w:color="auto"/>
        <w:right w:val="none" w:sz="0" w:space="0" w:color="auto"/>
      </w:divBdr>
    </w:div>
    <w:div w:id="213123440">
      <w:marLeft w:val="0"/>
      <w:marRight w:val="0"/>
      <w:marTop w:val="0"/>
      <w:marBottom w:val="0"/>
      <w:divBdr>
        <w:top w:val="none" w:sz="0" w:space="0" w:color="auto"/>
        <w:left w:val="none" w:sz="0" w:space="0" w:color="auto"/>
        <w:bottom w:val="none" w:sz="0" w:space="0" w:color="auto"/>
        <w:right w:val="none" w:sz="0" w:space="0" w:color="auto"/>
      </w:divBdr>
    </w:div>
    <w:div w:id="213123441">
      <w:marLeft w:val="0"/>
      <w:marRight w:val="0"/>
      <w:marTop w:val="0"/>
      <w:marBottom w:val="0"/>
      <w:divBdr>
        <w:top w:val="none" w:sz="0" w:space="0" w:color="auto"/>
        <w:left w:val="none" w:sz="0" w:space="0" w:color="auto"/>
        <w:bottom w:val="none" w:sz="0" w:space="0" w:color="auto"/>
        <w:right w:val="none" w:sz="0" w:space="0" w:color="auto"/>
      </w:divBdr>
    </w:div>
    <w:div w:id="213123442">
      <w:marLeft w:val="0"/>
      <w:marRight w:val="0"/>
      <w:marTop w:val="0"/>
      <w:marBottom w:val="0"/>
      <w:divBdr>
        <w:top w:val="none" w:sz="0" w:space="0" w:color="auto"/>
        <w:left w:val="none" w:sz="0" w:space="0" w:color="auto"/>
        <w:bottom w:val="none" w:sz="0" w:space="0" w:color="auto"/>
        <w:right w:val="none" w:sz="0" w:space="0" w:color="auto"/>
      </w:divBdr>
    </w:div>
    <w:div w:id="213123443">
      <w:marLeft w:val="0"/>
      <w:marRight w:val="0"/>
      <w:marTop w:val="0"/>
      <w:marBottom w:val="0"/>
      <w:divBdr>
        <w:top w:val="none" w:sz="0" w:space="0" w:color="auto"/>
        <w:left w:val="none" w:sz="0" w:space="0" w:color="auto"/>
        <w:bottom w:val="none" w:sz="0" w:space="0" w:color="auto"/>
        <w:right w:val="none" w:sz="0" w:space="0" w:color="auto"/>
      </w:divBdr>
    </w:div>
    <w:div w:id="213123444">
      <w:marLeft w:val="0"/>
      <w:marRight w:val="0"/>
      <w:marTop w:val="0"/>
      <w:marBottom w:val="0"/>
      <w:divBdr>
        <w:top w:val="none" w:sz="0" w:space="0" w:color="auto"/>
        <w:left w:val="none" w:sz="0" w:space="0" w:color="auto"/>
        <w:bottom w:val="none" w:sz="0" w:space="0" w:color="auto"/>
        <w:right w:val="none" w:sz="0" w:space="0" w:color="auto"/>
      </w:divBdr>
    </w:div>
    <w:div w:id="213123445">
      <w:marLeft w:val="0"/>
      <w:marRight w:val="0"/>
      <w:marTop w:val="0"/>
      <w:marBottom w:val="0"/>
      <w:divBdr>
        <w:top w:val="none" w:sz="0" w:space="0" w:color="auto"/>
        <w:left w:val="none" w:sz="0" w:space="0" w:color="auto"/>
        <w:bottom w:val="none" w:sz="0" w:space="0" w:color="auto"/>
        <w:right w:val="none" w:sz="0" w:space="0" w:color="auto"/>
      </w:divBdr>
    </w:div>
    <w:div w:id="213123446">
      <w:marLeft w:val="0"/>
      <w:marRight w:val="0"/>
      <w:marTop w:val="0"/>
      <w:marBottom w:val="0"/>
      <w:divBdr>
        <w:top w:val="none" w:sz="0" w:space="0" w:color="auto"/>
        <w:left w:val="none" w:sz="0" w:space="0" w:color="auto"/>
        <w:bottom w:val="none" w:sz="0" w:space="0" w:color="auto"/>
        <w:right w:val="none" w:sz="0" w:space="0" w:color="auto"/>
      </w:divBdr>
    </w:div>
    <w:div w:id="213123447">
      <w:marLeft w:val="0"/>
      <w:marRight w:val="0"/>
      <w:marTop w:val="0"/>
      <w:marBottom w:val="0"/>
      <w:divBdr>
        <w:top w:val="none" w:sz="0" w:space="0" w:color="auto"/>
        <w:left w:val="none" w:sz="0" w:space="0" w:color="auto"/>
        <w:bottom w:val="none" w:sz="0" w:space="0" w:color="auto"/>
        <w:right w:val="none" w:sz="0" w:space="0" w:color="auto"/>
      </w:divBdr>
    </w:div>
    <w:div w:id="213123448">
      <w:marLeft w:val="0"/>
      <w:marRight w:val="0"/>
      <w:marTop w:val="0"/>
      <w:marBottom w:val="0"/>
      <w:divBdr>
        <w:top w:val="none" w:sz="0" w:space="0" w:color="auto"/>
        <w:left w:val="none" w:sz="0" w:space="0" w:color="auto"/>
        <w:bottom w:val="none" w:sz="0" w:space="0" w:color="auto"/>
        <w:right w:val="none" w:sz="0" w:space="0" w:color="auto"/>
      </w:divBdr>
    </w:div>
    <w:div w:id="213123449">
      <w:marLeft w:val="0"/>
      <w:marRight w:val="0"/>
      <w:marTop w:val="0"/>
      <w:marBottom w:val="0"/>
      <w:divBdr>
        <w:top w:val="none" w:sz="0" w:space="0" w:color="auto"/>
        <w:left w:val="none" w:sz="0" w:space="0" w:color="auto"/>
        <w:bottom w:val="none" w:sz="0" w:space="0" w:color="auto"/>
        <w:right w:val="none" w:sz="0" w:space="0" w:color="auto"/>
      </w:divBdr>
    </w:div>
    <w:div w:id="213123450">
      <w:marLeft w:val="0"/>
      <w:marRight w:val="0"/>
      <w:marTop w:val="0"/>
      <w:marBottom w:val="0"/>
      <w:divBdr>
        <w:top w:val="none" w:sz="0" w:space="0" w:color="auto"/>
        <w:left w:val="none" w:sz="0" w:space="0" w:color="auto"/>
        <w:bottom w:val="none" w:sz="0" w:space="0" w:color="auto"/>
        <w:right w:val="none" w:sz="0" w:space="0" w:color="auto"/>
      </w:divBdr>
    </w:div>
    <w:div w:id="213123451">
      <w:marLeft w:val="0"/>
      <w:marRight w:val="0"/>
      <w:marTop w:val="0"/>
      <w:marBottom w:val="0"/>
      <w:divBdr>
        <w:top w:val="none" w:sz="0" w:space="0" w:color="auto"/>
        <w:left w:val="none" w:sz="0" w:space="0" w:color="auto"/>
        <w:bottom w:val="none" w:sz="0" w:space="0" w:color="auto"/>
        <w:right w:val="none" w:sz="0" w:space="0" w:color="auto"/>
      </w:divBdr>
    </w:div>
    <w:div w:id="213123452">
      <w:marLeft w:val="0"/>
      <w:marRight w:val="0"/>
      <w:marTop w:val="0"/>
      <w:marBottom w:val="0"/>
      <w:divBdr>
        <w:top w:val="none" w:sz="0" w:space="0" w:color="auto"/>
        <w:left w:val="none" w:sz="0" w:space="0" w:color="auto"/>
        <w:bottom w:val="none" w:sz="0" w:space="0" w:color="auto"/>
        <w:right w:val="none" w:sz="0" w:space="0" w:color="auto"/>
      </w:divBdr>
    </w:div>
    <w:div w:id="213123453">
      <w:marLeft w:val="0"/>
      <w:marRight w:val="0"/>
      <w:marTop w:val="0"/>
      <w:marBottom w:val="0"/>
      <w:divBdr>
        <w:top w:val="none" w:sz="0" w:space="0" w:color="auto"/>
        <w:left w:val="none" w:sz="0" w:space="0" w:color="auto"/>
        <w:bottom w:val="none" w:sz="0" w:space="0" w:color="auto"/>
        <w:right w:val="none" w:sz="0" w:space="0" w:color="auto"/>
      </w:divBdr>
    </w:div>
    <w:div w:id="213123454">
      <w:marLeft w:val="0"/>
      <w:marRight w:val="0"/>
      <w:marTop w:val="0"/>
      <w:marBottom w:val="0"/>
      <w:divBdr>
        <w:top w:val="none" w:sz="0" w:space="0" w:color="auto"/>
        <w:left w:val="none" w:sz="0" w:space="0" w:color="auto"/>
        <w:bottom w:val="none" w:sz="0" w:space="0" w:color="auto"/>
        <w:right w:val="none" w:sz="0" w:space="0" w:color="auto"/>
      </w:divBdr>
    </w:div>
    <w:div w:id="213123455">
      <w:marLeft w:val="0"/>
      <w:marRight w:val="0"/>
      <w:marTop w:val="0"/>
      <w:marBottom w:val="0"/>
      <w:divBdr>
        <w:top w:val="none" w:sz="0" w:space="0" w:color="auto"/>
        <w:left w:val="none" w:sz="0" w:space="0" w:color="auto"/>
        <w:bottom w:val="none" w:sz="0" w:space="0" w:color="auto"/>
        <w:right w:val="none" w:sz="0" w:space="0" w:color="auto"/>
      </w:divBdr>
    </w:div>
    <w:div w:id="213123456">
      <w:marLeft w:val="0"/>
      <w:marRight w:val="0"/>
      <w:marTop w:val="0"/>
      <w:marBottom w:val="0"/>
      <w:divBdr>
        <w:top w:val="none" w:sz="0" w:space="0" w:color="auto"/>
        <w:left w:val="none" w:sz="0" w:space="0" w:color="auto"/>
        <w:bottom w:val="none" w:sz="0" w:space="0" w:color="auto"/>
        <w:right w:val="none" w:sz="0" w:space="0" w:color="auto"/>
      </w:divBdr>
    </w:div>
    <w:div w:id="213123457">
      <w:marLeft w:val="0"/>
      <w:marRight w:val="0"/>
      <w:marTop w:val="0"/>
      <w:marBottom w:val="0"/>
      <w:divBdr>
        <w:top w:val="none" w:sz="0" w:space="0" w:color="auto"/>
        <w:left w:val="none" w:sz="0" w:space="0" w:color="auto"/>
        <w:bottom w:val="none" w:sz="0" w:space="0" w:color="auto"/>
        <w:right w:val="none" w:sz="0" w:space="0" w:color="auto"/>
      </w:divBdr>
    </w:div>
    <w:div w:id="213123458">
      <w:marLeft w:val="0"/>
      <w:marRight w:val="0"/>
      <w:marTop w:val="0"/>
      <w:marBottom w:val="0"/>
      <w:divBdr>
        <w:top w:val="none" w:sz="0" w:space="0" w:color="auto"/>
        <w:left w:val="none" w:sz="0" w:space="0" w:color="auto"/>
        <w:bottom w:val="none" w:sz="0" w:space="0" w:color="auto"/>
        <w:right w:val="none" w:sz="0" w:space="0" w:color="auto"/>
      </w:divBdr>
    </w:div>
    <w:div w:id="213123459">
      <w:marLeft w:val="0"/>
      <w:marRight w:val="0"/>
      <w:marTop w:val="0"/>
      <w:marBottom w:val="0"/>
      <w:divBdr>
        <w:top w:val="none" w:sz="0" w:space="0" w:color="auto"/>
        <w:left w:val="none" w:sz="0" w:space="0" w:color="auto"/>
        <w:bottom w:val="none" w:sz="0" w:space="0" w:color="auto"/>
        <w:right w:val="none" w:sz="0" w:space="0" w:color="auto"/>
      </w:divBdr>
    </w:div>
    <w:div w:id="213123460">
      <w:marLeft w:val="0"/>
      <w:marRight w:val="0"/>
      <w:marTop w:val="0"/>
      <w:marBottom w:val="0"/>
      <w:divBdr>
        <w:top w:val="none" w:sz="0" w:space="0" w:color="auto"/>
        <w:left w:val="none" w:sz="0" w:space="0" w:color="auto"/>
        <w:bottom w:val="none" w:sz="0" w:space="0" w:color="auto"/>
        <w:right w:val="none" w:sz="0" w:space="0" w:color="auto"/>
      </w:divBdr>
    </w:div>
    <w:div w:id="213123461">
      <w:marLeft w:val="0"/>
      <w:marRight w:val="0"/>
      <w:marTop w:val="0"/>
      <w:marBottom w:val="0"/>
      <w:divBdr>
        <w:top w:val="none" w:sz="0" w:space="0" w:color="auto"/>
        <w:left w:val="none" w:sz="0" w:space="0" w:color="auto"/>
        <w:bottom w:val="none" w:sz="0" w:space="0" w:color="auto"/>
        <w:right w:val="none" w:sz="0" w:space="0" w:color="auto"/>
      </w:divBdr>
    </w:div>
    <w:div w:id="213123462">
      <w:marLeft w:val="0"/>
      <w:marRight w:val="0"/>
      <w:marTop w:val="0"/>
      <w:marBottom w:val="0"/>
      <w:divBdr>
        <w:top w:val="none" w:sz="0" w:space="0" w:color="auto"/>
        <w:left w:val="none" w:sz="0" w:space="0" w:color="auto"/>
        <w:bottom w:val="none" w:sz="0" w:space="0" w:color="auto"/>
        <w:right w:val="none" w:sz="0" w:space="0" w:color="auto"/>
      </w:divBdr>
    </w:div>
    <w:div w:id="213123463">
      <w:marLeft w:val="0"/>
      <w:marRight w:val="0"/>
      <w:marTop w:val="0"/>
      <w:marBottom w:val="0"/>
      <w:divBdr>
        <w:top w:val="none" w:sz="0" w:space="0" w:color="auto"/>
        <w:left w:val="none" w:sz="0" w:space="0" w:color="auto"/>
        <w:bottom w:val="none" w:sz="0" w:space="0" w:color="auto"/>
        <w:right w:val="none" w:sz="0" w:space="0" w:color="auto"/>
      </w:divBdr>
    </w:div>
    <w:div w:id="213123464">
      <w:marLeft w:val="0"/>
      <w:marRight w:val="0"/>
      <w:marTop w:val="0"/>
      <w:marBottom w:val="0"/>
      <w:divBdr>
        <w:top w:val="none" w:sz="0" w:space="0" w:color="auto"/>
        <w:left w:val="none" w:sz="0" w:space="0" w:color="auto"/>
        <w:bottom w:val="none" w:sz="0" w:space="0" w:color="auto"/>
        <w:right w:val="none" w:sz="0" w:space="0" w:color="auto"/>
      </w:divBdr>
    </w:div>
    <w:div w:id="213123465">
      <w:marLeft w:val="0"/>
      <w:marRight w:val="0"/>
      <w:marTop w:val="0"/>
      <w:marBottom w:val="0"/>
      <w:divBdr>
        <w:top w:val="none" w:sz="0" w:space="0" w:color="auto"/>
        <w:left w:val="none" w:sz="0" w:space="0" w:color="auto"/>
        <w:bottom w:val="none" w:sz="0" w:space="0" w:color="auto"/>
        <w:right w:val="none" w:sz="0" w:space="0" w:color="auto"/>
      </w:divBdr>
    </w:div>
    <w:div w:id="213123466">
      <w:marLeft w:val="0"/>
      <w:marRight w:val="0"/>
      <w:marTop w:val="0"/>
      <w:marBottom w:val="0"/>
      <w:divBdr>
        <w:top w:val="none" w:sz="0" w:space="0" w:color="auto"/>
        <w:left w:val="none" w:sz="0" w:space="0" w:color="auto"/>
        <w:bottom w:val="none" w:sz="0" w:space="0" w:color="auto"/>
        <w:right w:val="none" w:sz="0" w:space="0" w:color="auto"/>
      </w:divBdr>
    </w:div>
    <w:div w:id="213123467">
      <w:marLeft w:val="0"/>
      <w:marRight w:val="0"/>
      <w:marTop w:val="0"/>
      <w:marBottom w:val="0"/>
      <w:divBdr>
        <w:top w:val="none" w:sz="0" w:space="0" w:color="auto"/>
        <w:left w:val="none" w:sz="0" w:space="0" w:color="auto"/>
        <w:bottom w:val="none" w:sz="0" w:space="0" w:color="auto"/>
        <w:right w:val="none" w:sz="0" w:space="0" w:color="auto"/>
      </w:divBdr>
    </w:div>
    <w:div w:id="213123468">
      <w:marLeft w:val="0"/>
      <w:marRight w:val="0"/>
      <w:marTop w:val="0"/>
      <w:marBottom w:val="0"/>
      <w:divBdr>
        <w:top w:val="none" w:sz="0" w:space="0" w:color="auto"/>
        <w:left w:val="none" w:sz="0" w:space="0" w:color="auto"/>
        <w:bottom w:val="none" w:sz="0" w:space="0" w:color="auto"/>
        <w:right w:val="none" w:sz="0" w:space="0" w:color="auto"/>
      </w:divBdr>
    </w:div>
    <w:div w:id="213123469">
      <w:marLeft w:val="0"/>
      <w:marRight w:val="0"/>
      <w:marTop w:val="0"/>
      <w:marBottom w:val="0"/>
      <w:divBdr>
        <w:top w:val="none" w:sz="0" w:space="0" w:color="auto"/>
        <w:left w:val="none" w:sz="0" w:space="0" w:color="auto"/>
        <w:bottom w:val="none" w:sz="0" w:space="0" w:color="auto"/>
        <w:right w:val="none" w:sz="0" w:space="0" w:color="auto"/>
      </w:divBdr>
    </w:div>
    <w:div w:id="213123470">
      <w:marLeft w:val="0"/>
      <w:marRight w:val="0"/>
      <w:marTop w:val="0"/>
      <w:marBottom w:val="0"/>
      <w:divBdr>
        <w:top w:val="none" w:sz="0" w:space="0" w:color="auto"/>
        <w:left w:val="none" w:sz="0" w:space="0" w:color="auto"/>
        <w:bottom w:val="none" w:sz="0" w:space="0" w:color="auto"/>
        <w:right w:val="none" w:sz="0" w:space="0" w:color="auto"/>
      </w:divBdr>
    </w:div>
    <w:div w:id="213123471">
      <w:marLeft w:val="0"/>
      <w:marRight w:val="0"/>
      <w:marTop w:val="0"/>
      <w:marBottom w:val="0"/>
      <w:divBdr>
        <w:top w:val="none" w:sz="0" w:space="0" w:color="auto"/>
        <w:left w:val="none" w:sz="0" w:space="0" w:color="auto"/>
        <w:bottom w:val="none" w:sz="0" w:space="0" w:color="auto"/>
        <w:right w:val="none" w:sz="0" w:space="0" w:color="auto"/>
      </w:divBdr>
    </w:div>
    <w:div w:id="213123472">
      <w:marLeft w:val="0"/>
      <w:marRight w:val="0"/>
      <w:marTop w:val="0"/>
      <w:marBottom w:val="0"/>
      <w:divBdr>
        <w:top w:val="none" w:sz="0" w:space="0" w:color="auto"/>
        <w:left w:val="none" w:sz="0" w:space="0" w:color="auto"/>
        <w:bottom w:val="none" w:sz="0" w:space="0" w:color="auto"/>
        <w:right w:val="none" w:sz="0" w:space="0" w:color="auto"/>
      </w:divBdr>
    </w:div>
    <w:div w:id="213123473">
      <w:marLeft w:val="0"/>
      <w:marRight w:val="0"/>
      <w:marTop w:val="0"/>
      <w:marBottom w:val="0"/>
      <w:divBdr>
        <w:top w:val="none" w:sz="0" w:space="0" w:color="auto"/>
        <w:left w:val="none" w:sz="0" w:space="0" w:color="auto"/>
        <w:bottom w:val="none" w:sz="0" w:space="0" w:color="auto"/>
        <w:right w:val="none" w:sz="0" w:space="0" w:color="auto"/>
      </w:divBdr>
    </w:div>
    <w:div w:id="213123474">
      <w:marLeft w:val="0"/>
      <w:marRight w:val="0"/>
      <w:marTop w:val="0"/>
      <w:marBottom w:val="0"/>
      <w:divBdr>
        <w:top w:val="none" w:sz="0" w:space="0" w:color="auto"/>
        <w:left w:val="none" w:sz="0" w:space="0" w:color="auto"/>
        <w:bottom w:val="none" w:sz="0" w:space="0" w:color="auto"/>
        <w:right w:val="none" w:sz="0" w:space="0" w:color="auto"/>
      </w:divBdr>
    </w:div>
    <w:div w:id="213123475">
      <w:marLeft w:val="0"/>
      <w:marRight w:val="0"/>
      <w:marTop w:val="0"/>
      <w:marBottom w:val="0"/>
      <w:divBdr>
        <w:top w:val="none" w:sz="0" w:space="0" w:color="auto"/>
        <w:left w:val="none" w:sz="0" w:space="0" w:color="auto"/>
        <w:bottom w:val="none" w:sz="0" w:space="0" w:color="auto"/>
        <w:right w:val="none" w:sz="0" w:space="0" w:color="auto"/>
      </w:divBdr>
    </w:div>
    <w:div w:id="213123476">
      <w:marLeft w:val="0"/>
      <w:marRight w:val="0"/>
      <w:marTop w:val="0"/>
      <w:marBottom w:val="0"/>
      <w:divBdr>
        <w:top w:val="none" w:sz="0" w:space="0" w:color="auto"/>
        <w:left w:val="none" w:sz="0" w:space="0" w:color="auto"/>
        <w:bottom w:val="none" w:sz="0" w:space="0" w:color="auto"/>
        <w:right w:val="none" w:sz="0" w:space="0" w:color="auto"/>
      </w:divBdr>
    </w:div>
    <w:div w:id="213123477">
      <w:marLeft w:val="0"/>
      <w:marRight w:val="0"/>
      <w:marTop w:val="0"/>
      <w:marBottom w:val="0"/>
      <w:divBdr>
        <w:top w:val="none" w:sz="0" w:space="0" w:color="auto"/>
        <w:left w:val="none" w:sz="0" w:space="0" w:color="auto"/>
        <w:bottom w:val="none" w:sz="0" w:space="0" w:color="auto"/>
        <w:right w:val="none" w:sz="0" w:space="0" w:color="auto"/>
      </w:divBdr>
    </w:div>
    <w:div w:id="213123478">
      <w:marLeft w:val="0"/>
      <w:marRight w:val="0"/>
      <w:marTop w:val="0"/>
      <w:marBottom w:val="0"/>
      <w:divBdr>
        <w:top w:val="none" w:sz="0" w:space="0" w:color="auto"/>
        <w:left w:val="none" w:sz="0" w:space="0" w:color="auto"/>
        <w:bottom w:val="none" w:sz="0" w:space="0" w:color="auto"/>
        <w:right w:val="none" w:sz="0" w:space="0" w:color="auto"/>
      </w:divBdr>
    </w:div>
    <w:div w:id="213123479">
      <w:marLeft w:val="0"/>
      <w:marRight w:val="0"/>
      <w:marTop w:val="0"/>
      <w:marBottom w:val="0"/>
      <w:divBdr>
        <w:top w:val="none" w:sz="0" w:space="0" w:color="auto"/>
        <w:left w:val="none" w:sz="0" w:space="0" w:color="auto"/>
        <w:bottom w:val="none" w:sz="0" w:space="0" w:color="auto"/>
        <w:right w:val="none" w:sz="0" w:space="0" w:color="auto"/>
      </w:divBdr>
    </w:div>
    <w:div w:id="213123480">
      <w:marLeft w:val="0"/>
      <w:marRight w:val="0"/>
      <w:marTop w:val="0"/>
      <w:marBottom w:val="0"/>
      <w:divBdr>
        <w:top w:val="none" w:sz="0" w:space="0" w:color="auto"/>
        <w:left w:val="none" w:sz="0" w:space="0" w:color="auto"/>
        <w:bottom w:val="none" w:sz="0" w:space="0" w:color="auto"/>
        <w:right w:val="none" w:sz="0" w:space="0" w:color="auto"/>
      </w:divBdr>
    </w:div>
    <w:div w:id="213123481">
      <w:marLeft w:val="0"/>
      <w:marRight w:val="0"/>
      <w:marTop w:val="0"/>
      <w:marBottom w:val="0"/>
      <w:divBdr>
        <w:top w:val="none" w:sz="0" w:space="0" w:color="auto"/>
        <w:left w:val="none" w:sz="0" w:space="0" w:color="auto"/>
        <w:bottom w:val="none" w:sz="0" w:space="0" w:color="auto"/>
        <w:right w:val="none" w:sz="0" w:space="0" w:color="auto"/>
      </w:divBdr>
    </w:div>
    <w:div w:id="213123482">
      <w:marLeft w:val="0"/>
      <w:marRight w:val="0"/>
      <w:marTop w:val="0"/>
      <w:marBottom w:val="0"/>
      <w:divBdr>
        <w:top w:val="none" w:sz="0" w:space="0" w:color="auto"/>
        <w:left w:val="none" w:sz="0" w:space="0" w:color="auto"/>
        <w:bottom w:val="none" w:sz="0" w:space="0" w:color="auto"/>
        <w:right w:val="none" w:sz="0" w:space="0" w:color="auto"/>
      </w:divBdr>
    </w:div>
    <w:div w:id="213123483">
      <w:marLeft w:val="0"/>
      <w:marRight w:val="0"/>
      <w:marTop w:val="0"/>
      <w:marBottom w:val="0"/>
      <w:divBdr>
        <w:top w:val="none" w:sz="0" w:space="0" w:color="auto"/>
        <w:left w:val="none" w:sz="0" w:space="0" w:color="auto"/>
        <w:bottom w:val="none" w:sz="0" w:space="0" w:color="auto"/>
        <w:right w:val="none" w:sz="0" w:space="0" w:color="auto"/>
      </w:divBdr>
    </w:div>
    <w:div w:id="213123484">
      <w:marLeft w:val="0"/>
      <w:marRight w:val="0"/>
      <w:marTop w:val="0"/>
      <w:marBottom w:val="0"/>
      <w:divBdr>
        <w:top w:val="none" w:sz="0" w:space="0" w:color="auto"/>
        <w:left w:val="none" w:sz="0" w:space="0" w:color="auto"/>
        <w:bottom w:val="none" w:sz="0" w:space="0" w:color="auto"/>
        <w:right w:val="none" w:sz="0" w:space="0" w:color="auto"/>
      </w:divBdr>
    </w:div>
    <w:div w:id="213123485">
      <w:marLeft w:val="0"/>
      <w:marRight w:val="0"/>
      <w:marTop w:val="0"/>
      <w:marBottom w:val="0"/>
      <w:divBdr>
        <w:top w:val="none" w:sz="0" w:space="0" w:color="auto"/>
        <w:left w:val="none" w:sz="0" w:space="0" w:color="auto"/>
        <w:bottom w:val="none" w:sz="0" w:space="0" w:color="auto"/>
        <w:right w:val="none" w:sz="0" w:space="0" w:color="auto"/>
      </w:divBdr>
    </w:div>
    <w:div w:id="213123486">
      <w:marLeft w:val="0"/>
      <w:marRight w:val="0"/>
      <w:marTop w:val="0"/>
      <w:marBottom w:val="0"/>
      <w:divBdr>
        <w:top w:val="none" w:sz="0" w:space="0" w:color="auto"/>
        <w:left w:val="none" w:sz="0" w:space="0" w:color="auto"/>
        <w:bottom w:val="none" w:sz="0" w:space="0" w:color="auto"/>
        <w:right w:val="none" w:sz="0" w:space="0" w:color="auto"/>
      </w:divBdr>
    </w:div>
    <w:div w:id="213123487">
      <w:marLeft w:val="0"/>
      <w:marRight w:val="0"/>
      <w:marTop w:val="0"/>
      <w:marBottom w:val="0"/>
      <w:divBdr>
        <w:top w:val="none" w:sz="0" w:space="0" w:color="auto"/>
        <w:left w:val="none" w:sz="0" w:space="0" w:color="auto"/>
        <w:bottom w:val="none" w:sz="0" w:space="0" w:color="auto"/>
        <w:right w:val="none" w:sz="0" w:space="0" w:color="auto"/>
      </w:divBdr>
    </w:div>
    <w:div w:id="213123488">
      <w:marLeft w:val="0"/>
      <w:marRight w:val="0"/>
      <w:marTop w:val="0"/>
      <w:marBottom w:val="0"/>
      <w:divBdr>
        <w:top w:val="none" w:sz="0" w:space="0" w:color="auto"/>
        <w:left w:val="none" w:sz="0" w:space="0" w:color="auto"/>
        <w:bottom w:val="none" w:sz="0" w:space="0" w:color="auto"/>
        <w:right w:val="none" w:sz="0" w:space="0" w:color="auto"/>
      </w:divBdr>
    </w:div>
    <w:div w:id="213123489">
      <w:marLeft w:val="0"/>
      <w:marRight w:val="0"/>
      <w:marTop w:val="0"/>
      <w:marBottom w:val="0"/>
      <w:divBdr>
        <w:top w:val="none" w:sz="0" w:space="0" w:color="auto"/>
        <w:left w:val="none" w:sz="0" w:space="0" w:color="auto"/>
        <w:bottom w:val="none" w:sz="0" w:space="0" w:color="auto"/>
        <w:right w:val="none" w:sz="0" w:space="0" w:color="auto"/>
      </w:divBdr>
    </w:div>
    <w:div w:id="213123490">
      <w:marLeft w:val="0"/>
      <w:marRight w:val="0"/>
      <w:marTop w:val="0"/>
      <w:marBottom w:val="0"/>
      <w:divBdr>
        <w:top w:val="none" w:sz="0" w:space="0" w:color="auto"/>
        <w:left w:val="none" w:sz="0" w:space="0" w:color="auto"/>
        <w:bottom w:val="none" w:sz="0" w:space="0" w:color="auto"/>
        <w:right w:val="none" w:sz="0" w:space="0" w:color="auto"/>
      </w:divBdr>
    </w:div>
    <w:div w:id="213123491">
      <w:marLeft w:val="0"/>
      <w:marRight w:val="0"/>
      <w:marTop w:val="0"/>
      <w:marBottom w:val="0"/>
      <w:divBdr>
        <w:top w:val="none" w:sz="0" w:space="0" w:color="auto"/>
        <w:left w:val="none" w:sz="0" w:space="0" w:color="auto"/>
        <w:bottom w:val="none" w:sz="0" w:space="0" w:color="auto"/>
        <w:right w:val="none" w:sz="0" w:space="0" w:color="auto"/>
      </w:divBdr>
    </w:div>
    <w:div w:id="213123492">
      <w:marLeft w:val="0"/>
      <w:marRight w:val="0"/>
      <w:marTop w:val="0"/>
      <w:marBottom w:val="0"/>
      <w:divBdr>
        <w:top w:val="none" w:sz="0" w:space="0" w:color="auto"/>
        <w:left w:val="none" w:sz="0" w:space="0" w:color="auto"/>
        <w:bottom w:val="none" w:sz="0" w:space="0" w:color="auto"/>
        <w:right w:val="none" w:sz="0" w:space="0" w:color="auto"/>
      </w:divBdr>
    </w:div>
    <w:div w:id="213123493">
      <w:marLeft w:val="0"/>
      <w:marRight w:val="0"/>
      <w:marTop w:val="0"/>
      <w:marBottom w:val="0"/>
      <w:divBdr>
        <w:top w:val="none" w:sz="0" w:space="0" w:color="auto"/>
        <w:left w:val="none" w:sz="0" w:space="0" w:color="auto"/>
        <w:bottom w:val="none" w:sz="0" w:space="0" w:color="auto"/>
        <w:right w:val="none" w:sz="0" w:space="0" w:color="auto"/>
      </w:divBdr>
    </w:div>
    <w:div w:id="213123494">
      <w:marLeft w:val="0"/>
      <w:marRight w:val="0"/>
      <w:marTop w:val="0"/>
      <w:marBottom w:val="0"/>
      <w:divBdr>
        <w:top w:val="none" w:sz="0" w:space="0" w:color="auto"/>
        <w:left w:val="none" w:sz="0" w:space="0" w:color="auto"/>
        <w:bottom w:val="none" w:sz="0" w:space="0" w:color="auto"/>
        <w:right w:val="none" w:sz="0" w:space="0" w:color="auto"/>
      </w:divBdr>
    </w:div>
    <w:div w:id="213123495">
      <w:marLeft w:val="0"/>
      <w:marRight w:val="0"/>
      <w:marTop w:val="0"/>
      <w:marBottom w:val="0"/>
      <w:divBdr>
        <w:top w:val="none" w:sz="0" w:space="0" w:color="auto"/>
        <w:left w:val="none" w:sz="0" w:space="0" w:color="auto"/>
        <w:bottom w:val="none" w:sz="0" w:space="0" w:color="auto"/>
        <w:right w:val="none" w:sz="0" w:space="0" w:color="auto"/>
      </w:divBdr>
    </w:div>
    <w:div w:id="213123496">
      <w:marLeft w:val="0"/>
      <w:marRight w:val="0"/>
      <w:marTop w:val="0"/>
      <w:marBottom w:val="0"/>
      <w:divBdr>
        <w:top w:val="none" w:sz="0" w:space="0" w:color="auto"/>
        <w:left w:val="none" w:sz="0" w:space="0" w:color="auto"/>
        <w:bottom w:val="none" w:sz="0" w:space="0" w:color="auto"/>
        <w:right w:val="none" w:sz="0" w:space="0" w:color="auto"/>
      </w:divBdr>
    </w:div>
    <w:div w:id="213123497">
      <w:marLeft w:val="0"/>
      <w:marRight w:val="0"/>
      <w:marTop w:val="0"/>
      <w:marBottom w:val="0"/>
      <w:divBdr>
        <w:top w:val="none" w:sz="0" w:space="0" w:color="auto"/>
        <w:left w:val="none" w:sz="0" w:space="0" w:color="auto"/>
        <w:bottom w:val="none" w:sz="0" w:space="0" w:color="auto"/>
        <w:right w:val="none" w:sz="0" w:space="0" w:color="auto"/>
      </w:divBdr>
    </w:div>
    <w:div w:id="213123498">
      <w:marLeft w:val="0"/>
      <w:marRight w:val="0"/>
      <w:marTop w:val="0"/>
      <w:marBottom w:val="0"/>
      <w:divBdr>
        <w:top w:val="none" w:sz="0" w:space="0" w:color="auto"/>
        <w:left w:val="none" w:sz="0" w:space="0" w:color="auto"/>
        <w:bottom w:val="none" w:sz="0" w:space="0" w:color="auto"/>
        <w:right w:val="none" w:sz="0" w:space="0" w:color="auto"/>
      </w:divBdr>
    </w:div>
    <w:div w:id="213123499">
      <w:marLeft w:val="0"/>
      <w:marRight w:val="0"/>
      <w:marTop w:val="0"/>
      <w:marBottom w:val="0"/>
      <w:divBdr>
        <w:top w:val="none" w:sz="0" w:space="0" w:color="auto"/>
        <w:left w:val="none" w:sz="0" w:space="0" w:color="auto"/>
        <w:bottom w:val="none" w:sz="0" w:space="0" w:color="auto"/>
        <w:right w:val="none" w:sz="0" w:space="0" w:color="auto"/>
      </w:divBdr>
    </w:div>
    <w:div w:id="213123500">
      <w:marLeft w:val="0"/>
      <w:marRight w:val="0"/>
      <w:marTop w:val="0"/>
      <w:marBottom w:val="0"/>
      <w:divBdr>
        <w:top w:val="none" w:sz="0" w:space="0" w:color="auto"/>
        <w:left w:val="none" w:sz="0" w:space="0" w:color="auto"/>
        <w:bottom w:val="none" w:sz="0" w:space="0" w:color="auto"/>
        <w:right w:val="none" w:sz="0" w:space="0" w:color="auto"/>
      </w:divBdr>
    </w:div>
    <w:div w:id="213123501">
      <w:marLeft w:val="0"/>
      <w:marRight w:val="0"/>
      <w:marTop w:val="0"/>
      <w:marBottom w:val="0"/>
      <w:divBdr>
        <w:top w:val="none" w:sz="0" w:space="0" w:color="auto"/>
        <w:left w:val="none" w:sz="0" w:space="0" w:color="auto"/>
        <w:bottom w:val="none" w:sz="0" w:space="0" w:color="auto"/>
        <w:right w:val="none" w:sz="0" w:space="0" w:color="auto"/>
      </w:divBdr>
    </w:div>
    <w:div w:id="213123502">
      <w:marLeft w:val="0"/>
      <w:marRight w:val="0"/>
      <w:marTop w:val="0"/>
      <w:marBottom w:val="0"/>
      <w:divBdr>
        <w:top w:val="none" w:sz="0" w:space="0" w:color="auto"/>
        <w:left w:val="none" w:sz="0" w:space="0" w:color="auto"/>
        <w:bottom w:val="none" w:sz="0" w:space="0" w:color="auto"/>
        <w:right w:val="none" w:sz="0" w:space="0" w:color="auto"/>
      </w:divBdr>
    </w:div>
    <w:div w:id="213123503">
      <w:marLeft w:val="0"/>
      <w:marRight w:val="0"/>
      <w:marTop w:val="0"/>
      <w:marBottom w:val="0"/>
      <w:divBdr>
        <w:top w:val="none" w:sz="0" w:space="0" w:color="auto"/>
        <w:left w:val="none" w:sz="0" w:space="0" w:color="auto"/>
        <w:bottom w:val="none" w:sz="0" w:space="0" w:color="auto"/>
        <w:right w:val="none" w:sz="0" w:space="0" w:color="auto"/>
      </w:divBdr>
    </w:div>
    <w:div w:id="213123504">
      <w:marLeft w:val="0"/>
      <w:marRight w:val="0"/>
      <w:marTop w:val="0"/>
      <w:marBottom w:val="0"/>
      <w:divBdr>
        <w:top w:val="none" w:sz="0" w:space="0" w:color="auto"/>
        <w:left w:val="none" w:sz="0" w:space="0" w:color="auto"/>
        <w:bottom w:val="none" w:sz="0" w:space="0" w:color="auto"/>
        <w:right w:val="none" w:sz="0" w:space="0" w:color="auto"/>
      </w:divBdr>
    </w:div>
    <w:div w:id="213123505">
      <w:marLeft w:val="0"/>
      <w:marRight w:val="0"/>
      <w:marTop w:val="0"/>
      <w:marBottom w:val="0"/>
      <w:divBdr>
        <w:top w:val="none" w:sz="0" w:space="0" w:color="auto"/>
        <w:left w:val="none" w:sz="0" w:space="0" w:color="auto"/>
        <w:bottom w:val="none" w:sz="0" w:space="0" w:color="auto"/>
        <w:right w:val="none" w:sz="0" w:space="0" w:color="auto"/>
      </w:divBdr>
    </w:div>
    <w:div w:id="213123506">
      <w:marLeft w:val="0"/>
      <w:marRight w:val="0"/>
      <w:marTop w:val="0"/>
      <w:marBottom w:val="0"/>
      <w:divBdr>
        <w:top w:val="none" w:sz="0" w:space="0" w:color="auto"/>
        <w:left w:val="none" w:sz="0" w:space="0" w:color="auto"/>
        <w:bottom w:val="none" w:sz="0" w:space="0" w:color="auto"/>
        <w:right w:val="none" w:sz="0" w:space="0" w:color="auto"/>
      </w:divBdr>
    </w:div>
    <w:div w:id="213123507">
      <w:marLeft w:val="0"/>
      <w:marRight w:val="0"/>
      <w:marTop w:val="0"/>
      <w:marBottom w:val="0"/>
      <w:divBdr>
        <w:top w:val="none" w:sz="0" w:space="0" w:color="auto"/>
        <w:left w:val="none" w:sz="0" w:space="0" w:color="auto"/>
        <w:bottom w:val="none" w:sz="0" w:space="0" w:color="auto"/>
        <w:right w:val="none" w:sz="0" w:space="0" w:color="auto"/>
      </w:divBdr>
    </w:div>
    <w:div w:id="213123508">
      <w:marLeft w:val="0"/>
      <w:marRight w:val="0"/>
      <w:marTop w:val="0"/>
      <w:marBottom w:val="0"/>
      <w:divBdr>
        <w:top w:val="none" w:sz="0" w:space="0" w:color="auto"/>
        <w:left w:val="none" w:sz="0" w:space="0" w:color="auto"/>
        <w:bottom w:val="none" w:sz="0" w:space="0" w:color="auto"/>
        <w:right w:val="none" w:sz="0" w:space="0" w:color="auto"/>
      </w:divBdr>
    </w:div>
    <w:div w:id="213123509">
      <w:marLeft w:val="0"/>
      <w:marRight w:val="0"/>
      <w:marTop w:val="0"/>
      <w:marBottom w:val="0"/>
      <w:divBdr>
        <w:top w:val="none" w:sz="0" w:space="0" w:color="auto"/>
        <w:left w:val="none" w:sz="0" w:space="0" w:color="auto"/>
        <w:bottom w:val="none" w:sz="0" w:space="0" w:color="auto"/>
        <w:right w:val="none" w:sz="0" w:space="0" w:color="auto"/>
      </w:divBdr>
    </w:div>
    <w:div w:id="213123510">
      <w:marLeft w:val="0"/>
      <w:marRight w:val="0"/>
      <w:marTop w:val="0"/>
      <w:marBottom w:val="0"/>
      <w:divBdr>
        <w:top w:val="none" w:sz="0" w:space="0" w:color="auto"/>
        <w:left w:val="none" w:sz="0" w:space="0" w:color="auto"/>
        <w:bottom w:val="none" w:sz="0" w:space="0" w:color="auto"/>
        <w:right w:val="none" w:sz="0" w:space="0" w:color="auto"/>
      </w:divBdr>
    </w:div>
    <w:div w:id="213123511">
      <w:marLeft w:val="0"/>
      <w:marRight w:val="0"/>
      <w:marTop w:val="0"/>
      <w:marBottom w:val="0"/>
      <w:divBdr>
        <w:top w:val="none" w:sz="0" w:space="0" w:color="auto"/>
        <w:left w:val="none" w:sz="0" w:space="0" w:color="auto"/>
        <w:bottom w:val="none" w:sz="0" w:space="0" w:color="auto"/>
        <w:right w:val="none" w:sz="0" w:space="0" w:color="auto"/>
      </w:divBdr>
    </w:div>
    <w:div w:id="213123512">
      <w:marLeft w:val="0"/>
      <w:marRight w:val="0"/>
      <w:marTop w:val="0"/>
      <w:marBottom w:val="0"/>
      <w:divBdr>
        <w:top w:val="none" w:sz="0" w:space="0" w:color="auto"/>
        <w:left w:val="none" w:sz="0" w:space="0" w:color="auto"/>
        <w:bottom w:val="none" w:sz="0" w:space="0" w:color="auto"/>
        <w:right w:val="none" w:sz="0" w:space="0" w:color="auto"/>
      </w:divBdr>
    </w:div>
    <w:div w:id="213123513">
      <w:marLeft w:val="0"/>
      <w:marRight w:val="0"/>
      <w:marTop w:val="0"/>
      <w:marBottom w:val="0"/>
      <w:divBdr>
        <w:top w:val="none" w:sz="0" w:space="0" w:color="auto"/>
        <w:left w:val="none" w:sz="0" w:space="0" w:color="auto"/>
        <w:bottom w:val="none" w:sz="0" w:space="0" w:color="auto"/>
        <w:right w:val="none" w:sz="0" w:space="0" w:color="auto"/>
      </w:divBdr>
    </w:div>
    <w:div w:id="213123514">
      <w:marLeft w:val="0"/>
      <w:marRight w:val="0"/>
      <w:marTop w:val="0"/>
      <w:marBottom w:val="0"/>
      <w:divBdr>
        <w:top w:val="none" w:sz="0" w:space="0" w:color="auto"/>
        <w:left w:val="none" w:sz="0" w:space="0" w:color="auto"/>
        <w:bottom w:val="none" w:sz="0" w:space="0" w:color="auto"/>
        <w:right w:val="none" w:sz="0" w:space="0" w:color="auto"/>
      </w:divBdr>
    </w:div>
    <w:div w:id="213123515">
      <w:marLeft w:val="0"/>
      <w:marRight w:val="0"/>
      <w:marTop w:val="0"/>
      <w:marBottom w:val="0"/>
      <w:divBdr>
        <w:top w:val="none" w:sz="0" w:space="0" w:color="auto"/>
        <w:left w:val="none" w:sz="0" w:space="0" w:color="auto"/>
        <w:bottom w:val="none" w:sz="0" w:space="0" w:color="auto"/>
        <w:right w:val="none" w:sz="0" w:space="0" w:color="auto"/>
      </w:divBdr>
    </w:div>
    <w:div w:id="213123516">
      <w:marLeft w:val="0"/>
      <w:marRight w:val="0"/>
      <w:marTop w:val="0"/>
      <w:marBottom w:val="0"/>
      <w:divBdr>
        <w:top w:val="none" w:sz="0" w:space="0" w:color="auto"/>
        <w:left w:val="none" w:sz="0" w:space="0" w:color="auto"/>
        <w:bottom w:val="none" w:sz="0" w:space="0" w:color="auto"/>
        <w:right w:val="none" w:sz="0" w:space="0" w:color="auto"/>
      </w:divBdr>
    </w:div>
    <w:div w:id="213123517">
      <w:marLeft w:val="0"/>
      <w:marRight w:val="0"/>
      <w:marTop w:val="0"/>
      <w:marBottom w:val="0"/>
      <w:divBdr>
        <w:top w:val="none" w:sz="0" w:space="0" w:color="auto"/>
        <w:left w:val="none" w:sz="0" w:space="0" w:color="auto"/>
        <w:bottom w:val="none" w:sz="0" w:space="0" w:color="auto"/>
        <w:right w:val="none" w:sz="0" w:space="0" w:color="auto"/>
      </w:divBdr>
    </w:div>
    <w:div w:id="213123518">
      <w:marLeft w:val="0"/>
      <w:marRight w:val="0"/>
      <w:marTop w:val="0"/>
      <w:marBottom w:val="0"/>
      <w:divBdr>
        <w:top w:val="none" w:sz="0" w:space="0" w:color="auto"/>
        <w:left w:val="none" w:sz="0" w:space="0" w:color="auto"/>
        <w:bottom w:val="none" w:sz="0" w:space="0" w:color="auto"/>
        <w:right w:val="none" w:sz="0" w:space="0" w:color="auto"/>
      </w:divBdr>
    </w:div>
    <w:div w:id="213123519">
      <w:marLeft w:val="0"/>
      <w:marRight w:val="0"/>
      <w:marTop w:val="0"/>
      <w:marBottom w:val="0"/>
      <w:divBdr>
        <w:top w:val="none" w:sz="0" w:space="0" w:color="auto"/>
        <w:left w:val="none" w:sz="0" w:space="0" w:color="auto"/>
        <w:bottom w:val="none" w:sz="0" w:space="0" w:color="auto"/>
        <w:right w:val="none" w:sz="0" w:space="0" w:color="auto"/>
      </w:divBdr>
    </w:div>
    <w:div w:id="213123520">
      <w:marLeft w:val="0"/>
      <w:marRight w:val="0"/>
      <w:marTop w:val="0"/>
      <w:marBottom w:val="0"/>
      <w:divBdr>
        <w:top w:val="none" w:sz="0" w:space="0" w:color="auto"/>
        <w:left w:val="none" w:sz="0" w:space="0" w:color="auto"/>
        <w:bottom w:val="none" w:sz="0" w:space="0" w:color="auto"/>
        <w:right w:val="none" w:sz="0" w:space="0" w:color="auto"/>
      </w:divBdr>
    </w:div>
    <w:div w:id="213123521">
      <w:marLeft w:val="0"/>
      <w:marRight w:val="0"/>
      <w:marTop w:val="0"/>
      <w:marBottom w:val="0"/>
      <w:divBdr>
        <w:top w:val="none" w:sz="0" w:space="0" w:color="auto"/>
        <w:left w:val="none" w:sz="0" w:space="0" w:color="auto"/>
        <w:bottom w:val="none" w:sz="0" w:space="0" w:color="auto"/>
        <w:right w:val="none" w:sz="0" w:space="0" w:color="auto"/>
      </w:divBdr>
    </w:div>
    <w:div w:id="213123522">
      <w:marLeft w:val="0"/>
      <w:marRight w:val="0"/>
      <w:marTop w:val="0"/>
      <w:marBottom w:val="0"/>
      <w:divBdr>
        <w:top w:val="none" w:sz="0" w:space="0" w:color="auto"/>
        <w:left w:val="none" w:sz="0" w:space="0" w:color="auto"/>
        <w:bottom w:val="none" w:sz="0" w:space="0" w:color="auto"/>
        <w:right w:val="none" w:sz="0" w:space="0" w:color="auto"/>
      </w:divBdr>
    </w:div>
    <w:div w:id="213123523">
      <w:marLeft w:val="0"/>
      <w:marRight w:val="0"/>
      <w:marTop w:val="0"/>
      <w:marBottom w:val="0"/>
      <w:divBdr>
        <w:top w:val="none" w:sz="0" w:space="0" w:color="auto"/>
        <w:left w:val="none" w:sz="0" w:space="0" w:color="auto"/>
        <w:bottom w:val="none" w:sz="0" w:space="0" w:color="auto"/>
        <w:right w:val="none" w:sz="0" w:space="0" w:color="auto"/>
      </w:divBdr>
    </w:div>
    <w:div w:id="213123525">
      <w:marLeft w:val="0"/>
      <w:marRight w:val="0"/>
      <w:marTop w:val="0"/>
      <w:marBottom w:val="0"/>
      <w:divBdr>
        <w:top w:val="none" w:sz="0" w:space="0" w:color="auto"/>
        <w:left w:val="none" w:sz="0" w:space="0" w:color="auto"/>
        <w:bottom w:val="none" w:sz="0" w:space="0" w:color="auto"/>
        <w:right w:val="none" w:sz="0" w:space="0" w:color="auto"/>
      </w:divBdr>
    </w:div>
    <w:div w:id="213123526">
      <w:marLeft w:val="0"/>
      <w:marRight w:val="0"/>
      <w:marTop w:val="0"/>
      <w:marBottom w:val="0"/>
      <w:divBdr>
        <w:top w:val="none" w:sz="0" w:space="0" w:color="auto"/>
        <w:left w:val="none" w:sz="0" w:space="0" w:color="auto"/>
        <w:bottom w:val="none" w:sz="0" w:space="0" w:color="auto"/>
        <w:right w:val="none" w:sz="0" w:space="0" w:color="auto"/>
      </w:divBdr>
    </w:div>
    <w:div w:id="213123527">
      <w:marLeft w:val="0"/>
      <w:marRight w:val="0"/>
      <w:marTop w:val="0"/>
      <w:marBottom w:val="0"/>
      <w:divBdr>
        <w:top w:val="none" w:sz="0" w:space="0" w:color="auto"/>
        <w:left w:val="none" w:sz="0" w:space="0" w:color="auto"/>
        <w:bottom w:val="none" w:sz="0" w:space="0" w:color="auto"/>
        <w:right w:val="none" w:sz="0" w:space="0" w:color="auto"/>
      </w:divBdr>
    </w:div>
    <w:div w:id="213123528">
      <w:marLeft w:val="0"/>
      <w:marRight w:val="0"/>
      <w:marTop w:val="0"/>
      <w:marBottom w:val="0"/>
      <w:divBdr>
        <w:top w:val="none" w:sz="0" w:space="0" w:color="auto"/>
        <w:left w:val="none" w:sz="0" w:space="0" w:color="auto"/>
        <w:bottom w:val="none" w:sz="0" w:space="0" w:color="auto"/>
        <w:right w:val="none" w:sz="0" w:space="0" w:color="auto"/>
      </w:divBdr>
    </w:div>
    <w:div w:id="213123529">
      <w:marLeft w:val="0"/>
      <w:marRight w:val="0"/>
      <w:marTop w:val="0"/>
      <w:marBottom w:val="0"/>
      <w:divBdr>
        <w:top w:val="none" w:sz="0" w:space="0" w:color="auto"/>
        <w:left w:val="none" w:sz="0" w:space="0" w:color="auto"/>
        <w:bottom w:val="none" w:sz="0" w:space="0" w:color="auto"/>
        <w:right w:val="none" w:sz="0" w:space="0" w:color="auto"/>
      </w:divBdr>
    </w:div>
    <w:div w:id="213123530">
      <w:marLeft w:val="0"/>
      <w:marRight w:val="0"/>
      <w:marTop w:val="0"/>
      <w:marBottom w:val="0"/>
      <w:divBdr>
        <w:top w:val="none" w:sz="0" w:space="0" w:color="auto"/>
        <w:left w:val="none" w:sz="0" w:space="0" w:color="auto"/>
        <w:bottom w:val="none" w:sz="0" w:space="0" w:color="auto"/>
        <w:right w:val="none" w:sz="0" w:space="0" w:color="auto"/>
      </w:divBdr>
    </w:div>
    <w:div w:id="213123531">
      <w:marLeft w:val="0"/>
      <w:marRight w:val="0"/>
      <w:marTop w:val="0"/>
      <w:marBottom w:val="0"/>
      <w:divBdr>
        <w:top w:val="none" w:sz="0" w:space="0" w:color="auto"/>
        <w:left w:val="none" w:sz="0" w:space="0" w:color="auto"/>
        <w:bottom w:val="none" w:sz="0" w:space="0" w:color="auto"/>
        <w:right w:val="none" w:sz="0" w:space="0" w:color="auto"/>
      </w:divBdr>
    </w:div>
    <w:div w:id="213123532">
      <w:marLeft w:val="0"/>
      <w:marRight w:val="0"/>
      <w:marTop w:val="0"/>
      <w:marBottom w:val="0"/>
      <w:divBdr>
        <w:top w:val="none" w:sz="0" w:space="0" w:color="auto"/>
        <w:left w:val="none" w:sz="0" w:space="0" w:color="auto"/>
        <w:bottom w:val="none" w:sz="0" w:space="0" w:color="auto"/>
        <w:right w:val="none" w:sz="0" w:space="0" w:color="auto"/>
      </w:divBdr>
    </w:div>
    <w:div w:id="213123533">
      <w:marLeft w:val="0"/>
      <w:marRight w:val="0"/>
      <w:marTop w:val="0"/>
      <w:marBottom w:val="0"/>
      <w:divBdr>
        <w:top w:val="none" w:sz="0" w:space="0" w:color="auto"/>
        <w:left w:val="none" w:sz="0" w:space="0" w:color="auto"/>
        <w:bottom w:val="none" w:sz="0" w:space="0" w:color="auto"/>
        <w:right w:val="none" w:sz="0" w:space="0" w:color="auto"/>
      </w:divBdr>
    </w:div>
    <w:div w:id="213123534">
      <w:marLeft w:val="0"/>
      <w:marRight w:val="0"/>
      <w:marTop w:val="0"/>
      <w:marBottom w:val="0"/>
      <w:divBdr>
        <w:top w:val="none" w:sz="0" w:space="0" w:color="auto"/>
        <w:left w:val="none" w:sz="0" w:space="0" w:color="auto"/>
        <w:bottom w:val="none" w:sz="0" w:space="0" w:color="auto"/>
        <w:right w:val="none" w:sz="0" w:space="0" w:color="auto"/>
      </w:divBdr>
    </w:div>
    <w:div w:id="213123535">
      <w:marLeft w:val="0"/>
      <w:marRight w:val="0"/>
      <w:marTop w:val="0"/>
      <w:marBottom w:val="0"/>
      <w:divBdr>
        <w:top w:val="none" w:sz="0" w:space="0" w:color="auto"/>
        <w:left w:val="none" w:sz="0" w:space="0" w:color="auto"/>
        <w:bottom w:val="none" w:sz="0" w:space="0" w:color="auto"/>
        <w:right w:val="none" w:sz="0" w:space="0" w:color="auto"/>
      </w:divBdr>
    </w:div>
    <w:div w:id="213123537">
      <w:marLeft w:val="0"/>
      <w:marRight w:val="0"/>
      <w:marTop w:val="0"/>
      <w:marBottom w:val="0"/>
      <w:divBdr>
        <w:top w:val="none" w:sz="0" w:space="0" w:color="auto"/>
        <w:left w:val="none" w:sz="0" w:space="0" w:color="auto"/>
        <w:bottom w:val="none" w:sz="0" w:space="0" w:color="auto"/>
        <w:right w:val="none" w:sz="0" w:space="0" w:color="auto"/>
      </w:divBdr>
    </w:div>
    <w:div w:id="213123538">
      <w:marLeft w:val="0"/>
      <w:marRight w:val="0"/>
      <w:marTop w:val="0"/>
      <w:marBottom w:val="0"/>
      <w:divBdr>
        <w:top w:val="none" w:sz="0" w:space="0" w:color="auto"/>
        <w:left w:val="none" w:sz="0" w:space="0" w:color="auto"/>
        <w:bottom w:val="none" w:sz="0" w:space="0" w:color="auto"/>
        <w:right w:val="none" w:sz="0" w:space="0" w:color="auto"/>
      </w:divBdr>
    </w:div>
    <w:div w:id="213123539">
      <w:marLeft w:val="0"/>
      <w:marRight w:val="0"/>
      <w:marTop w:val="0"/>
      <w:marBottom w:val="0"/>
      <w:divBdr>
        <w:top w:val="none" w:sz="0" w:space="0" w:color="auto"/>
        <w:left w:val="none" w:sz="0" w:space="0" w:color="auto"/>
        <w:bottom w:val="none" w:sz="0" w:space="0" w:color="auto"/>
        <w:right w:val="none" w:sz="0" w:space="0" w:color="auto"/>
      </w:divBdr>
    </w:div>
    <w:div w:id="213123540">
      <w:marLeft w:val="0"/>
      <w:marRight w:val="0"/>
      <w:marTop w:val="0"/>
      <w:marBottom w:val="0"/>
      <w:divBdr>
        <w:top w:val="none" w:sz="0" w:space="0" w:color="auto"/>
        <w:left w:val="none" w:sz="0" w:space="0" w:color="auto"/>
        <w:bottom w:val="none" w:sz="0" w:space="0" w:color="auto"/>
        <w:right w:val="none" w:sz="0" w:space="0" w:color="auto"/>
      </w:divBdr>
    </w:div>
    <w:div w:id="213123541">
      <w:marLeft w:val="0"/>
      <w:marRight w:val="0"/>
      <w:marTop w:val="0"/>
      <w:marBottom w:val="0"/>
      <w:divBdr>
        <w:top w:val="none" w:sz="0" w:space="0" w:color="auto"/>
        <w:left w:val="none" w:sz="0" w:space="0" w:color="auto"/>
        <w:bottom w:val="none" w:sz="0" w:space="0" w:color="auto"/>
        <w:right w:val="none" w:sz="0" w:space="0" w:color="auto"/>
      </w:divBdr>
    </w:div>
    <w:div w:id="213123542">
      <w:marLeft w:val="0"/>
      <w:marRight w:val="0"/>
      <w:marTop w:val="0"/>
      <w:marBottom w:val="0"/>
      <w:divBdr>
        <w:top w:val="none" w:sz="0" w:space="0" w:color="auto"/>
        <w:left w:val="none" w:sz="0" w:space="0" w:color="auto"/>
        <w:bottom w:val="none" w:sz="0" w:space="0" w:color="auto"/>
        <w:right w:val="none" w:sz="0" w:space="0" w:color="auto"/>
      </w:divBdr>
    </w:div>
    <w:div w:id="213123543">
      <w:marLeft w:val="0"/>
      <w:marRight w:val="0"/>
      <w:marTop w:val="0"/>
      <w:marBottom w:val="0"/>
      <w:divBdr>
        <w:top w:val="none" w:sz="0" w:space="0" w:color="auto"/>
        <w:left w:val="none" w:sz="0" w:space="0" w:color="auto"/>
        <w:bottom w:val="none" w:sz="0" w:space="0" w:color="auto"/>
        <w:right w:val="none" w:sz="0" w:space="0" w:color="auto"/>
      </w:divBdr>
    </w:div>
    <w:div w:id="213123544">
      <w:marLeft w:val="0"/>
      <w:marRight w:val="0"/>
      <w:marTop w:val="0"/>
      <w:marBottom w:val="0"/>
      <w:divBdr>
        <w:top w:val="none" w:sz="0" w:space="0" w:color="auto"/>
        <w:left w:val="none" w:sz="0" w:space="0" w:color="auto"/>
        <w:bottom w:val="none" w:sz="0" w:space="0" w:color="auto"/>
        <w:right w:val="none" w:sz="0" w:space="0" w:color="auto"/>
      </w:divBdr>
    </w:div>
    <w:div w:id="213123545">
      <w:marLeft w:val="0"/>
      <w:marRight w:val="0"/>
      <w:marTop w:val="0"/>
      <w:marBottom w:val="0"/>
      <w:divBdr>
        <w:top w:val="none" w:sz="0" w:space="0" w:color="auto"/>
        <w:left w:val="none" w:sz="0" w:space="0" w:color="auto"/>
        <w:bottom w:val="none" w:sz="0" w:space="0" w:color="auto"/>
        <w:right w:val="none" w:sz="0" w:space="0" w:color="auto"/>
      </w:divBdr>
    </w:div>
    <w:div w:id="213123546">
      <w:marLeft w:val="0"/>
      <w:marRight w:val="0"/>
      <w:marTop w:val="0"/>
      <w:marBottom w:val="0"/>
      <w:divBdr>
        <w:top w:val="none" w:sz="0" w:space="0" w:color="auto"/>
        <w:left w:val="none" w:sz="0" w:space="0" w:color="auto"/>
        <w:bottom w:val="none" w:sz="0" w:space="0" w:color="auto"/>
        <w:right w:val="none" w:sz="0" w:space="0" w:color="auto"/>
      </w:divBdr>
    </w:div>
    <w:div w:id="213123547">
      <w:marLeft w:val="0"/>
      <w:marRight w:val="0"/>
      <w:marTop w:val="0"/>
      <w:marBottom w:val="0"/>
      <w:divBdr>
        <w:top w:val="none" w:sz="0" w:space="0" w:color="auto"/>
        <w:left w:val="none" w:sz="0" w:space="0" w:color="auto"/>
        <w:bottom w:val="none" w:sz="0" w:space="0" w:color="auto"/>
        <w:right w:val="none" w:sz="0" w:space="0" w:color="auto"/>
      </w:divBdr>
    </w:div>
    <w:div w:id="213123548">
      <w:marLeft w:val="0"/>
      <w:marRight w:val="0"/>
      <w:marTop w:val="0"/>
      <w:marBottom w:val="0"/>
      <w:divBdr>
        <w:top w:val="none" w:sz="0" w:space="0" w:color="auto"/>
        <w:left w:val="none" w:sz="0" w:space="0" w:color="auto"/>
        <w:bottom w:val="none" w:sz="0" w:space="0" w:color="auto"/>
        <w:right w:val="none" w:sz="0" w:space="0" w:color="auto"/>
      </w:divBdr>
    </w:div>
    <w:div w:id="213123549">
      <w:marLeft w:val="0"/>
      <w:marRight w:val="0"/>
      <w:marTop w:val="0"/>
      <w:marBottom w:val="0"/>
      <w:divBdr>
        <w:top w:val="none" w:sz="0" w:space="0" w:color="auto"/>
        <w:left w:val="none" w:sz="0" w:space="0" w:color="auto"/>
        <w:bottom w:val="none" w:sz="0" w:space="0" w:color="auto"/>
        <w:right w:val="none" w:sz="0" w:space="0" w:color="auto"/>
      </w:divBdr>
    </w:div>
    <w:div w:id="213123550">
      <w:marLeft w:val="0"/>
      <w:marRight w:val="0"/>
      <w:marTop w:val="0"/>
      <w:marBottom w:val="0"/>
      <w:divBdr>
        <w:top w:val="none" w:sz="0" w:space="0" w:color="auto"/>
        <w:left w:val="none" w:sz="0" w:space="0" w:color="auto"/>
        <w:bottom w:val="none" w:sz="0" w:space="0" w:color="auto"/>
        <w:right w:val="none" w:sz="0" w:space="0" w:color="auto"/>
      </w:divBdr>
    </w:div>
    <w:div w:id="213123551">
      <w:marLeft w:val="0"/>
      <w:marRight w:val="0"/>
      <w:marTop w:val="0"/>
      <w:marBottom w:val="0"/>
      <w:divBdr>
        <w:top w:val="none" w:sz="0" w:space="0" w:color="auto"/>
        <w:left w:val="none" w:sz="0" w:space="0" w:color="auto"/>
        <w:bottom w:val="none" w:sz="0" w:space="0" w:color="auto"/>
        <w:right w:val="none" w:sz="0" w:space="0" w:color="auto"/>
      </w:divBdr>
    </w:div>
    <w:div w:id="213123552">
      <w:marLeft w:val="0"/>
      <w:marRight w:val="0"/>
      <w:marTop w:val="0"/>
      <w:marBottom w:val="0"/>
      <w:divBdr>
        <w:top w:val="none" w:sz="0" w:space="0" w:color="auto"/>
        <w:left w:val="none" w:sz="0" w:space="0" w:color="auto"/>
        <w:bottom w:val="none" w:sz="0" w:space="0" w:color="auto"/>
        <w:right w:val="none" w:sz="0" w:space="0" w:color="auto"/>
      </w:divBdr>
    </w:div>
    <w:div w:id="213123553">
      <w:marLeft w:val="0"/>
      <w:marRight w:val="0"/>
      <w:marTop w:val="0"/>
      <w:marBottom w:val="0"/>
      <w:divBdr>
        <w:top w:val="none" w:sz="0" w:space="0" w:color="auto"/>
        <w:left w:val="none" w:sz="0" w:space="0" w:color="auto"/>
        <w:bottom w:val="none" w:sz="0" w:space="0" w:color="auto"/>
        <w:right w:val="none" w:sz="0" w:space="0" w:color="auto"/>
      </w:divBdr>
    </w:div>
    <w:div w:id="213123554">
      <w:marLeft w:val="0"/>
      <w:marRight w:val="0"/>
      <w:marTop w:val="0"/>
      <w:marBottom w:val="0"/>
      <w:divBdr>
        <w:top w:val="none" w:sz="0" w:space="0" w:color="auto"/>
        <w:left w:val="none" w:sz="0" w:space="0" w:color="auto"/>
        <w:bottom w:val="none" w:sz="0" w:space="0" w:color="auto"/>
        <w:right w:val="none" w:sz="0" w:space="0" w:color="auto"/>
      </w:divBdr>
    </w:div>
    <w:div w:id="213123555">
      <w:marLeft w:val="0"/>
      <w:marRight w:val="0"/>
      <w:marTop w:val="0"/>
      <w:marBottom w:val="0"/>
      <w:divBdr>
        <w:top w:val="none" w:sz="0" w:space="0" w:color="auto"/>
        <w:left w:val="none" w:sz="0" w:space="0" w:color="auto"/>
        <w:bottom w:val="none" w:sz="0" w:space="0" w:color="auto"/>
        <w:right w:val="none" w:sz="0" w:space="0" w:color="auto"/>
      </w:divBdr>
    </w:div>
    <w:div w:id="213123556">
      <w:marLeft w:val="0"/>
      <w:marRight w:val="0"/>
      <w:marTop w:val="0"/>
      <w:marBottom w:val="0"/>
      <w:divBdr>
        <w:top w:val="none" w:sz="0" w:space="0" w:color="auto"/>
        <w:left w:val="none" w:sz="0" w:space="0" w:color="auto"/>
        <w:bottom w:val="none" w:sz="0" w:space="0" w:color="auto"/>
        <w:right w:val="none" w:sz="0" w:space="0" w:color="auto"/>
      </w:divBdr>
    </w:div>
    <w:div w:id="213123557">
      <w:marLeft w:val="0"/>
      <w:marRight w:val="0"/>
      <w:marTop w:val="0"/>
      <w:marBottom w:val="0"/>
      <w:divBdr>
        <w:top w:val="none" w:sz="0" w:space="0" w:color="auto"/>
        <w:left w:val="none" w:sz="0" w:space="0" w:color="auto"/>
        <w:bottom w:val="none" w:sz="0" w:space="0" w:color="auto"/>
        <w:right w:val="none" w:sz="0" w:space="0" w:color="auto"/>
      </w:divBdr>
    </w:div>
    <w:div w:id="213123558">
      <w:marLeft w:val="0"/>
      <w:marRight w:val="0"/>
      <w:marTop w:val="0"/>
      <w:marBottom w:val="0"/>
      <w:divBdr>
        <w:top w:val="none" w:sz="0" w:space="0" w:color="auto"/>
        <w:left w:val="none" w:sz="0" w:space="0" w:color="auto"/>
        <w:bottom w:val="none" w:sz="0" w:space="0" w:color="auto"/>
        <w:right w:val="none" w:sz="0" w:space="0" w:color="auto"/>
      </w:divBdr>
    </w:div>
    <w:div w:id="213123559">
      <w:marLeft w:val="0"/>
      <w:marRight w:val="0"/>
      <w:marTop w:val="0"/>
      <w:marBottom w:val="0"/>
      <w:divBdr>
        <w:top w:val="none" w:sz="0" w:space="0" w:color="auto"/>
        <w:left w:val="none" w:sz="0" w:space="0" w:color="auto"/>
        <w:bottom w:val="none" w:sz="0" w:space="0" w:color="auto"/>
        <w:right w:val="none" w:sz="0" w:space="0" w:color="auto"/>
      </w:divBdr>
    </w:div>
    <w:div w:id="213123560">
      <w:marLeft w:val="0"/>
      <w:marRight w:val="0"/>
      <w:marTop w:val="0"/>
      <w:marBottom w:val="0"/>
      <w:divBdr>
        <w:top w:val="none" w:sz="0" w:space="0" w:color="auto"/>
        <w:left w:val="none" w:sz="0" w:space="0" w:color="auto"/>
        <w:bottom w:val="none" w:sz="0" w:space="0" w:color="auto"/>
        <w:right w:val="none" w:sz="0" w:space="0" w:color="auto"/>
      </w:divBdr>
    </w:div>
    <w:div w:id="213123561">
      <w:marLeft w:val="0"/>
      <w:marRight w:val="0"/>
      <w:marTop w:val="0"/>
      <w:marBottom w:val="0"/>
      <w:divBdr>
        <w:top w:val="none" w:sz="0" w:space="0" w:color="auto"/>
        <w:left w:val="none" w:sz="0" w:space="0" w:color="auto"/>
        <w:bottom w:val="none" w:sz="0" w:space="0" w:color="auto"/>
        <w:right w:val="none" w:sz="0" w:space="0" w:color="auto"/>
      </w:divBdr>
    </w:div>
    <w:div w:id="213123562">
      <w:marLeft w:val="0"/>
      <w:marRight w:val="0"/>
      <w:marTop w:val="0"/>
      <w:marBottom w:val="0"/>
      <w:divBdr>
        <w:top w:val="none" w:sz="0" w:space="0" w:color="auto"/>
        <w:left w:val="none" w:sz="0" w:space="0" w:color="auto"/>
        <w:bottom w:val="none" w:sz="0" w:space="0" w:color="auto"/>
        <w:right w:val="none" w:sz="0" w:space="0" w:color="auto"/>
      </w:divBdr>
    </w:div>
    <w:div w:id="213123563">
      <w:marLeft w:val="0"/>
      <w:marRight w:val="0"/>
      <w:marTop w:val="0"/>
      <w:marBottom w:val="0"/>
      <w:divBdr>
        <w:top w:val="none" w:sz="0" w:space="0" w:color="auto"/>
        <w:left w:val="none" w:sz="0" w:space="0" w:color="auto"/>
        <w:bottom w:val="none" w:sz="0" w:space="0" w:color="auto"/>
        <w:right w:val="none" w:sz="0" w:space="0" w:color="auto"/>
      </w:divBdr>
    </w:div>
    <w:div w:id="213123564">
      <w:marLeft w:val="0"/>
      <w:marRight w:val="0"/>
      <w:marTop w:val="0"/>
      <w:marBottom w:val="0"/>
      <w:divBdr>
        <w:top w:val="none" w:sz="0" w:space="0" w:color="auto"/>
        <w:left w:val="none" w:sz="0" w:space="0" w:color="auto"/>
        <w:bottom w:val="none" w:sz="0" w:space="0" w:color="auto"/>
        <w:right w:val="none" w:sz="0" w:space="0" w:color="auto"/>
      </w:divBdr>
    </w:div>
    <w:div w:id="213123565">
      <w:marLeft w:val="0"/>
      <w:marRight w:val="0"/>
      <w:marTop w:val="0"/>
      <w:marBottom w:val="0"/>
      <w:divBdr>
        <w:top w:val="none" w:sz="0" w:space="0" w:color="auto"/>
        <w:left w:val="none" w:sz="0" w:space="0" w:color="auto"/>
        <w:bottom w:val="none" w:sz="0" w:space="0" w:color="auto"/>
        <w:right w:val="none" w:sz="0" w:space="0" w:color="auto"/>
      </w:divBdr>
    </w:div>
    <w:div w:id="213123566">
      <w:marLeft w:val="0"/>
      <w:marRight w:val="0"/>
      <w:marTop w:val="0"/>
      <w:marBottom w:val="0"/>
      <w:divBdr>
        <w:top w:val="none" w:sz="0" w:space="0" w:color="auto"/>
        <w:left w:val="none" w:sz="0" w:space="0" w:color="auto"/>
        <w:bottom w:val="none" w:sz="0" w:space="0" w:color="auto"/>
        <w:right w:val="none" w:sz="0" w:space="0" w:color="auto"/>
      </w:divBdr>
    </w:div>
    <w:div w:id="213123567">
      <w:marLeft w:val="0"/>
      <w:marRight w:val="0"/>
      <w:marTop w:val="0"/>
      <w:marBottom w:val="0"/>
      <w:divBdr>
        <w:top w:val="none" w:sz="0" w:space="0" w:color="auto"/>
        <w:left w:val="none" w:sz="0" w:space="0" w:color="auto"/>
        <w:bottom w:val="none" w:sz="0" w:space="0" w:color="auto"/>
        <w:right w:val="none" w:sz="0" w:space="0" w:color="auto"/>
      </w:divBdr>
    </w:div>
    <w:div w:id="213123568">
      <w:marLeft w:val="0"/>
      <w:marRight w:val="0"/>
      <w:marTop w:val="0"/>
      <w:marBottom w:val="0"/>
      <w:divBdr>
        <w:top w:val="none" w:sz="0" w:space="0" w:color="auto"/>
        <w:left w:val="none" w:sz="0" w:space="0" w:color="auto"/>
        <w:bottom w:val="none" w:sz="0" w:space="0" w:color="auto"/>
        <w:right w:val="none" w:sz="0" w:space="0" w:color="auto"/>
      </w:divBdr>
    </w:div>
    <w:div w:id="213123569">
      <w:marLeft w:val="0"/>
      <w:marRight w:val="0"/>
      <w:marTop w:val="0"/>
      <w:marBottom w:val="0"/>
      <w:divBdr>
        <w:top w:val="none" w:sz="0" w:space="0" w:color="auto"/>
        <w:left w:val="none" w:sz="0" w:space="0" w:color="auto"/>
        <w:bottom w:val="none" w:sz="0" w:space="0" w:color="auto"/>
        <w:right w:val="none" w:sz="0" w:space="0" w:color="auto"/>
      </w:divBdr>
    </w:div>
    <w:div w:id="213123570">
      <w:marLeft w:val="0"/>
      <w:marRight w:val="0"/>
      <w:marTop w:val="0"/>
      <w:marBottom w:val="0"/>
      <w:divBdr>
        <w:top w:val="none" w:sz="0" w:space="0" w:color="auto"/>
        <w:left w:val="none" w:sz="0" w:space="0" w:color="auto"/>
        <w:bottom w:val="none" w:sz="0" w:space="0" w:color="auto"/>
        <w:right w:val="none" w:sz="0" w:space="0" w:color="auto"/>
      </w:divBdr>
    </w:div>
    <w:div w:id="213123571">
      <w:marLeft w:val="0"/>
      <w:marRight w:val="0"/>
      <w:marTop w:val="0"/>
      <w:marBottom w:val="0"/>
      <w:divBdr>
        <w:top w:val="none" w:sz="0" w:space="0" w:color="auto"/>
        <w:left w:val="none" w:sz="0" w:space="0" w:color="auto"/>
        <w:bottom w:val="none" w:sz="0" w:space="0" w:color="auto"/>
        <w:right w:val="none" w:sz="0" w:space="0" w:color="auto"/>
      </w:divBdr>
    </w:div>
    <w:div w:id="213123572">
      <w:marLeft w:val="0"/>
      <w:marRight w:val="0"/>
      <w:marTop w:val="0"/>
      <w:marBottom w:val="0"/>
      <w:divBdr>
        <w:top w:val="none" w:sz="0" w:space="0" w:color="auto"/>
        <w:left w:val="none" w:sz="0" w:space="0" w:color="auto"/>
        <w:bottom w:val="none" w:sz="0" w:space="0" w:color="auto"/>
        <w:right w:val="none" w:sz="0" w:space="0" w:color="auto"/>
      </w:divBdr>
    </w:div>
    <w:div w:id="213123573">
      <w:marLeft w:val="0"/>
      <w:marRight w:val="0"/>
      <w:marTop w:val="0"/>
      <w:marBottom w:val="0"/>
      <w:divBdr>
        <w:top w:val="none" w:sz="0" w:space="0" w:color="auto"/>
        <w:left w:val="none" w:sz="0" w:space="0" w:color="auto"/>
        <w:bottom w:val="none" w:sz="0" w:space="0" w:color="auto"/>
        <w:right w:val="none" w:sz="0" w:space="0" w:color="auto"/>
      </w:divBdr>
    </w:div>
    <w:div w:id="213123574">
      <w:marLeft w:val="0"/>
      <w:marRight w:val="0"/>
      <w:marTop w:val="0"/>
      <w:marBottom w:val="0"/>
      <w:divBdr>
        <w:top w:val="none" w:sz="0" w:space="0" w:color="auto"/>
        <w:left w:val="none" w:sz="0" w:space="0" w:color="auto"/>
        <w:bottom w:val="none" w:sz="0" w:space="0" w:color="auto"/>
        <w:right w:val="none" w:sz="0" w:space="0" w:color="auto"/>
      </w:divBdr>
    </w:div>
    <w:div w:id="213123575">
      <w:marLeft w:val="0"/>
      <w:marRight w:val="0"/>
      <w:marTop w:val="0"/>
      <w:marBottom w:val="0"/>
      <w:divBdr>
        <w:top w:val="none" w:sz="0" w:space="0" w:color="auto"/>
        <w:left w:val="none" w:sz="0" w:space="0" w:color="auto"/>
        <w:bottom w:val="none" w:sz="0" w:space="0" w:color="auto"/>
        <w:right w:val="none" w:sz="0" w:space="0" w:color="auto"/>
      </w:divBdr>
    </w:div>
    <w:div w:id="213123576">
      <w:marLeft w:val="0"/>
      <w:marRight w:val="0"/>
      <w:marTop w:val="0"/>
      <w:marBottom w:val="0"/>
      <w:divBdr>
        <w:top w:val="none" w:sz="0" w:space="0" w:color="auto"/>
        <w:left w:val="none" w:sz="0" w:space="0" w:color="auto"/>
        <w:bottom w:val="none" w:sz="0" w:space="0" w:color="auto"/>
        <w:right w:val="none" w:sz="0" w:space="0" w:color="auto"/>
      </w:divBdr>
    </w:div>
    <w:div w:id="213123577">
      <w:marLeft w:val="0"/>
      <w:marRight w:val="0"/>
      <w:marTop w:val="0"/>
      <w:marBottom w:val="0"/>
      <w:divBdr>
        <w:top w:val="none" w:sz="0" w:space="0" w:color="auto"/>
        <w:left w:val="none" w:sz="0" w:space="0" w:color="auto"/>
        <w:bottom w:val="none" w:sz="0" w:space="0" w:color="auto"/>
        <w:right w:val="none" w:sz="0" w:space="0" w:color="auto"/>
      </w:divBdr>
    </w:div>
    <w:div w:id="213123578">
      <w:marLeft w:val="0"/>
      <w:marRight w:val="0"/>
      <w:marTop w:val="0"/>
      <w:marBottom w:val="0"/>
      <w:divBdr>
        <w:top w:val="none" w:sz="0" w:space="0" w:color="auto"/>
        <w:left w:val="none" w:sz="0" w:space="0" w:color="auto"/>
        <w:bottom w:val="none" w:sz="0" w:space="0" w:color="auto"/>
        <w:right w:val="none" w:sz="0" w:space="0" w:color="auto"/>
      </w:divBdr>
    </w:div>
    <w:div w:id="213123579">
      <w:marLeft w:val="0"/>
      <w:marRight w:val="0"/>
      <w:marTop w:val="0"/>
      <w:marBottom w:val="0"/>
      <w:divBdr>
        <w:top w:val="none" w:sz="0" w:space="0" w:color="auto"/>
        <w:left w:val="none" w:sz="0" w:space="0" w:color="auto"/>
        <w:bottom w:val="none" w:sz="0" w:space="0" w:color="auto"/>
        <w:right w:val="none" w:sz="0" w:space="0" w:color="auto"/>
      </w:divBdr>
    </w:div>
    <w:div w:id="213123580">
      <w:marLeft w:val="0"/>
      <w:marRight w:val="0"/>
      <w:marTop w:val="0"/>
      <w:marBottom w:val="0"/>
      <w:divBdr>
        <w:top w:val="none" w:sz="0" w:space="0" w:color="auto"/>
        <w:left w:val="none" w:sz="0" w:space="0" w:color="auto"/>
        <w:bottom w:val="none" w:sz="0" w:space="0" w:color="auto"/>
        <w:right w:val="none" w:sz="0" w:space="0" w:color="auto"/>
      </w:divBdr>
    </w:div>
    <w:div w:id="213123581">
      <w:marLeft w:val="0"/>
      <w:marRight w:val="0"/>
      <w:marTop w:val="0"/>
      <w:marBottom w:val="0"/>
      <w:divBdr>
        <w:top w:val="none" w:sz="0" w:space="0" w:color="auto"/>
        <w:left w:val="none" w:sz="0" w:space="0" w:color="auto"/>
        <w:bottom w:val="none" w:sz="0" w:space="0" w:color="auto"/>
        <w:right w:val="none" w:sz="0" w:space="0" w:color="auto"/>
      </w:divBdr>
    </w:div>
    <w:div w:id="213123582">
      <w:marLeft w:val="0"/>
      <w:marRight w:val="0"/>
      <w:marTop w:val="0"/>
      <w:marBottom w:val="0"/>
      <w:divBdr>
        <w:top w:val="none" w:sz="0" w:space="0" w:color="auto"/>
        <w:left w:val="none" w:sz="0" w:space="0" w:color="auto"/>
        <w:bottom w:val="none" w:sz="0" w:space="0" w:color="auto"/>
        <w:right w:val="none" w:sz="0" w:space="0" w:color="auto"/>
      </w:divBdr>
    </w:div>
    <w:div w:id="213123583">
      <w:marLeft w:val="0"/>
      <w:marRight w:val="0"/>
      <w:marTop w:val="0"/>
      <w:marBottom w:val="0"/>
      <w:divBdr>
        <w:top w:val="none" w:sz="0" w:space="0" w:color="auto"/>
        <w:left w:val="none" w:sz="0" w:space="0" w:color="auto"/>
        <w:bottom w:val="none" w:sz="0" w:space="0" w:color="auto"/>
        <w:right w:val="none" w:sz="0" w:space="0" w:color="auto"/>
      </w:divBdr>
    </w:div>
    <w:div w:id="213123584">
      <w:marLeft w:val="0"/>
      <w:marRight w:val="0"/>
      <w:marTop w:val="0"/>
      <w:marBottom w:val="0"/>
      <w:divBdr>
        <w:top w:val="none" w:sz="0" w:space="0" w:color="auto"/>
        <w:left w:val="none" w:sz="0" w:space="0" w:color="auto"/>
        <w:bottom w:val="none" w:sz="0" w:space="0" w:color="auto"/>
        <w:right w:val="none" w:sz="0" w:space="0" w:color="auto"/>
      </w:divBdr>
    </w:div>
    <w:div w:id="213123585">
      <w:marLeft w:val="0"/>
      <w:marRight w:val="0"/>
      <w:marTop w:val="0"/>
      <w:marBottom w:val="0"/>
      <w:divBdr>
        <w:top w:val="none" w:sz="0" w:space="0" w:color="auto"/>
        <w:left w:val="none" w:sz="0" w:space="0" w:color="auto"/>
        <w:bottom w:val="none" w:sz="0" w:space="0" w:color="auto"/>
        <w:right w:val="none" w:sz="0" w:space="0" w:color="auto"/>
      </w:divBdr>
    </w:div>
    <w:div w:id="213123586">
      <w:marLeft w:val="0"/>
      <w:marRight w:val="0"/>
      <w:marTop w:val="0"/>
      <w:marBottom w:val="0"/>
      <w:divBdr>
        <w:top w:val="none" w:sz="0" w:space="0" w:color="auto"/>
        <w:left w:val="none" w:sz="0" w:space="0" w:color="auto"/>
        <w:bottom w:val="none" w:sz="0" w:space="0" w:color="auto"/>
        <w:right w:val="none" w:sz="0" w:space="0" w:color="auto"/>
      </w:divBdr>
    </w:div>
    <w:div w:id="213123587">
      <w:marLeft w:val="0"/>
      <w:marRight w:val="0"/>
      <w:marTop w:val="0"/>
      <w:marBottom w:val="0"/>
      <w:divBdr>
        <w:top w:val="none" w:sz="0" w:space="0" w:color="auto"/>
        <w:left w:val="none" w:sz="0" w:space="0" w:color="auto"/>
        <w:bottom w:val="none" w:sz="0" w:space="0" w:color="auto"/>
        <w:right w:val="none" w:sz="0" w:space="0" w:color="auto"/>
      </w:divBdr>
      <w:divsChild>
        <w:div w:id="213123524">
          <w:marLeft w:val="0"/>
          <w:marRight w:val="0"/>
          <w:marTop w:val="0"/>
          <w:marBottom w:val="0"/>
          <w:divBdr>
            <w:top w:val="none" w:sz="0" w:space="0" w:color="auto"/>
            <w:left w:val="none" w:sz="0" w:space="0" w:color="auto"/>
            <w:bottom w:val="none" w:sz="0" w:space="0" w:color="auto"/>
            <w:right w:val="none" w:sz="0" w:space="0" w:color="auto"/>
          </w:divBdr>
        </w:div>
      </w:divsChild>
    </w:div>
    <w:div w:id="213123588">
      <w:marLeft w:val="0"/>
      <w:marRight w:val="0"/>
      <w:marTop w:val="0"/>
      <w:marBottom w:val="0"/>
      <w:divBdr>
        <w:top w:val="none" w:sz="0" w:space="0" w:color="auto"/>
        <w:left w:val="none" w:sz="0" w:space="0" w:color="auto"/>
        <w:bottom w:val="none" w:sz="0" w:space="0" w:color="auto"/>
        <w:right w:val="none" w:sz="0" w:space="0" w:color="auto"/>
      </w:divBdr>
    </w:div>
    <w:div w:id="213123589">
      <w:marLeft w:val="0"/>
      <w:marRight w:val="0"/>
      <w:marTop w:val="0"/>
      <w:marBottom w:val="0"/>
      <w:divBdr>
        <w:top w:val="none" w:sz="0" w:space="0" w:color="auto"/>
        <w:left w:val="none" w:sz="0" w:space="0" w:color="auto"/>
        <w:bottom w:val="none" w:sz="0" w:space="0" w:color="auto"/>
        <w:right w:val="none" w:sz="0" w:space="0" w:color="auto"/>
      </w:divBdr>
    </w:div>
    <w:div w:id="213123590">
      <w:marLeft w:val="0"/>
      <w:marRight w:val="0"/>
      <w:marTop w:val="0"/>
      <w:marBottom w:val="0"/>
      <w:divBdr>
        <w:top w:val="none" w:sz="0" w:space="0" w:color="auto"/>
        <w:left w:val="none" w:sz="0" w:space="0" w:color="auto"/>
        <w:bottom w:val="none" w:sz="0" w:space="0" w:color="auto"/>
        <w:right w:val="none" w:sz="0" w:space="0" w:color="auto"/>
      </w:divBdr>
    </w:div>
    <w:div w:id="213123591">
      <w:marLeft w:val="0"/>
      <w:marRight w:val="0"/>
      <w:marTop w:val="0"/>
      <w:marBottom w:val="0"/>
      <w:divBdr>
        <w:top w:val="none" w:sz="0" w:space="0" w:color="auto"/>
        <w:left w:val="none" w:sz="0" w:space="0" w:color="auto"/>
        <w:bottom w:val="none" w:sz="0" w:space="0" w:color="auto"/>
        <w:right w:val="none" w:sz="0" w:space="0" w:color="auto"/>
      </w:divBdr>
    </w:div>
    <w:div w:id="213123592">
      <w:marLeft w:val="0"/>
      <w:marRight w:val="0"/>
      <w:marTop w:val="0"/>
      <w:marBottom w:val="0"/>
      <w:divBdr>
        <w:top w:val="none" w:sz="0" w:space="0" w:color="auto"/>
        <w:left w:val="none" w:sz="0" w:space="0" w:color="auto"/>
        <w:bottom w:val="none" w:sz="0" w:space="0" w:color="auto"/>
        <w:right w:val="none" w:sz="0" w:space="0" w:color="auto"/>
      </w:divBdr>
    </w:div>
    <w:div w:id="213123593">
      <w:marLeft w:val="0"/>
      <w:marRight w:val="0"/>
      <w:marTop w:val="0"/>
      <w:marBottom w:val="0"/>
      <w:divBdr>
        <w:top w:val="none" w:sz="0" w:space="0" w:color="auto"/>
        <w:left w:val="none" w:sz="0" w:space="0" w:color="auto"/>
        <w:bottom w:val="none" w:sz="0" w:space="0" w:color="auto"/>
        <w:right w:val="none" w:sz="0" w:space="0" w:color="auto"/>
      </w:divBdr>
    </w:div>
    <w:div w:id="213123594">
      <w:marLeft w:val="0"/>
      <w:marRight w:val="0"/>
      <w:marTop w:val="0"/>
      <w:marBottom w:val="0"/>
      <w:divBdr>
        <w:top w:val="none" w:sz="0" w:space="0" w:color="auto"/>
        <w:left w:val="none" w:sz="0" w:space="0" w:color="auto"/>
        <w:bottom w:val="none" w:sz="0" w:space="0" w:color="auto"/>
        <w:right w:val="none" w:sz="0" w:space="0" w:color="auto"/>
      </w:divBdr>
    </w:div>
    <w:div w:id="213123595">
      <w:marLeft w:val="0"/>
      <w:marRight w:val="0"/>
      <w:marTop w:val="0"/>
      <w:marBottom w:val="0"/>
      <w:divBdr>
        <w:top w:val="none" w:sz="0" w:space="0" w:color="auto"/>
        <w:left w:val="none" w:sz="0" w:space="0" w:color="auto"/>
        <w:bottom w:val="none" w:sz="0" w:space="0" w:color="auto"/>
        <w:right w:val="none" w:sz="0" w:space="0" w:color="auto"/>
      </w:divBdr>
    </w:div>
    <w:div w:id="213123596">
      <w:marLeft w:val="0"/>
      <w:marRight w:val="0"/>
      <w:marTop w:val="0"/>
      <w:marBottom w:val="0"/>
      <w:divBdr>
        <w:top w:val="none" w:sz="0" w:space="0" w:color="auto"/>
        <w:left w:val="none" w:sz="0" w:space="0" w:color="auto"/>
        <w:bottom w:val="none" w:sz="0" w:space="0" w:color="auto"/>
        <w:right w:val="none" w:sz="0" w:space="0" w:color="auto"/>
      </w:divBdr>
    </w:div>
    <w:div w:id="213123597">
      <w:marLeft w:val="0"/>
      <w:marRight w:val="0"/>
      <w:marTop w:val="0"/>
      <w:marBottom w:val="0"/>
      <w:divBdr>
        <w:top w:val="none" w:sz="0" w:space="0" w:color="auto"/>
        <w:left w:val="none" w:sz="0" w:space="0" w:color="auto"/>
        <w:bottom w:val="none" w:sz="0" w:space="0" w:color="auto"/>
        <w:right w:val="none" w:sz="0" w:space="0" w:color="auto"/>
      </w:divBdr>
    </w:div>
    <w:div w:id="213123598">
      <w:marLeft w:val="0"/>
      <w:marRight w:val="0"/>
      <w:marTop w:val="0"/>
      <w:marBottom w:val="0"/>
      <w:divBdr>
        <w:top w:val="none" w:sz="0" w:space="0" w:color="auto"/>
        <w:left w:val="none" w:sz="0" w:space="0" w:color="auto"/>
        <w:bottom w:val="none" w:sz="0" w:space="0" w:color="auto"/>
        <w:right w:val="none" w:sz="0" w:space="0" w:color="auto"/>
      </w:divBdr>
    </w:div>
    <w:div w:id="213123599">
      <w:marLeft w:val="0"/>
      <w:marRight w:val="0"/>
      <w:marTop w:val="0"/>
      <w:marBottom w:val="0"/>
      <w:divBdr>
        <w:top w:val="none" w:sz="0" w:space="0" w:color="auto"/>
        <w:left w:val="none" w:sz="0" w:space="0" w:color="auto"/>
        <w:bottom w:val="none" w:sz="0" w:space="0" w:color="auto"/>
        <w:right w:val="none" w:sz="0" w:space="0" w:color="auto"/>
      </w:divBdr>
    </w:div>
    <w:div w:id="213123600">
      <w:marLeft w:val="0"/>
      <w:marRight w:val="0"/>
      <w:marTop w:val="0"/>
      <w:marBottom w:val="0"/>
      <w:divBdr>
        <w:top w:val="none" w:sz="0" w:space="0" w:color="auto"/>
        <w:left w:val="none" w:sz="0" w:space="0" w:color="auto"/>
        <w:bottom w:val="none" w:sz="0" w:space="0" w:color="auto"/>
        <w:right w:val="none" w:sz="0" w:space="0" w:color="auto"/>
      </w:divBdr>
    </w:div>
    <w:div w:id="213123601">
      <w:marLeft w:val="0"/>
      <w:marRight w:val="0"/>
      <w:marTop w:val="0"/>
      <w:marBottom w:val="0"/>
      <w:divBdr>
        <w:top w:val="none" w:sz="0" w:space="0" w:color="auto"/>
        <w:left w:val="none" w:sz="0" w:space="0" w:color="auto"/>
        <w:bottom w:val="none" w:sz="0" w:space="0" w:color="auto"/>
        <w:right w:val="none" w:sz="0" w:space="0" w:color="auto"/>
      </w:divBdr>
    </w:div>
    <w:div w:id="213123602">
      <w:marLeft w:val="0"/>
      <w:marRight w:val="0"/>
      <w:marTop w:val="0"/>
      <w:marBottom w:val="0"/>
      <w:divBdr>
        <w:top w:val="none" w:sz="0" w:space="0" w:color="auto"/>
        <w:left w:val="none" w:sz="0" w:space="0" w:color="auto"/>
        <w:bottom w:val="none" w:sz="0" w:space="0" w:color="auto"/>
        <w:right w:val="none" w:sz="0" w:space="0" w:color="auto"/>
      </w:divBdr>
    </w:div>
    <w:div w:id="213123603">
      <w:marLeft w:val="0"/>
      <w:marRight w:val="0"/>
      <w:marTop w:val="0"/>
      <w:marBottom w:val="0"/>
      <w:divBdr>
        <w:top w:val="none" w:sz="0" w:space="0" w:color="auto"/>
        <w:left w:val="none" w:sz="0" w:space="0" w:color="auto"/>
        <w:bottom w:val="none" w:sz="0" w:space="0" w:color="auto"/>
        <w:right w:val="none" w:sz="0" w:space="0" w:color="auto"/>
      </w:divBdr>
    </w:div>
    <w:div w:id="213123604">
      <w:marLeft w:val="0"/>
      <w:marRight w:val="0"/>
      <w:marTop w:val="0"/>
      <w:marBottom w:val="0"/>
      <w:divBdr>
        <w:top w:val="none" w:sz="0" w:space="0" w:color="auto"/>
        <w:left w:val="none" w:sz="0" w:space="0" w:color="auto"/>
        <w:bottom w:val="none" w:sz="0" w:space="0" w:color="auto"/>
        <w:right w:val="none" w:sz="0" w:space="0" w:color="auto"/>
      </w:divBdr>
    </w:div>
    <w:div w:id="213123605">
      <w:marLeft w:val="0"/>
      <w:marRight w:val="0"/>
      <w:marTop w:val="0"/>
      <w:marBottom w:val="0"/>
      <w:divBdr>
        <w:top w:val="none" w:sz="0" w:space="0" w:color="auto"/>
        <w:left w:val="none" w:sz="0" w:space="0" w:color="auto"/>
        <w:bottom w:val="none" w:sz="0" w:space="0" w:color="auto"/>
        <w:right w:val="none" w:sz="0" w:space="0" w:color="auto"/>
      </w:divBdr>
    </w:div>
    <w:div w:id="213123606">
      <w:marLeft w:val="0"/>
      <w:marRight w:val="0"/>
      <w:marTop w:val="0"/>
      <w:marBottom w:val="0"/>
      <w:divBdr>
        <w:top w:val="none" w:sz="0" w:space="0" w:color="auto"/>
        <w:left w:val="none" w:sz="0" w:space="0" w:color="auto"/>
        <w:bottom w:val="none" w:sz="0" w:space="0" w:color="auto"/>
        <w:right w:val="none" w:sz="0" w:space="0" w:color="auto"/>
      </w:divBdr>
    </w:div>
    <w:div w:id="213123607">
      <w:marLeft w:val="0"/>
      <w:marRight w:val="0"/>
      <w:marTop w:val="0"/>
      <w:marBottom w:val="0"/>
      <w:divBdr>
        <w:top w:val="none" w:sz="0" w:space="0" w:color="auto"/>
        <w:left w:val="none" w:sz="0" w:space="0" w:color="auto"/>
        <w:bottom w:val="none" w:sz="0" w:space="0" w:color="auto"/>
        <w:right w:val="none" w:sz="0" w:space="0" w:color="auto"/>
      </w:divBdr>
    </w:div>
    <w:div w:id="213123608">
      <w:marLeft w:val="0"/>
      <w:marRight w:val="0"/>
      <w:marTop w:val="0"/>
      <w:marBottom w:val="0"/>
      <w:divBdr>
        <w:top w:val="none" w:sz="0" w:space="0" w:color="auto"/>
        <w:left w:val="none" w:sz="0" w:space="0" w:color="auto"/>
        <w:bottom w:val="none" w:sz="0" w:space="0" w:color="auto"/>
        <w:right w:val="none" w:sz="0" w:space="0" w:color="auto"/>
      </w:divBdr>
    </w:div>
    <w:div w:id="213123609">
      <w:marLeft w:val="0"/>
      <w:marRight w:val="0"/>
      <w:marTop w:val="0"/>
      <w:marBottom w:val="0"/>
      <w:divBdr>
        <w:top w:val="none" w:sz="0" w:space="0" w:color="auto"/>
        <w:left w:val="none" w:sz="0" w:space="0" w:color="auto"/>
        <w:bottom w:val="none" w:sz="0" w:space="0" w:color="auto"/>
        <w:right w:val="none" w:sz="0" w:space="0" w:color="auto"/>
      </w:divBdr>
    </w:div>
    <w:div w:id="213123610">
      <w:marLeft w:val="0"/>
      <w:marRight w:val="0"/>
      <w:marTop w:val="0"/>
      <w:marBottom w:val="0"/>
      <w:divBdr>
        <w:top w:val="none" w:sz="0" w:space="0" w:color="auto"/>
        <w:left w:val="none" w:sz="0" w:space="0" w:color="auto"/>
        <w:bottom w:val="none" w:sz="0" w:space="0" w:color="auto"/>
        <w:right w:val="none" w:sz="0" w:space="0" w:color="auto"/>
      </w:divBdr>
    </w:div>
    <w:div w:id="213123611">
      <w:marLeft w:val="0"/>
      <w:marRight w:val="0"/>
      <w:marTop w:val="0"/>
      <w:marBottom w:val="0"/>
      <w:divBdr>
        <w:top w:val="none" w:sz="0" w:space="0" w:color="auto"/>
        <w:left w:val="none" w:sz="0" w:space="0" w:color="auto"/>
        <w:bottom w:val="none" w:sz="0" w:space="0" w:color="auto"/>
        <w:right w:val="none" w:sz="0" w:space="0" w:color="auto"/>
      </w:divBdr>
    </w:div>
    <w:div w:id="213123612">
      <w:marLeft w:val="0"/>
      <w:marRight w:val="0"/>
      <w:marTop w:val="0"/>
      <w:marBottom w:val="0"/>
      <w:divBdr>
        <w:top w:val="none" w:sz="0" w:space="0" w:color="auto"/>
        <w:left w:val="none" w:sz="0" w:space="0" w:color="auto"/>
        <w:bottom w:val="none" w:sz="0" w:space="0" w:color="auto"/>
        <w:right w:val="none" w:sz="0" w:space="0" w:color="auto"/>
      </w:divBdr>
    </w:div>
    <w:div w:id="213123613">
      <w:marLeft w:val="0"/>
      <w:marRight w:val="0"/>
      <w:marTop w:val="0"/>
      <w:marBottom w:val="0"/>
      <w:divBdr>
        <w:top w:val="none" w:sz="0" w:space="0" w:color="auto"/>
        <w:left w:val="none" w:sz="0" w:space="0" w:color="auto"/>
        <w:bottom w:val="none" w:sz="0" w:space="0" w:color="auto"/>
        <w:right w:val="none" w:sz="0" w:space="0" w:color="auto"/>
      </w:divBdr>
    </w:div>
    <w:div w:id="213123614">
      <w:marLeft w:val="0"/>
      <w:marRight w:val="0"/>
      <w:marTop w:val="0"/>
      <w:marBottom w:val="0"/>
      <w:divBdr>
        <w:top w:val="none" w:sz="0" w:space="0" w:color="auto"/>
        <w:left w:val="none" w:sz="0" w:space="0" w:color="auto"/>
        <w:bottom w:val="none" w:sz="0" w:space="0" w:color="auto"/>
        <w:right w:val="none" w:sz="0" w:space="0" w:color="auto"/>
      </w:divBdr>
    </w:div>
    <w:div w:id="213123615">
      <w:marLeft w:val="0"/>
      <w:marRight w:val="0"/>
      <w:marTop w:val="0"/>
      <w:marBottom w:val="0"/>
      <w:divBdr>
        <w:top w:val="none" w:sz="0" w:space="0" w:color="auto"/>
        <w:left w:val="none" w:sz="0" w:space="0" w:color="auto"/>
        <w:bottom w:val="none" w:sz="0" w:space="0" w:color="auto"/>
        <w:right w:val="none" w:sz="0" w:space="0" w:color="auto"/>
      </w:divBdr>
    </w:div>
    <w:div w:id="213123616">
      <w:marLeft w:val="0"/>
      <w:marRight w:val="0"/>
      <w:marTop w:val="0"/>
      <w:marBottom w:val="0"/>
      <w:divBdr>
        <w:top w:val="none" w:sz="0" w:space="0" w:color="auto"/>
        <w:left w:val="none" w:sz="0" w:space="0" w:color="auto"/>
        <w:bottom w:val="none" w:sz="0" w:space="0" w:color="auto"/>
        <w:right w:val="none" w:sz="0" w:space="0" w:color="auto"/>
      </w:divBdr>
    </w:div>
    <w:div w:id="213123617">
      <w:marLeft w:val="0"/>
      <w:marRight w:val="0"/>
      <w:marTop w:val="0"/>
      <w:marBottom w:val="0"/>
      <w:divBdr>
        <w:top w:val="none" w:sz="0" w:space="0" w:color="auto"/>
        <w:left w:val="none" w:sz="0" w:space="0" w:color="auto"/>
        <w:bottom w:val="none" w:sz="0" w:space="0" w:color="auto"/>
        <w:right w:val="none" w:sz="0" w:space="0" w:color="auto"/>
      </w:divBdr>
    </w:div>
    <w:div w:id="213123618">
      <w:marLeft w:val="0"/>
      <w:marRight w:val="0"/>
      <w:marTop w:val="0"/>
      <w:marBottom w:val="0"/>
      <w:divBdr>
        <w:top w:val="none" w:sz="0" w:space="0" w:color="auto"/>
        <w:left w:val="none" w:sz="0" w:space="0" w:color="auto"/>
        <w:bottom w:val="none" w:sz="0" w:space="0" w:color="auto"/>
        <w:right w:val="none" w:sz="0" w:space="0" w:color="auto"/>
      </w:divBdr>
    </w:div>
    <w:div w:id="213123619">
      <w:marLeft w:val="0"/>
      <w:marRight w:val="0"/>
      <w:marTop w:val="0"/>
      <w:marBottom w:val="0"/>
      <w:divBdr>
        <w:top w:val="none" w:sz="0" w:space="0" w:color="auto"/>
        <w:left w:val="none" w:sz="0" w:space="0" w:color="auto"/>
        <w:bottom w:val="none" w:sz="0" w:space="0" w:color="auto"/>
        <w:right w:val="none" w:sz="0" w:space="0" w:color="auto"/>
      </w:divBdr>
    </w:div>
    <w:div w:id="213123620">
      <w:marLeft w:val="0"/>
      <w:marRight w:val="0"/>
      <w:marTop w:val="0"/>
      <w:marBottom w:val="0"/>
      <w:divBdr>
        <w:top w:val="none" w:sz="0" w:space="0" w:color="auto"/>
        <w:left w:val="none" w:sz="0" w:space="0" w:color="auto"/>
        <w:bottom w:val="none" w:sz="0" w:space="0" w:color="auto"/>
        <w:right w:val="none" w:sz="0" w:space="0" w:color="auto"/>
      </w:divBdr>
    </w:div>
    <w:div w:id="213123621">
      <w:marLeft w:val="0"/>
      <w:marRight w:val="0"/>
      <w:marTop w:val="0"/>
      <w:marBottom w:val="0"/>
      <w:divBdr>
        <w:top w:val="none" w:sz="0" w:space="0" w:color="auto"/>
        <w:left w:val="none" w:sz="0" w:space="0" w:color="auto"/>
        <w:bottom w:val="none" w:sz="0" w:space="0" w:color="auto"/>
        <w:right w:val="none" w:sz="0" w:space="0" w:color="auto"/>
      </w:divBdr>
    </w:div>
    <w:div w:id="213123622">
      <w:marLeft w:val="0"/>
      <w:marRight w:val="0"/>
      <w:marTop w:val="0"/>
      <w:marBottom w:val="0"/>
      <w:divBdr>
        <w:top w:val="none" w:sz="0" w:space="0" w:color="auto"/>
        <w:left w:val="none" w:sz="0" w:space="0" w:color="auto"/>
        <w:bottom w:val="none" w:sz="0" w:space="0" w:color="auto"/>
        <w:right w:val="none" w:sz="0" w:space="0" w:color="auto"/>
      </w:divBdr>
    </w:div>
    <w:div w:id="213123623">
      <w:marLeft w:val="0"/>
      <w:marRight w:val="0"/>
      <w:marTop w:val="0"/>
      <w:marBottom w:val="0"/>
      <w:divBdr>
        <w:top w:val="none" w:sz="0" w:space="0" w:color="auto"/>
        <w:left w:val="none" w:sz="0" w:space="0" w:color="auto"/>
        <w:bottom w:val="none" w:sz="0" w:space="0" w:color="auto"/>
        <w:right w:val="none" w:sz="0" w:space="0" w:color="auto"/>
      </w:divBdr>
    </w:div>
    <w:div w:id="213123624">
      <w:marLeft w:val="0"/>
      <w:marRight w:val="0"/>
      <w:marTop w:val="0"/>
      <w:marBottom w:val="0"/>
      <w:divBdr>
        <w:top w:val="none" w:sz="0" w:space="0" w:color="auto"/>
        <w:left w:val="none" w:sz="0" w:space="0" w:color="auto"/>
        <w:bottom w:val="none" w:sz="0" w:space="0" w:color="auto"/>
        <w:right w:val="none" w:sz="0" w:space="0" w:color="auto"/>
      </w:divBdr>
    </w:div>
    <w:div w:id="213123625">
      <w:marLeft w:val="0"/>
      <w:marRight w:val="0"/>
      <w:marTop w:val="0"/>
      <w:marBottom w:val="0"/>
      <w:divBdr>
        <w:top w:val="none" w:sz="0" w:space="0" w:color="auto"/>
        <w:left w:val="none" w:sz="0" w:space="0" w:color="auto"/>
        <w:bottom w:val="none" w:sz="0" w:space="0" w:color="auto"/>
        <w:right w:val="none" w:sz="0" w:space="0" w:color="auto"/>
      </w:divBdr>
    </w:div>
    <w:div w:id="213123626">
      <w:marLeft w:val="0"/>
      <w:marRight w:val="0"/>
      <w:marTop w:val="0"/>
      <w:marBottom w:val="0"/>
      <w:divBdr>
        <w:top w:val="none" w:sz="0" w:space="0" w:color="auto"/>
        <w:left w:val="none" w:sz="0" w:space="0" w:color="auto"/>
        <w:bottom w:val="none" w:sz="0" w:space="0" w:color="auto"/>
        <w:right w:val="none" w:sz="0" w:space="0" w:color="auto"/>
      </w:divBdr>
    </w:div>
    <w:div w:id="213123627">
      <w:marLeft w:val="0"/>
      <w:marRight w:val="0"/>
      <w:marTop w:val="0"/>
      <w:marBottom w:val="0"/>
      <w:divBdr>
        <w:top w:val="none" w:sz="0" w:space="0" w:color="auto"/>
        <w:left w:val="none" w:sz="0" w:space="0" w:color="auto"/>
        <w:bottom w:val="none" w:sz="0" w:space="0" w:color="auto"/>
        <w:right w:val="none" w:sz="0" w:space="0" w:color="auto"/>
      </w:divBdr>
    </w:div>
    <w:div w:id="213123628">
      <w:marLeft w:val="0"/>
      <w:marRight w:val="0"/>
      <w:marTop w:val="0"/>
      <w:marBottom w:val="0"/>
      <w:divBdr>
        <w:top w:val="none" w:sz="0" w:space="0" w:color="auto"/>
        <w:left w:val="none" w:sz="0" w:space="0" w:color="auto"/>
        <w:bottom w:val="none" w:sz="0" w:space="0" w:color="auto"/>
        <w:right w:val="none" w:sz="0" w:space="0" w:color="auto"/>
      </w:divBdr>
    </w:div>
    <w:div w:id="213123629">
      <w:marLeft w:val="0"/>
      <w:marRight w:val="0"/>
      <w:marTop w:val="0"/>
      <w:marBottom w:val="0"/>
      <w:divBdr>
        <w:top w:val="none" w:sz="0" w:space="0" w:color="auto"/>
        <w:left w:val="none" w:sz="0" w:space="0" w:color="auto"/>
        <w:bottom w:val="none" w:sz="0" w:space="0" w:color="auto"/>
        <w:right w:val="none" w:sz="0" w:space="0" w:color="auto"/>
      </w:divBdr>
    </w:div>
    <w:div w:id="213123630">
      <w:marLeft w:val="0"/>
      <w:marRight w:val="0"/>
      <w:marTop w:val="0"/>
      <w:marBottom w:val="0"/>
      <w:divBdr>
        <w:top w:val="none" w:sz="0" w:space="0" w:color="auto"/>
        <w:left w:val="none" w:sz="0" w:space="0" w:color="auto"/>
        <w:bottom w:val="none" w:sz="0" w:space="0" w:color="auto"/>
        <w:right w:val="none" w:sz="0" w:space="0" w:color="auto"/>
      </w:divBdr>
    </w:div>
    <w:div w:id="213123631">
      <w:marLeft w:val="0"/>
      <w:marRight w:val="0"/>
      <w:marTop w:val="0"/>
      <w:marBottom w:val="0"/>
      <w:divBdr>
        <w:top w:val="none" w:sz="0" w:space="0" w:color="auto"/>
        <w:left w:val="none" w:sz="0" w:space="0" w:color="auto"/>
        <w:bottom w:val="none" w:sz="0" w:space="0" w:color="auto"/>
        <w:right w:val="none" w:sz="0" w:space="0" w:color="auto"/>
      </w:divBdr>
    </w:div>
    <w:div w:id="213123632">
      <w:marLeft w:val="0"/>
      <w:marRight w:val="0"/>
      <w:marTop w:val="0"/>
      <w:marBottom w:val="0"/>
      <w:divBdr>
        <w:top w:val="none" w:sz="0" w:space="0" w:color="auto"/>
        <w:left w:val="none" w:sz="0" w:space="0" w:color="auto"/>
        <w:bottom w:val="none" w:sz="0" w:space="0" w:color="auto"/>
        <w:right w:val="none" w:sz="0" w:space="0" w:color="auto"/>
      </w:divBdr>
    </w:div>
    <w:div w:id="213123633">
      <w:marLeft w:val="0"/>
      <w:marRight w:val="0"/>
      <w:marTop w:val="0"/>
      <w:marBottom w:val="0"/>
      <w:divBdr>
        <w:top w:val="none" w:sz="0" w:space="0" w:color="auto"/>
        <w:left w:val="none" w:sz="0" w:space="0" w:color="auto"/>
        <w:bottom w:val="none" w:sz="0" w:space="0" w:color="auto"/>
        <w:right w:val="none" w:sz="0" w:space="0" w:color="auto"/>
      </w:divBdr>
    </w:div>
    <w:div w:id="213123634">
      <w:marLeft w:val="0"/>
      <w:marRight w:val="0"/>
      <w:marTop w:val="0"/>
      <w:marBottom w:val="0"/>
      <w:divBdr>
        <w:top w:val="none" w:sz="0" w:space="0" w:color="auto"/>
        <w:left w:val="none" w:sz="0" w:space="0" w:color="auto"/>
        <w:bottom w:val="none" w:sz="0" w:space="0" w:color="auto"/>
        <w:right w:val="none" w:sz="0" w:space="0" w:color="auto"/>
      </w:divBdr>
    </w:div>
    <w:div w:id="213123635">
      <w:marLeft w:val="0"/>
      <w:marRight w:val="0"/>
      <w:marTop w:val="0"/>
      <w:marBottom w:val="0"/>
      <w:divBdr>
        <w:top w:val="none" w:sz="0" w:space="0" w:color="auto"/>
        <w:left w:val="none" w:sz="0" w:space="0" w:color="auto"/>
        <w:bottom w:val="none" w:sz="0" w:space="0" w:color="auto"/>
        <w:right w:val="none" w:sz="0" w:space="0" w:color="auto"/>
      </w:divBdr>
    </w:div>
    <w:div w:id="213123636">
      <w:marLeft w:val="0"/>
      <w:marRight w:val="0"/>
      <w:marTop w:val="0"/>
      <w:marBottom w:val="0"/>
      <w:divBdr>
        <w:top w:val="none" w:sz="0" w:space="0" w:color="auto"/>
        <w:left w:val="none" w:sz="0" w:space="0" w:color="auto"/>
        <w:bottom w:val="none" w:sz="0" w:space="0" w:color="auto"/>
        <w:right w:val="none" w:sz="0" w:space="0" w:color="auto"/>
      </w:divBdr>
    </w:div>
    <w:div w:id="213123637">
      <w:marLeft w:val="0"/>
      <w:marRight w:val="0"/>
      <w:marTop w:val="0"/>
      <w:marBottom w:val="0"/>
      <w:divBdr>
        <w:top w:val="none" w:sz="0" w:space="0" w:color="auto"/>
        <w:left w:val="none" w:sz="0" w:space="0" w:color="auto"/>
        <w:bottom w:val="none" w:sz="0" w:space="0" w:color="auto"/>
        <w:right w:val="none" w:sz="0" w:space="0" w:color="auto"/>
      </w:divBdr>
    </w:div>
    <w:div w:id="213123638">
      <w:marLeft w:val="0"/>
      <w:marRight w:val="0"/>
      <w:marTop w:val="0"/>
      <w:marBottom w:val="0"/>
      <w:divBdr>
        <w:top w:val="none" w:sz="0" w:space="0" w:color="auto"/>
        <w:left w:val="none" w:sz="0" w:space="0" w:color="auto"/>
        <w:bottom w:val="none" w:sz="0" w:space="0" w:color="auto"/>
        <w:right w:val="none" w:sz="0" w:space="0" w:color="auto"/>
      </w:divBdr>
    </w:div>
    <w:div w:id="273754158">
      <w:bodyDiv w:val="1"/>
      <w:marLeft w:val="0"/>
      <w:marRight w:val="0"/>
      <w:marTop w:val="0"/>
      <w:marBottom w:val="0"/>
      <w:divBdr>
        <w:top w:val="none" w:sz="0" w:space="0" w:color="auto"/>
        <w:left w:val="none" w:sz="0" w:space="0" w:color="auto"/>
        <w:bottom w:val="none" w:sz="0" w:space="0" w:color="auto"/>
        <w:right w:val="none" w:sz="0" w:space="0" w:color="auto"/>
      </w:divBdr>
    </w:div>
    <w:div w:id="322703213">
      <w:bodyDiv w:val="1"/>
      <w:marLeft w:val="0"/>
      <w:marRight w:val="0"/>
      <w:marTop w:val="0"/>
      <w:marBottom w:val="0"/>
      <w:divBdr>
        <w:top w:val="none" w:sz="0" w:space="0" w:color="auto"/>
        <w:left w:val="none" w:sz="0" w:space="0" w:color="auto"/>
        <w:bottom w:val="none" w:sz="0" w:space="0" w:color="auto"/>
        <w:right w:val="none" w:sz="0" w:space="0" w:color="auto"/>
      </w:divBdr>
    </w:div>
    <w:div w:id="644042538">
      <w:bodyDiv w:val="1"/>
      <w:marLeft w:val="0"/>
      <w:marRight w:val="0"/>
      <w:marTop w:val="0"/>
      <w:marBottom w:val="0"/>
      <w:divBdr>
        <w:top w:val="none" w:sz="0" w:space="0" w:color="auto"/>
        <w:left w:val="none" w:sz="0" w:space="0" w:color="auto"/>
        <w:bottom w:val="none" w:sz="0" w:space="0" w:color="auto"/>
        <w:right w:val="none" w:sz="0" w:space="0" w:color="auto"/>
      </w:divBdr>
    </w:div>
    <w:div w:id="670062225">
      <w:bodyDiv w:val="1"/>
      <w:marLeft w:val="0"/>
      <w:marRight w:val="0"/>
      <w:marTop w:val="0"/>
      <w:marBottom w:val="0"/>
      <w:divBdr>
        <w:top w:val="none" w:sz="0" w:space="0" w:color="auto"/>
        <w:left w:val="none" w:sz="0" w:space="0" w:color="auto"/>
        <w:bottom w:val="none" w:sz="0" w:space="0" w:color="auto"/>
        <w:right w:val="none" w:sz="0" w:space="0" w:color="auto"/>
      </w:divBdr>
    </w:div>
    <w:div w:id="1005747553">
      <w:bodyDiv w:val="1"/>
      <w:marLeft w:val="0"/>
      <w:marRight w:val="0"/>
      <w:marTop w:val="0"/>
      <w:marBottom w:val="0"/>
      <w:divBdr>
        <w:top w:val="none" w:sz="0" w:space="0" w:color="auto"/>
        <w:left w:val="none" w:sz="0" w:space="0" w:color="auto"/>
        <w:bottom w:val="none" w:sz="0" w:space="0" w:color="auto"/>
        <w:right w:val="none" w:sz="0" w:space="0" w:color="auto"/>
      </w:divBdr>
    </w:div>
    <w:div w:id="1114250943">
      <w:bodyDiv w:val="1"/>
      <w:marLeft w:val="0"/>
      <w:marRight w:val="0"/>
      <w:marTop w:val="0"/>
      <w:marBottom w:val="0"/>
      <w:divBdr>
        <w:top w:val="none" w:sz="0" w:space="0" w:color="auto"/>
        <w:left w:val="none" w:sz="0" w:space="0" w:color="auto"/>
        <w:bottom w:val="none" w:sz="0" w:space="0" w:color="auto"/>
        <w:right w:val="none" w:sz="0" w:space="0" w:color="auto"/>
      </w:divBdr>
    </w:div>
    <w:div w:id="1115947171">
      <w:bodyDiv w:val="1"/>
      <w:marLeft w:val="0"/>
      <w:marRight w:val="0"/>
      <w:marTop w:val="0"/>
      <w:marBottom w:val="0"/>
      <w:divBdr>
        <w:top w:val="none" w:sz="0" w:space="0" w:color="auto"/>
        <w:left w:val="none" w:sz="0" w:space="0" w:color="auto"/>
        <w:bottom w:val="none" w:sz="0" w:space="0" w:color="auto"/>
        <w:right w:val="none" w:sz="0" w:space="0" w:color="auto"/>
      </w:divBdr>
    </w:div>
    <w:div w:id="1117068689">
      <w:bodyDiv w:val="1"/>
      <w:marLeft w:val="0"/>
      <w:marRight w:val="0"/>
      <w:marTop w:val="0"/>
      <w:marBottom w:val="0"/>
      <w:divBdr>
        <w:top w:val="none" w:sz="0" w:space="0" w:color="auto"/>
        <w:left w:val="none" w:sz="0" w:space="0" w:color="auto"/>
        <w:bottom w:val="none" w:sz="0" w:space="0" w:color="auto"/>
        <w:right w:val="none" w:sz="0" w:space="0" w:color="auto"/>
      </w:divBdr>
    </w:div>
    <w:div w:id="1170172822">
      <w:bodyDiv w:val="1"/>
      <w:marLeft w:val="0"/>
      <w:marRight w:val="0"/>
      <w:marTop w:val="0"/>
      <w:marBottom w:val="0"/>
      <w:divBdr>
        <w:top w:val="none" w:sz="0" w:space="0" w:color="auto"/>
        <w:left w:val="none" w:sz="0" w:space="0" w:color="auto"/>
        <w:bottom w:val="none" w:sz="0" w:space="0" w:color="auto"/>
        <w:right w:val="none" w:sz="0" w:space="0" w:color="auto"/>
      </w:divBdr>
    </w:div>
    <w:div w:id="1210190248">
      <w:bodyDiv w:val="1"/>
      <w:marLeft w:val="0"/>
      <w:marRight w:val="0"/>
      <w:marTop w:val="0"/>
      <w:marBottom w:val="0"/>
      <w:divBdr>
        <w:top w:val="none" w:sz="0" w:space="0" w:color="auto"/>
        <w:left w:val="none" w:sz="0" w:space="0" w:color="auto"/>
        <w:bottom w:val="none" w:sz="0" w:space="0" w:color="auto"/>
        <w:right w:val="none" w:sz="0" w:space="0" w:color="auto"/>
      </w:divBdr>
    </w:div>
    <w:div w:id="1275015803">
      <w:bodyDiv w:val="1"/>
      <w:marLeft w:val="0"/>
      <w:marRight w:val="0"/>
      <w:marTop w:val="0"/>
      <w:marBottom w:val="0"/>
      <w:divBdr>
        <w:top w:val="none" w:sz="0" w:space="0" w:color="auto"/>
        <w:left w:val="none" w:sz="0" w:space="0" w:color="auto"/>
        <w:bottom w:val="none" w:sz="0" w:space="0" w:color="auto"/>
        <w:right w:val="none" w:sz="0" w:space="0" w:color="auto"/>
      </w:divBdr>
    </w:div>
    <w:div w:id="1289781119">
      <w:bodyDiv w:val="1"/>
      <w:marLeft w:val="0"/>
      <w:marRight w:val="0"/>
      <w:marTop w:val="0"/>
      <w:marBottom w:val="0"/>
      <w:divBdr>
        <w:top w:val="none" w:sz="0" w:space="0" w:color="auto"/>
        <w:left w:val="none" w:sz="0" w:space="0" w:color="auto"/>
        <w:bottom w:val="none" w:sz="0" w:space="0" w:color="auto"/>
        <w:right w:val="none" w:sz="0" w:space="0" w:color="auto"/>
      </w:divBdr>
    </w:div>
    <w:div w:id="1530484841">
      <w:bodyDiv w:val="1"/>
      <w:marLeft w:val="0"/>
      <w:marRight w:val="0"/>
      <w:marTop w:val="0"/>
      <w:marBottom w:val="0"/>
      <w:divBdr>
        <w:top w:val="none" w:sz="0" w:space="0" w:color="auto"/>
        <w:left w:val="none" w:sz="0" w:space="0" w:color="auto"/>
        <w:bottom w:val="none" w:sz="0" w:space="0" w:color="auto"/>
        <w:right w:val="none" w:sz="0" w:space="0" w:color="auto"/>
      </w:divBdr>
    </w:div>
    <w:div w:id="1549417623">
      <w:bodyDiv w:val="1"/>
      <w:marLeft w:val="0"/>
      <w:marRight w:val="0"/>
      <w:marTop w:val="0"/>
      <w:marBottom w:val="0"/>
      <w:divBdr>
        <w:top w:val="none" w:sz="0" w:space="0" w:color="auto"/>
        <w:left w:val="none" w:sz="0" w:space="0" w:color="auto"/>
        <w:bottom w:val="none" w:sz="0" w:space="0" w:color="auto"/>
        <w:right w:val="none" w:sz="0" w:space="0" w:color="auto"/>
      </w:divBdr>
    </w:div>
    <w:div w:id="1556355356">
      <w:bodyDiv w:val="1"/>
      <w:marLeft w:val="0"/>
      <w:marRight w:val="0"/>
      <w:marTop w:val="0"/>
      <w:marBottom w:val="0"/>
      <w:divBdr>
        <w:top w:val="none" w:sz="0" w:space="0" w:color="auto"/>
        <w:left w:val="none" w:sz="0" w:space="0" w:color="auto"/>
        <w:bottom w:val="none" w:sz="0" w:space="0" w:color="auto"/>
        <w:right w:val="none" w:sz="0" w:space="0" w:color="auto"/>
      </w:divBdr>
    </w:div>
    <w:div w:id="1630475139">
      <w:bodyDiv w:val="1"/>
      <w:marLeft w:val="0"/>
      <w:marRight w:val="0"/>
      <w:marTop w:val="0"/>
      <w:marBottom w:val="0"/>
      <w:divBdr>
        <w:top w:val="none" w:sz="0" w:space="0" w:color="auto"/>
        <w:left w:val="none" w:sz="0" w:space="0" w:color="auto"/>
        <w:bottom w:val="none" w:sz="0" w:space="0" w:color="auto"/>
        <w:right w:val="none" w:sz="0" w:space="0" w:color="auto"/>
      </w:divBdr>
    </w:div>
    <w:div w:id="1687632342">
      <w:bodyDiv w:val="1"/>
      <w:marLeft w:val="0"/>
      <w:marRight w:val="0"/>
      <w:marTop w:val="0"/>
      <w:marBottom w:val="0"/>
      <w:divBdr>
        <w:top w:val="none" w:sz="0" w:space="0" w:color="auto"/>
        <w:left w:val="none" w:sz="0" w:space="0" w:color="auto"/>
        <w:bottom w:val="none" w:sz="0" w:space="0" w:color="auto"/>
        <w:right w:val="none" w:sz="0" w:space="0" w:color="auto"/>
      </w:divBdr>
    </w:div>
    <w:div w:id="1782407786">
      <w:bodyDiv w:val="1"/>
      <w:marLeft w:val="180"/>
      <w:marRight w:val="180"/>
      <w:marTop w:val="180"/>
      <w:marBottom w:val="180"/>
      <w:divBdr>
        <w:top w:val="none" w:sz="0" w:space="0" w:color="auto"/>
        <w:left w:val="none" w:sz="0" w:space="0" w:color="auto"/>
        <w:bottom w:val="none" w:sz="0" w:space="0" w:color="auto"/>
        <w:right w:val="none" w:sz="0" w:space="0" w:color="auto"/>
      </w:divBdr>
      <w:divsChild>
        <w:div w:id="776758508">
          <w:marLeft w:val="0"/>
          <w:marRight w:val="0"/>
          <w:marTop w:val="0"/>
          <w:marBottom w:val="0"/>
          <w:divBdr>
            <w:top w:val="none" w:sz="0" w:space="0" w:color="auto"/>
            <w:left w:val="none" w:sz="0" w:space="0" w:color="auto"/>
            <w:bottom w:val="none" w:sz="0" w:space="0" w:color="auto"/>
            <w:right w:val="none" w:sz="0" w:space="0" w:color="auto"/>
          </w:divBdr>
        </w:div>
      </w:divsChild>
    </w:div>
    <w:div w:id="1875339606">
      <w:bodyDiv w:val="1"/>
      <w:marLeft w:val="0"/>
      <w:marRight w:val="0"/>
      <w:marTop w:val="0"/>
      <w:marBottom w:val="0"/>
      <w:divBdr>
        <w:top w:val="none" w:sz="0" w:space="0" w:color="auto"/>
        <w:left w:val="none" w:sz="0" w:space="0" w:color="auto"/>
        <w:bottom w:val="none" w:sz="0" w:space="0" w:color="auto"/>
        <w:right w:val="none" w:sz="0" w:space="0" w:color="auto"/>
      </w:divBdr>
    </w:div>
    <w:div w:id="1910773297">
      <w:bodyDiv w:val="1"/>
      <w:marLeft w:val="0"/>
      <w:marRight w:val="0"/>
      <w:marTop w:val="0"/>
      <w:marBottom w:val="0"/>
      <w:divBdr>
        <w:top w:val="none" w:sz="0" w:space="0" w:color="auto"/>
        <w:left w:val="none" w:sz="0" w:space="0" w:color="auto"/>
        <w:bottom w:val="none" w:sz="0" w:space="0" w:color="auto"/>
        <w:right w:val="none" w:sz="0" w:space="0" w:color="auto"/>
      </w:divBdr>
    </w:div>
    <w:div w:id="200863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F4AFE-504F-4A35-A9E8-C91E1699F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8887</Words>
  <Characters>50657</Characters>
  <Application>Microsoft Office Word</Application>
  <DocSecurity>0</DocSecurity>
  <Lines>422</Lines>
  <Paragraphs>118</Paragraphs>
  <ScaleCrop>false</ScaleCrop>
  <Company/>
  <LinksUpToDate>false</LinksUpToDate>
  <CharactersWithSpaces>59426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11</cp:revision>
  <cp:lastPrinted>2007-07-19T00:46:00Z</cp:lastPrinted>
  <dcterms:created xsi:type="dcterms:W3CDTF">2020-08-17T12:19:00Z</dcterms:created>
  <dcterms:modified xsi:type="dcterms:W3CDTF">2020-08-18T06:51:00Z</dcterms:modified>
</cp:coreProperties>
</file>